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7.xml" ContentType="application/vnd.openxmlformats-officedocument.wordprocessingml.header+xml"/>
  <Override PartName="/word/footer23.xml" ContentType="application/vnd.openxmlformats-officedocument.wordprocessingml.footer+xml"/>
  <Override PartName="/word/header8.xml" ContentType="application/vnd.openxmlformats-officedocument.wordprocessingml.header+xml"/>
  <Override PartName="/word/footer24.xml" ContentType="application/vnd.openxmlformats-officedocument.wordprocessingml.footer+xml"/>
  <Override PartName="/word/header9.xml" ContentType="application/vnd.openxmlformats-officedocument.wordprocessingml.header+xml"/>
  <Override PartName="/word/footer25.xml" ContentType="application/vnd.openxmlformats-officedocument.wordprocessingml.footer+xml"/>
  <Override PartName="/word/header1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AA5" w:rsidRDefault="00CF0AA5" w:rsidP="00E050D3">
      <w:pPr>
        <w:jc w:val="center"/>
      </w:pPr>
    </w:p>
    <w:p w:rsidR="00DC0F02" w:rsidRDefault="00E050D3" w:rsidP="00E050D3">
      <w:pPr>
        <w:jc w:val="center"/>
      </w:pPr>
      <w:r>
        <w:rPr>
          <w:noProof/>
          <w:lang w:eastAsia="en-AU"/>
        </w:rPr>
        <w:drawing>
          <wp:inline distT="0" distB="0" distL="0" distR="0" wp14:anchorId="0DA892B4" wp14:editId="1710C687">
            <wp:extent cx="3050540" cy="1575435"/>
            <wp:effectExtent l="0" t="0" r="0" b="5715"/>
            <wp:docPr id="24" name="Picture 24" descr="Description: Description: Description: CGC_stackedstrip resized"/>
            <wp:cNvGraphicFramePr/>
            <a:graphic xmlns:a="http://schemas.openxmlformats.org/drawingml/2006/main">
              <a:graphicData uri="http://schemas.openxmlformats.org/drawingml/2006/picture">
                <pic:pic xmlns:pic="http://schemas.openxmlformats.org/drawingml/2006/picture">
                  <pic:nvPicPr>
                    <pic:cNvPr id="24" name="Picture 24" descr="Description: Description: Description: CGC_stackedstrip resized"/>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0540" cy="1575435"/>
                    </a:xfrm>
                    <a:prstGeom prst="rect">
                      <a:avLst/>
                    </a:prstGeom>
                    <a:noFill/>
                    <a:ln>
                      <a:noFill/>
                    </a:ln>
                  </pic:spPr>
                </pic:pic>
              </a:graphicData>
            </a:graphic>
          </wp:inline>
        </w:drawing>
      </w:r>
    </w:p>
    <w:p w:rsidR="00E050D3" w:rsidRPr="005F0051" w:rsidRDefault="00E050D3" w:rsidP="00906E9E">
      <w:pPr>
        <w:spacing w:before="3360"/>
        <w:jc w:val="center"/>
        <w:rPr>
          <w:b/>
          <w:color w:val="329664"/>
          <w:sz w:val="52"/>
          <w:szCs w:val="52"/>
        </w:rPr>
      </w:pPr>
      <w:r w:rsidRPr="005F0051">
        <w:rPr>
          <w:b/>
          <w:color w:val="329664"/>
          <w:sz w:val="52"/>
          <w:szCs w:val="52"/>
        </w:rPr>
        <w:t>R</w:t>
      </w:r>
      <w:r w:rsidR="005F0051" w:rsidRPr="005F0051">
        <w:rPr>
          <w:b/>
          <w:color w:val="329664"/>
          <w:sz w:val="52"/>
          <w:szCs w:val="52"/>
        </w:rPr>
        <w:t>eport</w:t>
      </w:r>
      <w:r w:rsidRPr="005F0051">
        <w:rPr>
          <w:b/>
          <w:color w:val="329664"/>
          <w:sz w:val="52"/>
          <w:szCs w:val="52"/>
        </w:rPr>
        <w:t xml:space="preserve"> </w:t>
      </w:r>
      <w:r w:rsidR="005F0051">
        <w:rPr>
          <w:b/>
          <w:color w:val="329664"/>
          <w:sz w:val="52"/>
          <w:szCs w:val="52"/>
        </w:rPr>
        <w:t>on</w:t>
      </w:r>
    </w:p>
    <w:p w:rsidR="00E050D3" w:rsidRPr="005F0051" w:rsidRDefault="00E050D3" w:rsidP="00E050D3">
      <w:pPr>
        <w:jc w:val="center"/>
        <w:rPr>
          <w:b/>
          <w:color w:val="329664"/>
          <w:sz w:val="52"/>
          <w:szCs w:val="52"/>
        </w:rPr>
      </w:pPr>
      <w:r w:rsidRPr="005F0051">
        <w:rPr>
          <w:b/>
          <w:color w:val="329664"/>
          <w:sz w:val="52"/>
          <w:szCs w:val="52"/>
        </w:rPr>
        <w:t>GST Revenue Sharing Relativities</w:t>
      </w:r>
    </w:p>
    <w:p w:rsidR="00E050D3" w:rsidRPr="005F0051" w:rsidRDefault="00E050D3" w:rsidP="00E050D3">
      <w:pPr>
        <w:spacing w:before="720"/>
        <w:jc w:val="center"/>
        <w:rPr>
          <w:b/>
          <w:color w:val="329664"/>
          <w:sz w:val="52"/>
          <w:szCs w:val="52"/>
        </w:rPr>
      </w:pPr>
      <w:r w:rsidRPr="005F0051">
        <w:rPr>
          <w:b/>
          <w:color w:val="329664"/>
          <w:sz w:val="52"/>
          <w:szCs w:val="52"/>
        </w:rPr>
        <w:t>201</w:t>
      </w:r>
      <w:r w:rsidR="00D51CD4" w:rsidRPr="005F0051">
        <w:rPr>
          <w:b/>
          <w:color w:val="329664"/>
          <w:sz w:val="52"/>
          <w:szCs w:val="52"/>
        </w:rPr>
        <w:t>6</w:t>
      </w:r>
      <w:r w:rsidRPr="005F0051">
        <w:rPr>
          <w:b/>
          <w:color w:val="329664"/>
          <w:sz w:val="52"/>
          <w:szCs w:val="52"/>
        </w:rPr>
        <w:t xml:space="preserve"> Update</w:t>
      </w:r>
    </w:p>
    <w:p w:rsidR="00E050D3" w:rsidRDefault="00E050D3" w:rsidP="00E050D3">
      <w:pPr>
        <w:spacing w:before="3600"/>
        <w:jc w:val="center"/>
        <w:rPr>
          <w:b/>
          <w:color w:val="329664"/>
          <w:sz w:val="40"/>
          <w:szCs w:val="40"/>
        </w:rPr>
      </w:pPr>
      <w:r w:rsidRPr="00E050D3">
        <w:rPr>
          <w:b/>
          <w:color w:val="329664"/>
          <w:sz w:val="40"/>
          <w:szCs w:val="40"/>
        </w:rPr>
        <w:t>Canberra</w:t>
      </w:r>
    </w:p>
    <w:p w:rsidR="00E050D3" w:rsidRDefault="00E050D3" w:rsidP="00E050D3">
      <w:pPr>
        <w:spacing w:before="3600"/>
        <w:jc w:val="center"/>
        <w:rPr>
          <w:b/>
          <w:color w:val="329664"/>
          <w:sz w:val="40"/>
          <w:szCs w:val="40"/>
        </w:rPr>
        <w:sectPr w:rsidR="00E050D3" w:rsidSect="00165419">
          <w:headerReference w:type="default" r:id="rId10"/>
          <w:footerReference w:type="default" r:id="rId11"/>
          <w:footerReference w:type="first" r:id="rId12"/>
          <w:pgSz w:w="11899" w:h="16838" w:code="9"/>
          <w:pgMar w:top="1701" w:right="1474" w:bottom="1701" w:left="1474" w:header="709" w:footer="709" w:gutter="0"/>
          <w:cols w:space="708"/>
          <w:titlePg/>
          <w:docGrid w:linePitch="326"/>
        </w:sectPr>
      </w:pPr>
    </w:p>
    <w:p w:rsidR="00A42567" w:rsidRPr="001564AD" w:rsidRDefault="00A42567" w:rsidP="007B0C97">
      <w:pPr>
        <w:pStyle w:val="H3notoc"/>
      </w:pPr>
      <w:bookmarkStart w:id="0" w:name="_Toc283907661"/>
      <w:bookmarkStart w:id="1" w:name="_Toc283984117"/>
      <w:bookmarkStart w:id="2" w:name="_Toc283984283"/>
      <w:bookmarkStart w:id="3" w:name="_Toc283984534"/>
      <w:bookmarkStart w:id="4" w:name="_Toc284593047"/>
      <w:bookmarkStart w:id="5" w:name="_Toc284950444"/>
      <w:bookmarkStart w:id="6" w:name="_Toc284950513"/>
      <w:bookmarkStart w:id="7" w:name="_Toc284950874"/>
      <w:bookmarkStart w:id="8" w:name="_Toc284951045"/>
      <w:bookmarkStart w:id="9" w:name="_Toc284951274"/>
      <w:bookmarkStart w:id="10" w:name="_Toc285634893"/>
      <w:bookmarkStart w:id="11" w:name="_Toc285635052"/>
      <w:bookmarkStart w:id="12" w:name="_Toc300732051"/>
      <w:bookmarkStart w:id="13" w:name="_Toc300732121"/>
      <w:bookmarkStart w:id="14" w:name="_Toc300732197"/>
      <w:bookmarkStart w:id="15" w:name="_Toc300732263"/>
      <w:bookmarkStart w:id="16" w:name="_Toc300732337"/>
      <w:bookmarkStart w:id="17" w:name="_Toc300732455"/>
      <w:bookmarkStart w:id="18" w:name="_Toc303952552"/>
      <w:bookmarkStart w:id="19" w:name="_Toc333409208"/>
      <w:bookmarkStart w:id="20" w:name="_Toc333409439"/>
      <w:bookmarkStart w:id="21" w:name="_Toc336335853"/>
      <w:bookmarkStart w:id="22" w:name="_Toc399487783"/>
      <w:bookmarkStart w:id="23" w:name="_Toc399487986"/>
      <w:bookmarkStart w:id="24" w:name="_Toc410741645"/>
      <w:bookmarkStart w:id="25" w:name="_Toc410744191"/>
      <w:bookmarkStart w:id="26" w:name="_Toc411511181"/>
      <w:bookmarkStart w:id="27" w:name="_Toc411511634"/>
      <w:bookmarkStart w:id="28" w:name="_Toc411924574"/>
      <w:bookmarkStart w:id="29" w:name="_Toc428435377"/>
      <w:bookmarkStart w:id="30" w:name="_Toc428435613"/>
      <w:bookmarkStart w:id="31" w:name="_Toc428435775"/>
      <w:bookmarkStart w:id="32" w:name="_Toc428435859"/>
      <w:bookmarkStart w:id="33" w:name="_Toc428803203"/>
      <w:bookmarkStart w:id="34" w:name="_Toc430166067"/>
      <w:bookmarkStart w:id="35" w:name="_Toc441241570"/>
      <w:bookmarkStart w:id="36" w:name="_Toc441242255"/>
      <w:bookmarkStart w:id="37" w:name="_Toc441242309"/>
      <w:bookmarkStart w:id="38" w:name="_Toc441499240"/>
      <w:bookmarkStart w:id="39" w:name="_Toc441655981"/>
      <w:bookmarkStart w:id="40" w:name="_Toc441656017"/>
      <w:bookmarkStart w:id="41" w:name="_Toc442191896"/>
      <w:bookmarkStart w:id="42" w:name="_Toc442192078"/>
      <w:bookmarkStart w:id="43" w:name="_Toc442192143"/>
      <w:bookmarkStart w:id="44" w:name="_Toc442192208"/>
      <w:r w:rsidRPr="001564AD">
        <w:lastRenderedPageBreak/>
        <w:t>Copyright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A42567" w:rsidRPr="00EC79CF" w:rsidRDefault="00A42567" w:rsidP="00A42567">
      <w:r w:rsidRPr="00EC79CF">
        <w:t>© Commonwealth of Australia 201</w:t>
      </w:r>
      <w:r>
        <w:t>6</w:t>
      </w:r>
      <w:r w:rsidRPr="00EC79CF">
        <w:tab/>
      </w:r>
      <w:r w:rsidRPr="00EC79CF">
        <w:tab/>
        <w:t>ISBN: 978-0-9923954-2-1</w:t>
      </w:r>
    </w:p>
    <w:p w:rsidR="00A42567" w:rsidRPr="00841145" w:rsidRDefault="00A42567" w:rsidP="00A42567">
      <w:pPr>
        <w:rPr>
          <w:i/>
        </w:rPr>
      </w:pPr>
      <w:r w:rsidRPr="00EC79CF">
        <w:t xml:space="preserve">With the exception of the Commonwealth Coat of Arms, all material presented in this document is provided under an </w:t>
      </w:r>
      <w:hyperlink r:id="rId13" w:history="1">
        <w:r>
          <w:rPr>
            <w:rStyle w:val="Hyperlink"/>
          </w:rPr>
          <w:t>Attribution 4.0 (CC BY 4.0) licence</w:t>
        </w:r>
      </w:hyperlink>
      <w:r>
        <w:t xml:space="preserve"> </w:t>
      </w:r>
      <w:r w:rsidRPr="00D6420E">
        <w:t>(http://creativecommons.org/licenses/by/4</w:t>
      </w:r>
      <w:r>
        <w:t>.0).</w:t>
      </w:r>
    </w:p>
    <w:p w:rsidR="00A42567" w:rsidRPr="00EC79CF" w:rsidRDefault="00A42567" w:rsidP="00A42567">
      <w:r w:rsidRPr="00EC79CF">
        <w:rPr>
          <w:noProof/>
          <w:lang w:eastAsia="en-AU"/>
        </w:rPr>
        <w:drawing>
          <wp:inline distT="0" distB="0" distL="0" distR="0" wp14:anchorId="6FA2D487" wp14:editId="54C040E5">
            <wp:extent cx="828675" cy="295275"/>
            <wp:effectExtent l="19050" t="0" r="9525" b="0"/>
            <wp:docPr id="16" name="Picture 1" descr="Creative Commons -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4" cstate="print"/>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rsidR="00A42567" w:rsidRPr="001564AD" w:rsidRDefault="00A42567" w:rsidP="007B0C97">
      <w:pPr>
        <w:pStyle w:val="H3notoc"/>
      </w:pPr>
      <w:bookmarkStart w:id="45" w:name="_Toc283907662"/>
      <w:bookmarkStart w:id="46" w:name="_Toc283984118"/>
      <w:bookmarkStart w:id="47" w:name="_Toc283984284"/>
      <w:bookmarkStart w:id="48" w:name="_Toc284951046"/>
      <w:bookmarkStart w:id="49" w:name="_Toc300732052"/>
      <w:bookmarkStart w:id="50" w:name="_Toc300732122"/>
      <w:bookmarkStart w:id="51" w:name="_Toc300732338"/>
      <w:bookmarkStart w:id="52" w:name="_Toc300732456"/>
      <w:bookmarkStart w:id="53" w:name="_Toc303952553"/>
      <w:bookmarkStart w:id="54" w:name="_Toc336335854"/>
      <w:bookmarkStart w:id="55" w:name="_Toc399487987"/>
      <w:bookmarkStart w:id="56" w:name="_Toc428435614"/>
      <w:bookmarkStart w:id="57" w:name="_Toc428435776"/>
      <w:bookmarkStart w:id="58" w:name="_Toc428435860"/>
      <w:bookmarkStart w:id="59" w:name="_Toc428803204"/>
      <w:bookmarkStart w:id="60" w:name="_Toc430166068"/>
      <w:bookmarkStart w:id="61" w:name="_Toc441241571"/>
      <w:bookmarkStart w:id="62" w:name="_Toc441242256"/>
      <w:bookmarkStart w:id="63" w:name="_Toc441242310"/>
      <w:bookmarkStart w:id="64" w:name="_Toc441499241"/>
      <w:bookmarkStart w:id="65" w:name="_Toc442191897"/>
      <w:bookmarkStart w:id="66" w:name="_Toc442192079"/>
      <w:bookmarkStart w:id="67" w:name="_Toc442192144"/>
      <w:bookmarkStart w:id="68" w:name="_Toc442192209"/>
      <w:r w:rsidRPr="001564AD">
        <w:t>Attribution</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A42567" w:rsidRPr="00EC79CF" w:rsidRDefault="00A42567" w:rsidP="00A42567">
      <w:pPr>
        <w:rPr>
          <w:i/>
        </w:rPr>
      </w:pPr>
      <w:r w:rsidRPr="00EC79CF">
        <w:t xml:space="preserve">This document should be attributed as: Commonwealth Grants Commission, </w:t>
      </w:r>
      <w:r w:rsidRPr="00EC79CF">
        <w:rPr>
          <w:i/>
        </w:rPr>
        <w:t xml:space="preserve">Report on </w:t>
      </w:r>
      <w:r>
        <w:rPr>
          <w:i/>
        </w:rPr>
        <w:t>GST</w:t>
      </w:r>
      <w:r w:rsidRPr="00EC79CF">
        <w:rPr>
          <w:i/>
        </w:rPr>
        <w:t xml:space="preserve"> Revenue Sharing Relativities</w:t>
      </w:r>
      <w:r w:rsidR="00D92F3F">
        <w:rPr>
          <w:i/>
        </w:rPr>
        <w:t>,</w:t>
      </w:r>
      <w:r w:rsidRPr="00EC79CF">
        <w:rPr>
          <w:i/>
        </w:rPr>
        <w:t xml:space="preserve"> 201</w:t>
      </w:r>
      <w:r w:rsidR="00D51CD4">
        <w:rPr>
          <w:i/>
        </w:rPr>
        <w:t>6</w:t>
      </w:r>
      <w:r w:rsidRPr="00EC79CF">
        <w:rPr>
          <w:i/>
        </w:rPr>
        <w:t xml:space="preserve"> </w:t>
      </w:r>
      <w:r w:rsidR="00D51CD4">
        <w:rPr>
          <w:i/>
        </w:rPr>
        <w:t>Update</w:t>
      </w:r>
      <w:r w:rsidRPr="00EC79CF">
        <w:rPr>
          <w:i/>
        </w:rPr>
        <w:t>.</w:t>
      </w:r>
    </w:p>
    <w:p w:rsidR="00A42567" w:rsidRPr="00EC79CF" w:rsidRDefault="00A42567" w:rsidP="007B0C97">
      <w:pPr>
        <w:pStyle w:val="H3notoc"/>
      </w:pPr>
      <w:bookmarkStart w:id="69" w:name="_Toc283907663"/>
      <w:bookmarkStart w:id="70" w:name="_Toc283984119"/>
      <w:bookmarkStart w:id="71" w:name="_Toc283984285"/>
      <w:bookmarkStart w:id="72" w:name="_Toc284951047"/>
      <w:bookmarkStart w:id="73" w:name="_Toc300732053"/>
      <w:bookmarkStart w:id="74" w:name="_Toc300732123"/>
      <w:bookmarkStart w:id="75" w:name="_Toc300732339"/>
      <w:bookmarkStart w:id="76" w:name="_Toc300732457"/>
      <w:bookmarkStart w:id="77" w:name="_Toc303952554"/>
      <w:bookmarkStart w:id="78" w:name="_Toc336335855"/>
      <w:bookmarkStart w:id="79" w:name="_Toc399487988"/>
      <w:bookmarkStart w:id="80" w:name="_Toc428435615"/>
      <w:bookmarkStart w:id="81" w:name="_Toc428435777"/>
      <w:bookmarkStart w:id="82" w:name="_Toc428435861"/>
      <w:bookmarkStart w:id="83" w:name="_Toc428803205"/>
      <w:bookmarkStart w:id="84" w:name="_Toc430166069"/>
      <w:bookmarkStart w:id="85" w:name="_Toc441241572"/>
      <w:bookmarkStart w:id="86" w:name="_Toc441242257"/>
      <w:bookmarkStart w:id="87" w:name="_Toc441242311"/>
      <w:bookmarkStart w:id="88" w:name="_Toc441499242"/>
      <w:bookmarkStart w:id="89" w:name="_Toc442191898"/>
      <w:bookmarkStart w:id="90" w:name="_Toc442192080"/>
      <w:bookmarkStart w:id="91" w:name="_Toc442192145"/>
      <w:bookmarkStart w:id="92" w:name="_Toc442192210"/>
      <w:r w:rsidRPr="00EC79CF">
        <w:t>Licence conditions</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A42567" w:rsidRPr="00EC79CF" w:rsidRDefault="00A42567" w:rsidP="00A42567">
      <w:pPr>
        <w:rPr>
          <w:i/>
        </w:rPr>
      </w:pPr>
      <w:r w:rsidRPr="00EC79CF">
        <w:t xml:space="preserve">The details of the relevant licence conditions are available on the </w:t>
      </w:r>
      <w:hyperlink r:id="rId15" w:history="1">
        <w:r w:rsidRPr="00841145">
          <w:rPr>
            <w:rStyle w:val="Hyperlink"/>
          </w:rPr>
          <w:t>Creative Commons website</w:t>
        </w:r>
      </w:hyperlink>
      <w:r w:rsidRPr="00EC79CF">
        <w:t xml:space="preserve"> </w:t>
      </w:r>
      <w:r>
        <w:t>(</w:t>
      </w:r>
      <w:r w:rsidRPr="00841145">
        <w:t>http://creativecommons.org</w:t>
      </w:r>
      <w:r>
        <w:t>)</w:t>
      </w:r>
      <w:r w:rsidRPr="00EC79CF">
        <w:t xml:space="preserve">, </w:t>
      </w:r>
      <w:r w:rsidRPr="00EC79CF">
        <w:br/>
        <w:t>as</w:t>
      </w:r>
      <w:r>
        <w:t xml:space="preserve"> are the </w:t>
      </w:r>
      <w:hyperlink r:id="rId16" w:history="1">
        <w:r>
          <w:rPr>
            <w:rStyle w:val="Hyperlink"/>
          </w:rPr>
          <w:t>CC BY 4.0 licence deed</w:t>
        </w:r>
      </w:hyperlink>
      <w:r w:rsidRPr="00EC79CF">
        <w:t xml:space="preserve"> </w:t>
      </w:r>
      <w:r>
        <w:t>(</w:t>
      </w:r>
      <w:r w:rsidRPr="00841145">
        <w:t>http://creativecommons.org/licenses/by/</w:t>
      </w:r>
      <w:r>
        <w:t>4</w:t>
      </w:r>
      <w:r w:rsidRPr="00841145">
        <w:t>.0</w:t>
      </w:r>
      <w:r>
        <w:t>)</w:t>
      </w:r>
      <w:r w:rsidRPr="00EC79CF">
        <w:t xml:space="preserve"> </w:t>
      </w:r>
      <w:r w:rsidRPr="00EC79CF">
        <w:br/>
        <w:t xml:space="preserve">and </w:t>
      </w:r>
      <w:hyperlink r:id="rId17" w:history="1">
        <w:r w:rsidRPr="00841145">
          <w:rPr>
            <w:rStyle w:val="Hyperlink"/>
          </w:rPr>
          <w:t>full legal code</w:t>
        </w:r>
      </w:hyperlink>
      <w:r w:rsidRPr="00EC79CF">
        <w:t xml:space="preserve"> </w:t>
      </w:r>
      <w:r>
        <w:t>(</w:t>
      </w:r>
      <w:r w:rsidRPr="00841145">
        <w:t>http://creativecommons.org/licenses/by/</w:t>
      </w:r>
      <w:r>
        <w:t>4</w:t>
      </w:r>
      <w:r w:rsidRPr="00841145">
        <w:t>.0/legalcode</w:t>
      </w:r>
      <w:r>
        <w:t>)</w:t>
      </w:r>
      <w:r w:rsidRPr="00EC79CF">
        <w:t>.</w:t>
      </w:r>
    </w:p>
    <w:p w:rsidR="00A42567" w:rsidRPr="00EC79CF" w:rsidRDefault="00A42567" w:rsidP="007B0C97">
      <w:pPr>
        <w:pStyle w:val="H3notoc"/>
      </w:pPr>
      <w:bookmarkStart w:id="93" w:name="_Toc283907664"/>
      <w:bookmarkStart w:id="94" w:name="_Toc283984120"/>
      <w:bookmarkStart w:id="95" w:name="_Toc283984286"/>
      <w:bookmarkStart w:id="96" w:name="_Toc284951048"/>
      <w:bookmarkStart w:id="97" w:name="_Toc300732054"/>
      <w:bookmarkStart w:id="98" w:name="_Toc300732124"/>
      <w:bookmarkStart w:id="99" w:name="_Toc300732340"/>
      <w:bookmarkStart w:id="100" w:name="_Toc300732458"/>
      <w:bookmarkStart w:id="101" w:name="_Toc303952555"/>
      <w:bookmarkStart w:id="102" w:name="_Toc336335856"/>
      <w:bookmarkStart w:id="103" w:name="_Toc399487989"/>
      <w:bookmarkStart w:id="104" w:name="_Toc428435616"/>
      <w:bookmarkStart w:id="105" w:name="_Toc428435778"/>
      <w:bookmarkStart w:id="106" w:name="_Toc428435862"/>
      <w:bookmarkStart w:id="107" w:name="_Toc428803206"/>
      <w:bookmarkStart w:id="108" w:name="_Toc430166070"/>
      <w:bookmarkStart w:id="109" w:name="_Toc441241573"/>
      <w:bookmarkStart w:id="110" w:name="_Toc441242258"/>
      <w:bookmarkStart w:id="111" w:name="_Toc441242312"/>
      <w:bookmarkStart w:id="112" w:name="_Toc441499243"/>
      <w:bookmarkStart w:id="113" w:name="_Toc442191899"/>
      <w:bookmarkStart w:id="114" w:name="_Toc442192081"/>
      <w:bookmarkStart w:id="115" w:name="_Toc442192146"/>
      <w:bookmarkStart w:id="116" w:name="_Toc442192211"/>
      <w:r w:rsidRPr="00EC79CF">
        <w:t>Use of the Coat of Arms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A42567" w:rsidRPr="00EC79CF" w:rsidRDefault="00A42567" w:rsidP="00A42567">
      <w:pPr>
        <w:rPr>
          <w:i/>
        </w:rPr>
      </w:pPr>
      <w:r w:rsidRPr="00EC79CF">
        <w:t xml:space="preserve">The terms under which the Coat of Arms can be used are detailed on the </w:t>
      </w:r>
      <w:hyperlink r:id="rId18" w:history="1">
        <w:r w:rsidRPr="00841145">
          <w:rPr>
            <w:rStyle w:val="Hyperlink"/>
          </w:rPr>
          <w:t>It’s an Honour website</w:t>
        </w:r>
      </w:hyperlink>
      <w:r w:rsidRPr="00EC79CF">
        <w:t xml:space="preserve"> </w:t>
      </w:r>
      <w:r>
        <w:t>(</w:t>
      </w:r>
      <w:r w:rsidRPr="00841145">
        <w:t>http://www.itsanhonour.gov.au/coat-arms/</w:t>
      </w:r>
      <w:r>
        <w:t>).</w:t>
      </w:r>
    </w:p>
    <w:p w:rsidR="00A42567" w:rsidRPr="001564AD" w:rsidRDefault="007B0C97" w:rsidP="007B0C97">
      <w:pPr>
        <w:pStyle w:val="H3notoc"/>
      </w:pPr>
      <w:bookmarkStart w:id="117" w:name="_Toc283907665"/>
      <w:bookmarkStart w:id="118" w:name="_Toc283984121"/>
      <w:bookmarkStart w:id="119" w:name="_Toc283984287"/>
      <w:bookmarkStart w:id="120" w:name="_Toc284951049"/>
      <w:bookmarkStart w:id="121" w:name="_Toc300732055"/>
      <w:bookmarkStart w:id="122" w:name="_Toc300732125"/>
      <w:bookmarkStart w:id="123" w:name="_Toc300732198"/>
      <w:bookmarkStart w:id="124" w:name="_Toc300732264"/>
      <w:bookmarkStart w:id="125" w:name="_Toc300732341"/>
      <w:bookmarkStart w:id="126" w:name="_Toc300732459"/>
      <w:bookmarkStart w:id="127" w:name="_Toc303952556"/>
      <w:bookmarkStart w:id="128" w:name="_Toc333409209"/>
      <w:bookmarkStart w:id="129" w:name="_Toc333409440"/>
      <w:bookmarkStart w:id="130" w:name="_Toc336335857"/>
      <w:bookmarkStart w:id="131" w:name="_Toc399487784"/>
      <w:bookmarkStart w:id="132" w:name="_Toc399487990"/>
      <w:bookmarkStart w:id="133" w:name="_Toc410741646"/>
      <w:bookmarkStart w:id="134" w:name="_Toc410744192"/>
      <w:bookmarkStart w:id="135" w:name="_Toc411511182"/>
      <w:bookmarkStart w:id="136" w:name="_Toc411511635"/>
      <w:bookmarkStart w:id="137" w:name="_Toc411924575"/>
      <w:bookmarkStart w:id="138" w:name="_Toc428435378"/>
      <w:bookmarkStart w:id="139" w:name="_Toc428435617"/>
      <w:bookmarkStart w:id="140" w:name="_Toc428435779"/>
      <w:bookmarkStart w:id="141" w:name="_Toc428435863"/>
      <w:bookmarkStart w:id="142" w:name="_Toc428803207"/>
      <w:bookmarkStart w:id="143" w:name="_Toc430166071"/>
      <w:bookmarkStart w:id="144" w:name="_Toc441241574"/>
      <w:bookmarkStart w:id="145" w:name="_Toc441242259"/>
      <w:bookmarkStart w:id="146" w:name="_Toc441242313"/>
      <w:bookmarkStart w:id="147" w:name="_Toc441499244"/>
      <w:bookmarkStart w:id="148" w:name="_Toc441655982"/>
      <w:bookmarkStart w:id="149" w:name="_Toc441656018"/>
      <w:bookmarkStart w:id="150" w:name="_Toc442191900"/>
      <w:bookmarkStart w:id="151" w:name="_Toc442192082"/>
      <w:bookmarkStart w:id="152" w:name="_Toc442192147"/>
      <w:bookmarkStart w:id="153" w:name="_Toc442192212"/>
      <w:r w:rsidRPr="001564AD">
        <w:t>CONTACT US</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A42567" w:rsidRPr="00EC79CF" w:rsidRDefault="00A42567" w:rsidP="00A42567">
      <w:pPr>
        <w:pStyle w:val="NoSpacing"/>
      </w:pPr>
      <w:r w:rsidRPr="00EC79CF">
        <w:t>Inquiries regarding the licence and any use of this document should be directed to:</w:t>
      </w:r>
    </w:p>
    <w:p w:rsidR="00A42567" w:rsidRPr="00EC79CF" w:rsidRDefault="00A42567" w:rsidP="00A42567">
      <w:pPr>
        <w:pStyle w:val="NoSpacing"/>
      </w:pPr>
    </w:p>
    <w:p w:rsidR="00A42567" w:rsidRPr="00EC79CF" w:rsidRDefault="00A42567" w:rsidP="00A42567">
      <w:pPr>
        <w:pStyle w:val="NoSpacing"/>
      </w:pPr>
      <w:r w:rsidRPr="00EC79CF">
        <w:t>Director, Corporate Services</w:t>
      </w:r>
    </w:p>
    <w:p w:rsidR="00A42567" w:rsidRPr="00EC79CF" w:rsidRDefault="00A42567" w:rsidP="00A42567">
      <w:pPr>
        <w:pStyle w:val="NoSpacing"/>
      </w:pPr>
      <w:r w:rsidRPr="00EC79CF">
        <w:t>Commonwealth Grants Commission</w:t>
      </w:r>
    </w:p>
    <w:p w:rsidR="00A42567" w:rsidRPr="00EC79CF" w:rsidRDefault="00A42567" w:rsidP="00A42567">
      <w:pPr>
        <w:pStyle w:val="NoSpacing"/>
      </w:pPr>
      <w:r w:rsidRPr="00EC79CF">
        <w:t>First Floor, Phoenix House</w:t>
      </w:r>
    </w:p>
    <w:p w:rsidR="00A42567" w:rsidRPr="00EC79CF" w:rsidRDefault="00A42567" w:rsidP="00A42567">
      <w:pPr>
        <w:pStyle w:val="NoSpacing"/>
      </w:pPr>
      <w:r w:rsidRPr="00EC79CF">
        <w:t>86-88 Northbourne Avenue</w:t>
      </w:r>
    </w:p>
    <w:p w:rsidR="00A42567" w:rsidRPr="00EC79CF" w:rsidRDefault="00A42567" w:rsidP="00A42567">
      <w:pPr>
        <w:pStyle w:val="NoSpacing"/>
      </w:pPr>
      <w:r w:rsidRPr="00EC79CF">
        <w:t>BRADDON ACT 2612</w:t>
      </w:r>
    </w:p>
    <w:p w:rsidR="00A42567" w:rsidRPr="00EC79CF" w:rsidRDefault="00A42567" w:rsidP="00A42567">
      <w:pPr>
        <w:pStyle w:val="NoSpacing"/>
      </w:pPr>
      <w:r w:rsidRPr="00EC79CF">
        <w:t>Telephone (02) 6229 8825</w:t>
      </w:r>
    </w:p>
    <w:p w:rsidR="00A42567" w:rsidRPr="00EC79CF" w:rsidRDefault="00A42567" w:rsidP="00A42567">
      <w:pPr>
        <w:pStyle w:val="NoSpacing"/>
      </w:pPr>
      <w:r w:rsidRPr="00EC79CF">
        <w:t>Facsimile (02) 6229 8821</w:t>
      </w:r>
    </w:p>
    <w:p w:rsidR="00A42567" w:rsidRPr="00EC79CF" w:rsidRDefault="00A42567" w:rsidP="00A42567">
      <w:pPr>
        <w:pStyle w:val="NoSpacing"/>
      </w:pPr>
      <w:r w:rsidRPr="00EC79CF">
        <w:t xml:space="preserve">Email </w:t>
      </w:r>
      <w:hyperlink r:id="rId19" w:history="1">
        <w:r w:rsidRPr="00EC79CF">
          <w:rPr>
            <w:rStyle w:val="Hyperlink"/>
          </w:rPr>
          <w:t>phil.parkins@cgc.gov.au</w:t>
        </w:r>
      </w:hyperlink>
    </w:p>
    <w:p w:rsidR="00A42567" w:rsidRPr="001564AD" w:rsidRDefault="007B0C97" w:rsidP="007B0C97">
      <w:pPr>
        <w:pStyle w:val="H3notoc"/>
      </w:pPr>
      <w:bookmarkStart w:id="154" w:name="_Toc411511183"/>
      <w:bookmarkStart w:id="155" w:name="_Toc411511636"/>
      <w:bookmarkStart w:id="156" w:name="_Toc411924576"/>
      <w:bookmarkStart w:id="157" w:name="_Toc428435379"/>
      <w:bookmarkStart w:id="158" w:name="_Toc428435618"/>
      <w:bookmarkStart w:id="159" w:name="_Toc428435780"/>
      <w:bookmarkStart w:id="160" w:name="_Toc428435864"/>
      <w:bookmarkStart w:id="161" w:name="_Toc428803208"/>
      <w:bookmarkStart w:id="162" w:name="_Toc430166072"/>
      <w:bookmarkStart w:id="163" w:name="_Toc441241575"/>
      <w:bookmarkStart w:id="164" w:name="_Toc441242260"/>
      <w:bookmarkStart w:id="165" w:name="_Toc441242314"/>
      <w:bookmarkStart w:id="166" w:name="_Toc441499245"/>
      <w:bookmarkStart w:id="167" w:name="_Toc441655983"/>
      <w:bookmarkStart w:id="168" w:name="_Toc441656019"/>
      <w:bookmarkStart w:id="169" w:name="_Toc442191901"/>
      <w:bookmarkStart w:id="170" w:name="_Toc442192083"/>
      <w:bookmarkStart w:id="171" w:name="_Toc442192148"/>
      <w:bookmarkStart w:id="172" w:name="_Toc442192213"/>
      <w:r w:rsidRPr="001564AD">
        <w:t>INTERNET</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6C44A8" w:rsidRDefault="00A42567" w:rsidP="00A42567">
      <w:pPr>
        <w:pStyle w:val="NoSpacing"/>
        <w:sectPr w:rsidR="006C44A8" w:rsidSect="00165419">
          <w:headerReference w:type="default" r:id="rId20"/>
          <w:pgSz w:w="11899" w:h="16838" w:code="9"/>
          <w:pgMar w:top="1701" w:right="1474" w:bottom="1701" w:left="1474" w:header="709" w:footer="709" w:gutter="0"/>
          <w:pgNumType w:fmt="lowerRoman"/>
          <w:cols w:space="708"/>
          <w:docGrid w:linePitch="326"/>
        </w:sectPr>
      </w:pPr>
      <w:r w:rsidRPr="00EC79CF">
        <w:t xml:space="preserve">A copy of this report can be obtained from the </w:t>
      </w:r>
      <w:hyperlink r:id="rId21" w:history="1">
        <w:r w:rsidRPr="00841145">
          <w:rPr>
            <w:rStyle w:val="Hyperlink"/>
          </w:rPr>
          <w:t>Commission’s website</w:t>
        </w:r>
      </w:hyperlink>
      <w:r>
        <w:t xml:space="preserve"> (</w:t>
      </w:r>
      <w:r w:rsidRPr="00841145">
        <w:t>http://www.cgc.gov.au</w:t>
      </w:r>
      <w:r>
        <w:t>).</w:t>
      </w:r>
    </w:p>
    <w:p w:rsidR="006C44A8" w:rsidRDefault="007B0C97" w:rsidP="003772A8">
      <w:pPr>
        <w:pStyle w:val="H1notoc"/>
        <w:spacing w:before="360"/>
      </w:pPr>
      <w:bookmarkStart w:id="173" w:name="_Toc441241576"/>
      <w:bookmarkStart w:id="174" w:name="_Toc441242261"/>
      <w:bookmarkStart w:id="175" w:name="_Toc441242315"/>
      <w:bookmarkStart w:id="176" w:name="_Toc441499246"/>
      <w:bookmarkStart w:id="177" w:name="_Toc441656020"/>
      <w:bookmarkStart w:id="178" w:name="_Toc442191902"/>
      <w:bookmarkStart w:id="179" w:name="_Toc442192084"/>
      <w:bookmarkStart w:id="180" w:name="_Toc442192149"/>
      <w:bookmarkStart w:id="181" w:name="_Toc442192214"/>
      <w:r w:rsidRPr="006C44A8">
        <w:lastRenderedPageBreak/>
        <w:t>LETTER OF TRANSMITTAL</w:t>
      </w:r>
      <w:bookmarkEnd w:id="173"/>
      <w:bookmarkEnd w:id="174"/>
      <w:bookmarkEnd w:id="175"/>
      <w:bookmarkEnd w:id="176"/>
      <w:bookmarkEnd w:id="177"/>
      <w:bookmarkEnd w:id="178"/>
      <w:bookmarkEnd w:id="179"/>
      <w:bookmarkEnd w:id="180"/>
      <w:bookmarkEnd w:id="181"/>
    </w:p>
    <w:p w:rsidR="001213FD" w:rsidRPr="006C44A8" w:rsidRDefault="001213FD" w:rsidP="001213FD"/>
    <w:p w:rsidR="00F974D7" w:rsidRDefault="003772A8" w:rsidP="006C44A8">
      <w:pPr>
        <w:pStyle w:val="NoSpacing"/>
        <w:sectPr w:rsidR="00F974D7" w:rsidSect="001E3FFA">
          <w:headerReference w:type="default" r:id="rId22"/>
          <w:pgSz w:w="11899" w:h="16838" w:code="9"/>
          <w:pgMar w:top="1701" w:right="1474" w:bottom="1701" w:left="1474" w:header="709" w:footer="709" w:gutter="0"/>
          <w:pgNumType w:fmt="lowerRoman"/>
          <w:cols w:space="708"/>
          <w:docGrid w:linePitch="326"/>
        </w:sectPr>
      </w:pPr>
      <w:r>
        <w:rPr>
          <w:noProof/>
          <w:lang w:eastAsia="en-AU"/>
        </w:rPr>
        <w:drawing>
          <wp:inline distT="0" distB="0" distL="0" distR="0">
            <wp:extent cx="5456023" cy="7705725"/>
            <wp:effectExtent l="0" t="0" r="0" b="0"/>
            <wp:docPr id="12" name="Picture 12" descr="The Hon Scott Morrison MP&#10;Treasurer&#10;Parliament House&#10;CANBERRA  ACT  2600&#10;&#10;Dear Treasurer&#10;&#10;As members of the Commonwealth Grants Commission appointed under the Commonwealth Grants Commission Act 1973, and in response to terms of reference provided by you, we have prepared this report to provide updated per capita relativities for use in distributing GST revenue among the States and Territories in 2016 17.&#10;&#10;In accordance with those terms of reference, the results of the update will be provided to the States and Territories.&#10;&#10;Yours sincerely&#10;&#10;G J Smith&#10;Chairperson &#10;&#10;P M Faulkner AO&#10;Member&#10; &#10;&#10;J A Menzies&#10;Member&#10;&#10;JD Petchey &#10;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59376" cy="7710461"/>
                    </a:xfrm>
                    <a:prstGeom prst="rect">
                      <a:avLst/>
                    </a:prstGeom>
                    <a:noFill/>
                    <a:ln>
                      <a:noFill/>
                    </a:ln>
                  </pic:spPr>
                </pic:pic>
              </a:graphicData>
            </a:graphic>
          </wp:inline>
        </w:drawing>
      </w:r>
    </w:p>
    <w:p w:rsidR="00F974D7" w:rsidRDefault="007F176A" w:rsidP="007B0C97">
      <w:pPr>
        <w:pStyle w:val="H1notoc"/>
      </w:pPr>
      <w:bookmarkStart w:id="182" w:name="_Toc428353470"/>
      <w:bookmarkStart w:id="183" w:name="_Toc428354217"/>
      <w:bookmarkStart w:id="184" w:name="_Toc428435380"/>
      <w:bookmarkStart w:id="185" w:name="_Toc428435619"/>
      <w:bookmarkStart w:id="186" w:name="_Toc428435781"/>
      <w:bookmarkStart w:id="187" w:name="_Toc428435865"/>
      <w:bookmarkStart w:id="188" w:name="_Toc428803209"/>
      <w:bookmarkStart w:id="189" w:name="_Toc430166073"/>
      <w:bookmarkStart w:id="190" w:name="_Toc442192085"/>
      <w:bookmarkStart w:id="191" w:name="_Toc442192150"/>
      <w:bookmarkStart w:id="192" w:name="_Toc442192215"/>
      <w:r>
        <w:lastRenderedPageBreak/>
        <w:t>Acknowledgments</w:t>
      </w:r>
      <w:bookmarkEnd w:id="182"/>
      <w:bookmarkEnd w:id="183"/>
      <w:bookmarkEnd w:id="184"/>
      <w:bookmarkEnd w:id="185"/>
      <w:bookmarkEnd w:id="186"/>
      <w:bookmarkEnd w:id="187"/>
      <w:bookmarkEnd w:id="188"/>
      <w:bookmarkEnd w:id="189"/>
      <w:bookmarkEnd w:id="190"/>
      <w:bookmarkEnd w:id="191"/>
      <w:bookmarkEnd w:id="192"/>
    </w:p>
    <w:p w:rsidR="00F974D7" w:rsidRDefault="00F974D7" w:rsidP="00F974D7">
      <w:pPr>
        <w:pStyle w:val="NoSpacing"/>
      </w:pPr>
    </w:p>
    <w:p w:rsidR="00F974D7" w:rsidRDefault="00F974D7" w:rsidP="00F974D7">
      <w:r>
        <w:t>We appreciate the ready co-operation extended to the Commission and its staff during this update</w:t>
      </w:r>
      <w:r w:rsidR="00296A3D">
        <w:t xml:space="preserve"> </w:t>
      </w:r>
      <w:r>
        <w:t>by Australian, State and Territory Treasury officers and by staff of Commonwealth and other agencies.</w:t>
      </w:r>
    </w:p>
    <w:p w:rsidR="00F974D7" w:rsidRDefault="00F974D7" w:rsidP="00FF193D">
      <w:pPr>
        <w:pStyle w:val="NoSpacing"/>
      </w:pPr>
    </w:p>
    <w:p w:rsidR="00F974D7" w:rsidRDefault="00F974D7" w:rsidP="00F974D7">
      <w:pPr>
        <w:sectPr w:rsidR="00F974D7" w:rsidSect="001E3FFA">
          <w:headerReference w:type="default" r:id="rId24"/>
          <w:pgSz w:w="11899" w:h="16838" w:code="9"/>
          <w:pgMar w:top="1701" w:right="1474" w:bottom="1701" w:left="1474" w:header="709" w:footer="709" w:gutter="0"/>
          <w:pgNumType w:fmt="lowerRoman"/>
          <w:cols w:space="708"/>
          <w:docGrid w:linePitch="326"/>
        </w:sectPr>
      </w:pPr>
      <w:r>
        <w:t>We also acknowledge the commitment and capable contribution by staff of the Commission.</w:t>
      </w:r>
    </w:p>
    <w:p w:rsidR="006C44A8" w:rsidRDefault="007F176A" w:rsidP="00BF7FBF">
      <w:pPr>
        <w:pStyle w:val="H1notoc"/>
        <w:spacing w:before="360"/>
      </w:pPr>
      <w:bookmarkStart w:id="193" w:name="_Toc428353471"/>
      <w:bookmarkStart w:id="194" w:name="_Toc428354218"/>
      <w:bookmarkStart w:id="195" w:name="_Toc428435381"/>
      <w:bookmarkStart w:id="196" w:name="_Toc428435620"/>
      <w:bookmarkStart w:id="197" w:name="_Toc428435782"/>
      <w:bookmarkStart w:id="198" w:name="_Toc428435866"/>
      <w:bookmarkStart w:id="199" w:name="_Toc428803210"/>
      <w:bookmarkStart w:id="200" w:name="_Toc430166074"/>
      <w:bookmarkStart w:id="201" w:name="_Toc442192086"/>
      <w:bookmarkStart w:id="202" w:name="_Toc442192151"/>
      <w:bookmarkStart w:id="203" w:name="_Toc442192216"/>
      <w:r>
        <w:lastRenderedPageBreak/>
        <w:t>Terms of r</w:t>
      </w:r>
      <w:r w:rsidR="00F974D7">
        <w:t>eference</w:t>
      </w:r>
      <w:bookmarkEnd w:id="193"/>
      <w:bookmarkEnd w:id="194"/>
      <w:bookmarkEnd w:id="195"/>
      <w:bookmarkEnd w:id="196"/>
      <w:bookmarkEnd w:id="197"/>
      <w:bookmarkEnd w:id="198"/>
      <w:bookmarkEnd w:id="199"/>
      <w:bookmarkEnd w:id="200"/>
      <w:bookmarkEnd w:id="201"/>
      <w:bookmarkEnd w:id="202"/>
      <w:bookmarkEnd w:id="203"/>
    </w:p>
    <w:p w:rsidR="00F974D7" w:rsidRDefault="00BF7FBF" w:rsidP="00F974D7">
      <w:pPr>
        <w:pStyle w:val="NoSpacing"/>
      </w:pPr>
      <w:r>
        <w:rPr>
          <w:noProof/>
          <w:lang w:eastAsia="en-AU"/>
        </w:rPr>
        <w:drawing>
          <wp:inline distT="0" distB="0" distL="0" distR="0" wp14:anchorId="09763BF9" wp14:editId="17E77868">
            <wp:extent cx="5756266" cy="7913915"/>
            <wp:effectExtent l="0" t="0" r="0" b="0"/>
            <wp:docPr id="7" name="Picture 7" descr="Mr Greg Smith Chairperson&#10;Commonwealth Grants Commission Second Floor,  Phoenix  House&#10;86-88 Northbourne Ave&#10;BRADDON  ACT 2612&#10;&#10;Dear Mr Smith&#10;&#10;I am writing to you to convey the enclosed terms of reference for the Commonwealth Grants Commission's 2016 Update of GST Revenue Sharing Relativities (2016 Update Report). I apologise for the delay in providing them to you.&#10;&#10;The terms of reference require the Commission to report by 7 April 2016, with an advance copy of the report to be provided to the Commonwealth and the States and Territories, under embargo, by 1 April 2016. I also ask that you make the report publicly available on 7 April 2016.&#10;&#10;I appreciate your assistance in this matter.&#10;&#10;Yours sincerely&#10;The Hon Scott Morrison MP&#10;31/3/20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6265" cy="7913914"/>
                    </a:xfrm>
                    <a:prstGeom prst="rect">
                      <a:avLst/>
                    </a:prstGeom>
                    <a:noFill/>
                    <a:ln>
                      <a:noFill/>
                    </a:ln>
                  </pic:spPr>
                </pic:pic>
              </a:graphicData>
            </a:graphic>
          </wp:inline>
        </w:drawing>
      </w:r>
    </w:p>
    <w:p w:rsidR="00F974D7" w:rsidRDefault="00F974D7" w:rsidP="00F974D7">
      <w:pPr>
        <w:pStyle w:val="NoSpacing"/>
        <w:sectPr w:rsidR="00F974D7" w:rsidSect="001E3FFA">
          <w:pgSz w:w="11899" w:h="16838" w:code="9"/>
          <w:pgMar w:top="1701" w:right="1474" w:bottom="1701" w:left="1474" w:header="709" w:footer="709" w:gutter="0"/>
          <w:pgNumType w:fmt="lowerRoman"/>
          <w:cols w:space="708"/>
          <w:docGrid w:linePitch="326"/>
        </w:sectPr>
      </w:pPr>
    </w:p>
    <w:p w:rsidR="00BF7FBF" w:rsidRDefault="00BF7FBF">
      <w:pPr>
        <w:tabs>
          <w:tab w:val="clear" w:pos="567"/>
        </w:tabs>
        <w:spacing w:after="200" w:line="276" w:lineRule="auto"/>
      </w:pPr>
      <w:bookmarkStart w:id="204" w:name="_Toc428353472"/>
      <w:bookmarkStart w:id="205" w:name="_Toc428354219"/>
      <w:bookmarkStart w:id="206" w:name="_Toc428435382"/>
      <w:bookmarkStart w:id="207" w:name="_Toc428435621"/>
      <w:bookmarkStart w:id="208" w:name="_Toc428435783"/>
      <w:bookmarkStart w:id="209" w:name="_Toc428435867"/>
      <w:bookmarkStart w:id="210" w:name="_Toc428803211"/>
      <w:bookmarkStart w:id="211" w:name="_Toc430166075"/>
      <w:bookmarkStart w:id="212" w:name="_Toc432499602"/>
      <w:r>
        <w:rPr>
          <w:noProof/>
          <w:lang w:eastAsia="en-AU"/>
        </w:rPr>
        <w:lastRenderedPageBreak/>
        <w:drawing>
          <wp:inline distT="0" distB="0" distL="0" distR="0">
            <wp:extent cx="5683885" cy="7199240"/>
            <wp:effectExtent l="0" t="0" r="0" b="1905"/>
            <wp:docPr id="8" name="Picture 8" descr="Terms of Reference for the 2016 Update of GST Revenue Sharing Relativities&#10;&#10;COMMONWEALTH GRANTS COMMISSION ACT 1973&#10;&#10;I, Scott John Morrison, Treasurer, pursuant to sections 16, 16A and 16AA of theCommonwealth Grants Commission Act 1973, refer to the Commission for inquiry into and report upon, by 7 April 2016, the question of the per capita relativities to be used to distribute GST revenue among the States, the Northern Territory and the Australian Capital Territory (collectively referred to as the States) in 2016-17. The Commission should provide an advance copy of its report, under embargo, to the Commonwealth and the State Treasuries by 1 April 2016.&#10;&#10;2. The Commission should provide per capita relativities for determining the distribution of GST payments.&#10;&#10;3. The Commission's assessments of per capita relativities should be based on the review period 2012-13 to 2014-15 inclusive. Where possible, the Commission should use the latest available data.&#10;&#10;4. Subject to paragraphs 7 to 10, the Commission's assessments should reflect the underlying principle of horizontal fiscal equalisation.&#10;&#10;5. Subject to paragraphs 7 to 11, the Commission's assessments should be based on the application of the same principles, categories and methods of assessment that the Commission used to calculate the per capita relativities in its Report on GST Revenue Sharing Relativities –   2015 Review.&#10;&#10;6. The Commission’s assessment should take into account the Intergovernmental Agreement on Federal Financial Relations (as amended).&#10;&#10;7. The Commission should prepare its assessments on the basis that:&#10;&#10;(a) National SPPs, National Health Reform (NHR) funding and National Partnership project payments should affect the relativities, recognising that these payments provide the States and Territories with budget support for providing standard state and territory services;&#10;&#10;i. NHR funding and corresponding expenditure relating to the provision of cross-border services to the residents of other States should be allocated to States on the basis of residence.&#10;&#10;(b) National Partnership facilitation and incentive (reward) payments should not affect the relativities, so that any benefit to a State or Territory from achieving specified outputs sought by the Commonwealth, or through implementing reforms, will not be redistributed to other States or Territories through the horizontal fiscal equalisation process; and&#10;&#10;(c) general revenue assistance, excluding GST payments, will affect the relativities, recognising that these payments are available to provide untied general budget support to a State or Territo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83885" cy="7199240"/>
                    </a:xfrm>
                    <a:prstGeom prst="rect">
                      <a:avLst/>
                    </a:prstGeom>
                    <a:noFill/>
                    <a:ln>
                      <a:noFill/>
                    </a:ln>
                  </pic:spPr>
                </pic:pic>
              </a:graphicData>
            </a:graphic>
          </wp:inline>
        </w:drawing>
      </w:r>
      <w:r>
        <w:br w:type="page"/>
      </w:r>
    </w:p>
    <w:p w:rsidR="00EE2714" w:rsidRPr="00BF7FBF" w:rsidRDefault="00BF7FBF">
      <w:pPr>
        <w:tabs>
          <w:tab w:val="clear" w:pos="567"/>
        </w:tabs>
        <w:spacing w:after="200" w:line="276" w:lineRule="auto"/>
      </w:pPr>
      <w:r>
        <w:rPr>
          <w:noProof/>
          <w:lang w:eastAsia="en-AU"/>
        </w:rPr>
        <w:lastRenderedPageBreak/>
        <w:drawing>
          <wp:inline distT="0" distB="0" distL="0" distR="0">
            <wp:extent cx="5683885" cy="6922902"/>
            <wp:effectExtent l="0" t="0" r="0" b="0"/>
            <wp:docPr id="10" name="Picture 10" descr="8. Notwithstanding sub-paragraphs 7(a) through (c), the Commission may determine that it is appropriate for particular payments to be treated differently, reflecting the nature of the particular payment and the role of State governments in providing particular services.&#10;&#10;9. The Commission should prepare its assessment on a basis consistent with the Commonwealth's intention that the following payments should not directly influence the per capita relativities:&#10;&#10;(a) Reward payments made under National Partnership Agreements;&#10;&#10;(b) National partnership payments for Northern Territory Remote Aboriginal Investment;&#10;&#10;(c) Payments relating to the National Partnership for Western Australia infrastructure projects; and&#10;&#10;(d) Payments relating to the Royal Victorian Eye and Ear Hospital Redevelopment.&#10;&#10;10. The Commission should also ensure that those payments which it has previously been directed to treat so they had no direct influence on the relativities, including payments for which the Commission has been directed to apply a 50 per cent discount, continue to be treated in that way. Where those payments are replaced, the treatment of the new payment should be guided by paragraphs 7 and 8 above, unless otherwise directed.&#10;&#10;11. If data problems necessitate changes, the Commission should proceed on the basis that:&#10;&#10;(a) new, more reliable data would be used in the first possible update, if method changes were not required; or&#10;&#10;(b) if overcoming the data problems necessitated method changes, revised methods would be used in the first possible update, subject to consultation with States during that update.&#10;&#10;12. The Commission should consult the Australian Government and the States before deciding on any changes in methods that arise as a result of a significant change in arrangements which govern Commonwealth-State relations and which are considered appropriate for the Commission to fulfil its obligations in respect of these terms of reference.&#10;&#10;13. To the extent possible, the Commission should, upon reporting, provide all parties with details underpinning its calculations and assessments, and endeavour to meet requests for supplementary calculations.&#10;&#10;SCOTT JOHN MORRIS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3885" cy="6922902"/>
                    </a:xfrm>
                    <a:prstGeom prst="rect">
                      <a:avLst/>
                    </a:prstGeom>
                    <a:noFill/>
                    <a:ln>
                      <a:noFill/>
                    </a:ln>
                  </pic:spPr>
                </pic:pic>
              </a:graphicData>
            </a:graphic>
          </wp:inline>
        </w:drawing>
      </w:r>
      <w:bookmarkStart w:id="213" w:name="_GoBack"/>
      <w:bookmarkEnd w:id="213"/>
      <w:r w:rsidR="00EE2714">
        <w:br w:type="page"/>
      </w:r>
    </w:p>
    <w:p w:rsidR="00F90B83" w:rsidRDefault="00F90B83" w:rsidP="007B0C97">
      <w:pPr>
        <w:pStyle w:val="H1notoc"/>
      </w:pPr>
      <w:bookmarkStart w:id="214" w:name="_Toc442192087"/>
      <w:bookmarkStart w:id="215" w:name="_Toc442192152"/>
      <w:bookmarkStart w:id="216" w:name="_Toc442192217"/>
      <w:r>
        <w:lastRenderedPageBreak/>
        <w:t>The Task</w:t>
      </w:r>
      <w:bookmarkEnd w:id="214"/>
      <w:bookmarkEnd w:id="215"/>
      <w:bookmarkEnd w:id="216"/>
    </w:p>
    <w:p w:rsidR="00F90B83" w:rsidRPr="00F90B83" w:rsidRDefault="00F90B83" w:rsidP="00F90B83">
      <w:pPr>
        <w:pStyle w:val="NoSpacing"/>
      </w:pPr>
    </w:p>
    <w:tbl>
      <w:tblPr>
        <w:tblStyle w:val="TableGrid"/>
        <w:tblW w:w="0" w:type="auto"/>
        <w:tblLook w:val="04A0" w:firstRow="1" w:lastRow="0" w:firstColumn="1" w:lastColumn="0" w:noHBand="0" w:noVBand="1"/>
      </w:tblPr>
      <w:tblGrid>
        <w:gridCol w:w="9167"/>
      </w:tblGrid>
      <w:tr w:rsidR="00F90B83" w:rsidTr="00E57C03">
        <w:tc>
          <w:tcPr>
            <w:tcW w:w="9374" w:type="dxa"/>
            <w:tcBorders>
              <w:top w:val="nil"/>
              <w:left w:val="nil"/>
              <w:bottom w:val="nil"/>
              <w:right w:val="nil"/>
            </w:tcBorders>
            <w:shd w:val="clear" w:color="auto" w:fill="D9F3E6"/>
          </w:tcPr>
          <w:p w:rsidR="00F90B83" w:rsidRPr="00ED1C91" w:rsidRDefault="00F90B83" w:rsidP="00E57C03">
            <w:pPr>
              <w:rPr>
                <w:szCs w:val="24"/>
              </w:rPr>
            </w:pPr>
            <w:r w:rsidRPr="00ED1C91">
              <w:rPr>
                <w:szCs w:val="24"/>
              </w:rPr>
              <w:t>This report contains the Commission’s response to the terms of reference for the 2016</w:t>
            </w:r>
            <w:r w:rsidR="00ED1C91">
              <w:rPr>
                <w:szCs w:val="24"/>
              </w:rPr>
              <w:t> </w:t>
            </w:r>
            <w:r w:rsidRPr="00ED1C91">
              <w:rPr>
                <w:szCs w:val="24"/>
              </w:rPr>
              <w:t xml:space="preserve">Update received from the Commonwealth Treasurer on </w:t>
            </w:r>
            <w:r w:rsidR="000935FE">
              <w:rPr>
                <w:szCs w:val="24"/>
              </w:rPr>
              <w:t>31 March</w:t>
            </w:r>
            <w:r w:rsidRPr="00ED1C91">
              <w:rPr>
                <w:szCs w:val="24"/>
              </w:rPr>
              <w:t xml:space="preserve"> 201</w:t>
            </w:r>
            <w:r w:rsidR="00350E23" w:rsidRPr="00ED1C91">
              <w:rPr>
                <w:szCs w:val="24"/>
              </w:rPr>
              <w:t>6</w:t>
            </w:r>
            <w:r w:rsidRPr="00ED1C91">
              <w:rPr>
                <w:szCs w:val="24"/>
              </w:rPr>
              <w:t xml:space="preserve">. </w:t>
            </w:r>
          </w:p>
          <w:p w:rsidR="00F90B83" w:rsidRPr="00ED1C91" w:rsidRDefault="00F90B83" w:rsidP="00E57C03">
            <w:pPr>
              <w:rPr>
                <w:szCs w:val="24"/>
              </w:rPr>
            </w:pPr>
            <w:r w:rsidRPr="00ED1C91">
              <w:rPr>
                <w:szCs w:val="24"/>
              </w:rPr>
              <w:t xml:space="preserve">The Commission has been asked in </w:t>
            </w:r>
            <w:r w:rsidR="008F00A3">
              <w:rPr>
                <w:szCs w:val="24"/>
              </w:rPr>
              <w:t xml:space="preserve">the </w:t>
            </w:r>
            <w:r w:rsidRPr="00ED1C91">
              <w:rPr>
                <w:szCs w:val="24"/>
              </w:rPr>
              <w:t>terms of reference to</w:t>
            </w:r>
            <w:r w:rsidR="00B35D5D" w:rsidRPr="00ED1C91">
              <w:rPr>
                <w:szCs w:val="24"/>
              </w:rPr>
              <w:t xml:space="preserve"> advise how GST (Goods and Services T</w:t>
            </w:r>
            <w:r w:rsidRPr="00ED1C91">
              <w:rPr>
                <w:szCs w:val="24"/>
              </w:rPr>
              <w:t xml:space="preserve">ax) revenue should be distributed </w:t>
            </w:r>
            <w:r w:rsidR="00680148" w:rsidRPr="00ED1C91">
              <w:rPr>
                <w:szCs w:val="24"/>
              </w:rPr>
              <w:t xml:space="preserve">among the States </w:t>
            </w:r>
            <w:r w:rsidRPr="00ED1C91">
              <w:rPr>
                <w:szCs w:val="24"/>
              </w:rPr>
              <w:t>in 2016</w:t>
            </w:r>
            <w:r w:rsidRPr="00ED1C91">
              <w:rPr>
                <w:szCs w:val="24"/>
              </w:rPr>
              <w:noBreakHyphen/>
              <w:t>17. As directed in the terms of reference we have:</w:t>
            </w:r>
          </w:p>
          <w:p w:rsidR="00F90B83" w:rsidRPr="00ED1C91" w:rsidRDefault="00F90B83" w:rsidP="00E57C03">
            <w:pPr>
              <w:pStyle w:val="CGCBulletlist"/>
              <w:rPr>
                <w:szCs w:val="24"/>
              </w:rPr>
            </w:pPr>
            <w:r w:rsidRPr="00ED1C91">
              <w:rPr>
                <w:szCs w:val="24"/>
              </w:rPr>
              <w:t>used the same principles and methods developed in the 2015 Review</w:t>
            </w:r>
          </w:p>
          <w:p w:rsidR="00F90B83" w:rsidRPr="00ED1C91" w:rsidRDefault="00F90B83" w:rsidP="00E57C03">
            <w:pPr>
              <w:pStyle w:val="CGCBulletlist"/>
              <w:rPr>
                <w:szCs w:val="24"/>
              </w:rPr>
            </w:pPr>
            <w:r w:rsidRPr="00ED1C91">
              <w:rPr>
                <w:szCs w:val="24"/>
              </w:rPr>
              <w:t>used the latest available reliable data for 2012</w:t>
            </w:r>
            <w:r w:rsidR="00173F5B" w:rsidRPr="00ED1C91">
              <w:rPr>
                <w:szCs w:val="24"/>
              </w:rPr>
              <w:noBreakHyphen/>
            </w:r>
            <w:r w:rsidRPr="00ED1C91">
              <w:rPr>
                <w:szCs w:val="24"/>
              </w:rPr>
              <w:t>13 to 2014</w:t>
            </w:r>
            <w:r w:rsidR="00173F5B" w:rsidRPr="00ED1C91">
              <w:rPr>
                <w:szCs w:val="24"/>
              </w:rPr>
              <w:noBreakHyphen/>
            </w:r>
            <w:r w:rsidRPr="00ED1C91">
              <w:rPr>
                <w:szCs w:val="24"/>
              </w:rPr>
              <w:t>15</w:t>
            </w:r>
          </w:p>
          <w:p w:rsidR="00F90B83" w:rsidRPr="00ED1C91" w:rsidRDefault="00F90B83" w:rsidP="00E57C03">
            <w:pPr>
              <w:pStyle w:val="CGCBulletlist"/>
              <w:rPr>
                <w:szCs w:val="24"/>
              </w:rPr>
            </w:pPr>
            <w:proofErr w:type="gramStart"/>
            <w:r w:rsidRPr="00ED1C91">
              <w:rPr>
                <w:szCs w:val="24"/>
              </w:rPr>
              <w:t>followed</w:t>
            </w:r>
            <w:proofErr w:type="gramEnd"/>
            <w:r w:rsidRPr="00ED1C91">
              <w:rPr>
                <w:szCs w:val="24"/>
              </w:rPr>
              <w:t xml:space="preserve"> the guidance on the treatment of Commonwealth payments and direction on how some payments should be treated. </w:t>
            </w:r>
          </w:p>
          <w:p w:rsidR="00F90B83" w:rsidRDefault="00F90B83" w:rsidP="003B28AD">
            <w:r w:rsidRPr="00ED1C91">
              <w:rPr>
                <w:szCs w:val="24"/>
              </w:rPr>
              <w:t xml:space="preserve">Details of the Commission’s task are in Chapter 1 of the </w:t>
            </w:r>
            <w:r w:rsidRPr="00ED1C91">
              <w:rPr>
                <w:i/>
                <w:szCs w:val="24"/>
              </w:rPr>
              <w:t>Report on GST Sharing Relativities, 2015 Review, Volume 1</w:t>
            </w:r>
            <w:r w:rsidRPr="00ED1C91">
              <w:rPr>
                <w:szCs w:val="24"/>
              </w:rPr>
              <w:t xml:space="preserve"> and the principles used in undertakin</w:t>
            </w:r>
            <w:r w:rsidR="00EE2714" w:rsidRPr="00ED1C91">
              <w:rPr>
                <w:szCs w:val="24"/>
              </w:rPr>
              <w:t>g it are in Chapter 1 of Volume </w:t>
            </w:r>
            <w:r w:rsidRPr="00ED1C91">
              <w:rPr>
                <w:szCs w:val="24"/>
              </w:rPr>
              <w:t xml:space="preserve">2 in the same report. These documents are available on the </w:t>
            </w:r>
            <w:hyperlink r:id="rId28" w:history="1">
              <w:r w:rsidRPr="0047639F">
                <w:rPr>
                  <w:rStyle w:val="Hyperlink"/>
                  <w:szCs w:val="24"/>
                </w:rPr>
                <w:t>Commission’s website</w:t>
              </w:r>
            </w:hyperlink>
            <w:r w:rsidR="0047639F">
              <w:rPr>
                <w:szCs w:val="24"/>
              </w:rPr>
              <w:t xml:space="preserve"> (www.cgc.gov.au)</w:t>
            </w:r>
            <w:r w:rsidRPr="00ED1C91">
              <w:rPr>
                <w:szCs w:val="24"/>
              </w:rPr>
              <w:t>.</w:t>
            </w:r>
            <w:r w:rsidR="003740BF" w:rsidRPr="00ED1C91">
              <w:rPr>
                <w:szCs w:val="24"/>
              </w:rPr>
              <w:t xml:space="preserve"> An overview of the Commission’s update processes is also available on the website.</w:t>
            </w:r>
          </w:p>
        </w:tc>
      </w:tr>
    </w:tbl>
    <w:p w:rsidR="003802A7" w:rsidRDefault="003802A7" w:rsidP="00F90B83">
      <w:r>
        <w:br w:type="page"/>
      </w:r>
    </w:p>
    <w:bookmarkEnd w:id="204"/>
    <w:bookmarkEnd w:id="205"/>
    <w:bookmarkEnd w:id="206"/>
    <w:bookmarkEnd w:id="207"/>
    <w:bookmarkEnd w:id="208"/>
    <w:bookmarkEnd w:id="209"/>
    <w:bookmarkEnd w:id="210"/>
    <w:bookmarkEnd w:id="211"/>
    <w:bookmarkEnd w:id="212"/>
    <w:p w:rsidR="00B373D9" w:rsidRDefault="00B373D9" w:rsidP="00B373D9">
      <w:pPr>
        <w:pStyle w:val="H1notoc"/>
      </w:pPr>
      <w:r>
        <w:lastRenderedPageBreak/>
        <w:t>Contents</w:t>
      </w:r>
    </w:p>
    <w:p w:rsidR="0064057B" w:rsidRPr="0064057B" w:rsidRDefault="0064057B" w:rsidP="0064057B">
      <w:pPr>
        <w:pStyle w:val="Default"/>
      </w:pPr>
    </w:p>
    <w:p w:rsidR="005E359D" w:rsidRDefault="005E359D">
      <w:pPr>
        <w:pStyle w:val="TOC1"/>
        <w:tabs>
          <w:tab w:val="right" w:pos="8941"/>
        </w:tabs>
        <w:rPr>
          <w:rFonts w:eastAsiaTheme="minorEastAsia"/>
          <w:b w:val="0"/>
          <w:bCs w:val="0"/>
          <w:caps w:val="0"/>
          <w:noProof/>
          <w:sz w:val="22"/>
          <w:szCs w:val="22"/>
          <w:lang w:eastAsia="en-AU"/>
        </w:rPr>
      </w:pPr>
      <w:r>
        <w:rPr>
          <w:b w:val="0"/>
          <w:bCs w:val="0"/>
          <w:caps w:val="0"/>
        </w:rPr>
        <w:fldChar w:fldCharType="begin"/>
      </w:r>
      <w:r>
        <w:rPr>
          <w:b w:val="0"/>
          <w:bCs w:val="0"/>
          <w:caps w:val="0"/>
        </w:rPr>
        <w:instrText xml:space="preserve"> TOC \o "1-5" \h \z \u </w:instrText>
      </w:r>
      <w:r>
        <w:rPr>
          <w:b w:val="0"/>
          <w:bCs w:val="0"/>
          <w:caps w:val="0"/>
        </w:rPr>
        <w:fldChar w:fldCharType="separate"/>
      </w:r>
      <w:hyperlink w:anchor="_Toc442949117" w:history="1">
        <w:r w:rsidRPr="00F54151">
          <w:rPr>
            <w:rStyle w:val="Hyperlink"/>
            <w:noProof/>
          </w:rPr>
          <w:t>Overview</w:t>
        </w:r>
        <w:r>
          <w:rPr>
            <w:noProof/>
            <w:webHidden/>
          </w:rPr>
          <w:tab/>
        </w:r>
        <w:r>
          <w:rPr>
            <w:noProof/>
            <w:webHidden/>
          </w:rPr>
          <w:fldChar w:fldCharType="begin"/>
        </w:r>
        <w:r>
          <w:rPr>
            <w:noProof/>
            <w:webHidden/>
          </w:rPr>
          <w:instrText xml:space="preserve"> PAGEREF _Toc442949117 \h </w:instrText>
        </w:r>
        <w:r>
          <w:rPr>
            <w:noProof/>
            <w:webHidden/>
          </w:rPr>
        </w:r>
        <w:r>
          <w:rPr>
            <w:noProof/>
            <w:webHidden/>
          </w:rPr>
          <w:fldChar w:fldCharType="separate"/>
        </w:r>
        <w:r w:rsidR="007A6AF0">
          <w:rPr>
            <w:noProof/>
            <w:webHidden/>
          </w:rPr>
          <w:t>1</w:t>
        </w:r>
        <w:r>
          <w:rPr>
            <w:noProof/>
            <w:webHidden/>
          </w:rPr>
          <w:fldChar w:fldCharType="end"/>
        </w:r>
      </w:hyperlink>
    </w:p>
    <w:p w:rsidR="005E359D" w:rsidRDefault="0014378B">
      <w:pPr>
        <w:pStyle w:val="TOC3"/>
        <w:rPr>
          <w:rFonts w:eastAsiaTheme="minorEastAsia"/>
          <w:noProof/>
          <w:sz w:val="22"/>
          <w:szCs w:val="22"/>
          <w:lang w:eastAsia="en-AU"/>
        </w:rPr>
      </w:pPr>
      <w:hyperlink w:anchor="_Toc442949118" w:history="1">
        <w:r w:rsidR="005E359D" w:rsidRPr="00F54151">
          <w:rPr>
            <w:rStyle w:val="Hyperlink"/>
            <w:noProof/>
          </w:rPr>
          <w:t>Executive summary</w:t>
        </w:r>
        <w:r w:rsidR="005E359D">
          <w:rPr>
            <w:noProof/>
            <w:webHidden/>
          </w:rPr>
          <w:tab/>
        </w:r>
        <w:r w:rsidR="005E359D">
          <w:rPr>
            <w:noProof/>
            <w:webHidden/>
          </w:rPr>
          <w:fldChar w:fldCharType="begin"/>
        </w:r>
        <w:r w:rsidR="005E359D">
          <w:rPr>
            <w:noProof/>
            <w:webHidden/>
          </w:rPr>
          <w:instrText xml:space="preserve"> PAGEREF _Toc442949118 \h </w:instrText>
        </w:r>
        <w:r w:rsidR="005E359D">
          <w:rPr>
            <w:noProof/>
            <w:webHidden/>
          </w:rPr>
        </w:r>
        <w:r w:rsidR="005E359D">
          <w:rPr>
            <w:noProof/>
            <w:webHidden/>
          </w:rPr>
          <w:fldChar w:fldCharType="separate"/>
        </w:r>
        <w:r w:rsidR="007A6AF0">
          <w:rPr>
            <w:noProof/>
            <w:webHidden/>
          </w:rPr>
          <w:t>1</w:t>
        </w:r>
        <w:r w:rsidR="005E359D">
          <w:rPr>
            <w:noProof/>
            <w:webHidden/>
          </w:rPr>
          <w:fldChar w:fldCharType="end"/>
        </w:r>
      </w:hyperlink>
    </w:p>
    <w:p w:rsidR="005E359D" w:rsidRDefault="0014378B">
      <w:pPr>
        <w:pStyle w:val="TOC3"/>
        <w:rPr>
          <w:rFonts w:eastAsiaTheme="minorEastAsia"/>
          <w:noProof/>
          <w:sz w:val="22"/>
          <w:szCs w:val="22"/>
          <w:lang w:eastAsia="en-AU"/>
        </w:rPr>
      </w:pPr>
      <w:hyperlink w:anchor="_Toc442949119" w:history="1">
        <w:r w:rsidR="005E359D" w:rsidRPr="00F54151">
          <w:rPr>
            <w:rStyle w:val="Hyperlink"/>
            <w:noProof/>
          </w:rPr>
          <w:t>Recommended GST distribution</w:t>
        </w:r>
        <w:r w:rsidR="005E359D">
          <w:rPr>
            <w:noProof/>
            <w:webHidden/>
          </w:rPr>
          <w:tab/>
        </w:r>
        <w:r w:rsidR="005E359D">
          <w:rPr>
            <w:noProof/>
            <w:webHidden/>
          </w:rPr>
          <w:fldChar w:fldCharType="begin"/>
        </w:r>
        <w:r w:rsidR="005E359D">
          <w:rPr>
            <w:noProof/>
            <w:webHidden/>
          </w:rPr>
          <w:instrText xml:space="preserve"> PAGEREF _Toc442949119 \h </w:instrText>
        </w:r>
        <w:r w:rsidR="005E359D">
          <w:rPr>
            <w:noProof/>
            <w:webHidden/>
          </w:rPr>
        </w:r>
        <w:r w:rsidR="005E359D">
          <w:rPr>
            <w:noProof/>
            <w:webHidden/>
          </w:rPr>
          <w:fldChar w:fldCharType="separate"/>
        </w:r>
        <w:r w:rsidR="007A6AF0">
          <w:rPr>
            <w:noProof/>
            <w:webHidden/>
          </w:rPr>
          <w:t>2</w:t>
        </w:r>
        <w:r w:rsidR="005E359D">
          <w:rPr>
            <w:noProof/>
            <w:webHidden/>
          </w:rPr>
          <w:fldChar w:fldCharType="end"/>
        </w:r>
      </w:hyperlink>
    </w:p>
    <w:p w:rsidR="005E359D" w:rsidRDefault="0014378B">
      <w:pPr>
        <w:pStyle w:val="TOC3"/>
        <w:rPr>
          <w:rFonts w:eastAsiaTheme="minorEastAsia"/>
          <w:noProof/>
          <w:sz w:val="22"/>
          <w:szCs w:val="22"/>
          <w:lang w:eastAsia="en-AU"/>
        </w:rPr>
      </w:pPr>
      <w:hyperlink w:anchor="_Toc442949120" w:history="1">
        <w:r w:rsidR="005E359D" w:rsidRPr="00F54151">
          <w:rPr>
            <w:rStyle w:val="Hyperlink"/>
            <w:noProof/>
          </w:rPr>
          <w:t>Illustrative GST distribution</w:t>
        </w:r>
        <w:r w:rsidR="005E359D">
          <w:rPr>
            <w:noProof/>
            <w:webHidden/>
          </w:rPr>
          <w:tab/>
        </w:r>
        <w:r w:rsidR="005E359D">
          <w:rPr>
            <w:noProof/>
            <w:webHidden/>
          </w:rPr>
          <w:fldChar w:fldCharType="begin"/>
        </w:r>
        <w:r w:rsidR="005E359D">
          <w:rPr>
            <w:noProof/>
            <w:webHidden/>
          </w:rPr>
          <w:instrText xml:space="preserve"> PAGEREF _Toc442949120 \h </w:instrText>
        </w:r>
        <w:r w:rsidR="005E359D">
          <w:rPr>
            <w:noProof/>
            <w:webHidden/>
          </w:rPr>
        </w:r>
        <w:r w:rsidR="005E359D">
          <w:rPr>
            <w:noProof/>
            <w:webHidden/>
          </w:rPr>
          <w:fldChar w:fldCharType="separate"/>
        </w:r>
        <w:r w:rsidR="007A6AF0">
          <w:rPr>
            <w:noProof/>
            <w:webHidden/>
          </w:rPr>
          <w:t>2</w:t>
        </w:r>
        <w:r w:rsidR="005E359D">
          <w:rPr>
            <w:noProof/>
            <w:webHidden/>
          </w:rPr>
          <w:fldChar w:fldCharType="end"/>
        </w:r>
      </w:hyperlink>
    </w:p>
    <w:p w:rsidR="005E359D" w:rsidRDefault="0014378B">
      <w:pPr>
        <w:pStyle w:val="TOC3"/>
        <w:rPr>
          <w:rFonts w:eastAsiaTheme="minorEastAsia"/>
          <w:noProof/>
          <w:sz w:val="22"/>
          <w:szCs w:val="22"/>
          <w:lang w:eastAsia="en-AU"/>
        </w:rPr>
      </w:pPr>
      <w:hyperlink w:anchor="_Toc442949121" w:history="1">
        <w:r w:rsidR="005E359D" w:rsidRPr="00F54151">
          <w:rPr>
            <w:rStyle w:val="Hyperlink"/>
            <w:noProof/>
          </w:rPr>
          <w:t>Why State fiscal capacities have changed</w:t>
        </w:r>
        <w:r w:rsidR="005E359D">
          <w:rPr>
            <w:noProof/>
            <w:webHidden/>
          </w:rPr>
          <w:tab/>
        </w:r>
        <w:r w:rsidR="005E359D">
          <w:rPr>
            <w:noProof/>
            <w:webHidden/>
          </w:rPr>
          <w:fldChar w:fldCharType="begin"/>
        </w:r>
        <w:r w:rsidR="005E359D">
          <w:rPr>
            <w:noProof/>
            <w:webHidden/>
          </w:rPr>
          <w:instrText xml:space="preserve"> PAGEREF _Toc442949121 \h </w:instrText>
        </w:r>
        <w:r w:rsidR="005E359D">
          <w:rPr>
            <w:noProof/>
            <w:webHidden/>
          </w:rPr>
        </w:r>
        <w:r w:rsidR="005E359D">
          <w:rPr>
            <w:noProof/>
            <w:webHidden/>
          </w:rPr>
          <w:fldChar w:fldCharType="separate"/>
        </w:r>
        <w:r w:rsidR="007A6AF0">
          <w:rPr>
            <w:noProof/>
            <w:webHidden/>
          </w:rPr>
          <w:t>3</w:t>
        </w:r>
        <w:r w:rsidR="005E359D">
          <w:rPr>
            <w:noProof/>
            <w:webHidden/>
          </w:rPr>
          <w:fldChar w:fldCharType="end"/>
        </w:r>
      </w:hyperlink>
    </w:p>
    <w:p w:rsidR="005E359D" w:rsidRDefault="0014378B">
      <w:pPr>
        <w:pStyle w:val="TOC3"/>
        <w:rPr>
          <w:rFonts w:eastAsiaTheme="minorEastAsia"/>
          <w:noProof/>
          <w:sz w:val="22"/>
          <w:szCs w:val="22"/>
          <w:lang w:eastAsia="en-AU"/>
        </w:rPr>
      </w:pPr>
      <w:hyperlink w:anchor="_Toc442949127" w:history="1">
        <w:r w:rsidR="005E359D" w:rsidRPr="00F54151">
          <w:rPr>
            <w:rStyle w:val="Hyperlink"/>
            <w:noProof/>
          </w:rPr>
          <w:t>State by State changes since the 2015 Review</w:t>
        </w:r>
        <w:r w:rsidR="005E359D">
          <w:rPr>
            <w:noProof/>
            <w:webHidden/>
          </w:rPr>
          <w:tab/>
        </w:r>
        <w:r w:rsidR="005E359D">
          <w:rPr>
            <w:noProof/>
            <w:webHidden/>
          </w:rPr>
          <w:fldChar w:fldCharType="begin"/>
        </w:r>
        <w:r w:rsidR="005E359D">
          <w:rPr>
            <w:noProof/>
            <w:webHidden/>
          </w:rPr>
          <w:instrText xml:space="preserve"> PAGEREF _Toc442949127 \h </w:instrText>
        </w:r>
        <w:r w:rsidR="005E359D">
          <w:rPr>
            <w:noProof/>
            <w:webHidden/>
          </w:rPr>
        </w:r>
        <w:r w:rsidR="005E359D">
          <w:rPr>
            <w:noProof/>
            <w:webHidden/>
          </w:rPr>
          <w:fldChar w:fldCharType="separate"/>
        </w:r>
        <w:r w:rsidR="007A6AF0">
          <w:rPr>
            <w:noProof/>
            <w:webHidden/>
          </w:rPr>
          <w:t>5</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28" w:history="1">
        <w:r w:rsidR="005E359D" w:rsidRPr="00F54151">
          <w:rPr>
            <w:rStyle w:val="Hyperlink"/>
            <w:noProof/>
          </w:rPr>
          <w:t>New South Wales</w:t>
        </w:r>
        <w:r w:rsidR="005E359D">
          <w:rPr>
            <w:noProof/>
            <w:webHidden/>
          </w:rPr>
          <w:tab/>
        </w:r>
        <w:r w:rsidR="005E359D">
          <w:rPr>
            <w:noProof/>
            <w:webHidden/>
          </w:rPr>
          <w:fldChar w:fldCharType="begin"/>
        </w:r>
        <w:r w:rsidR="005E359D">
          <w:rPr>
            <w:noProof/>
            <w:webHidden/>
          </w:rPr>
          <w:instrText xml:space="preserve"> PAGEREF _Toc442949128 \h </w:instrText>
        </w:r>
        <w:r w:rsidR="005E359D">
          <w:rPr>
            <w:noProof/>
            <w:webHidden/>
          </w:rPr>
        </w:r>
        <w:r w:rsidR="005E359D">
          <w:rPr>
            <w:noProof/>
            <w:webHidden/>
          </w:rPr>
          <w:fldChar w:fldCharType="separate"/>
        </w:r>
        <w:r w:rsidR="007A6AF0">
          <w:rPr>
            <w:noProof/>
            <w:webHidden/>
          </w:rPr>
          <w:t>6</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29" w:history="1">
        <w:r w:rsidR="005E359D" w:rsidRPr="00F54151">
          <w:rPr>
            <w:rStyle w:val="Hyperlink"/>
            <w:noProof/>
          </w:rPr>
          <w:t>Victoria</w:t>
        </w:r>
        <w:r w:rsidR="005E359D">
          <w:rPr>
            <w:noProof/>
            <w:webHidden/>
          </w:rPr>
          <w:tab/>
        </w:r>
        <w:r w:rsidR="005E359D">
          <w:rPr>
            <w:noProof/>
            <w:webHidden/>
          </w:rPr>
          <w:fldChar w:fldCharType="begin"/>
        </w:r>
        <w:r w:rsidR="005E359D">
          <w:rPr>
            <w:noProof/>
            <w:webHidden/>
          </w:rPr>
          <w:instrText xml:space="preserve"> PAGEREF _Toc442949129 \h </w:instrText>
        </w:r>
        <w:r w:rsidR="005E359D">
          <w:rPr>
            <w:noProof/>
            <w:webHidden/>
          </w:rPr>
        </w:r>
        <w:r w:rsidR="005E359D">
          <w:rPr>
            <w:noProof/>
            <w:webHidden/>
          </w:rPr>
          <w:fldChar w:fldCharType="separate"/>
        </w:r>
        <w:r w:rsidR="007A6AF0">
          <w:rPr>
            <w:noProof/>
            <w:webHidden/>
          </w:rPr>
          <w:t>7</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30" w:history="1">
        <w:r w:rsidR="005E359D" w:rsidRPr="00F54151">
          <w:rPr>
            <w:rStyle w:val="Hyperlink"/>
            <w:noProof/>
          </w:rPr>
          <w:t>Queensland</w:t>
        </w:r>
        <w:r w:rsidR="005E359D">
          <w:rPr>
            <w:noProof/>
            <w:webHidden/>
          </w:rPr>
          <w:tab/>
        </w:r>
        <w:r w:rsidR="005E359D">
          <w:rPr>
            <w:noProof/>
            <w:webHidden/>
          </w:rPr>
          <w:fldChar w:fldCharType="begin"/>
        </w:r>
        <w:r w:rsidR="005E359D">
          <w:rPr>
            <w:noProof/>
            <w:webHidden/>
          </w:rPr>
          <w:instrText xml:space="preserve"> PAGEREF _Toc442949130 \h </w:instrText>
        </w:r>
        <w:r w:rsidR="005E359D">
          <w:rPr>
            <w:noProof/>
            <w:webHidden/>
          </w:rPr>
        </w:r>
        <w:r w:rsidR="005E359D">
          <w:rPr>
            <w:noProof/>
            <w:webHidden/>
          </w:rPr>
          <w:fldChar w:fldCharType="separate"/>
        </w:r>
        <w:r w:rsidR="007A6AF0">
          <w:rPr>
            <w:noProof/>
            <w:webHidden/>
          </w:rPr>
          <w:t>8</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31" w:history="1">
        <w:r w:rsidR="005E359D" w:rsidRPr="00F54151">
          <w:rPr>
            <w:rStyle w:val="Hyperlink"/>
            <w:noProof/>
          </w:rPr>
          <w:t>Western Australia</w:t>
        </w:r>
        <w:r w:rsidR="005E359D">
          <w:rPr>
            <w:noProof/>
            <w:webHidden/>
          </w:rPr>
          <w:tab/>
        </w:r>
        <w:r w:rsidR="005E359D">
          <w:rPr>
            <w:noProof/>
            <w:webHidden/>
          </w:rPr>
          <w:fldChar w:fldCharType="begin"/>
        </w:r>
        <w:r w:rsidR="005E359D">
          <w:rPr>
            <w:noProof/>
            <w:webHidden/>
          </w:rPr>
          <w:instrText xml:space="preserve"> PAGEREF _Toc442949131 \h </w:instrText>
        </w:r>
        <w:r w:rsidR="005E359D">
          <w:rPr>
            <w:noProof/>
            <w:webHidden/>
          </w:rPr>
        </w:r>
        <w:r w:rsidR="005E359D">
          <w:rPr>
            <w:noProof/>
            <w:webHidden/>
          </w:rPr>
          <w:fldChar w:fldCharType="separate"/>
        </w:r>
        <w:r w:rsidR="007A6AF0">
          <w:rPr>
            <w:noProof/>
            <w:webHidden/>
          </w:rPr>
          <w:t>9</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32" w:history="1">
        <w:r w:rsidR="005E359D" w:rsidRPr="00F54151">
          <w:rPr>
            <w:rStyle w:val="Hyperlink"/>
            <w:noProof/>
          </w:rPr>
          <w:t>South Australia</w:t>
        </w:r>
        <w:r w:rsidR="005E359D">
          <w:rPr>
            <w:noProof/>
            <w:webHidden/>
          </w:rPr>
          <w:tab/>
        </w:r>
        <w:r w:rsidR="005E359D">
          <w:rPr>
            <w:noProof/>
            <w:webHidden/>
          </w:rPr>
          <w:fldChar w:fldCharType="begin"/>
        </w:r>
        <w:r w:rsidR="005E359D">
          <w:rPr>
            <w:noProof/>
            <w:webHidden/>
          </w:rPr>
          <w:instrText xml:space="preserve"> PAGEREF _Toc442949132 \h </w:instrText>
        </w:r>
        <w:r w:rsidR="005E359D">
          <w:rPr>
            <w:noProof/>
            <w:webHidden/>
          </w:rPr>
        </w:r>
        <w:r w:rsidR="005E359D">
          <w:rPr>
            <w:noProof/>
            <w:webHidden/>
          </w:rPr>
          <w:fldChar w:fldCharType="separate"/>
        </w:r>
        <w:r w:rsidR="007A6AF0">
          <w:rPr>
            <w:noProof/>
            <w:webHidden/>
          </w:rPr>
          <w:t>10</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33" w:history="1">
        <w:r w:rsidR="005E359D" w:rsidRPr="00F54151">
          <w:rPr>
            <w:rStyle w:val="Hyperlink"/>
            <w:noProof/>
          </w:rPr>
          <w:t>Tasmania</w:t>
        </w:r>
        <w:r w:rsidR="005E359D">
          <w:rPr>
            <w:noProof/>
            <w:webHidden/>
          </w:rPr>
          <w:tab/>
        </w:r>
        <w:r w:rsidR="005E359D">
          <w:rPr>
            <w:noProof/>
            <w:webHidden/>
          </w:rPr>
          <w:fldChar w:fldCharType="begin"/>
        </w:r>
        <w:r w:rsidR="005E359D">
          <w:rPr>
            <w:noProof/>
            <w:webHidden/>
          </w:rPr>
          <w:instrText xml:space="preserve"> PAGEREF _Toc442949133 \h </w:instrText>
        </w:r>
        <w:r w:rsidR="005E359D">
          <w:rPr>
            <w:noProof/>
            <w:webHidden/>
          </w:rPr>
        </w:r>
        <w:r w:rsidR="005E359D">
          <w:rPr>
            <w:noProof/>
            <w:webHidden/>
          </w:rPr>
          <w:fldChar w:fldCharType="separate"/>
        </w:r>
        <w:r w:rsidR="007A6AF0">
          <w:rPr>
            <w:noProof/>
            <w:webHidden/>
          </w:rPr>
          <w:t>11</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34" w:history="1">
        <w:r w:rsidR="005E359D" w:rsidRPr="00F54151">
          <w:rPr>
            <w:rStyle w:val="Hyperlink"/>
            <w:noProof/>
          </w:rPr>
          <w:t>Australian Capital Territory</w:t>
        </w:r>
        <w:r w:rsidR="005E359D">
          <w:rPr>
            <w:noProof/>
            <w:webHidden/>
          </w:rPr>
          <w:tab/>
        </w:r>
        <w:r w:rsidR="005E359D">
          <w:rPr>
            <w:noProof/>
            <w:webHidden/>
          </w:rPr>
          <w:fldChar w:fldCharType="begin"/>
        </w:r>
        <w:r w:rsidR="005E359D">
          <w:rPr>
            <w:noProof/>
            <w:webHidden/>
          </w:rPr>
          <w:instrText xml:space="preserve"> PAGEREF _Toc442949134 \h </w:instrText>
        </w:r>
        <w:r w:rsidR="005E359D">
          <w:rPr>
            <w:noProof/>
            <w:webHidden/>
          </w:rPr>
        </w:r>
        <w:r w:rsidR="005E359D">
          <w:rPr>
            <w:noProof/>
            <w:webHidden/>
          </w:rPr>
          <w:fldChar w:fldCharType="separate"/>
        </w:r>
        <w:r w:rsidR="007A6AF0">
          <w:rPr>
            <w:noProof/>
            <w:webHidden/>
          </w:rPr>
          <w:t>12</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35" w:history="1">
        <w:r w:rsidR="005E359D" w:rsidRPr="00F54151">
          <w:rPr>
            <w:rStyle w:val="Hyperlink"/>
            <w:noProof/>
          </w:rPr>
          <w:t>Northern Territory</w:t>
        </w:r>
        <w:r w:rsidR="005E359D">
          <w:rPr>
            <w:noProof/>
            <w:webHidden/>
          </w:rPr>
          <w:tab/>
        </w:r>
        <w:r w:rsidR="005E359D">
          <w:rPr>
            <w:noProof/>
            <w:webHidden/>
          </w:rPr>
          <w:fldChar w:fldCharType="begin"/>
        </w:r>
        <w:r w:rsidR="005E359D">
          <w:rPr>
            <w:noProof/>
            <w:webHidden/>
          </w:rPr>
          <w:instrText xml:space="preserve"> PAGEREF _Toc442949135 \h </w:instrText>
        </w:r>
        <w:r w:rsidR="005E359D">
          <w:rPr>
            <w:noProof/>
            <w:webHidden/>
          </w:rPr>
        </w:r>
        <w:r w:rsidR="005E359D">
          <w:rPr>
            <w:noProof/>
            <w:webHidden/>
          </w:rPr>
          <w:fldChar w:fldCharType="separate"/>
        </w:r>
        <w:r w:rsidR="007A6AF0">
          <w:rPr>
            <w:noProof/>
            <w:webHidden/>
          </w:rPr>
          <w:t>13</w:t>
        </w:r>
        <w:r w:rsidR="005E359D">
          <w:rPr>
            <w:noProof/>
            <w:webHidden/>
          </w:rPr>
          <w:fldChar w:fldCharType="end"/>
        </w:r>
      </w:hyperlink>
    </w:p>
    <w:p w:rsidR="005E359D" w:rsidRDefault="0014378B">
      <w:pPr>
        <w:pStyle w:val="TOC1"/>
        <w:tabs>
          <w:tab w:val="right" w:pos="8941"/>
        </w:tabs>
        <w:rPr>
          <w:rFonts w:eastAsiaTheme="minorEastAsia"/>
          <w:b w:val="0"/>
          <w:bCs w:val="0"/>
          <w:caps w:val="0"/>
          <w:noProof/>
          <w:sz w:val="22"/>
          <w:szCs w:val="22"/>
          <w:lang w:eastAsia="en-AU"/>
        </w:rPr>
      </w:pPr>
      <w:hyperlink w:anchor="_Toc442949136" w:history="1">
        <w:r w:rsidR="005E359D" w:rsidRPr="00F54151">
          <w:rPr>
            <w:rStyle w:val="Hyperlink"/>
            <w:noProof/>
          </w:rPr>
          <w:t>Chapter 1</w:t>
        </w:r>
        <w:r w:rsidR="005E359D">
          <w:rPr>
            <w:rStyle w:val="Hyperlink"/>
            <w:noProof/>
          </w:rPr>
          <w:t xml:space="preserve">  changes in the gst distribution</w:t>
        </w:r>
        <w:r w:rsidR="005E359D">
          <w:rPr>
            <w:noProof/>
            <w:webHidden/>
          </w:rPr>
          <w:tab/>
        </w:r>
        <w:r w:rsidR="005E359D">
          <w:rPr>
            <w:noProof/>
            <w:webHidden/>
          </w:rPr>
          <w:fldChar w:fldCharType="begin"/>
        </w:r>
        <w:r w:rsidR="005E359D">
          <w:rPr>
            <w:noProof/>
            <w:webHidden/>
          </w:rPr>
          <w:instrText xml:space="preserve"> PAGEREF _Toc442949136 \h </w:instrText>
        </w:r>
        <w:r w:rsidR="005E359D">
          <w:rPr>
            <w:noProof/>
            <w:webHidden/>
          </w:rPr>
        </w:r>
        <w:r w:rsidR="005E359D">
          <w:rPr>
            <w:noProof/>
            <w:webHidden/>
          </w:rPr>
          <w:fldChar w:fldCharType="separate"/>
        </w:r>
        <w:r w:rsidR="007A6AF0">
          <w:rPr>
            <w:noProof/>
            <w:webHidden/>
          </w:rPr>
          <w:t>14</w:t>
        </w:r>
        <w:r w:rsidR="005E359D">
          <w:rPr>
            <w:noProof/>
            <w:webHidden/>
          </w:rPr>
          <w:fldChar w:fldCharType="end"/>
        </w:r>
      </w:hyperlink>
    </w:p>
    <w:p w:rsidR="005E359D" w:rsidRDefault="0014378B">
      <w:pPr>
        <w:pStyle w:val="TOC3"/>
        <w:rPr>
          <w:rFonts w:eastAsiaTheme="minorEastAsia"/>
          <w:noProof/>
          <w:sz w:val="22"/>
          <w:szCs w:val="22"/>
          <w:lang w:eastAsia="en-AU"/>
        </w:rPr>
      </w:pPr>
      <w:hyperlink w:anchor="_Toc442949138" w:history="1">
        <w:r w:rsidR="005E359D" w:rsidRPr="00F54151">
          <w:rPr>
            <w:rStyle w:val="Hyperlink"/>
            <w:noProof/>
          </w:rPr>
          <w:t>How has the GST distribution changed?</w:t>
        </w:r>
        <w:r w:rsidR="005E359D">
          <w:rPr>
            <w:noProof/>
            <w:webHidden/>
          </w:rPr>
          <w:tab/>
        </w:r>
        <w:r w:rsidR="005E359D">
          <w:rPr>
            <w:noProof/>
            <w:webHidden/>
          </w:rPr>
          <w:fldChar w:fldCharType="begin"/>
        </w:r>
        <w:r w:rsidR="005E359D">
          <w:rPr>
            <w:noProof/>
            <w:webHidden/>
          </w:rPr>
          <w:instrText xml:space="preserve"> PAGEREF _Toc442949138 \h </w:instrText>
        </w:r>
        <w:r w:rsidR="005E359D">
          <w:rPr>
            <w:noProof/>
            <w:webHidden/>
          </w:rPr>
        </w:r>
        <w:r w:rsidR="005E359D">
          <w:rPr>
            <w:noProof/>
            <w:webHidden/>
          </w:rPr>
          <w:fldChar w:fldCharType="separate"/>
        </w:r>
        <w:r w:rsidR="007A6AF0">
          <w:rPr>
            <w:noProof/>
            <w:webHidden/>
          </w:rPr>
          <w:t>14</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39" w:history="1">
        <w:r w:rsidR="005E359D" w:rsidRPr="00F54151">
          <w:rPr>
            <w:rStyle w:val="Hyperlink"/>
            <w:noProof/>
          </w:rPr>
          <w:t>Why fiscal capacities change between updates</w:t>
        </w:r>
        <w:r w:rsidR="005E359D">
          <w:rPr>
            <w:noProof/>
            <w:webHidden/>
          </w:rPr>
          <w:tab/>
        </w:r>
        <w:r w:rsidR="005E359D">
          <w:rPr>
            <w:noProof/>
            <w:webHidden/>
          </w:rPr>
          <w:fldChar w:fldCharType="begin"/>
        </w:r>
        <w:r w:rsidR="005E359D">
          <w:rPr>
            <w:noProof/>
            <w:webHidden/>
          </w:rPr>
          <w:instrText xml:space="preserve"> PAGEREF _Toc442949139 \h </w:instrText>
        </w:r>
        <w:r w:rsidR="005E359D">
          <w:rPr>
            <w:noProof/>
            <w:webHidden/>
          </w:rPr>
        </w:r>
        <w:r w:rsidR="005E359D">
          <w:rPr>
            <w:noProof/>
            <w:webHidden/>
          </w:rPr>
          <w:fldChar w:fldCharType="separate"/>
        </w:r>
        <w:r w:rsidR="007A6AF0">
          <w:rPr>
            <w:noProof/>
            <w:webHidden/>
          </w:rPr>
          <w:t>15</w:t>
        </w:r>
        <w:r w:rsidR="005E359D">
          <w:rPr>
            <w:noProof/>
            <w:webHidden/>
          </w:rPr>
          <w:fldChar w:fldCharType="end"/>
        </w:r>
      </w:hyperlink>
    </w:p>
    <w:p w:rsidR="005E359D" w:rsidRDefault="0014378B">
      <w:pPr>
        <w:pStyle w:val="TOC3"/>
        <w:rPr>
          <w:rFonts w:eastAsiaTheme="minorEastAsia"/>
          <w:noProof/>
          <w:sz w:val="22"/>
          <w:szCs w:val="22"/>
          <w:lang w:eastAsia="en-AU"/>
        </w:rPr>
      </w:pPr>
      <w:hyperlink w:anchor="_Toc442949140" w:history="1">
        <w:r w:rsidR="005E359D" w:rsidRPr="00F54151">
          <w:rPr>
            <w:rStyle w:val="Hyperlink"/>
            <w:noProof/>
          </w:rPr>
          <w:t>Data revisions</w:t>
        </w:r>
        <w:r w:rsidR="005E359D">
          <w:rPr>
            <w:noProof/>
            <w:webHidden/>
          </w:rPr>
          <w:tab/>
        </w:r>
        <w:r w:rsidR="005E359D">
          <w:rPr>
            <w:noProof/>
            <w:webHidden/>
          </w:rPr>
          <w:fldChar w:fldCharType="begin"/>
        </w:r>
        <w:r w:rsidR="005E359D">
          <w:rPr>
            <w:noProof/>
            <w:webHidden/>
          </w:rPr>
          <w:instrText xml:space="preserve"> PAGEREF _Toc442949140 \h </w:instrText>
        </w:r>
        <w:r w:rsidR="005E359D">
          <w:rPr>
            <w:noProof/>
            <w:webHidden/>
          </w:rPr>
        </w:r>
        <w:r w:rsidR="005E359D">
          <w:rPr>
            <w:noProof/>
            <w:webHidden/>
          </w:rPr>
          <w:fldChar w:fldCharType="separate"/>
        </w:r>
        <w:r w:rsidR="007A6AF0">
          <w:rPr>
            <w:noProof/>
            <w:webHidden/>
          </w:rPr>
          <w:t>16</w:t>
        </w:r>
        <w:r w:rsidR="005E359D">
          <w:rPr>
            <w:noProof/>
            <w:webHidden/>
          </w:rPr>
          <w:fldChar w:fldCharType="end"/>
        </w:r>
      </w:hyperlink>
    </w:p>
    <w:p w:rsidR="005E359D" w:rsidRDefault="0014378B">
      <w:pPr>
        <w:pStyle w:val="TOC3"/>
        <w:rPr>
          <w:rFonts w:eastAsiaTheme="minorEastAsia"/>
          <w:noProof/>
          <w:sz w:val="22"/>
          <w:szCs w:val="22"/>
          <w:lang w:eastAsia="en-AU"/>
        </w:rPr>
      </w:pPr>
      <w:hyperlink w:anchor="_Toc442949141" w:history="1">
        <w:r w:rsidR="005E359D" w:rsidRPr="00F54151">
          <w:rPr>
            <w:rStyle w:val="Hyperlink"/>
            <w:noProof/>
          </w:rPr>
          <w:t>Changes in State circumstances since the 2015 Review</w:t>
        </w:r>
        <w:r w:rsidR="005E359D">
          <w:rPr>
            <w:noProof/>
            <w:webHidden/>
          </w:rPr>
          <w:tab/>
        </w:r>
        <w:r w:rsidR="005E359D">
          <w:rPr>
            <w:noProof/>
            <w:webHidden/>
          </w:rPr>
          <w:fldChar w:fldCharType="begin"/>
        </w:r>
        <w:r w:rsidR="005E359D">
          <w:rPr>
            <w:noProof/>
            <w:webHidden/>
          </w:rPr>
          <w:instrText xml:space="preserve"> PAGEREF _Toc442949141 \h </w:instrText>
        </w:r>
        <w:r w:rsidR="005E359D">
          <w:rPr>
            <w:noProof/>
            <w:webHidden/>
          </w:rPr>
        </w:r>
        <w:r w:rsidR="005E359D">
          <w:rPr>
            <w:noProof/>
            <w:webHidden/>
          </w:rPr>
          <w:fldChar w:fldCharType="separate"/>
        </w:r>
        <w:r w:rsidR="007A6AF0">
          <w:rPr>
            <w:noProof/>
            <w:webHidden/>
          </w:rPr>
          <w:t>17</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42" w:history="1">
        <w:r w:rsidR="005E359D" w:rsidRPr="00F54151">
          <w:rPr>
            <w:rStyle w:val="Hyperlink"/>
            <w:noProof/>
          </w:rPr>
          <w:t>Revenue</w:t>
        </w:r>
        <w:r w:rsidR="005E359D">
          <w:rPr>
            <w:noProof/>
            <w:webHidden/>
          </w:rPr>
          <w:tab/>
        </w:r>
        <w:r w:rsidR="005E359D">
          <w:rPr>
            <w:noProof/>
            <w:webHidden/>
          </w:rPr>
          <w:fldChar w:fldCharType="begin"/>
        </w:r>
        <w:r w:rsidR="005E359D">
          <w:rPr>
            <w:noProof/>
            <w:webHidden/>
          </w:rPr>
          <w:instrText xml:space="preserve"> PAGEREF _Toc442949142 \h </w:instrText>
        </w:r>
        <w:r w:rsidR="005E359D">
          <w:rPr>
            <w:noProof/>
            <w:webHidden/>
          </w:rPr>
        </w:r>
        <w:r w:rsidR="005E359D">
          <w:rPr>
            <w:noProof/>
            <w:webHidden/>
          </w:rPr>
          <w:fldChar w:fldCharType="separate"/>
        </w:r>
        <w:r w:rsidR="007A6AF0">
          <w:rPr>
            <w:noProof/>
            <w:webHidden/>
          </w:rPr>
          <w:t>18</w:t>
        </w:r>
        <w:r w:rsidR="005E359D">
          <w:rPr>
            <w:noProof/>
            <w:webHidden/>
          </w:rPr>
          <w:fldChar w:fldCharType="end"/>
        </w:r>
      </w:hyperlink>
    </w:p>
    <w:p w:rsidR="005E359D" w:rsidRDefault="0014378B">
      <w:pPr>
        <w:pStyle w:val="TOC5"/>
        <w:tabs>
          <w:tab w:val="right" w:pos="8941"/>
        </w:tabs>
        <w:rPr>
          <w:rFonts w:eastAsiaTheme="minorEastAsia"/>
          <w:noProof/>
          <w:sz w:val="22"/>
          <w:szCs w:val="22"/>
          <w:lang w:eastAsia="en-AU"/>
        </w:rPr>
      </w:pPr>
      <w:hyperlink w:anchor="_Toc442949143" w:history="1">
        <w:r w:rsidR="005E359D" w:rsidRPr="00F54151">
          <w:rPr>
            <w:rStyle w:val="Hyperlink"/>
            <w:noProof/>
          </w:rPr>
          <w:t>Mining production</w:t>
        </w:r>
        <w:r w:rsidR="005E359D">
          <w:rPr>
            <w:noProof/>
            <w:webHidden/>
          </w:rPr>
          <w:tab/>
        </w:r>
        <w:r w:rsidR="005E359D">
          <w:rPr>
            <w:noProof/>
            <w:webHidden/>
          </w:rPr>
          <w:fldChar w:fldCharType="begin"/>
        </w:r>
        <w:r w:rsidR="005E359D">
          <w:rPr>
            <w:noProof/>
            <w:webHidden/>
          </w:rPr>
          <w:instrText xml:space="preserve"> PAGEREF _Toc442949143 \h </w:instrText>
        </w:r>
        <w:r w:rsidR="005E359D">
          <w:rPr>
            <w:noProof/>
            <w:webHidden/>
          </w:rPr>
        </w:r>
        <w:r w:rsidR="005E359D">
          <w:rPr>
            <w:noProof/>
            <w:webHidden/>
          </w:rPr>
          <w:fldChar w:fldCharType="separate"/>
        </w:r>
        <w:r w:rsidR="007A6AF0">
          <w:rPr>
            <w:noProof/>
            <w:webHidden/>
          </w:rPr>
          <w:t>18</w:t>
        </w:r>
        <w:r w:rsidR="005E359D">
          <w:rPr>
            <w:noProof/>
            <w:webHidden/>
          </w:rPr>
          <w:fldChar w:fldCharType="end"/>
        </w:r>
      </w:hyperlink>
    </w:p>
    <w:p w:rsidR="005E359D" w:rsidRDefault="0014378B">
      <w:pPr>
        <w:pStyle w:val="TOC5"/>
        <w:tabs>
          <w:tab w:val="right" w:pos="8941"/>
        </w:tabs>
        <w:rPr>
          <w:rFonts w:eastAsiaTheme="minorEastAsia"/>
          <w:noProof/>
          <w:sz w:val="22"/>
          <w:szCs w:val="22"/>
          <w:lang w:eastAsia="en-AU"/>
        </w:rPr>
      </w:pPr>
      <w:hyperlink w:anchor="_Toc442949144" w:history="1">
        <w:r w:rsidR="005E359D" w:rsidRPr="00F54151">
          <w:rPr>
            <w:rStyle w:val="Hyperlink"/>
            <w:noProof/>
          </w:rPr>
          <w:t>Property sales</w:t>
        </w:r>
        <w:r w:rsidR="005E359D">
          <w:rPr>
            <w:noProof/>
            <w:webHidden/>
          </w:rPr>
          <w:tab/>
        </w:r>
        <w:r w:rsidR="005E359D">
          <w:rPr>
            <w:noProof/>
            <w:webHidden/>
          </w:rPr>
          <w:fldChar w:fldCharType="begin"/>
        </w:r>
        <w:r w:rsidR="005E359D">
          <w:rPr>
            <w:noProof/>
            <w:webHidden/>
          </w:rPr>
          <w:instrText xml:space="preserve"> PAGEREF _Toc442949144 \h </w:instrText>
        </w:r>
        <w:r w:rsidR="005E359D">
          <w:rPr>
            <w:noProof/>
            <w:webHidden/>
          </w:rPr>
        </w:r>
        <w:r w:rsidR="005E359D">
          <w:rPr>
            <w:noProof/>
            <w:webHidden/>
          </w:rPr>
          <w:fldChar w:fldCharType="separate"/>
        </w:r>
        <w:r w:rsidR="007A6AF0">
          <w:rPr>
            <w:noProof/>
            <w:webHidden/>
          </w:rPr>
          <w:t>19</w:t>
        </w:r>
        <w:r w:rsidR="005E359D">
          <w:rPr>
            <w:noProof/>
            <w:webHidden/>
          </w:rPr>
          <w:fldChar w:fldCharType="end"/>
        </w:r>
      </w:hyperlink>
    </w:p>
    <w:p w:rsidR="005E359D" w:rsidRDefault="0014378B">
      <w:pPr>
        <w:pStyle w:val="TOC5"/>
        <w:tabs>
          <w:tab w:val="right" w:pos="8941"/>
        </w:tabs>
        <w:rPr>
          <w:rFonts w:eastAsiaTheme="minorEastAsia"/>
          <w:noProof/>
          <w:sz w:val="22"/>
          <w:szCs w:val="22"/>
          <w:lang w:eastAsia="en-AU"/>
        </w:rPr>
      </w:pPr>
      <w:hyperlink w:anchor="_Toc442949145" w:history="1">
        <w:r w:rsidR="005E359D" w:rsidRPr="00F54151">
          <w:rPr>
            <w:rStyle w:val="Hyperlink"/>
            <w:noProof/>
          </w:rPr>
          <w:t>Taxable payrolls</w:t>
        </w:r>
        <w:r w:rsidR="005E359D">
          <w:rPr>
            <w:noProof/>
            <w:webHidden/>
          </w:rPr>
          <w:tab/>
        </w:r>
        <w:r w:rsidR="005E359D">
          <w:rPr>
            <w:noProof/>
            <w:webHidden/>
          </w:rPr>
          <w:fldChar w:fldCharType="begin"/>
        </w:r>
        <w:r w:rsidR="005E359D">
          <w:rPr>
            <w:noProof/>
            <w:webHidden/>
          </w:rPr>
          <w:instrText xml:space="preserve"> PAGEREF _Toc442949145 \h </w:instrText>
        </w:r>
        <w:r w:rsidR="005E359D">
          <w:rPr>
            <w:noProof/>
            <w:webHidden/>
          </w:rPr>
        </w:r>
        <w:r w:rsidR="005E359D">
          <w:rPr>
            <w:noProof/>
            <w:webHidden/>
          </w:rPr>
          <w:fldChar w:fldCharType="separate"/>
        </w:r>
        <w:r w:rsidR="007A6AF0">
          <w:rPr>
            <w:noProof/>
            <w:webHidden/>
          </w:rPr>
          <w:t>20</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46" w:history="1">
        <w:r w:rsidR="005E359D" w:rsidRPr="00F54151">
          <w:rPr>
            <w:rStyle w:val="Hyperlink"/>
            <w:noProof/>
          </w:rPr>
          <w:t>Commonwealth payments for specific purposes</w:t>
        </w:r>
        <w:r w:rsidR="005E359D">
          <w:rPr>
            <w:noProof/>
            <w:webHidden/>
          </w:rPr>
          <w:tab/>
        </w:r>
        <w:r w:rsidR="005E359D">
          <w:rPr>
            <w:noProof/>
            <w:webHidden/>
          </w:rPr>
          <w:fldChar w:fldCharType="begin"/>
        </w:r>
        <w:r w:rsidR="005E359D">
          <w:rPr>
            <w:noProof/>
            <w:webHidden/>
          </w:rPr>
          <w:instrText xml:space="preserve"> PAGEREF _Toc442949146 \h </w:instrText>
        </w:r>
        <w:r w:rsidR="005E359D">
          <w:rPr>
            <w:noProof/>
            <w:webHidden/>
          </w:rPr>
        </w:r>
        <w:r w:rsidR="005E359D">
          <w:rPr>
            <w:noProof/>
            <w:webHidden/>
          </w:rPr>
          <w:fldChar w:fldCharType="separate"/>
        </w:r>
        <w:r w:rsidR="007A6AF0">
          <w:rPr>
            <w:noProof/>
            <w:webHidden/>
          </w:rPr>
          <w:t>21</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47" w:history="1">
        <w:r w:rsidR="005E359D" w:rsidRPr="00F54151">
          <w:rPr>
            <w:rStyle w:val="Hyperlink"/>
            <w:noProof/>
          </w:rPr>
          <w:t>Expenses</w:t>
        </w:r>
        <w:r w:rsidR="005E359D">
          <w:rPr>
            <w:noProof/>
            <w:webHidden/>
          </w:rPr>
          <w:tab/>
        </w:r>
        <w:r w:rsidR="005E359D">
          <w:rPr>
            <w:noProof/>
            <w:webHidden/>
          </w:rPr>
          <w:fldChar w:fldCharType="begin"/>
        </w:r>
        <w:r w:rsidR="005E359D">
          <w:rPr>
            <w:noProof/>
            <w:webHidden/>
          </w:rPr>
          <w:instrText xml:space="preserve"> PAGEREF _Toc442949147 \h </w:instrText>
        </w:r>
        <w:r w:rsidR="005E359D">
          <w:rPr>
            <w:noProof/>
            <w:webHidden/>
          </w:rPr>
        </w:r>
        <w:r w:rsidR="005E359D">
          <w:rPr>
            <w:noProof/>
            <w:webHidden/>
          </w:rPr>
          <w:fldChar w:fldCharType="separate"/>
        </w:r>
        <w:r w:rsidR="007A6AF0">
          <w:rPr>
            <w:noProof/>
            <w:webHidden/>
          </w:rPr>
          <w:t>23</w:t>
        </w:r>
        <w:r w:rsidR="005E359D">
          <w:rPr>
            <w:noProof/>
            <w:webHidden/>
          </w:rPr>
          <w:fldChar w:fldCharType="end"/>
        </w:r>
      </w:hyperlink>
    </w:p>
    <w:p w:rsidR="005E359D" w:rsidRDefault="0014378B">
      <w:pPr>
        <w:pStyle w:val="TOC5"/>
        <w:tabs>
          <w:tab w:val="right" w:pos="8941"/>
        </w:tabs>
        <w:rPr>
          <w:rFonts w:eastAsiaTheme="minorEastAsia"/>
          <w:noProof/>
          <w:sz w:val="22"/>
          <w:szCs w:val="22"/>
          <w:lang w:eastAsia="en-AU"/>
        </w:rPr>
      </w:pPr>
      <w:hyperlink w:anchor="_Toc442949148" w:history="1">
        <w:r w:rsidR="005E359D" w:rsidRPr="00F54151">
          <w:rPr>
            <w:rStyle w:val="Hyperlink"/>
            <w:noProof/>
          </w:rPr>
          <w:t>Population growth</w:t>
        </w:r>
        <w:r w:rsidR="005E359D">
          <w:rPr>
            <w:noProof/>
            <w:webHidden/>
          </w:rPr>
          <w:tab/>
        </w:r>
        <w:r w:rsidR="005E359D">
          <w:rPr>
            <w:noProof/>
            <w:webHidden/>
          </w:rPr>
          <w:fldChar w:fldCharType="begin"/>
        </w:r>
        <w:r w:rsidR="005E359D">
          <w:rPr>
            <w:noProof/>
            <w:webHidden/>
          </w:rPr>
          <w:instrText xml:space="preserve"> PAGEREF _Toc442949148 \h </w:instrText>
        </w:r>
        <w:r w:rsidR="005E359D">
          <w:rPr>
            <w:noProof/>
            <w:webHidden/>
          </w:rPr>
        </w:r>
        <w:r w:rsidR="005E359D">
          <w:rPr>
            <w:noProof/>
            <w:webHidden/>
          </w:rPr>
          <w:fldChar w:fldCharType="separate"/>
        </w:r>
        <w:r w:rsidR="007A6AF0">
          <w:rPr>
            <w:noProof/>
            <w:webHidden/>
          </w:rPr>
          <w:t>23</w:t>
        </w:r>
        <w:r w:rsidR="005E359D">
          <w:rPr>
            <w:noProof/>
            <w:webHidden/>
          </w:rPr>
          <w:fldChar w:fldCharType="end"/>
        </w:r>
      </w:hyperlink>
    </w:p>
    <w:p w:rsidR="005E359D" w:rsidRDefault="0014378B">
      <w:pPr>
        <w:pStyle w:val="TOC5"/>
        <w:tabs>
          <w:tab w:val="right" w:pos="8941"/>
        </w:tabs>
        <w:rPr>
          <w:rFonts w:eastAsiaTheme="minorEastAsia"/>
          <w:noProof/>
          <w:sz w:val="22"/>
          <w:szCs w:val="22"/>
          <w:lang w:eastAsia="en-AU"/>
        </w:rPr>
      </w:pPr>
      <w:hyperlink w:anchor="_Toc442949149" w:history="1">
        <w:r w:rsidR="005E359D" w:rsidRPr="00F54151">
          <w:rPr>
            <w:rStyle w:val="Hyperlink"/>
            <w:noProof/>
          </w:rPr>
          <w:t>Natural disaster relief</w:t>
        </w:r>
        <w:r w:rsidR="005E359D">
          <w:rPr>
            <w:noProof/>
            <w:webHidden/>
          </w:rPr>
          <w:tab/>
        </w:r>
        <w:r w:rsidR="005E359D">
          <w:rPr>
            <w:noProof/>
            <w:webHidden/>
          </w:rPr>
          <w:fldChar w:fldCharType="begin"/>
        </w:r>
        <w:r w:rsidR="005E359D">
          <w:rPr>
            <w:noProof/>
            <w:webHidden/>
          </w:rPr>
          <w:instrText xml:space="preserve"> PAGEREF _Toc442949149 \h </w:instrText>
        </w:r>
        <w:r w:rsidR="005E359D">
          <w:rPr>
            <w:noProof/>
            <w:webHidden/>
          </w:rPr>
        </w:r>
        <w:r w:rsidR="005E359D">
          <w:rPr>
            <w:noProof/>
            <w:webHidden/>
          </w:rPr>
          <w:fldChar w:fldCharType="separate"/>
        </w:r>
        <w:r w:rsidR="007A6AF0">
          <w:rPr>
            <w:noProof/>
            <w:webHidden/>
          </w:rPr>
          <w:t>24</w:t>
        </w:r>
        <w:r w:rsidR="005E359D">
          <w:rPr>
            <w:noProof/>
            <w:webHidden/>
          </w:rPr>
          <w:fldChar w:fldCharType="end"/>
        </w:r>
      </w:hyperlink>
    </w:p>
    <w:p w:rsidR="005E359D" w:rsidRDefault="0014378B">
      <w:pPr>
        <w:pStyle w:val="TOC5"/>
        <w:tabs>
          <w:tab w:val="right" w:pos="8941"/>
        </w:tabs>
        <w:rPr>
          <w:rFonts w:eastAsiaTheme="minorEastAsia"/>
          <w:noProof/>
          <w:sz w:val="22"/>
          <w:szCs w:val="22"/>
          <w:lang w:eastAsia="en-AU"/>
        </w:rPr>
      </w:pPr>
      <w:hyperlink w:anchor="_Toc442949150" w:history="1">
        <w:r w:rsidR="005E359D" w:rsidRPr="00F54151">
          <w:rPr>
            <w:rStyle w:val="Hyperlink"/>
            <w:noProof/>
          </w:rPr>
          <w:t>Wages</w:t>
        </w:r>
        <w:r w:rsidR="005E359D">
          <w:rPr>
            <w:noProof/>
            <w:webHidden/>
          </w:rPr>
          <w:tab/>
        </w:r>
        <w:r w:rsidR="005E359D">
          <w:rPr>
            <w:noProof/>
            <w:webHidden/>
          </w:rPr>
          <w:fldChar w:fldCharType="begin"/>
        </w:r>
        <w:r w:rsidR="005E359D">
          <w:rPr>
            <w:noProof/>
            <w:webHidden/>
          </w:rPr>
          <w:instrText xml:space="preserve"> PAGEREF _Toc442949150 \h </w:instrText>
        </w:r>
        <w:r w:rsidR="005E359D">
          <w:rPr>
            <w:noProof/>
            <w:webHidden/>
          </w:rPr>
        </w:r>
        <w:r w:rsidR="005E359D">
          <w:rPr>
            <w:noProof/>
            <w:webHidden/>
          </w:rPr>
          <w:fldChar w:fldCharType="separate"/>
        </w:r>
        <w:r w:rsidR="007A6AF0">
          <w:rPr>
            <w:noProof/>
            <w:webHidden/>
          </w:rPr>
          <w:t>24</w:t>
        </w:r>
        <w:r w:rsidR="005E359D">
          <w:rPr>
            <w:noProof/>
            <w:webHidden/>
          </w:rPr>
          <w:fldChar w:fldCharType="end"/>
        </w:r>
      </w:hyperlink>
    </w:p>
    <w:p w:rsidR="005E359D" w:rsidRDefault="0014378B">
      <w:pPr>
        <w:pStyle w:val="TOC5"/>
        <w:tabs>
          <w:tab w:val="right" w:pos="8941"/>
        </w:tabs>
        <w:rPr>
          <w:rFonts w:eastAsiaTheme="minorEastAsia"/>
          <w:noProof/>
          <w:sz w:val="22"/>
          <w:szCs w:val="22"/>
          <w:lang w:eastAsia="en-AU"/>
        </w:rPr>
      </w:pPr>
      <w:hyperlink w:anchor="_Toc442949151" w:history="1">
        <w:r w:rsidR="005E359D" w:rsidRPr="00F54151">
          <w:rPr>
            <w:rStyle w:val="Hyperlink"/>
            <w:noProof/>
          </w:rPr>
          <w:t>Other</w:t>
        </w:r>
        <w:r w:rsidR="005E359D">
          <w:rPr>
            <w:noProof/>
            <w:webHidden/>
          </w:rPr>
          <w:tab/>
        </w:r>
        <w:r w:rsidR="005E359D">
          <w:rPr>
            <w:noProof/>
            <w:webHidden/>
          </w:rPr>
          <w:fldChar w:fldCharType="begin"/>
        </w:r>
        <w:r w:rsidR="005E359D">
          <w:rPr>
            <w:noProof/>
            <w:webHidden/>
          </w:rPr>
          <w:instrText xml:space="preserve"> PAGEREF _Toc442949151 \h </w:instrText>
        </w:r>
        <w:r w:rsidR="005E359D">
          <w:rPr>
            <w:noProof/>
            <w:webHidden/>
          </w:rPr>
        </w:r>
        <w:r w:rsidR="005E359D">
          <w:rPr>
            <w:noProof/>
            <w:webHidden/>
          </w:rPr>
          <w:fldChar w:fldCharType="separate"/>
        </w:r>
        <w:r w:rsidR="007A6AF0">
          <w:rPr>
            <w:noProof/>
            <w:webHidden/>
          </w:rPr>
          <w:t>25</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52" w:history="1">
        <w:r w:rsidR="005E359D" w:rsidRPr="00F54151">
          <w:rPr>
            <w:rStyle w:val="Hyperlink"/>
            <w:noProof/>
          </w:rPr>
          <w:t>Interactions between drivers of change</w:t>
        </w:r>
        <w:r w:rsidR="005E359D">
          <w:rPr>
            <w:noProof/>
            <w:webHidden/>
          </w:rPr>
          <w:tab/>
        </w:r>
        <w:r w:rsidR="005E359D">
          <w:rPr>
            <w:noProof/>
            <w:webHidden/>
          </w:rPr>
          <w:fldChar w:fldCharType="begin"/>
        </w:r>
        <w:r w:rsidR="005E359D">
          <w:rPr>
            <w:noProof/>
            <w:webHidden/>
          </w:rPr>
          <w:instrText xml:space="preserve"> PAGEREF _Toc442949152 \h </w:instrText>
        </w:r>
        <w:r w:rsidR="005E359D">
          <w:rPr>
            <w:noProof/>
            <w:webHidden/>
          </w:rPr>
        </w:r>
        <w:r w:rsidR="005E359D">
          <w:rPr>
            <w:noProof/>
            <w:webHidden/>
          </w:rPr>
          <w:fldChar w:fldCharType="separate"/>
        </w:r>
        <w:r w:rsidR="007A6AF0">
          <w:rPr>
            <w:noProof/>
            <w:webHidden/>
          </w:rPr>
          <w:t>26</w:t>
        </w:r>
        <w:r w:rsidR="005E359D">
          <w:rPr>
            <w:noProof/>
            <w:webHidden/>
          </w:rPr>
          <w:fldChar w:fldCharType="end"/>
        </w:r>
      </w:hyperlink>
    </w:p>
    <w:p w:rsidR="005E359D" w:rsidRDefault="0014378B">
      <w:pPr>
        <w:pStyle w:val="TOC3"/>
        <w:rPr>
          <w:rFonts w:eastAsiaTheme="minorEastAsia"/>
          <w:noProof/>
          <w:sz w:val="22"/>
          <w:szCs w:val="22"/>
          <w:lang w:eastAsia="en-AU"/>
        </w:rPr>
      </w:pPr>
      <w:hyperlink w:anchor="_Toc442949153" w:history="1">
        <w:r w:rsidR="005E359D" w:rsidRPr="00F54151">
          <w:rPr>
            <w:rStyle w:val="Hyperlink"/>
            <w:noProof/>
          </w:rPr>
          <w:t>Why State fiscal capacities differ</w:t>
        </w:r>
        <w:r w:rsidR="005E359D">
          <w:rPr>
            <w:noProof/>
            <w:webHidden/>
          </w:rPr>
          <w:tab/>
        </w:r>
        <w:r w:rsidR="005E359D">
          <w:rPr>
            <w:noProof/>
            <w:webHidden/>
          </w:rPr>
          <w:fldChar w:fldCharType="begin"/>
        </w:r>
        <w:r w:rsidR="005E359D">
          <w:rPr>
            <w:noProof/>
            <w:webHidden/>
          </w:rPr>
          <w:instrText xml:space="preserve"> PAGEREF _Toc442949153 \h </w:instrText>
        </w:r>
        <w:r w:rsidR="005E359D">
          <w:rPr>
            <w:noProof/>
            <w:webHidden/>
          </w:rPr>
        </w:r>
        <w:r w:rsidR="005E359D">
          <w:rPr>
            <w:noProof/>
            <w:webHidden/>
          </w:rPr>
          <w:fldChar w:fldCharType="separate"/>
        </w:r>
        <w:r w:rsidR="007A6AF0">
          <w:rPr>
            <w:noProof/>
            <w:webHidden/>
          </w:rPr>
          <w:t>29</w:t>
        </w:r>
        <w:r w:rsidR="005E359D">
          <w:rPr>
            <w:noProof/>
            <w:webHidden/>
          </w:rPr>
          <w:fldChar w:fldCharType="end"/>
        </w:r>
      </w:hyperlink>
    </w:p>
    <w:p w:rsidR="005E359D" w:rsidRDefault="0014378B">
      <w:pPr>
        <w:pStyle w:val="TOC3"/>
        <w:rPr>
          <w:rFonts w:eastAsiaTheme="minorEastAsia"/>
          <w:noProof/>
          <w:sz w:val="22"/>
          <w:szCs w:val="22"/>
          <w:lang w:eastAsia="en-AU"/>
        </w:rPr>
      </w:pPr>
      <w:hyperlink w:anchor="_Toc442949154" w:history="1">
        <w:r w:rsidR="005E359D" w:rsidRPr="00F54151">
          <w:rPr>
            <w:rStyle w:val="Hyperlink"/>
            <w:noProof/>
          </w:rPr>
          <w:t>Size of the equalisation task</w:t>
        </w:r>
        <w:r w:rsidR="005E359D">
          <w:rPr>
            <w:noProof/>
            <w:webHidden/>
          </w:rPr>
          <w:tab/>
        </w:r>
        <w:r w:rsidR="005E359D">
          <w:rPr>
            <w:noProof/>
            <w:webHidden/>
          </w:rPr>
          <w:fldChar w:fldCharType="begin"/>
        </w:r>
        <w:r w:rsidR="005E359D">
          <w:rPr>
            <w:noProof/>
            <w:webHidden/>
          </w:rPr>
          <w:instrText xml:space="preserve"> PAGEREF _Toc442949154 \h </w:instrText>
        </w:r>
        <w:r w:rsidR="005E359D">
          <w:rPr>
            <w:noProof/>
            <w:webHidden/>
          </w:rPr>
        </w:r>
        <w:r w:rsidR="005E359D">
          <w:rPr>
            <w:noProof/>
            <w:webHidden/>
          </w:rPr>
          <w:fldChar w:fldCharType="separate"/>
        </w:r>
        <w:r w:rsidR="007A6AF0">
          <w:rPr>
            <w:noProof/>
            <w:webHidden/>
          </w:rPr>
          <w:t>32</w:t>
        </w:r>
        <w:r w:rsidR="005E359D">
          <w:rPr>
            <w:noProof/>
            <w:webHidden/>
          </w:rPr>
          <w:fldChar w:fldCharType="end"/>
        </w:r>
      </w:hyperlink>
    </w:p>
    <w:p w:rsidR="005E359D" w:rsidRDefault="0014378B">
      <w:pPr>
        <w:pStyle w:val="TOC1"/>
        <w:tabs>
          <w:tab w:val="right" w:pos="8941"/>
        </w:tabs>
        <w:rPr>
          <w:rFonts w:eastAsiaTheme="minorEastAsia"/>
          <w:b w:val="0"/>
          <w:bCs w:val="0"/>
          <w:caps w:val="0"/>
          <w:noProof/>
          <w:sz w:val="22"/>
          <w:szCs w:val="22"/>
          <w:lang w:eastAsia="en-AU"/>
        </w:rPr>
      </w:pPr>
      <w:hyperlink w:anchor="_Toc442949155" w:history="1">
        <w:r w:rsidR="005E359D" w:rsidRPr="00F54151">
          <w:rPr>
            <w:rStyle w:val="Hyperlink"/>
            <w:noProof/>
          </w:rPr>
          <w:t>Chapter 2</w:t>
        </w:r>
        <w:r w:rsidR="005E359D">
          <w:rPr>
            <w:rStyle w:val="Hyperlink"/>
            <w:noProof/>
          </w:rPr>
          <w:t xml:space="preserve">  new issues in this update</w:t>
        </w:r>
        <w:r w:rsidR="005E359D">
          <w:rPr>
            <w:noProof/>
            <w:webHidden/>
          </w:rPr>
          <w:tab/>
        </w:r>
        <w:r w:rsidR="005E359D">
          <w:rPr>
            <w:noProof/>
            <w:webHidden/>
          </w:rPr>
          <w:fldChar w:fldCharType="begin"/>
        </w:r>
        <w:r w:rsidR="005E359D">
          <w:rPr>
            <w:noProof/>
            <w:webHidden/>
          </w:rPr>
          <w:instrText xml:space="preserve"> PAGEREF _Toc442949155 \h </w:instrText>
        </w:r>
        <w:r w:rsidR="005E359D">
          <w:rPr>
            <w:noProof/>
            <w:webHidden/>
          </w:rPr>
        </w:r>
        <w:r w:rsidR="005E359D">
          <w:rPr>
            <w:noProof/>
            <w:webHidden/>
          </w:rPr>
          <w:fldChar w:fldCharType="separate"/>
        </w:r>
        <w:r w:rsidR="007A6AF0">
          <w:rPr>
            <w:noProof/>
            <w:webHidden/>
          </w:rPr>
          <w:t>35</w:t>
        </w:r>
        <w:r w:rsidR="005E359D">
          <w:rPr>
            <w:noProof/>
            <w:webHidden/>
          </w:rPr>
          <w:fldChar w:fldCharType="end"/>
        </w:r>
      </w:hyperlink>
    </w:p>
    <w:p w:rsidR="005E359D" w:rsidRDefault="0014378B">
      <w:pPr>
        <w:pStyle w:val="TOC3"/>
        <w:rPr>
          <w:rFonts w:eastAsiaTheme="minorEastAsia"/>
          <w:noProof/>
          <w:sz w:val="22"/>
          <w:szCs w:val="22"/>
          <w:lang w:eastAsia="en-AU"/>
        </w:rPr>
      </w:pPr>
      <w:hyperlink w:anchor="_Toc442949157" w:history="1">
        <w:r w:rsidR="005E359D" w:rsidRPr="00F54151">
          <w:rPr>
            <w:rStyle w:val="Hyperlink"/>
            <w:noProof/>
          </w:rPr>
          <w:t>Data issues</w:t>
        </w:r>
        <w:r w:rsidR="005E359D">
          <w:rPr>
            <w:noProof/>
            <w:webHidden/>
          </w:rPr>
          <w:tab/>
        </w:r>
        <w:r w:rsidR="005E359D">
          <w:rPr>
            <w:noProof/>
            <w:webHidden/>
          </w:rPr>
          <w:fldChar w:fldCharType="begin"/>
        </w:r>
        <w:r w:rsidR="005E359D">
          <w:rPr>
            <w:noProof/>
            <w:webHidden/>
          </w:rPr>
          <w:instrText xml:space="preserve"> PAGEREF _Toc442949157 \h </w:instrText>
        </w:r>
        <w:r w:rsidR="005E359D">
          <w:rPr>
            <w:noProof/>
            <w:webHidden/>
          </w:rPr>
        </w:r>
        <w:r w:rsidR="005E359D">
          <w:rPr>
            <w:noProof/>
            <w:webHidden/>
          </w:rPr>
          <w:fldChar w:fldCharType="separate"/>
        </w:r>
        <w:r w:rsidR="007A6AF0">
          <w:rPr>
            <w:noProof/>
            <w:webHidden/>
          </w:rPr>
          <w:t>35</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58" w:history="1">
        <w:r w:rsidR="005E359D" w:rsidRPr="00F54151">
          <w:rPr>
            <w:rStyle w:val="Hyperlink"/>
            <w:noProof/>
          </w:rPr>
          <w:t>Roads assessment</w:t>
        </w:r>
        <w:r w:rsidR="005E359D">
          <w:rPr>
            <w:noProof/>
            <w:webHidden/>
          </w:rPr>
          <w:tab/>
        </w:r>
        <w:r w:rsidR="005E359D">
          <w:rPr>
            <w:noProof/>
            <w:webHidden/>
          </w:rPr>
          <w:fldChar w:fldCharType="begin"/>
        </w:r>
        <w:r w:rsidR="005E359D">
          <w:rPr>
            <w:noProof/>
            <w:webHidden/>
          </w:rPr>
          <w:instrText xml:space="preserve"> PAGEREF _Toc442949158 \h </w:instrText>
        </w:r>
        <w:r w:rsidR="005E359D">
          <w:rPr>
            <w:noProof/>
            <w:webHidden/>
          </w:rPr>
        </w:r>
        <w:r w:rsidR="005E359D">
          <w:rPr>
            <w:noProof/>
            <w:webHidden/>
          </w:rPr>
          <w:fldChar w:fldCharType="separate"/>
        </w:r>
        <w:r w:rsidR="007A6AF0">
          <w:rPr>
            <w:noProof/>
            <w:webHidden/>
          </w:rPr>
          <w:t>35</w:t>
        </w:r>
        <w:r w:rsidR="005E359D">
          <w:rPr>
            <w:noProof/>
            <w:webHidden/>
          </w:rPr>
          <w:fldChar w:fldCharType="end"/>
        </w:r>
      </w:hyperlink>
    </w:p>
    <w:p w:rsidR="005E359D" w:rsidRDefault="0014378B">
      <w:pPr>
        <w:pStyle w:val="TOC5"/>
        <w:tabs>
          <w:tab w:val="right" w:pos="8941"/>
        </w:tabs>
        <w:rPr>
          <w:rFonts w:eastAsiaTheme="minorEastAsia"/>
          <w:noProof/>
          <w:sz w:val="22"/>
          <w:szCs w:val="22"/>
          <w:lang w:eastAsia="en-AU"/>
        </w:rPr>
      </w:pPr>
      <w:hyperlink w:anchor="_Toc442949159" w:history="1">
        <w:r w:rsidR="005E359D" w:rsidRPr="00F54151">
          <w:rPr>
            <w:rStyle w:val="Hyperlink"/>
            <w:noProof/>
          </w:rPr>
          <w:t>National Transport Commission trend data</w:t>
        </w:r>
        <w:r w:rsidR="005E359D">
          <w:rPr>
            <w:noProof/>
            <w:webHidden/>
          </w:rPr>
          <w:tab/>
        </w:r>
        <w:r w:rsidR="005E359D">
          <w:rPr>
            <w:noProof/>
            <w:webHidden/>
          </w:rPr>
          <w:fldChar w:fldCharType="begin"/>
        </w:r>
        <w:r w:rsidR="005E359D">
          <w:rPr>
            <w:noProof/>
            <w:webHidden/>
          </w:rPr>
          <w:instrText xml:space="preserve"> PAGEREF _Toc442949159 \h </w:instrText>
        </w:r>
        <w:r w:rsidR="005E359D">
          <w:rPr>
            <w:noProof/>
            <w:webHidden/>
          </w:rPr>
        </w:r>
        <w:r w:rsidR="005E359D">
          <w:rPr>
            <w:noProof/>
            <w:webHidden/>
          </w:rPr>
          <w:fldChar w:fldCharType="separate"/>
        </w:r>
        <w:r w:rsidR="007A6AF0">
          <w:rPr>
            <w:noProof/>
            <w:webHidden/>
          </w:rPr>
          <w:t>35</w:t>
        </w:r>
        <w:r w:rsidR="005E359D">
          <w:rPr>
            <w:noProof/>
            <w:webHidden/>
          </w:rPr>
          <w:fldChar w:fldCharType="end"/>
        </w:r>
      </w:hyperlink>
    </w:p>
    <w:p w:rsidR="005E359D" w:rsidRDefault="0014378B">
      <w:pPr>
        <w:pStyle w:val="TOC5"/>
        <w:tabs>
          <w:tab w:val="right" w:pos="8941"/>
        </w:tabs>
        <w:rPr>
          <w:rFonts w:eastAsiaTheme="minorEastAsia"/>
          <w:noProof/>
          <w:sz w:val="22"/>
          <w:szCs w:val="22"/>
          <w:lang w:eastAsia="en-AU"/>
        </w:rPr>
      </w:pPr>
      <w:hyperlink w:anchor="_Toc442949160" w:history="1">
        <w:r w:rsidR="005E359D" w:rsidRPr="00F54151">
          <w:rPr>
            <w:rStyle w:val="Hyperlink"/>
            <w:noProof/>
          </w:rPr>
          <w:t>Road classification</w:t>
        </w:r>
        <w:r w:rsidR="005E359D">
          <w:rPr>
            <w:noProof/>
            <w:webHidden/>
          </w:rPr>
          <w:tab/>
        </w:r>
        <w:r w:rsidR="005E359D">
          <w:rPr>
            <w:noProof/>
            <w:webHidden/>
          </w:rPr>
          <w:fldChar w:fldCharType="begin"/>
        </w:r>
        <w:r w:rsidR="005E359D">
          <w:rPr>
            <w:noProof/>
            <w:webHidden/>
          </w:rPr>
          <w:instrText xml:space="preserve"> PAGEREF _Toc442949160 \h </w:instrText>
        </w:r>
        <w:r w:rsidR="005E359D">
          <w:rPr>
            <w:noProof/>
            <w:webHidden/>
          </w:rPr>
        </w:r>
        <w:r w:rsidR="005E359D">
          <w:rPr>
            <w:noProof/>
            <w:webHidden/>
          </w:rPr>
          <w:fldChar w:fldCharType="separate"/>
        </w:r>
        <w:r w:rsidR="007A6AF0">
          <w:rPr>
            <w:noProof/>
            <w:webHidden/>
          </w:rPr>
          <w:t>37</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61" w:history="1">
        <w:r w:rsidR="005E359D" w:rsidRPr="00F54151">
          <w:rPr>
            <w:rStyle w:val="Hyperlink"/>
            <w:noProof/>
          </w:rPr>
          <w:t>Welfare assessment</w:t>
        </w:r>
        <w:r w:rsidR="005E359D">
          <w:rPr>
            <w:noProof/>
            <w:webHidden/>
          </w:rPr>
          <w:tab/>
        </w:r>
        <w:r w:rsidR="005E359D">
          <w:rPr>
            <w:noProof/>
            <w:webHidden/>
          </w:rPr>
          <w:fldChar w:fldCharType="begin"/>
        </w:r>
        <w:r w:rsidR="005E359D">
          <w:rPr>
            <w:noProof/>
            <w:webHidden/>
          </w:rPr>
          <w:instrText xml:space="preserve"> PAGEREF _Toc442949161 \h </w:instrText>
        </w:r>
        <w:r w:rsidR="005E359D">
          <w:rPr>
            <w:noProof/>
            <w:webHidden/>
          </w:rPr>
        </w:r>
        <w:r w:rsidR="005E359D">
          <w:rPr>
            <w:noProof/>
            <w:webHidden/>
          </w:rPr>
          <w:fldChar w:fldCharType="separate"/>
        </w:r>
        <w:r w:rsidR="007A6AF0">
          <w:rPr>
            <w:noProof/>
            <w:webHidden/>
          </w:rPr>
          <w:t>38</w:t>
        </w:r>
        <w:r w:rsidR="005E359D">
          <w:rPr>
            <w:noProof/>
            <w:webHidden/>
          </w:rPr>
          <w:fldChar w:fldCharType="end"/>
        </w:r>
      </w:hyperlink>
    </w:p>
    <w:p w:rsidR="005E359D" w:rsidRDefault="0014378B">
      <w:pPr>
        <w:pStyle w:val="TOC5"/>
        <w:tabs>
          <w:tab w:val="right" w:pos="8941"/>
        </w:tabs>
        <w:rPr>
          <w:rFonts w:eastAsiaTheme="minorEastAsia"/>
          <w:noProof/>
          <w:sz w:val="22"/>
          <w:szCs w:val="22"/>
          <w:lang w:eastAsia="en-AU"/>
        </w:rPr>
      </w:pPr>
      <w:hyperlink w:anchor="_Toc442949162" w:history="1">
        <w:r w:rsidR="005E359D" w:rsidRPr="00F54151">
          <w:rPr>
            <w:rStyle w:val="Hyperlink"/>
            <w:noProof/>
          </w:rPr>
          <w:t>New child protection data</w:t>
        </w:r>
        <w:r w:rsidR="005E359D">
          <w:rPr>
            <w:noProof/>
            <w:webHidden/>
          </w:rPr>
          <w:tab/>
        </w:r>
        <w:r w:rsidR="005E359D">
          <w:rPr>
            <w:noProof/>
            <w:webHidden/>
          </w:rPr>
          <w:fldChar w:fldCharType="begin"/>
        </w:r>
        <w:r w:rsidR="005E359D">
          <w:rPr>
            <w:noProof/>
            <w:webHidden/>
          </w:rPr>
          <w:instrText xml:space="preserve"> PAGEREF _Toc442949162 \h </w:instrText>
        </w:r>
        <w:r w:rsidR="005E359D">
          <w:rPr>
            <w:noProof/>
            <w:webHidden/>
          </w:rPr>
        </w:r>
        <w:r w:rsidR="005E359D">
          <w:rPr>
            <w:noProof/>
            <w:webHidden/>
          </w:rPr>
          <w:fldChar w:fldCharType="separate"/>
        </w:r>
        <w:r w:rsidR="007A6AF0">
          <w:rPr>
            <w:noProof/>
            <w:webHidden/>
          </w:rPr>
          <w:t>38</w:t>
        </w:r>
        <w:r w:rsidR="005E359D">
          <w:rPr>
            <w:noProof/>
            <w:webHidden/>
          </w:rPr>
          <w:fldChar w:fldCharType="end"/>
        </w:r>
      </w:hyperlink>
    </w:p>
    <w:p w:rsidR="005E359D" w:rsidRDefault="0014378B">
      <w:pPr>
        <w:pStyle w:val="TOC5"/>
        <w:tabs>
          <w:tab w:val="right" w:pos="8941"/>
        </w:tabs>
        <w:rPr>
          <w:rFonts w:eastAsiaTheme="minorEastAsia"/>
          <w:noProof/>
          <w:sz w:val="22"/>
          <w:szCs w:val="22"/>
          <w:lang w:eastAsia="en-AU"/>
        </w:rPr>
      </w:pPr>
      <w:hyperlink w:anchor="_Toc442949163" w:history="1">
        <w:r w:rsidR="005E359D" w:rsidRPr="00F54151">
          <w:rPr>
            <w:rStyle w:val="Hyperlink"/>
            <w:noProof/>
          </w:rPr>
          <w:t>Socio-economic index for individuals (SEIFI) or households</w:t>
        </w:r>
        <w:r w:rsidR="005E359D">
          <w:rPr>
            <w:noProof/>
            <w:webHidden/>
          </w:rPr>
          <w:tab/>
        </w:r>
        <w:r w:rsidR="005E359D">
          <w:rPr>
            <w:noProof/>
            <w:webHidden/>
          </w:rPr>
          <w:fldChar w:fldCharType="begin"/>
        </w:r>
        <w:r w:rsidR="005E359D">
          <w:rPr>
            <w:noProof/>
            <w:webHidden/>
          </w:rPr>
          <w:instrText xml:space="preserve"> PAGEREF _Toc442949163 \h </w:instrText>
        </w:r>
        <w:r w:rsidR="005E359D">
          <w:rPr>
            <w:noProof/>
            <w:webHidden/>
          </w:rPr>
        </w:r>
        <w:r w:rsidR="005E359D">
          <w:rPr>
            <w:noProof/>
            <w:webHidden/>
          </w:rPr>
          <w:fldChar w:fldCharType="separate"/>
        </w:r>
        <w:r w:rsidR="007A6AF0">
          <w:rPr>
            <w:noProof/>
            <w:webHidden/>
          </w:rPr>
          <w:t>38</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64" w:history="1">
        <w:r w:rsidR="005E359D" w:rsidRPr="00F54151">
          <w:rPr>
            <w:rStyle w:val="Hyperlink"/>
            <w:noProof/>
          </w:rPr>
          <w:t>Independent Hospital Pricing Authority (IHPA) data in the Health assessment</w:t>
        </w:r>
        <w:r w:rsidR="005E359D">
          <w:rPr>
            <w:noProof/>
            <w:webHidden/>
          </w:rPr>
          <w:tab/>
        </w:r>
        <w:r w:rsidR="005E359D">
          <w:rPr>
            <w:noProof/>
            <w:webHidden/>
          </w:rPr>
          <w:fldChar w:fldCharType="begin"/>
        </w:r>
        <w:r w:rsidR="005E359D">
          <w:rPr>
            <w:noProof/>
            <w:webHidden/>
          </w:rPr>
          <w:instrText xml:space="preserve"> PAGEREF _Toc442949164 \h </w:instrText>
        </w:r>
        <w:r w:rsidR="005E359D">
          <w:rPr>
            <w:noProof/>
            <w:webHidden/>
          </w:rPr>
        </w:r>
        <w:r w:rsidR="005E359D">
          <w:rPr>
            <w:noProof/>
            <w:webHidden/>
          </w:rPr>
          <w:fldChar w:fldCharType="separate"/>
        </w:r>
        <w:r w:rsidR="007A6AF0">
          <w:rPr>
            <w:noProof/>
            <w:webHidden/>
          </w:rPr>
          <w:t>39</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65" w:history="1">
        <w:r w:rsidR="005E359D" w:rsidRPr="00F54151">
          <w:rPr>
            <w:rStyle w:val="Hyperlink"/>
            <w:noProof/>
          </w:rPr>
          <w:t>Land tax</w:t>
        </w:r>
        <w:r w:rsidR="005E359D">
          <w:rPr>
            <w:noProof/>
            <w:webHidden/>
          </w:rPr>
          <w:tab/>
        </w:r>
        <w:r w:rsidR="005E359D">
          <w:rPr>
            <w:noProof/>
            <w:webHidden/>
          </w:rPr>
          <w:fldChar w:fldCharType="begin"/>
        </w:r>
        <w:r w:rsidR="005E359D">
          <w:rPr>
            <w:noProof/>
            <w:webHidden/>
          </w:rPr>
          <w:instrText xml:space="preserve"> PAGEREF _Toc442949165 \h </w:instrText>
        </w:r>
        <w:r w:rsidR="005E359D">
          <w:rPr>
            <w:noProof/>
            <w:webHidden/>
          </w:rPr>
        </w:r>
        <w:r w:rsidR="005E359D">
          <w:rPr>
            <w:noProof/>
            <w:webHidden/>
          </w:rPr>
          <w:fldChar w:fldCharType="separate"/>
        </w:r>
        <w:r w:rsidR="007A6AF0">
          <w:rPr>
            <w:noProof/>
            <w:webHidden/>
          </w:rPr>
          <w:t>40</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66" w:history="1">
        <w:r w:rsidR="005E359D" w:rsidRPr="00F54151">
          <w:rPr>
            <w:rStyle w:val="Hyperlink"/>
            <w:noProof/>
          </w:rPr>
          <w:t>Sharing of confidential State data</w:t>
        </w:r>
        <w:r w:rsidR="005E359D">
          <w:rPr>
            <w:noProof/>
            <w:webHidden/>
          </w:rPr>
          <w:tab/>
        </w:r>
        <w:r w:rsidR="005E359D">
          <w:rPr>
            <w:noProof/>
            <w:webHidden/>
          </w:rPr>
          <w:fldChar w:fldCharType="begin"/>
        </w:r>
        <w:r w:rsidR="005E359D">
          <w:rPr>
            <w:noProof/>
            <w:webHidden/>
          </w:rPr>
          <w:instrText xml:space="preserve"> PAGEREF _Toc442949166 \h </w:instrText>
        </w:r>
        <w:r w:rsidR="005E359D">
          <w:rPr>
            <w:noProof/>
            <w:webHidden/>
          </w:rPr>
        </w:r>
        <w:r w:rsidR="005E359D">
          <w:rPr>
            <w:noProof/>
            <w:webHidden/>
          </w:rPr>
          <w:fldChar w:fldCharType="separate"/>
        </w:r>
        <w:r w:rsidR="007A6AF0">
          <w:rPr>
            <w:noProof/>
            <w:webHidden/>
          </w:rPr>
          <w:t>41</w:t>
        </w:r>
        <w:r w:rsidR="005E359D">
          <w:rPr>
            <w:noProof/>
            <w:webHidden/>
          </w:rPr>
          <w:fldChar w:fldCharType="end"/>
        </w:r>
      </w:hyperlink>
    </w:p>
    <w:p w:rsidR="005E359D" w:rsidRDefault="0014378B">
      <w:pPr>
        <w:pStyle w:val="TOC3"/>
        <w:rPr>
          <w:rFonts w:eastAsiaTheme="minorEastAsia"/>
          <w:noProof/>
          <w:sz w:val="22"/>
          <w:szCs w:val="22"/>
          <w:lang w:eastAsia="en-AU"/>
        </w:rPr>
      </w:pPr>
      <w:hyperlink w:anchor="_Toc442949167" w:history="1">
        <w:r w:rsidR="005E359D" w:rsidRPr="00F54151">
          <w:rPr>
            <w:rStyle w:val="Hyperlink"/>
            <w:noProof/>
          </w:rPr>
          <w:t>Assessment issues</w:t>
        </w:r>
        <w:r w:rsidR="005E359D">
          <w:rPr>
            <w:noProof/>
            <w:webHidden/>
          </w:rPr>
          <w:tab/>
        </w:r>
        <w:r w:rsidR="005E359D">
          <w:rPr>
            <w:noProof/>
            <w:webHidden/>
          </w:rPr>
          <w:fldChar w:fldCharType="begin"/>
        </w:r>
        <w:r w:rsidR="005E359D">
          <w:rPr>
            <w:noProof/>
            <w:webHidden/>
          </w:rPr>
          <w:instrText xml:space="preserve"> PAGEREF _Toc442949167 \h </w:instrText>
        </w:r>
        <w:r w:rsidR="005E359D">
          <w:rPr>
            <w:noProof/>
            <w:webHidden/>
          </w:rPr>
        </w:r>
        <w:r w:rsidR="005E359D">
          <w:rPr>
            <w:noProof/>
            <w:webHidden/>
          </w:rPr>
          <w:fldChar w:fldCharType="separate"/>
        </w:r>
        <w:r w:rsidR="007A6AF0">
          <w:rPr>
            <w:noProof/>
            <w:webHidden/>
          </w:rPr>
          <w:t>41</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68" w:history="1">
        <w:r w:rsidR="005E359D" w:rsidRPr="00F54151">
          <w:rPr>
            <w:rStyle w:val="Hyperlink"/>
            <w:noProof/>
          </w:rPr>
          <w:t>Transition to the National Disability Insurance Scheme (NDIS)</w:t>
        </w:r>
        <w:r w:rsidR="005E359D">
          <w:rPr>
            <w:noProof/>
            <w:webHidden/>
          </w:rPr>
          <w:tab/>
        </w:r>
        <w:r w:rsidR="005E359D">
          <w:rPr>
            <w:noProof/>
            <w:webHidden/>
          </w:rPr>
          <w:fldChar w:fldCharType="begin"/>
        </w:r>
        <w:r w:rsidR="005E359D">
          <w:rPr>
            <w:noProof/>
            <w:webHidden/>
          </w:rPr>
          <w:instrText xml:space="preserve"> PAGEREF _Toc442949168 \h </w:instrText>
        </w:r>
        <w:r w:rsidR="005E359D">
          <w:rPr>
            <w:noProof/>
            <w:webHidden/>
          </w:rPr>
        </w:r>
        <w:r w:rsidR="005E359D">
          <w:rPr>
            <w:noProof/>
            <w:webHidden/>
          </w:rPr>
          <w:fldChar w:fldCharType="separate"/>
        </w:r>
        <w:r w:rsidR="007A6AF0">
          <w:rPr>
            <w:noProof/>
            <w:webHidden/>
          </w:rPr>
          <w:t>41</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69" w:history="1">
        <w:r w:rsidR="005E359D" w:rsidRPr="00F54151">
          <w:rPr>
            <w:rStyle w:val="Hyperlink"/>
            <w:noProof/>
          </w:rPr>
          <w:t>State mining revenue raising activities</w:t>
        </w:r>
        <w:r w:rsidR="005E359D">
          <w:rPr>
            <w:noProof/>
            <w:webHidden/>
          </w:rPr>
          <w:tab/>
        </w:r>
        <w:r w:rsidR="005E359D">
          <w:rPr>
            <w:noProof/>
            <w:webHidden/>
          </w:rPr>
          <w:fldChar w:fldCharType="begin"/>
        </w:r>
        <w:r w:rsidR="005E359D">
          <w:rPr>
            <w:noProof/>
            <w:webHidden/>
          </w:rPr>
          <w:instrText xml:space="preserve"> PAGEREF _Toc442949169 \h </w:instrText>
        </w:r>
        <w:r w:rsidR="005E359D">
          <w:rPr>
            <w:noProof/>
            <w:webHidden/>
          </w:rPr>
        </w:r>
        <w:r w:rsidR="005E359D">
          <w:rPr>
            <w:noProof/>
            <w:webHidden/>
          </w:rPr>
          <w:fldChar w:fldCharType="separate"/>
        </w:r>
        <w:r w:rsidR="007A6AF0">
          <w:rPr>
            <w:noProof/>
            <w:webHidden/>
          </w:rPr>
          <w:t>42</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70" w:history="1">
        <w:r w:rsidR="005E359D" w:rsidRPr="00F54151">
          <w:rPr>
            <w:rStyle w:val="Hyperlink"/>
            <w:noProof/>
          </w:rPr>
          <w:t>Natural disaster relief and recovery arrangements (NDRRA)</w:t>
        </w:r>
        <w:r w:rsidR="005E359D">
          <w:rPr>
            <w:noProof/>
            <w:webHidden/>
          </w:rPr>
          <w:tab/>
        </w:r>
        <w:r w:rsidR="005E359D">
          <w:rPr>
            <w:noProof/>
            <w:webHidden/>
          </w:rPr>
          <w:fldChar w:fldCharType="begin"/>
        </w:r>
        <w:r w:rsidR="005E359D">
          <w:rPr>
            <w:noProof/>
            <w:webHidden/>
          </w:rPr>
          <w:instrText xml:space="preserve"> PAGEREF _Toc442949170 \h </w:instrText>
        </w:r>
        <w:r w:rsidR="005E359D">
          <w:rPr>
            <w:noProof/>
            <w:webHidden/>
          </w:rPr>
        </w:r>
        <w:r w:rsidR="005E359D">
          <w:rPr>
            <w:noProof/>
            <w:webHidden/>
          </w:rPr>
          <w:fldChar w:fldCharType="separate"/>
        </w:r>
        <w:r w:rsidR="007A6AF0">
          <w:rPr>
            <w:noProof/>
            <w:webHidden/>
          </w:rPr>
          <w:t>42</w:t>
        </w:r>
        <w:r w:rsidR="005E359D">
          <w:rPr>
            <w:noProof/>
            <w:webHidden/>
          </w:rPr>
          <w:fldChar w:fldCharType="end"/>
        </w:r>
      </w:hyperlink>
    </w:p>
    <w:p w:rsidR="005E359D" w:rsidRDefault="0014378B">
      <w:pPr>
        <w:pStyle w:val="TOC3"/>
        <w:rPr>
          <w:rFonts w:eastAsiaTheme="minorEastAsia"/>
          <w:noProof/>
          <w:sz w:val="22"/>
          <w:szCs w:val="22"/>
          <w:lang w:eastAsia="en-AU"/>
        </w:rPr>
      </w:pPr>
      <w:hyperlink w:anchor="_Toc442949171" w:history="1">
        <w:r w:rsidR="005E359D" w:rsidRPr="00F54151">
          <w:rPr>
            <w:rStyle w:val="Hyperlink"/>
            <w:noProof/>
          </w:rPr>
          <w:t>Treatment of Commonwealth payments</w:t>
        </w:r>
        <w:r w:rsidR="005E359D">
          <w:rPr>
            <w:noProof/>
            <w:webHidden/>
          </w:rPr>
          <w:tab/>
        </w:r>
        <w:r w:rsidR="005E359D">
          <w:rPr>
            <w:noProof/>
            <w:webHidden/>
          </w:rPr>
          <w:fldChar w:fldCharType="begin"/>
        </w:r>
        <w:r w:rsidR="005E359D">
          <w:rPr>
            <w:noProof/>
            <w:webHidden/>
          </w:rPr>
          <w:instrText xml:space="preserve"> PAGEREF _Toc442949171 \h </w:instrText>
        </w:r>
        <w:r w:rsidR="005E359D">
          <w:rPr>
            <w:noProof/>
            <w:webHidden/>
          </w:rPr>
        </w:r>
        <w:r w:rsidR="005E359D">
          <w:rPr>
            <w:noProof/>
            <w:webHidden/>
          </w:rPr>
          <w:fldChar w:fldCharType="separate"/>
        </w:r>
        <w:r w:rsidR="007A6AF0">
          <w:rPr>
            <w:noProof/>
            <w:webHidden/>
          </w:rPr>
          <w:t>42</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72" w:history="1">
        <w:r w:rsidR="005E359D" w:rsidRPr="00F54151">
          <w:rPr>
            <w:rStyle w:val="Hyperlink"/>
            <w:noProof/>
          </w:rPr>
          <w:t>Terms of reference requirements</w:t>
        </w:r>
        <w:r w:rsidR="005E359D">
          <w:rPr>
            <w:noProof/>
            <w:webHidden/>
          </w:rPr>
          <w:tab/>
        </w:r>
        <w:r w:rsidR="005E359D">
          <w:rPr>
            <w:noProof/>
            <w:webHidden/>
          </w:rPr>
          <w:fldChar w:fldCharType="begin"/>
        </w:r>
        <w:r w:rsidR="005E359D">
          <w:rPr>
            <w:noProof/>
            <w:webHidden/>
          </w:rPr>
          <w:instrText xml:space="preserve"> PAGEREF _Toc442949172 \h </w:instrText>
        </w:r>
        <w:r w:rsidR="005E359D">
          <w:rPr>
            <w:noProof/>
            <w:webHidden/>
          </w:rPr>
        </w:r>
        <w:r w:rsidR="005E359D">
          <w:rPr>
            <w:noProof/>
            <w:webHidden/>
          </w:rPr>
          <w:fldChar w:fldCharType="separate"/>
        </w:r>
        <w:r w:rsidR="007A6AF0">
          <w:rPr>
            <w:noProof/>
            <w:webHidden/>
          </w:rPr>
          <w:t>42</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73" w:history="1">
        <w:r w:rsidR="005E359D" w:rsidRPr="00F54151">
          <w:rPr>
            <w:rStyle w:val="Hyperlink"/>
            <w:noProof/>
          </w:rPr>
          <w:t>Treatment of Commonwealth payments commenced in 2014-15</w:t>
        </w:r>
        <w:r w:rsidR="005E359D">
          <w:rPr>
            <w:noProof/>
            <w:webHidden/>
          </w:rPr>
          <w:tab/>
        </w:r>
        <w:r w:rsidR="005E359D">
          <w:rPr>
            <w:noProof/>
            <w:webHidden/>
          </w:rPr>
          <w:fldChar w:fldCharType="begin"/>
        </w:r>
        <w:r w:rsidR="005E359D">
          <w:rPr>
            <w:noProof/>
            <w:webHidden/>
          </w:rPr>
          <w:instrText xml:space="preserve"> PAGEREF _Toc442949173 \h </w:instrText>
        </w:r>
        <w:r w:rsidR="005E359D">
          <w:rPr>
            <w:noProof/>
            <w:webHidden/>
          </w:rPr>
        </w:r>
        <w:r w:rsidR="005E359D">
          <w:rPr>
            <w:noProof/>
            <w:webHidden/>
          </w:rPr>
          <w:fldChar w:fldCharType="separate"/>
        </w:r>
        <w:r w:rsidR="007A6AF0">
          <w:rPr>
            <w:noProof/>
            <w:webHidden/>
          </w:rPr>
          <w:t>43</w:t>
        </w:r>
        <w:r w:rsidR="005E359D">
          <w:rPr>
            <w:noProof/>
            <w:webHidden/>
          </w:rPr>
          <w:fldChar w:fldCharType="end"/>
        </w:r>
      </w:hyperlink>
    </w:p>
    <w:p w:rsidR="005E359D" w:rsidRDefault="0014378B">
      <w:pPr>
        <w:pStyle w:val="TOC5"/>
        <w:tabs>
          <w:tab w:val="right" w:pos="8941"/>
        </w:tabs>
        <w:rPr>
          <w:rFonts w:eastAsiaTheme="minorEastAsia"/>
          <w:noProof/>
          <w:sz w:val="22"/>
          <w:szCs w:val="22"/>
          <w:lang w:eastAsia="en-AU"/>
        </w:rPr>
      </w:pPr>
      <w:hyperlink w:anchor="_Toc442949174" w:history="1">
        <w:r w:rsidR="005E359D" w:rsidRPr="00F54151">
          <w:rPr>
            <w:rStyle w:val="Hyperlink"/>
            <w:noProof/>
          </w:rPr>
          <w:t>Hummingbird House</w:t>
        </w:r>
        <w:r w:rsidR="005E359D">
          <w:rPr>
            <w:noProof/>
            <w:webHidden/>
          </w:rPr>
          <w:tab/>
        </w:r>
        <w:r w:rsidR="005E359D">
          <w:rPr>
            <w:noProof/>
            <w:webHidden/>
          </w:rPr>
          <w:fldChar w:fldCharType="begin"/>
        </w:r>
        <w:r w:rsidR="005E359D">
          <w:rPr>
            <w:noProof/>
            <w:webHidden/>
          </w:rPr>
          <w:instrText xml:space="preserve"> PAGEREF _Toc442949174 \h </w:instrText>
        </w:r>
        <w:r w:rsidR="005E359D">
          <w:rPr>
            <w:noProof/>
            <w:webHidden/>
          </w:rPr>
        </w:r>
        <w:r w:rsidR="005E359D">
          <w:rPr>
            <w:noProof/>
            <w:webHidden/>
          </w:rPr>
          <w:fldChar w:fldCharType="separate"/>
        </w:r>
        <w:r w:rsidR="007A6AF0">
          <w:rPr>
            <w:noProof/>
            <w:webHidden/>
          </w:rPr>
          <w:t>45</w:t>
        </w:r>
        <w:r w:rsidR="005E359D">
          <w:rPr>
            <w:noProof/>
            <w:webHidden/>
          </w:rPr>
          <w:fldChar w:fldCharType="end"/>
        </w:r>
      </w:hyperlink>
    </w:p>
    <w:p w:rsidR="005E359D" w:rsidRDefault="0014378B">
      <w:pPr>
        <w:pStyle w:val="TOC5"/>
        <w:tabs>
          <w:tab w:val="right" w:pos="8941"/>
        </w:tabs>
        <w:rPr>
          <w:rFonts w:eastAsiaTheme="minorEastAsia"/>
          <w:noProof/>
          <w:sz w:val="22"/>
          <w:szCs w:val="22"/>
          <w:lang w:eastAsia="en-AU"/>
        </w:rPr>
      </w:pPr>
      <w:hyperlink w:anchor="_Toc442949175" w:history="1">
        <w:r w:rsidR="005E359D" w:rsidRPr="00F54151">
          <w:rPr>
            <w:rStyle w:val="Hyperlink"/>
            <w:noProof/>
          </w:rPr>
          <w:t>National school chaplaincy program</w:t>
        </w:r>
        <w:r w:rsidR="005E359D">
          <w:rPr>
            <w:noProof/>
            <w:webHidden/>
          </w:rPr>
          <w:tab/>
        </w:r>
        <w:r w:rsidR="005E359D">
          <w:rPr>
            <w:noProof/>
            <w:webHidden/>
          </w:rPr>
          <w:fldChar w:fldCharType="begin"/>
        </w:r>
        <w:r w:rsidR="005E359D">
          <w:rPr>
            <w:noProof/>
            <w:webHidden/>
          </w:rPr>
          <w:instrText xml:space="preserve"> PAGEREF _Toc442949175 \h </w:instrText>
        </w:r>
        <w:r w:rsidR="005E359D">
          <w:rPr>
            <w:noProof/>
            <w:webHidden/>
          </w:rPr>
        </w:r>
        <w:r w:rsidR="005E359D">
          <w:rPr>
            <w:noProof/>
            <w:webHidden/>
          </w:rPr>
          <w:fldChar w:fldCharType="separate"/>
        </w:r>
        <w:r w:rsidR="007A6AF0">
          <w:rPr>
            <w:noProof/>
            <w:webHidden/>
          </w:rPr>
          <w:t>46</w:t>
        </w:r>
        <w:r w:rsidR="005E359D">
          <w:rPr>
            <w:noProof/>
            <w:webHidden/>
          </w:rPr>
          <w:fldChar w:fldCharType="end"/>
        </w:r>
      </w:hyperlink>
    </w:p>
    <w:p w:rsidR="005E359D" w:rsidRDefault="0014378B">
      <w:pPr>
        <w:pStyle w:val="TOC5"/>
        <w:tabs>
          <w:tab w:val="right" w:pos="8941"/>
        </w:tabs>
        <w:rPr>
          <w:rFonts w:eastAsiaTheme="minorEastAsia"/>
          <w:noProof/>
          <w:sz w:val="22"/>
          <w:szCs w:val="22"/>
          <w:lang w:eastAsia="en-AU"/>
        </w:rPr>
      </w:pPr>
      <w:hyperlink w:anchor="_Toc442949176" w:history="1">
        <w:r w:rsidR="005E359D" w:rsidRPr="00F54151">
          <w:rPr>
            <w:rStyle w:val="Hyperlink"/>
            <w:noProof/>
          </w:rPr>
          <w:t>Implementation of national insurance affordability initiative</w:t>
        </w:r>
        <w:r w:rsidR="005E359D">
          <w:rPr>
            <w:noProof/>
            <w:webHidden/>
          </w:rPr>
          <w:tab/>
        </w:r>
        <w:r w:rsidR="005E359D">
          <w:rPr>
            <w:noProof/>
            <w:webHidden/>
          </w:rPr>
          <w:fldChar w:fldCharType="begin"/>
        </w:r>
        <w:r w:rsidR="005E359D">
          <w:rPr>
            <w:noProof/>
            <w:webHidden/>
          </w:rPr>
          <w:instrText xml:space="preserve"> PAGEREF _Toc442949176 \h </w:instrText>
        </w:r>
        <w:r w:rsidR="005E359D">
          <w:rPr>
            <w:noProof/>
            <w:webHidden/>
          </w:rPr>
        </w:r>
        <w:r w:rsidR="005E359D">
          <w:rPr>
            <w:noProof/>
            <w:webHidden/>
          </w:rPr>
          <w:fldChar w:fldCharType="separate"/>
        </w:r>
        <w:r w:rsidR="007A6AF0">
          <w:rPr>
            <w:noProof/>
            <w:webHidden/>
          </w:rPr>
          <w:t>47</w:t>
        </w:r>
        <w:r w:rsidR="005E359D">
          <w:rPr>
            <w:noProof/>
            <w:webHidden/>
          </w:rPr>
          <w:fldChar w:fldCharType="end"/>
        </w:r>
      </w:hyperlink>
    </w:p>
    <w:p w:rsidR="005E359D" w:rsidRDefault="0014378B">
      <w:pPr>
        <w:pStyle w:val="TOC5"/>
        <w:tabs>
          <w:tab w:val="right" w:pos="8941"/>
        </w:tabs>
        <w:rPr>
          <w:rFonts w:eastAsiaTheme="minorEastAsia"/>
          <w:noProof/>
          <w:sz w:val="22"/>
          <w:szCs w:val="22"/>
          <w:lang w:eastAsia="en-AU"/>
        </w:rPr>
      </w:pPr>
      <w:hyperlink w:anchor="_Toc442949177" w:history="1">
        <w:r w:rsidR="005E359D" w:rsidRPr="00F54151">
          <w:rPr>
            <w:rStyle w:val="Hyperlink"/>
            <w:noProof/>
          </w:rPr>
          <w:t>National road and rail network projects</w:t>
        </w:r>
        <w:r w:rsidR="005E359D">
          <w:rPr>
            <w:noProof/>
            <w:webHidden/>
          </w:rPr>
          <w:tab/>
        </w:r>
        <w:r w:rsidR="005E359D">
          <w:rPr>
            <w:noProof/>
            <w:webHidden/>
          </w:rPr>
          <w:fldChar w:fldCharType="begin"/>
        </w:r>
        <w:r w:rsidR="005E359D">
          <w:rPr>
            <w:noProof/>
            <w:webHidden/>
          </w:rPr>
          <w:instrText xml:space="preserve"> PAGEREF _Toc442949177 \h </w:instrText>
        </w:r>
        <w:r w:rsidR="005E359D">
          <w:rPr>
            <w:noProof/>
            <w:webHidden/>
          </w:rPr>
        </w:r>
        <w:r w:rsidR="005E359D">
          <w:rPr>
            <w:noProof/>
            <w:webHidden/>
          </w:rPr>
          <w:fldChar w:fldCharType="separate"/>
        </w:r>
        <w:r w:rsidR="007A6AF0">
          <w:rPr>
            <w:noProof/>
            <w:webHidden/>
          </w:rPr>
          <w:t>48</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78" w:history="1">
        <w:r w:rsidR="005E359D" w:rsidRPr="00F54151">
          <w:rPr>
            <w:rStyle w:val="Hyperlink"/>
            <w:noProof/>
          </w:rPr>
          <w:t>Treatment of Commonwealth own purpose expenses for Indigenous purposes</w:t>
        </w:r>
        <w:r w:rsidR="005E359D">
          <w:rPr>
            <w:noProof/>
            <w:webHidden/>
          </w:rPr>
          <w:tab/>
        </w:r>
        <w:r w:rsidR="005E359D">
          <w:rPr>
            <w:noProof/>
            <w:webHidden/>
          </w:rPr>
          <w:fldChar w:fldCharType="begin"/>
        </w:r>
        <w:r w:rsidR="005E359D">
          <w:rPr>
            <w:noProof/>
            <w:webHidden/>
          </w:rPr>
          <w:instrText xml:space="preserve"> PAGEREF _Toc442949178 \h </w:instrText>
        </w:r>
        <w:r w:rsidR="005E359D">
          <w:rPr>
            <w:noProof/>
            <w:webHidden/>
          </w:rPr>
        </w:r>
        <w:r w:rsidR="005E359D">
          <w:rPr>
            <w:noProof/>
            <w:webHidden/>
          </w:rPr>
          <w:fldChar w:fldCharType="separate"/>
        </w:r>
        <w:r w:rsidR="007A6AF0">
          <w:rPr>
            <w:noProof/>
            <w:webHidden/>
          </w:rPr>
          <w:t>50</w:t>
        </w:r>
        <w:r w:rsidR="005E359D">
          <w:rPr>
            <w:noProof/>
            <w:webHidden/>
          </w:rPr>
          <w:fldChar w:fldCharType="end"/>
        </w:r>
      </w:hyperlink>
    </w:p>
    <w:p w:rsidR="005E359D" w:rsidRDefault="0014378B">
      <w:pPr>
        <w:pStyle w:val="TOC5"/>
        <w:tabs>
          <w:tab w:val="right" w:pos="8941"/>
        </w:tabs>
        <w:rPr>
          <w:rFonts w:eastAsiaTheme="minorEastAsia"/>
          <w:noProof/>
          <w:sz w:val="22"/>
          <w:szCs w:val="22"/>
          <w:lang w:eastAsia="en-AU"/>
        </w:rPr>
      </w:pPr>
      <w:hyperlink w:anchor="_Toc442949179" w:history="1">
        <w:r w:rsidR="005E359D" w:rsidRPr="00F54151">
          <w:rPr>
            <w:rStyle w:val="Hyperlink"/>
            <w:noProof/>
          </w:rPr>
          <w:t>Payments to the State general government sector</w:t>
        </w:r>
        <w:r w:rsidR="005E359D">
          <w:rPr>
            <w:noProof/>
            <w:webHidden/>
          </w:rPr>
          <w:tab/>
        </w:r>
        <w:r w:rsidR="005E359D">
          <w:rPr>
            <w:noProof/>
            <w:webHidden/>
          </w:rPr>
          <w:fldChar w:fldCharType="begin"/>
        </w:r>
        <w:r w:rsidR="005E359D">
          <w:rPr>
            <w:noProof/>
            <w:webHidden/>
          </w:rPr>
          <w:instrText xml:space="preserve"> PAGEREF _Toc442949179 \h </w:instrText>
        </w:r>
        <w:r w:rsidR="005E359D">
          <w:rPr>
            <w:noProof/>
            <w:webHidden/>
          </w:rPr>
        </w:r>
        <w:r w:rsidR="005E359D">
          <w:rPr>
            <w:noProof/>
            <w:webHidden/>
          </w:rPr>
          <w:fldChar w:fldCharType="separate"/>
        </w:r>
        <w:r w:rsidR="007A6AF0">
          <w:rPr>
            <w:noProof/>
            <w:webHidden/>
          </w:rPr>
          <w:t>50</w:t>
        </w:r>
        <w:r w:rsidR="005E359D">
          <w:rPr>
            <w:noProof/>
            <w:webHidden/>
          </w:rPr>
          <w:fldChar w:fldCharType="end"/>
        </w:r>
      </w:hyperlink>
    </w:p>
    <w:p w:rsidR="005E359D" w:rsidRDefault="0014378B">
      <w:pPr>
        <w:pStyle w:val="TOC5"/>
        <w:tabs>
          <w:tab w:val="right" w:pos="8941"/>
        </w:tabs>
        <w:rPr>
          <w:rFonts w:eastAsiaTheme="minorEastAsia"/>
          <w:noProof/>
          <w:sz w:val="22"/>
          <w:szCs w:val="22"/>
          <w:lang w:eastAsia="en-AU"/>
        </w:rPr>
      </w:pPr>
      <w:hyperlink w:anchor="_Toc442949180" w:history="1">
        <w:r w:rsidR="005E359D" w:rsidRPr="00F54151">
          <w:rPr>
            <w:rStyle w:val="Hyperlink"/>
            <w:noProof/>
          </w:rPr>
          <w:t>Payments to State non-government organisations</w:t>
        </w:r>
        <w:r w:rsidR="005E359D">
          <w:rPr>
            <w:noProof/>
            <w:webHidden/>
          </w:rPr>
          <w:tab/>
        </w:r>
        <w:r w:rsidR="005E359D">
          <w:rPr>
            <w:noProof/>
            <w:webHidden/>
          </w:rPr>
          <w:fldChar w:fldCharType="begin"/>
        </w:r>
        <w:r w:rsidR="005E359D">
          <w:rPr>
            <w:noProof/>
            <w:webHidden/>
          </w:rPr>
          <w:instrText xml:space="preserve"> PAGEREF _Toc442949180 \h </w:instrText>
        </w:r>
        <w:r w:rsidR="005E359D">
          <w:rPr>
            <w:noProof/>
            <w:webHidden/>
          </w:rPr>
        </w:r>
        <w:r w:rsidR="005E359D">
          <w:rPr>
            <w:noProof/>
            <w:webHidden/>
          </w:rPr>
          <w:fldChar w:fldCharType="separate"/>
        </w:r>
        <w:r w:rsidR="007A6AF0">
          <w:rPr>
            <w:noProof/>
            <w:webHidden/>
          </w:rPr>
          <w:t>52</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81" w:history="1">
        <w:r w:rsidR="005E359D" w:rsidRPr="00F54151">
          <w:rPr>
            <w:rStyle w:val="Hyperlink"/>
            <w:noProof/>
          </w:rPr>
          <w:t>National Partnership Agreement on Remote Indigenous Housing</w:t>
        </w:r>
        <w:r w:rsidR="003B28AD">
          <w:rPr>
            <w:rStyle w:val="Hyperlink"/>
            <w:noProof/>
          </w:rPr>
          <w:t xml:space="preserve"> (NPARIH)</w:t>
        </w:r>
        <w:r w:rsidR="005E359D">
          <w:rPr>
            <w:noProof/>
            <w:webHidden/>
          </w:rPr>
          <w:tab/>
        </w:r>
        <w:r w:rsidR="005E359D">
          <w:rPr>
            <w:noProof/>
            <w:webHidden/>
          </w:rPr>
          <w:fldChar w:fldCharType="begin"/>
        </w:r>
        <w:r w:rsidR="005E359D">
          <w:rPr>
            <w:noProof/>
            <w:webHidden/>
          </w:rPr>
          <w:instrText xml:space="preserve"> PAGEREF _Toc442949181 \h </w:instrText>
        </w:r>
        <w:r w:rsidR="005E359D">
          <w:rPr>
            <w:noProof/>
            <w:webHidden/>
          </w:rPr>
        </w:r>
        <w:r w:rsidR="005E359D">
          <w:rPr>
            <w:noProof/>
            <w:webHidden/>
          </w:rPr>
          <w:fldChar w:fldCharType="separate"/>
        </w:r>
        <w:r w:rsidR="007A6AF0">
          <w:rPr>
            <w:noProof/>
            <w:webHidden/>
          </w:rPr>
          <w:t>54</w:t>
        </w:r>
        <w:r w:rsidR="005E359D">
          <w:rPr>
            <w:noProof/>
            <w:webHidden/>
          </w:rPr>
          <w:fldChar w:fldCharType="end"/>
        </w:r>
      </w:hyperlink>
    </w:p>
    <w:p w:rsidR="005E359D" w:rsidRDefault="0014378B">
      <w:pPr>
        <w:pStyle w:val="TOC1"/>
        <w:tabs>
          <w:tab w:val="right" w:pos="8941"/>
        </w:tabs>
        <w:rPr>
          <w:rFonts w:eastAsiaTheme="minorEastAsia"/>
          <w:b w:val="0"/>
          <w:bCs w:val="0"/>
          <w:caps w:val="0"/>
          <w:noProof/>
          <w:sz w:val="22"/>
          <w:szCs w:val="22"/>
          <w:lang w:eastAsia="en-AU"/>
        </w:rPr>
      </w:pPr>
      <w:hyperlink w:anchor="_Toc442949186" w:history="1">
        <w:r w:rsidR="005E359D" w:rsidRPr="00F54151">
          <w:rPr>
            <w:rStyle w:val="Hyperlink"/>
            <w:noProof/>
          </w:rPr>
          <w:t>Chapter 3</w:t>
        </w:r>
        <w:r w:rsidR="005E359D">
          <w:rPr>
            <w:rStyle w:val="Hyperlink"/>
            <w:noProof/>
          </w:rPr>
          <w:t xml:space="preserve">  wage costs</w:t>
        </w:r>
        <w:r w:rsidR="005E359D">
          <w:rPr>
            <w:noProof/>
            <w:webHidden/>
          </w:rPr>
          <w:tab/>
        </w:r>
        <w:r w:rsidR="005E359D">
          <w:rPr>
            <w:noProof/>
            <w:webHidden/>
          </w:rPr>
          <w:fldChar w:fldCharType="begin"/>
        </w:r>
        <w:r w:rsidR="005E359D">
          <w:rPr>
            <w:noProof/>
            <w:webHidden/>
          </w:rPr>
          <w:instrText xml:space="preserve"> PAGEREF _Toc442949186 \h </w:instrText>
        </w:r>
        <w:r w:rsidR="005E359D">
          <w:rPr>
            <w:noProof/>
            <w:webHidden/>
          </w:rPr>
        </w:r>
        <w:r w:rsidR="005E359D">
          <w:rPr>
            <w:noProof/>
            <w:webHidden/>
          </w:rPr>
          <w:fldChar w:fldCharType="separate"/>
        </w:r>
        <w:r w:rsidR="007A6AF0">
          <w:rPr>
            <w:noProof/>
            <w:webHidden/>
          </w:rPr>
          <w:t>62</w:t>
        </w:r>
        <w:r w:rsidR="005E359D">
          <w:rPr>
            <w:noProof/>
            <w:webHidden/>
          </w:rPr>
          <w:fldChar w:fldCharType="end"/>
        </w:r>
      </w:hyperlink>
    </w:p>
    <w:p w:rsidR="005E359D" w:rsidRDefault="0014378B">
      <w:pPr>
        <w:pStyle w:val="TOC3"/>
        <w:rPr>
          <w:rFonts w:eastAsiaTheme="minorEastAsia"/>
          <w:noProof/>
          <w:sz w:val="22"/>
          <w:szCs w:val="22"/>
          <w:lang w:eastAsia="en-AU"/>
        </w:rPr>
      </w:pPr>
      <w:hyperlink w:anchor="_Toc442949188" w:history="1">
        <w:r w:rsidR="005E359D" w:rsidRPr="00F54151">
          <w:rPr>
            <w:rStyle w:val="Hyperlink"/>
            <w:noProof/>
          </w:rPr>
          <w:t>Review of the wage costs assessment</w:t>
        </w:r>
        <w:r w:rsidR="005E359D">
          <w:rPr>
            <w:noProof/>
            <w:webHidden/>
          </w:rPr>
          <w:tab/>
        </w:r>
        <w:r w:rsidR="005E359D">
          <w:rPr>
            <w:noProof/>
            <w:webHidden/>
          </w:rPr>
          <w:fldChar w:fldCharType="begin"/>
        </w:r>
        <w:r w:rsidR="005E359D">
          <w:rPr>
            <w:noProof/>
            <w:webHidden/>
          </w:rPr>
          <w:instrText xml:space="preserve"> PAGEREF _Toc442949188 \h </w:instrText>
        </w:r>
        <w:r w:rsidR="005E359D">
          <w:rPr>
            <w:noProof/>
            <w:webHidden/>
          </w:rPr>
        </w:r>
        <w:r w:rsidR="005E359D">
          <w:rPr>
            <w:noProof/>
            <w:webHidden/>
          </w:rPr>
          <w:fldChar w:fldCharType="separate"/>
        </w:r>
        <w:r w:rsidR="007A6AF0">
          <w:rPr>
            <w:noProof/>
            <w:webHidden/>
          </w:rPr>
          <w:t>62</w:t>
        </w:r>
        <w:r w:rsidR="005E359D">
          <w:rPr>
            <w:noProof/>
            <w:webHidden/>
          </w:rPr>
          <w:fldChar w:fldCharType="end"/>
        </w:r>
      </w:hyperlink>
    </w:p>
    <w:p w:rsidR="005E359D" w:rsidRDefault="0014378B">
      <w:pPr>
        <w:pStyle w:val="TOC3"/>
        <w:rPr>
          <w:rFonts w:eastAsiaTheme="minorEastAsia"/>
          <w:noProof/>
          <w:sz w:val="22"/>
          <w:szCs w:val="22"/>
          <w:lang w:eastAsia="en-AU"/>
        </w:rPr>
      </w:pPr>
      <w:hyperlink w:anchor="_Toc442949189" w:history="1">
        <w:r w:rsidR="005E359D" w:rsidRPr="00F54151">
          <w:rPr>
            <w:rStyle w:val="Hyperlink"/>
            <w:noProof/>
          </w:rPr>
          <w:t>Approach</w:t>
        </w:r>
        <w:r w:rsidR="005E359D">
          <w:rPr>
            <w:noProof/>
            <w:webHidden/>
          </w:rPr>
          <w:tab/>
        </w:r>
        <w:r w:rsidR="005E359D">
          <w:rPr>
            <w:noProof/>
            <w:webHidden/>
          </w:rPr>
          <w:fldChar w:fldCharType="begin"/>
        </w:r>
        <w:r w:rsidR="005E359D">
          <w:rPr>
            <w:noProof/>
            <w:webHidden/>
          </w:rPr>
          <w:instrText xml:space="preserve"> PAGEREF _Toc442949189 \h </w:instrText>
        </w:r>
        <w:r w:rsidR="005E359D">
          <w:rPr>
            <w:noProof/>
            <w:webHidden/>
          </w:rPr>
        </w:r>
        <w:r w:rsidR="005E359D">
          <w:rPr>
            <w:noProof/>
            <w:webHidden/>
          </w:rPr>
          <w:fldChar w:fldCharType="separate"/>
        </w:r>
        <w:r w:rsidR="007A6AF0">
          <w:rPr>
            <w:noProof/>
            <w:webHidden/>
          </w:rPr>
          <w:t>64</w:t>
        </w:r>
        <w:r w:rsidR="005E359D">
          <w:rPr>
            <w:noProof/>
            <w:webHidden/>
          </w:rPr>
          <w:fldChar w:fldCharType="end"/>
        </w:r>
      </w:hyperlink>
    </w:p>
    <w:p w:rsidR="005E359D" w:rsidRDefault="0014378B">
      <w:pPr>
        <w:pStyle w:val="TOC3"/>
        <w:rPr>
          <w:rFonts w:eastAsiaTheme="minorEastAsia"/>
          <w:noProof/>
          <w:sz w:val="22"/>
          <w:szCs w:val="22"/>
          <w:lang w:eastAsia="en-AU"/>
        </w:rPr>
      </w:pPr>
      <w:hyperlink w:anchor="_Toc442949190" w:history="1">
        <w:r w:rsidR="005E359D" w:rsidRPr="00F54151">
          <w:rPr>
            <w:rStyle w:val="Hyperlink"/>
            <w:noProof/>
          </w:rPr>
          <w:t>Conceptual case for an assessment</w:t>
        </w:r>
        <w:r w:rsidR="005E359D">
          <w:rPr>
            <w:noProof/>
            <w:webHidden/>
          </w:rPr>
          <w:tab/>
        </w:r>
        <w:r w:rsidR="005E359D">
          <w:rPr>
            <w:noProof/>
            <w:webHidden/>
          </w:rPr>
          <w:fldChar w:fldCharType="begin"/>
        </w:r>
        <w:r w:rsidR="005E359D">
          <w:rPr>
            <w:noProof/>
            <w:webHidden/>
          </w:rPr>
          <w:instrText xml:space="preserve"> PAGEREF _Toc442949190 \h </w:instrText>
        </w:r>
        <w:r w:rsidR="005E359D">
          <w:rPr>
            <w:noProof/>
            <w:webHidden/>
          </w:rPr>
        </w:r>
        <w:r w:rsidR="005E359D">
          <w:rPr>
            <w:noProof/>
            <w:webHidden/>
          </w:rPr>
          <w:fldChar w:fldCharType="separate"/>
        </w:r>
        <w:r w:rsidR="007A6AF0">
          <w:rPr>
            <w:noProof/>
            <w:webHidden/>
          </w:rPr>
          <w:t>65</w:t>
        </w:r>
        <w:r w:rsidR="005E359D">
          <w:rPr>
            <w:noProof/>
            <w:webHidden/>
          </w:rPr>
          <w:fldChar w:fldCharType="end"/>
        </w:r>
      </w:hyperlink>
    </w:p>
    <w:p w:rsidR="005E359D" w:rsidRDefault="0014378B">
      <w:pPr>
        <w:pStyle w:val="TOC3"/>
        <w:rPr>
          <w:rFonts w:eastAsiaTheme="minorEastAsia"/>
          <w:noProof/>
          <w:sz w:val="22"/>
          <w:szCs w:val="22"/>
          <w:lang w:eastAsia="en-AU"/>
        </w:rPr>
      </w:pPr>
      <w:hyperlink w:anchor="_Toc442949191" w:history="1">
        <w:r w:rsidR="005E359D" w:rsidRPr="00F54151">
          <w:rPr>
            <w:rStyle w:val="Hyperlink"/>
            <w:noProof/>
          </w:rPr>
          <w:t>Constructing the assessment</w:t>
        </w:r>
        <w:r w:rsidR="005E359D">
          <w:rPr>
            <w:noProof/>
            <w:webHidden/>
          </w:rPr>
          <w:tab/>
        </w:r>
        <w:r w:rsidR="005E359D">
          <w:rPr>
            <w:noProof/>
            <w:webHidden/>
          </w:rPr>
          <w:fldChar w:fldCharType="begin"/>
        </w:r>
        <w:r w:rsidR="005E359D">
          <w:rPr>
            <w:noProof/>
            <w:webHidden/>
          </w:rPr>
          <w:instrText xml:space="preserve"> PAGEREF _Toc442949191 \h </w:instrText>
        </w:r>
        <w:r w:rsidR="005E359D">
          <w:rPr>
            <w:noProof/>
            <w:webHidden/>
          </w:rPr>
        </w:r>
        <w:r w:rsidR="005E359D">
          <w:rPr>
            <w:noProof/>
            <w:webHidden/>
          </w:rPr>
          <w:fldChar w:fldCharType="separate"/>
        </w:r>
        <w:r w:rsidR="007A6AF0">
          <w:rPr>
            <w:noProof/>
            <w:webHidden/>
          </w:rPr>
          <w:t>70</w:t>
        </w:r>
        <w:r w:rsidR="005E359D">
          <w:rPr>
            <w:noProof/>
            <w:webHidden/>
          </w:rPr>
          <w:fldChar w:fldCharType="end"/>
        </w:r>
      </w:hyperlink>
    </w:p>
    <w:p w:rsidR="005E359D" w:rsidRDefault="0014378B">
      <w:pPr>
        <w:pStyle w:val="TOC3"/>
        <w:rPr>
          <w:rFonts w:eastAsiaTheme="minorEastAsia"/>
          <w:noProof/>
          <w:sz w:val="22"/>
          <w:szCs w:val="22"/>
          <w:lang w:eastAsia="en-AU"/>
        </w:rPr>
      </w:pPr>
      <w:hyperlink w:anchor="_Toc442949192" w:history="1">
        <w:r w:rsidR="005E359D" w:rsidRPr="00F54151">
          <w:rPr>
            <w:rStyle w:val="Hyperlink"/>
            <w:noProof/>
          </w:rPr>
          <w:t>Specific assessment issues</w:t>
        </w:r>
        <w:r w:rsidR="005E359D">
          <w:rPr>
            <w:noProof/>
            <w:webHidden/>
          </w:rPr>
          <w:tab/>
        </w:r>
        <w:r w:rsidR="005E359D">
          <w:rPr>
            <w:noProof/>
            <w:webHidden/>
          </w:rPr>
          <w:fldChar w:fldCharType="begin"/>
        </w:r>
        <w:r w:rsidR="005E359D">
          <w:rPr>
            <w:noProof/>
            <w:webHidden/>
          </w:rPr>
          <w:instrText xml:space="preserve"> PAGEREF _Toc442949192 \h </w:instrText>
        </w:r>
        <w:r w:rsidR="005E359D">
          <w:rPr>
            <w:noProof/>
            <w:webHidden/>
          </w:rPr>
        </w:r>
        <w:r w:rsidR="005E359D">
          <w:rPr>
            <w:noProof/>
            <w:webHidden/>
          </w:rPr>
          <w:fldChar w:fldCharType="separate"/>
        </w:r>
        <w:r w:rsidR="007A6AF0">
          <w:rPr>
            <w:noProof/>
            <w:webHidden/>
          </w:rPr>
          <w:t>71</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93" w:history="1">
        <w:r w:rsidR="005E359D" w:rsidRPr="00F54151">
          <w:rPr>
            <w:rStyle w:val="Hyperlink"/>
            <w:noProof/>
          </w:rPr>
          <w:t>Capital city or whole-of-State assessment</w:t>
        </w:r>
        <w:r w:rsidR="005E359D">
          <w:rPr>
            <w:noProof/>
            <w:webHidden/>
          </w:rPr>
          <w:tab/>
        </w:r>
        <w:r w:rsidR="005E359D">
          <w:rPr>
            <w:noProof/>
            <w:webHidden/>
          </w:rPr>
          <w:fldChar w:fldCharType="begin"/>
        </w:r>
        <w:r w:rsidR="005E359D">
          <w:rPr>
            <w:noProof/>
            <w:webHidden/>
          </w:rPr>
          <w:instrText xml:space="preserve"> PAGEREF _Toc442949193 \h </w:instrText>
        </w:r>
        <w:r w:rsidR="005E359D">
          <w:rPr>
            <w:noProof/>
            <w:webHidden/>
          </w:rPr>
        </w:r>
        <w:r w:rsidR="005E359D">
          <w:rPr>
            <w:noProof/>
            <w:webHidden/>
          </w:rPr>
          <w:fldChar w:fldCharType="separate"/>
        </w:r>
        <w:r w:rsidR="007A6AF0">
          <w:rPr>
            <w:noProof/>
            <w:webHidden/>
          </w:rPr>
          <w:t>71</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94" w:history="1">
        <w:r w:rsidR="00ED1C91">
          <w:rPr>
            <w:rStyle w:val="Hyperlink"/>
            <w:noProof/>
          </w:rPr>
          <w:t>Are</w:t>
        </w:r>
        <w:r w:rsidR="005E359D" w:rsidRPr="00F54151">
          <w:rPr>
            <w:rStyle w:val="Hyperlink"/>
            <w:noProof/>
          </w:rPr>
          <w:t xml:space="preserve"> the 2014 CoES data fit for purpose?</w:t>
        </w:r>
        <w:r w:rsidR="005E359D">
          <w:rPr>
            <w:noProof/>
            <w:webHidden/>
          </w:rPr>
          <w:tab/>
        </w:r>
        <w:r w:rsidR="005E359D">
          <w:rPr>
            <w:noProof/>
            <w:webHidden/>
          </w:rPr>
          <w:fldChar w:fldCharType="begin"/>
        </w:r>
        <w:r w:rsidR="005E359D">
          <w:rPr>
            <w:noProof/>
            <w:webHidden/>
          </w:rPr>
          <w:instrText xml:space="preserve"> PAGEREF _Toc442949194 \h </w:instrText>
        </w:r>
        <w:r w:rsidR="005E359D">
          <w:rPr>
            <w:noProof/>
            <w:webHidden/>
          </w:rPr>
        </w:r>
        <w:r w:rsidR="005E359D">
          <w:rPr>
            <w:noProof/>
            <w:webHidden/>
          </w:rPr>
          <w:fldChar w:fldCharType="separate"/>
        </w:r>
        <w:r w:rsidR="007A6AF0">
          <w:rPr>
            <w:noProof/>
            <w:webHidden/>
          </w:rPr>
          <w:t>72</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95" w:history="1">
        <w:r w:rsidR="005E359D" w:rsidRPr="00F54151">
          <w:rPr>
            <w:rStyle w:val="Hyperlink"/>
            <w:noProof/>
          </w:rPr>
          <w:t>Omitted variables</w:t>
        </w:r>
        <w:r w:rsidR="005E359D">
          <w:rPr>
            <w:noProof/>
            <w:webHidden/>
          </w:rPr>
          <w:tab/>
        </w:r>
        <w:r w:rsidR="005E359D">
          <w:rPr>
            <w:noProof/>
            <w:webHidden/>
          </w:rPr>
          <w:fldChar w:fldCharType="begin"/>
        </w:r>
        <w:r w:rsidR="005E359D">
          <w:rPr>
            <w:noProof/>
            <w:webHidden/>
          </w:rPr>
          <w:instrText xml:space="preserve"> PAGEREF _Toc442949195 \h </w:instrText>
        </w:r>
        <w:r w:rsidR="005E359D">
          <w:rPr>
            <w:noProof/>
            <w:webHidden/>
          </w:rPr>
        </w:r>
        <w:r w:rsidR="005E359D">
          <w:rPr>
            <w:noProof/>
            <w:webHidden/>
          </w:rPr>
          <w:fldChar w:fldCharType="separate"/>
        </w:r>
        <w:r w:rsidR="007A6AF0">
          <w:rPr>
            <w:noProof/>
            <w:webHidden/>
          </w:rPr>
          <w:t>73</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96" w:history="1">
        <w:r w:rsidR="005E359D" w:rsidRPr="00F54151">
          <w:rPr>
            <w:rStyle w:val="Hyperlink"/>
            <w:noProof/>
          </w:rPr>
          <w:t>Impact of industry structure</w:t>
        </w:r>
        <w:r w:rsidR="005E359D">
          <w:rPr>
            <w:noProof/>
            <w:webHidden/>
          </w:rPr>
          <w:tab/>
        </w:r>
        <w:r w:rsidR="005E359D">
          <w:rPr>
            <w:noProof/>
            <w:webHidden/>
          </w:rPr>
          <w:fldChar w:fldCharType="begin"/>
        </w:r>
        <w:r w:rsidR="005E359D">
          <w:rPr>
            <w:noProof/>
            <w:webHidden/>
          </w:rPr>
          <w:instrText xml:space="preserve"> PAGEREF _Toc442949196 \h </w:instrText>
        </w:r>
        <w:r w:rsidR="005E359D">
          <w:rPr>
            <w:noProof/>
            <w:webHidden/>
          </w:rPr>
        </w:r>
        <w:r w:rsidR="005E359D">
          <w:rPr>
            <w:noProof/>
            <w:webHidden/>
          </w:rPr>
          <w:fldChar w:fldCharType="separate"/>
        </w:r>
        <w:r w:rsidR="007A6AF0">
          <w:rPr>
            <w:noProof/>
            <w:webHidden/>
          </w:rPr>
          <w:t>74</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97" w:history="1">
        <w:r w:rsidR="005E359D" w:rsidRPr="00F54151">
          <w:rPr>
            <w:rStyle w:val="Hyperlink"/>
            <w:noProof/>
          </w:rPr>
          <w:t>Remote area employment</w:t>
        </w:r>
        <w:r w:rsidR="005E359D">
          <w:rPr>
            <w:noProof/>
            <w:webHidden/>
          </w:rPr>
          <w:tab/>
        </w:r>
        <w:r w:rsidR="005E359D">
          <w:rPr>
            <w:noProof/>
            <w:webHidden/>
          </w:rPr>
          <w:fldChar w:fldCharType="begin"/>
        </w:r>
        <w:r w:rsidR="005E359D">
          <w:rPr>
            <w:noProof/>
            <w:webHidden/>
          </w:rPr>
          <w:instrText xml:space="preserve"> PAGEREF _Toc442949197 \h </w:instrText>
        </w:r>
        <w:r w:rsidR="005E359D">
          <w:rPr>
            <w:noProof/>
            <w:webHidden/>
          </w:rPr>
        </w:r>
        <w:r w:rsidR="005E359D">
          <w:rPr>
            <w:noProof/>
            <w:webHidden/>
          </w:rPr>
          <w:fldChar w:fldCharType="separate"/>
        </w:r>
        <w:r w:rsidR="007A6AF0">
          <w:rPr>
            <w:noProof/>
            <w:webHidden/>
          </w:rPr>
          <w:t>75</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98" w:history="1">
        <w:r w:rsidR="005E359D" w:rsidRPr="00F54151">
          <w:rPr>
            <w:rStyle w:val="Hyperlink"/>
            <w:noProof/>
          </w:rPr>
          <w:t>Discounting</w:t>
        </w:r>
        <w:r w:rsidR="005E359D">
          <w:rPr>
            <w:noProof/>
            <w:webHidden/>
          </w:rPr>
          <w:tab/>
        </w:r>
        <w:r w:rsidR="005E359D">
          <w:rPr>
            <w:noProof/>
            <w:webHidden/>
          </w:rPr>
          <w:fldChar w:fldCharType="begin"/>
        </w:r>
        <w:r w:rsidR="005E359D">
          <w:rPr>
            <w:noProof/>
            <w:webHidden/>
          </w:rPr>
          <w:instrText xml:space="preserve"> PAGEREF _Toc442949198 \h </w:instrText>
        </w:r>
        <w:r w:rsidR="005E359D">
          <w:rPr>
            <w:noProof/>
            <w:webHidden/>
          </w:rPr>
        </w:r>
        <w:r w:rsidR="005E359D">
          <w:rPr>
            <w:noProof/>
            <w:webHidden/>
          </w:rPr>
          <w:fldChar w:fldCharType="separate"/>
        </w:r>
        <w:r w:rsidR="007A6AF0">
          <w:rPr>
            <w:noProof/>
            <w:webHidden/>
          </w:rPr>
          <w:t>76</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199" w:history="1">
        <w:r w:rsidR="005E359D" w:rsidRPr="00F54151">
          <w:rPr>
            <w:rStyle w:val="Hyperlink"/>
            <w:noProof/>
          </w:rPr>
          <w:t>State specific adjustments</w:t>
        </w:r>
        <w:r w:rsidR="005E359D">
          <w:rPr>
            <w:noProof/>
            <w:webHidden/>
          </w:rPr>
          <w:tab/>
        </w:r>
        <w:r w:rsidR="005E359D">
          <w:rPr>
            <w:noProof/>
            <w:webHidden/>
          </w:rPr>
          <w:fldChar w:fldCharType="begin"/>
        </w:r>
        <w:r w:rsidR="005E359D">
          <w:rPr>
            <w:noProof/>
            <w:webHidden/>
          </w:rPr>
          <w:instrText xml:space="preserve"> PAGEREF _Toc442949199 \h </w:instrText>
        </w:r>
        <w:r w:rsidR="005E359D">
          <w:rPr>
            <w:noProof/>
            <w:webHidden/>
          </w:rPr>
        </w:r>
        <w:r w:rsidR="005E359D">
          <w:rPr>
            <w:noProof/>
            <w:webHidden/>
          </w:rPr>
          <w:fldChar w:fldCharType="separate"/>
        </w:r>
        <w:r w:rsidR="007A6AF0">
          <w:rPr>
            <w:noProof/>
            <w:webHidden/>
          </w:rPr>
          <w:t>77</w:t>
        </w:r>
        <w:r w:rsidR="005E359D">
          <w:rPr>
            <w:noProof/>
            <w:webHidden/>
          </w:rPr>
          <w:fldChar w:fldCharType="end"/>
        </w:r>
      </w:hyperlink>
    </w:p>
    <w:p w:rsidR="005E359D" w:rsidRDefault="0014378B">
      <w:pPr>
        <w:pStyle w:val="TOC4"/>
        <w:rPr>
          <w:rFonts w:eastAsiaTheme="minorEastAsia"/>
          <w:noProof/>
          <w:sz w:val="22"/>
          <w:szCs w:val="22"/>
          <w:lang w:eastAsia="en-AU"/>
        </w:rPr>
      </w:pPr>
      <w:hyperlink w:anchor="_Toc442949202" w:history="1">
        <w:r w:rsidR="005E359D" w:rsidRPr="00F54151">
          <w:rPr>
            <w:rStyle w:val="Hyperlink"/>
            <w:noProof/>
          </w:rPr>
          <w:t>Commonwealth Superannuation Scheme</w:t>
        </w:r>
        <w:r w:rsidR="005E359D">
          <w:rPr>
            <w:noProof/>
            <w:webHidden/>
          </w:rPr>
          <w:tab/>
        </w:r>
        <w:r w:rsidR="005E359D">
          <w:rPr>
            <w:noProof/>
            <w:webHidden/>
          </w:rPr>
          <w:fldChar w:fldCharType="begin"/>
        </w:r>
        <w:r w:rsidR="005E359D">
          <w:rPr>
            <w:noProof/>
            <w:webHidden/>
          </w:rPr>
          <w:instrText xml:space="preserve"> PAGEREF _Toc442949202 \h </w:instrText>
        </w:r>
        <w:r w:rsidR="005E359D">
          <w:rPr>
            <w:noProof/>
            <w:webHidden/>
          </w:rPr>
        </w:r>
        <w:r w:rsidR="005E359D">
          <w:rPr>
            <w:noProof/>
            <w:webHidden/>
          </w:rPr>
          <w:fldChar w:fldCharType="separate"/>
        </w:r>
        <w:r w:rsidR="007A6AF0">
          <w:rPr>
            <w:noProof/>
            <w:webHidden/>
          </w:rPr>
          <w:t>79</w:t>
        </w:r>
        <w:r w:rsidR="005E359D">
          <w:rPr>
            <w:noProof/>
            <w:webHidden/>
          </w:rPr>
          <w:fldChar w:fldCharType="end"/>
        </w:r>
      </w:hyperlink>
    </w:p>
    <w:p w:rsidR="005E359D" w:rsidRDefault="0014378B">
      <w:pPr>
        <w:pStyle w:val="TOC3"/>
        <w:rPr>
          <w:rFonts w:eastAsiaTheme="minorEastAsia"/>
          <w:noProof/>
          <w:sz w:val="22"/>
          <w:szCs w:val="22"/>
          <w:lang w:eastAsia="en-AU"/>
        </w:rPr>
      </w:pPr>
      <w:hyperlink w:anchor="_Toc442949203" w:history="1">
        <w:r w:rsidR="005E359D" w:rsidRPr="00F54151">
          <w:rPr>
            <w:rStyle w:val="Hyperlink"/>
            <w:noProof/>
          </w:rPr>
          <w:t>Calculating the wage costs factor</w:t>
        </w:r>
        <w:r w:rsidR="005E359D">
          <w:rPr>
            <w:noProof/>
            <w:webHidden/>
          </w:rPr>
          <w:tab/>
        </w:r>
        <w:r w:rsidR="005E359D">
          <w:rPr>
            <w:noProof/>
            <w:webHidden/>
          </w:rPr>
          <w:fldChar w:fldCharType="begin"/>
        </w:r>
        <w:r w:rsidR="005E359D">
          <w:rPr>
            <w:noProof/>
            <w:webHidden/>
          </w:rPr>
          <w:instrText xml:space="preserve"> PAGEREF _Toc442949203 \h </w:instrText>
        </w:r>
        <w:r w:rsidR="005E359D">
          <w:rPr>
            <w:noProof/>
            <w:webHidden/>
          </w:rPr>
        </w:r>
        <w:r w:rsidR="005E359D">
          <w:rPr>
            <w:noProof/>
            <w:webHidden/>
          </w:rPr>
          <w:fldChar w:fldCharType="separate"/>
        </w:r>
        <w:r w:rsidR="007A6AF0">
          <w:rPr>
            <w:noProof/>
            <w:webHidden/>
          </w:rPr>
          <w:t>79</w:t>
        </w:r>
        <w:r w:rsidR="005E359D">
          <w:rPr>
            <w:noProof/>
            <w:webHidden/>
          </w:rPr>
          <w:fldChar w:fldCharType="end"/>
        </w:r>
      </w:hyperlink>
    </w:p>
    <w:p w:rsidR="005E359D" w:rsidRDefault="0014378B">
      <w:pPr>
        <w:pStyle w:val="TOC3"/>
        <w:rPr>
          <w:rFonts w:eastAsiaTheme="minorEastAsia"/>
          <w:noProof/>
          <w:sz w:val="22"/>
          <w:szCs w:val="22"/>
          <w:lang w:eastAsia="en-AU"/>
        </w:rPr>
      </w:pPr>
      <w:hyperlink w:anchor="_Toc442949205" w:history="1">
        <w:r w:rsidR="005E359D" w:rsidRPr="00F54151">
          <w:rPr>
            <w:rStyle w:val="Hyperlink"/>
            <w:noProof/>
          </w:rPr>
          <w:t>What is the impact on the GST distribution?</w:t>
        </w:r>
        <w:r w:rsidR="005E359D">
          <w:rPr>
            <w:noProof/>
            <w:webHidden/>
          </w:rPr>
          <w:tab/>
        </w:r>
        <w:r w:rsidR="005E359D">
          <w:rPr>
            <w:noProof/>
            <w:webHidden/>
          </w:rPr>
          <w:fldChar w:fldCharType="begin"/>
        </w:r>
        <w:r w:rsidR="005E359D">
          <w:rPr>
            <w:noProof/>
            <w:webHidden/>
          </w:rPr>
          <w:instrText xml:space="preserve"> PAGEREF _Toc442949205 \h </w:instrText>
        </w:r>
        <w:r w:rsidR="005E359D">
          <w:rPr>
            <w:noProof/>
            <w:webHidden/>
          </w:rPr>
        </w:r>
        <w:r w:rsidR="005E359D">
          <w:rPr>
            <w:noProof/>
            <w:webHidden/>
          </w:rPr>
          <w:fldChar w:fldCharType="separate"/>
        </w:r>
        <w:r w:rsidR="007A6AF0">
          <w:rPr>
            <w:noProof/>
            <w:webHidden/>
          </w:rPr>
          <w:t>80</w:t>
        </w:r>
        <w:r w:rsidR="005E359D">
          <w:rPr>
            <w:noProof/>
            <w:webHidden/>
          </w:rPr>
          <w:fldChar w:fldCharType="end"/>
        </w:r>
      </w:hyperlink>
    </w:p>
    <w:p w:rsidR="005E359D" w:rsidRDefault="0014378B">
      <w:pPr>
        <w:pStyle w:val="TOC1"/>
        <w:tabs>
          <w:tab w:val="right" w:pos="8941"/>
        </w:tabs>
        <w:rPr>
          <w:rFonts w:eastAsiaTheme="minorEastAsia"/>
          <w:b w:val="0"/>
          <w:bCs w:val="0"/>
          <w:caps w:val="0"/>
          <w:noProof/>
          <w:sz w:val="22"/>
          <w:szCs w:val="22"/>
          <w:lang w:eastAsia="en-AU"/>
        </w:rPr>
      </w:pPr>
      <w:hyperlink w:anchor="_Toc442949206" w:history="1">
        <w:r w:rsidR="005E359D" w:rsidRPr="00F54151">
          <w:rPr>
            <w:rStyle w:val="Hyperlink"/>
            <w:rFonts w:eastAsiaTheme="majorEastAsia" w:cstheme="majorBidi"/>
            <w:noProof/>
          </w:rPr>
          <w:t>Attachment A</w:t>
        </w:r>
        <w:r w:rsidR="005E359D">
          <w:rPr>
            <w:rStyle w:val="Hyperlink"/>
            <w:rFonts w:eastAsiaTheme="majorEastAsia" w:cstheme="majorBidi"/>
            <w:noProof/>
          </w:rPr>
          <w:t xml:space="preserve">  quality assurance</w:t>
        </w:r>
        <w:r w:rsidR="005E359D">
          <w:rPr>
            <w:noProof/>
            <w:webHidden/>
          </w:rPr>
          <w:tab/>
        </w:r>
        <w:r w:rsidR="005E359D">
          <w:rPr>
            <w:noProof/>
            <w:webHidden/>
          </w:rPr>
          <w:fldChar w:fldCharType="begin"/>
        </w:r>
        <w:r w:rsidR="005E359D">
          <w:rPr>
            <w:noProof/>
            <w:webHidden/>
          </w:rPr>
          <w:instrText xml:space="preserve"> PAGEREF _Toc442949206 \h </w:instrText>
        </w:r>
        <w:r w:rsidR="005E359D">
          <w:rPr>
            <w:noProof/>
            <w:webHidden/>
          </w:rPr>
        </w:r>
        <w:r w:rsidR="005E359D">
          <w:rPr>
            <w:noProof/>
            <w:webHidden/>
          </w:rPr>
          <w:fldChar w:fldCharType="separate"/>
        </w:r>
        <w:r w:rsidR="007A6AF0">
          <w:rPr>
            <w:noProof/>
            <w:webHidden/>
          </w:rPr>
          <w:t>81</w:t>
        </w:r>
        <w:r w:rsidR="005E359D">
          <w:rPr>
            <w:noProof/>
            <w:webHidden/>
          </w:rPr>
          <w:fldChar w:fldCharType="end"/>
        </w:r>
      </w:hyperlink>
    </w:p>
    <w:p w:rsidR="005E359D" w:rsidRPr="00B4678E" w:rsidRDefault="005E359D" w:rsidP="007A7614">
      <w:pPr>
        <w:spacing w:before="60" w:after="0" w:line="240" w:lineRule="auto"/>
      </w:pPr>
      <w:r>
        <w:rPr>
          <w:b/>
          <w:bCs/>
          <w:caps/>
          <w:szCs w:val="24"/>
        </w:rPr>
        <w:fldChar w:fldCharType="end"/>
      </w:r>
    </w:p>
    <w:p w:rsidR="00E93D38" w:rsidRPr="0004225A" w:rsidRDefault="00E93D38" w:rsidP="00E93D38">
      <w:pPr>
        <w:pStyle w:val="NoSpacing"/>
        <w:sectPr w:rsidR="00E93D38" w:rsidRPr="0004225A" w:rsidSect="003B1255">
          <w:footerReference w:type="first" r:id="rId29"/>
          <w:type w:val="continuous"/>
          <w:pgSz w:w="11899" w:h="16838" w:code="9"/>
          <w:pgMar w:top="1701" w:right="1474" w:bottom="1701" w:left="1474" w:header="709" w:footer="709" w:gutter="0"/>
          <w:pgNumType w:fmt="lowerRoman"/>
          <w:cols w:space="708"/>
          <w:titlePg/>
          <w:docGrid w:linePitch="326"/>
        </w:sectPr>
      </w:pPr>
    </w:p>
    <w:p w:rsidR="00205C19" w:rsidRDefault="00D13920" w:rsidP="00692724">
      <w:pPr>
        <w:pStyle w:val="Heading1"/>
        <w:spacing w:before="0"/>
      </w:pPr>
      <w:bookmarkStart w:id="217" w:name="_Toc433353469"/>
      <w:bookmarkStart w:id="218" w:name="_Toc442192154"/>
      <w:bookmarkStart w:id="219" w:name="_Toc442192219"/>
      <w:bookmarkStart w:id="220" w:name="_Toc442773032"/>
      <w:bookmarkStart w:id="221" w:name="_Toc442773556"/>
      <w:bookmarkStart w:id="222" w:name="_Toc442883269"/>
      <w:bookmarkStart w:id="223" w:name="_Toc442949117"/>
      <w:r>
        <w:lastRenderedPageBreak/>
        <w:t>Overview</w:t>
      </w:r>
      <w:bookmarkEnd w:id="217"/>
      <w:bookmarkEnd w:id="218"/>
      <w:bookmarkEnd w:id="219"/>
      <w:bookmarkEnd w:id="220"/>
      <w:bookmarkEnd w:id="221"/>
      <w:bookmarkEnd w:id="222"/>
      <w:bookmarkEnd w:id="223"/>
    </w:p>
    <w:tbl>
      <w:tblPr>
        <w:tblStyle w:val="TableGrid"/>
        <w:tblW w:w="0" w:type="auto"/>
        <w:tblLook w:val="04A0" w:firstRow="1" w:lastRow="0" w:firstColumn="1" w:lastColumn="0" w:noHBand="0" w:noVBand="1"/>
      </w:tblPr>
      <w:tblGrid>
        <w:gridCol w:w="9167"/>
      </w:tblGrid>
      <w:tr w:rsidR="00F974D7" w:rsidRPr="00E329EA" w:rsidTr="00F974D7">
        <w:tc>
          <w:tcPr>
            <w:tcW w:w="9167" w:type="dxa"/>
            <w:tcBorders>
              <w:top w:val="nil"/>
              <w:left w:val="nil"/>
              <w:bottom w:val="nil"/>
              <w:right w:val="nil"/>
            </w:tcBorders>
            <w:shd w:val="clear" w:color="auto" w:fill="D9F3E6"/>
          </w:tcPr>
          <w:p w:rsidR="00F974D7" w:rsidRPr="00E329EA" w:rsidRDefault="007329DA" w:rsidP="00E346F3">
            <w:pPr>
              <w:pStyle w:val="Heading3"/>
              <w:outlineLvl w:val="2"/>
            </w:pPr>
            <w:bookmarkStart w:id="224" w:name="_Toc433353471"/>
            <w:bookmarkStart w:id="225" w:name="_Toc441241577"/>
            <w:bookmarkStart w:id="226" w:name="_Toc441499247"/>
            <w:bookmarkStart w:id="227" w:name="_Toc441656021"/>
            <w:bookmarkStart w:id="228" w:name="_Toc442191903"/>
            <w:bookmarkStart w:id="229" w:name="_Toc442192155"/>
            <w:bookmarkStart w:id="230" w:name="_Toc442192220"/>
            <w:bookmarkStart w:id="231" w:name="_Toc442772806"/>
            <w:bookmarkStart w:id="232" w:name="_Toc442773033"/>
            <w:bookmarkStart w:id="233" w:name="_Toc442773205"/>
            <w:bookmarkStart w:id="234" w:name="_Toc442773557"/>
            <w:bookmarkStart w:id="235" w:name="_Toc442883270"/>
            <w:bookmarkStart w:id="236" w:name="_Toc442949118"/>
            <w:r w:rsidRPr="00E329EA">
              <w:t>Executive summary</w:t>
            </w:r>
            <w:bookmarkEnd w:id="224"/>
            <w:bookmarkEnd w:id="225"/>
            <w:bookmarkEnd w:id="226"/>
            <w:bookmarkEnd w:id="227"/>
            <w:bookmarkEnd w:id="228"/>
            <w:bookmarkEnd w:id="229"/>
            <w:bookmarkEnd w:id="230"/>
            <w:bookmarkEnd w:id="231"/>
            <w:bookmarkEnd w:id="232"/>
            <w:bookmarkEnd w:id="233"/>
            <w:bookmarkEnd w:id="234"/>
            <w:bookmarkEnd w:id="235"/>
            <w:bookmarkEnd w:id="236"/>
          </w:p>
          <w:p w:rsidR="000E3362" w:rsidRPr="00E329EA" w:rsidRDefault="000E3362" w:rsidP="000E3362">
            <w:r w:rsidRPr="00E329EA">
              <w:t>This report recommends a distribution of GST revenue among the States in 2016</w:t>
            </w:r>
            <w:r w:rsidRPr="00E329EA">
              <w:noBreakHyphen/>
              <w:t>17 designed to give each of them the same capacity to deliver services, acquire infrastructure and hold financial assets.</w:t>
            </w:r>
          </w:p>
          <w:p w:rsidR="000E3362" w:rsidRPr="00E329EA" w:rsidRDefault="000E3362" w:rsidP="000E3362">
            <w:r w:rsidRPr="00E329EA">
              <w:t>The GST distribution is based on the sa</w:t>
            </w:r>
            <w:r w:rsidR="006E269B" w:rsidRPr="00E329EA">
              <w:t>me methods applied in the 2015 M</w:t>
            </w:r>
            <w:r w:rsidRPr="00E329EA">
              <w:t>ethodology Review, as required by our terms of reference. It also incorporates 2014</w:t>
            </w:r>
            <w:r w:rsidRPr="00E329EA">
              <w:noBreakHyphen/>
              <w:t xml:space="preserve">15 data for the first time. </w:t>
            </w:r>
          </w:p>
          <w:p w:rsidR="000E3362" w:rsidRPr="00E329EA" w:rsidRDefault="000E3362" w:rsidP="000E3362">
            <w:r w:rsidRPr="00E329EA">
              <w:t xml:space="preserve">In the 2015 Review we committed to a deferred but comprehensive review of the wage costs assessment, which we have now completed. We </w:t>
            </w:r>
            <w:proofErr w:type="gramStart"/>
            <w:r w:rsidRPr="00E329EA">
              <w:t>consider</w:t>
            </w:r>
            <w:r w:rsidR="00ED1C91">
              <w:t>,</w:t>
            </w:r>
            <w:proofErr w:type="gramEnd"/>
            <w:r w:rsidRPr="00E329EA">
              <w:t xml:space="preserve"> based upon the evidence before us, that there continues to be a conceptual case for differences in the wages States would pay for comparable employees. We have decided to retain the 2015 Review method of estimating these differences using Survey of Education and Training (SET) data for 2012</w:t>
            </w:r>
            <w:r w:rsidRPr="00E329EA">
              <w:noBreakHyphen/>
              <w:t>13 and 2013</w:t>
            </w:r>
            <w:r w:rsidRPr="00E329EA">
              <w:noBreakHyphen/>
              <w:t xml:space="preserve">14 and more recently available data from the ABS Characteristics of Employment survey </w:t>
            </w:r>
            <w:r w:rsidR="00296A3D">
              <w:t xml:space="preserve">(CoES) </w:t>
            </w:r>
            <w:r w:rsidRPr="00E329EA">
              <w:t>for 2014</w:t>
            </w:r>
            <w:r w:rsidRPr="00E329EA">
              <w:noBreakHyphen/>
              <w:t xml:space="preserve">15. </w:t>
            </w:r>
          </w:p>
          <w:p w:rsidR="000E3362" w:rsidRPr="00E329EA" w:rsidRDefault="000E3362" w:rsidP="000E3362">
            <w:r w:rsidRPr="00E329EA">
              <w:t>The States’ assessed fiscal capacities continue to reflect trends in their economies and other key influences on their circumstances. The assessed fiscal capacities of New South Wales, Tasmania and the Northern Territory</w:t>
            </w:r>
            <w:r w:rsidR="00ED1C91">
              <w:t xml:space="preserve"> have</w:t>
            </w:r>
            <w:r w:rsidRPr="00E329EA">
              <w:t xml:space="preserve"> improved, reducing those States’ GST shares. </w:t>
            </w:r>
            <w:r w:rsidR="0068233E">
              <w:t xml:space="preserve">New South Wales’ stronger fiscal capacity was driven by an increased revenue capacity, principally because of its strong property market. The stronger fiscal capacity of Tasmania and the Northern Territory was driven by a fall in their costs of providing services. For Tasmania, this was due to a fall in its relative wage costs. For the Northern Territory, it was due to a fall in its relative population growth, which reduced its need to invest in new infrastructure. </w:t>
            </w:r>
          </w:p>
          <w:p w:rsidR="000E3362" w:rsidRPr="00E329EA" w:rsidRDefault="000E3362" w:rsidP="000E3362">
            <w:r w:rsidRPr="00E329EA">
              <w:t xml:space="preserve">The assessed fiscal capacities </w:t>
            </w:r>
            <w:r w:rsidR="006E269B" w:rsidRPr="00E329EA">
              <w:t>of</w:t>
            </w:r>
            <w:r w:rsidRPr="00E329EA">
              <w:t xml:space="preserve"> Victoria, Queensland, South Australia and the ACT have fallen, increasing those States’ GST shares. For Queensland, historically high natural disaster expenses continue to affect the State as does its reduced capacity to raise coal royalties. Below average growth in a number of major revenue bases </w:t>
            </w:r>
            <w:r w:rsidR="00ED1C91">
              <w:t xml:space="preserve">have </w:t>
            </w:r>
            <w:r w:rsidRPr="00E329EA">
              <w:t>reduced the ACT’s revenue raising capacity. For South Australia</w:t>
            </w:r>
            <w:r w:rsidR="00D325FE">
              <w:t>,</w:t>
            </w:r>
            <w:r w:rsidRPr="00E329EA">
              <w:t xml:space="preserve"> a sharp decline in its share of Commonwealth payments for specific purposes</w:t>
            </w:r>
            <w:r w:rsidR="005F0051">
              <w:t xml:space="preserve"> (PSPs)</w:t>
            </w:r>
            <w:r w:rsidRPr="00E329EA">
              <w:t xml:space="preserve"> </w:t>
            </w:r>
            <w:r w:rsidR="006B62E8">
              <w:t xml:space="preserve">was the main influence </w:t>
            </w:r>
            <w:r w:rsidR="00D325FE">
              <w:t>acting to increase</w:t>
            </w:r>
            <w:r w:rsidR="005F0051">
              <w:t xml:space="preserve"> its GST share</w:t>
            </w:r>
            <w:r w:rsidRPr="00E329EA">
              <w:t>. Victoria</w:t>
            </w:r>
            <w:r w:rsidR="005F0051">
              <w:t>’s</w:t>
            </w:r>
            <w:r w:rsidRPr="00E329EA">
              <w:t xml:space="preserve"> </w:t>
            </w:r>
            <w:r w:rsidR="00D325FE">
              <w:t xml:space="preserve">increased GST share was largely due to </w:t>
            </w:r>
            <w:r w:rsidRPr="00E329EA">
              <w:t>an increase in its share of national population growth</w:t>
            </w:r>
            <w:r w:rsidR="002A6E7F">
              <w:t>, which increased its need to invest in new infrastructure</w:t>
            </w:r>
            <w:r w:rsidRPr="00E329EA">
              <w:t>.</w:t>
            </w:r>
          </w:p>
          <w:p w:rsidR="00F974D7" w:rsidRPr="00E329EA" w:rsidRDefault="000E3362" w:rsidP="00943133">
            <w:r w:rsidRPr="00E329EA">
              <w:t xml:space="preserve">Western Australia’s share </w:t>
            </w:r>
            <w:r w:rsidR="00680148" w:rsidRPr="00E329EA">
              <w:t>of GST revenue</w:t>
            </w:r>
            <w:r w:rsidR="00ED1C91">
              <w:t xml:space="preserve"> has increased</w:t>
            </w:r>
            <w:r w:rsidR="00680148" w:rsidRPr="00E329EA">
              <w:t xml:space="preserve"> marginally from 3.3% to </w:t>
            </w:r>
            <w:r w:rsidR="006E269B" w:rsidRPr="00E329EA">
              <w:t>3.4</w:t>
            </w:r>
            <w:r w:rsidRPr="00E329EA">
              <w:t xml:space="preserve">%. While falls in commodity prices, particularly for iron ore, </w:t>
            </w:r>
            <w:r w:rsidR="00ED1C91">
              <w:t xml:space="preserve">have </w:t>
            </w:r>
            <w:r w:rsidRPr="00E329EA">
              <w:t xml:space="preserve">reduced its capacity to raise mining royalties and increased its GST share, this has been </w:t>
            </w:r>
            <w:r w:rsidR="00680148" w:rsidRPr="00E329EA">
              <w:t>more than</w:t>
            </w:r>
            <w:r w:rsidRPr="00E329EA">
              <w:t xml:space="preserve"> offset by a fall in its share of national population growth, reducing its need to invest in new infrastructure.</w:t>
            </w:r>
          </w:p>
        </w:tc>
      </w:tr>
    </w:tbl>
    <w:p w:rsidR="00E6200E" w:rsidRDefault="00880554" w:rsidP="005A117D">
      <w:pPr>
        <w:pStyle w:val="Heading3"/>
      </w:pPr>
      <w:bookmarkStart w:id="237" w:name="_Toc430166079"/>
      <w:bookmarkStart w:id="238" w:name="_Toc433353472"/>
      <w:bookmarkStart w:id="239" w:name="_Toc441241578"/>
      <w:bookmarkStart w:id="240" w:name="_Toc441499248"/>
      <w:bookmarkStart w:id="241" w:name="_Toc441656022"/>
      <w:bookmarkStart w:id="242" w:name="_Toc442191904"/>
      <w:bookmarkStart w:id="243" w:name="_Toc442192156"/>
      <w:bookmarkStart w:id="244" w:name="_Toc442192221"/>
      <w:bookmarkStart w:id="245" w:name="_Toc442772807"/>
      <w:bookmarkStart w:id="246" w:name="_Toc442773034"/>
      <w:bookmarkStart w:id="247" w:name="_Toc442773206"/>
      <w:bookmarkStart w:id="248" w:name="_Toc442773558"/>
      <w:bookmarkStart w:id="249" w:name="_Toc442883271"/>
      <w:bookmarkStart w:id="250" w:name="_Toc442949119"/>
      <w:r>
        <w:lastRenderedPageBreak/>
        <w:t>Recommend</w:t>
      </w:r>
      <w:bookmarkEnd w:id="237"/>
      <w:r w:rsidR="00B706F4">
        <w:t xml:space="preserve">ed GST </w:t>
      </w:r>
      <w:r w:rsidR="004E710B">
        <w:t>d</w:t>
      </w:r>
      <w:r w:rsidR="00B706F4">
        <w:t>istribution</w:t>
      </w:r>
      <w:bookmarkEnd w:id="238"/>
      <w:bookmarkEnd w:id="239"/>
      <w:bookmarkEnd w:id="240"/>
      <w:bookmarkEnd w:id="241"/>
      <w:bookmarkEnd w:id="242"/>
      <w:bookmarkEnd w:id="243"/>
      <w:bookmarkEnd w:id="244"/>
      <w:bookmarkEnd w:id="245"/>
      <w:bookmarkEnd w:id="246"/>
      <w:bookmarkEnd w:id="247"/>
      <w:bookmarkEnd w:id="248"/>
      <w:bookmarkEnd w:id="249"/>
      <w:bookmarkEnd w:id="250"/>
    </w:p>
    <w:p w:rsidR="00C27A12" w:rsidRPr="00EC79CF" w:rsidRDefault="00BD4BFE" w:rsidP="00C27A12">
      <w:pPr>
        <w:pStyle w:val="CGCNumberedPara"/>
      </w:pPr>
      <w:r>
        <w:fldChar w:fldCharType="begin"/>
      </w:r>
      <w:r>
        <w:instrText xml:space="preserve"> REF _Ref430165980 \h </w:instrText>
      </w:r>
      <w:r>
        <w:fldChar w:fldCharType="separate"/>
      </w:r>
      <w:r w:rsidR="007A6AF0">
        <w:t xml:space="preserve">Table </w:t>
      </w:r>
      <w:r w:rsidR="007A6AF0">
        <w:rPr>
          <w:noProof/>
        </w:rPr>
        <w:t>1</w:t>
      </w:r>
      <w:r>
        <w:fldChar w:fldCharType="end"/>
      </w:r>
      <w:r>
        <w:t xml:space="preserve"> </w:t>
      </w:r>
      <w:r w:rsidR="00C27A12" w:rsidRPr="00EC79CF">
        <w:t>shows the per capita relativities we recommend for use in distributing the GST revenue among the States in 201</w:t>
      </w:r>
      <w:r w:rsidR="00880554">
        <w:t>6</w:t>
      </w:r>
      <w:r w:rsidR="00173F5B">
        <w:noBreakHyphen/>
      </w:r>
      <w:r w:rsidR="00C27A12" w:rsidRPr="00EC79CF">
        <w:t>1</w:t>
      </w:r>
      <w:r w:rsidR="00880554">
        <w:t>7</w:t>
      </w:r>
      <w:r w:rsidR="00C27A12" w:rsidRPr="00EC79CF">
        <w:t>. It also shows State shares of the GST revenue implied by our 201</w:t>
      </w:r>
      <w:r w:rsidR="00880554">
        <w:t>6</w:t>
      </w:r>
      <w:r w:rsidR="00173F5B">
        <w:noBreakHyphen/>
      </w:r>
      <w:r w:rsidR="00C27A12" w:rsidRPr="00EC79CF">
        <w:t>1</w:t>
      </w:r>
      <w:r w:rsidR="00880554">
        <w:t>7</w:t>
      </w:r>
      <w:r w:rsidR="00C27A12" w:rsidRPr="00EC79CF">
        <w:t xml:space="preserve"> recommendations and an illustrative total GST revenue</w:t>
      </w:r>
      <w:r w:rsidR="00C27A12">
        <w:t xml:space="preserve"> distribution</w:t>
      </w:r>
      <w:r w:rsidR="00C27A12" w:rsidRPr="00EC79CF">
        <w:t>. It compares these with the results for 201</w:t>
      </w:r>
      <w:r w:rsidR="00880554">
        <w:t>5</w:t>
      </w:r>
      <w:r w:rsidR="00173F5B">
        <w:noBreakHyphen/>
      </w:r>
      <w:r w:rsidR="00C27A12" w:rsidRPr="00EC79CF">
        <w:t>1</w:t>
      </w:r>
      <w:r w:rsidR="00880554">
        <w:t>6</w:t>
      </w:r>
      <w:r w:rsidR="00C27A12" w:rsidRPr="00EC79CF">
        <w:t>.</w:t>
      </w:r>
    </w:p>
    <w:p w:rsidR="00880554" w:rsidRDefault="00BD4BFE" w:rsidP="00BD4BFE">
      <w:pPr>
        <w:pStyle w:val="Caption"/>
      </w:pPr>
      <w:bookmarkStart w:id="251" w:name="_Ref430165980"/>
      <w:bookmarkStart w:id="252" w:name="_Ref395856540"/>
      <w:r>
        <w:t xml:space="preserve">Table </w:t>
      </w:r>
      <w:r w:rsidR="001F6199">
        <w:fldChar w:fldCharType="begin"/>
      </w:r>
      <w:r w:rsidR="00624A73">
        <w:instrText xml:space="preserve"> SEQ Table \* ARABIC \r</w:instrText>
      </w:r>
      <w:r w:rsidR="001F6199">
        <w:instrText xml:space="preserve"> 1 </w:instrText>
      </w:r>
      <w:r w:rsidR="001F6199">
        <w:fldChar w:fldCharType="separate"/>
      </w:r>
      <w:r w:rsidR="007A6AF0">
        <w:rPr>
          <w:noProof/>
        </w:rPr>
        <w:t>1</w:t>
      </w:r>
      <w:r w:rsidR="001F6199">
        <w:fldChar w:fldCharType="end"/>
      </w:r>
      <w:bookmarkEnd w:id="251"/>
      <w:r w:rsidR="00880554" w:rsidRPr="00EC79CF">
        <w:tab/>
      </w:r>
      <w:r w:rsidR="00880554">
        <w:t>R</w:t>
      </w:r>
      <w:r w:rsidR="00880554" w:rsidRPr="00EC79CF">
        <w:t xml:space="preserve">elativities, shares and </w:t>
      </w:r>
      <w:r w:rsidR="00880554">
        <w:t xml:space="preserve">illustrative </w:t>
      </w:r>
      <w:r w:rsidR="00880554" w:rsidRPr="00EC79CF">
        <w:t>GST distribution</w:t>
      </w:r>
      <w:r w:rsidR="00880554">
        <w:t>,</w:t>
      </w:r>
      <w:r w:rsidR="00880554" w:rsidRPr="00EC79CF">
        <w:t xml:space="preserve"> 201</w:t>
      </w:r>
      <w:r w:rsidR="008E0E8E">
        <w:t>5</w:t>
      </w:r>
      <w:r w:rsidR="00173F5B">
        <w:noBreakHyphen/>
      </w:r>
      <w:r w:rsidR="00880554" w:rsidRPr="00EC79CF">
        <w:t>1</w:t>
      </w:r>
      <w:r w:rsidR="008E0E8E">
        <w:t>6</w:t>
      </w:r>
      <w:r w:rsidR="00880554" w:rsidRPr="00EC79CF">
        <w:t xml:space="preserve"> and 201</w:t>
      </w:r>
      <w:r w:rsidR="008E0E8E">
        <w:t>6</w:t>
      </w:r>
      <w:r w:rsidR="00173F5B">
        <w:noBreakHyphen/>
      </w:r>
      <w:r w:rsidR="00880554" w:rsidRPr="00EC79CF">
        <w:t>1</w:t>
      </w:r>
      <w:bookmarkEnd w:id="252"/>
      <w:r w:rsidR="008E0E8E">
        <w:t>7</w:t>
      </w:r>
    </w:p>
    <w:tbl>
      <w:tblPr>
        <w:tblW w:w="8940" w:type="dxa"/>
        <w:tblInd w:w="93" w:type="dxa"/>
        <w:tblLook w:val="04A0" w:firstRow="1" w:lastRow="0" w:firstColumn="1" w:lastColumn="0" w:noHBand="0" w:noVBand="1"/>
      </w:tblPr>
      <w:tblGrid>
        <w:gridCol w:w="2460"/>
        <w:gridCol w:w="1080"/>
        <w:gridCol w:w="1080"/>
        <w:gridCol w:w="1080"/>
        <w:gridCol w:w="1080"/>
        <w:gridCol w:w="1080"/>
        <w:gridCol w:w="1080"/>
      </w:tblGrid>
      <w:tr w:rsidR="0064743F" w:rsidRPr="0064743F" w:rsidTr="0064743F">
        <w:trPr>
          <w:trHeight w:val="375"/>
        </w:trPr>
        <w:tc>
          <w:tcPr>
            <w:tcW w:w="2460" w:type="dxa"/>
            <w:tcBorders>
              <w:top w:val="single" w:sz="4" w:space="0" w:color="auto"/>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 </w:t>
            </w:r>
          </w:p>
        </w:tc>
        <w:tc>
          <w:tcPr>
            <w:tcW w:w="2160" w:type="dxa"/>
            <w:gridSpan w:val="2"/>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center"/>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Relativities</w:t>
            </w:r>
          </w:p>
        </w:tc>
        <w:tc>
          <w:tcPr>
            <w:tcW w:w="2160" w:type="dxa"/>
            <w:gridSpan w:val="2"/>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center"/>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GST shares</w:t>
            </w:r>
          </w:p>
        </w:tc>
        <w:tc>
          <w:tcPr>
            <w:tcW w:w="2160" w:type="dxa"/>
            <w:gridSpan w:val="2"/>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center"/>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GST distribution</w:t>
            </w:r>
          </w:p>
        </w:tc>
      </w:tr>
      <w:tr w:rsidR="0064743F" w:rsidRPr="0064743F" w:rsidTr="0064743F">
        <w:trPr>
          <w:trHeight w:val="375"/>
        </w:trPr>
        <w:tc>
          <w:tcPr>
            <w:tcW w:w="246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bookmarkStart w:id="253" w:name="RANGE!A5:G15"/>
            <w:r w:rsidRPr="0064743F">
              <w:rPr>
                <w:rFonts w:ascii="Calibri" w:eastAsia="Times New Roman" w:hAnsi="Calibri" w:cs="Times New Roman"/>
                <w:sz w:val="20"/>
                <w:szCs w:val="20"/>
                <w:lang w:eastAsia="en-AU"/>
              </w:rPr>
              <w:t> </w:t>
            </w:r>
            <w:bookmarkEnd w:id="253"/>
          </w:p>
        </w:tc>
        <w:tc>
          <w:tcPr>
            <w:tcW w:w="1080" w:type="dxa"/>
            <w:tcBorders>
              <w:top w:val="nil"/>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2015-16</w:t>
            </w:r>
          </w:p>
        </w:tc>
        <w:tc>
          <w:tcPr>
            <w:tcW w:w="1080" w:type="dxa"/>
            <w:tcBorders>
              <w:top w:val="nil"/>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2016-17</w:t>
            </w:r>
          </w:p>
        </w:tc>
        <w:tc>
          <w:tcPr>
            <w:tcW w:w="1080" w:type="dxa"/>
            <w:tcBorders>
              <w:top w:val="nil"/>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2015-16</w:t>
            </w:r>
          </w:p>
        </w:tc>
        <w:tc>
          <w:tcPr>
            <w:tcW w:w="1080" w:type="dxa"/>
            <w:tcBorders>
              <w:top w:val="nil"/>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2016-17</w:t>
            </w:r>
          </w:p>
        </w:tc>
        <w:tc>
          <w:tcPr>
            <w:tcW w:w="1080" w:type="dxa"/>
            <w:tcBorders>
              <w:top w:val="nil"/>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2015-16</w:t>
            </w:r>
          </w:p>
        </w:tc>
        <w:tc>
          <w:tcPr>
            <w:tcW w:w="1080" w:type="dxa"/>
            <w:tcBorders>
              <w:top w:val="nil"/>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2016-17</w:t>
            </w:r>
          </w:p>
        </w:tc>
      </w:tr>
      <w:tr w:rsidR="0064743F" w:rsidRPr="0064743F" w:rsidTr="0064743F">
        <w:trPr>
          <w:trHeight w:val="259"/>
        </w:trPr>
        <w:tc>
          <w:tcPr>
            <w:tcW w:w="246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p>
        </w:tc>
        <w:tc>
          <w:tcPr>
            <w:tcW w:w="10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c>
          <w:tcPr>
            <w:tcW w:w="10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c>
          <w:tcPr>
            <w:tcW w:w="10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w:t>
            </w:r>
          </w:p>
        </w:tc>
        <w:tc>
          <w:tcPr>
            <w:tcW w:w="10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w:t>
            </w:r>
          </w:p>
        </w:tc>
        <w:tc>
          <w:tcPr>
            <w:tcW w:w="10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10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r>
      <w:tr w:rsidR="0064743F" w:rsidRPr="0064743F" w:rsidTr="0064743F">
        <w:trPr>
          <w:trHeight w:val="315"/>
        </w:trPr>
        <w:tc>
          <w:tcPr>
            <w:tcW w:w="246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New South Wales</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0.94737</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0.90464</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30.4</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29.0</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17 401</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17 598</w:t>
            </w:r>
          </w:p>
        </w:tc>
      </w:tr>
      <w:tr w:rsidR="0064743F" w:rsidRPr="0064743F" w:rsidTr="0064743F">
        <w:trPr>
          <w:trHeight w:val="315"/>
        </w:trPr>
        <w:tc>
          <w:tcPr>
            <w:tcW w:w="246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Victoria</w:t>
            </w:r>
          </w:p>
        </w:tc>
        <w:tc>
          <w:tcPr>
            <w:tcW w:w="10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0.89254</w:t>
            </w:r>
          </w:p>
        </w:tc>
        <w:tc>
          <w:tcPr>
            <w:tcW w:w="10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0.90967</w:t>
            </w:r>
          </w:p>
        </w:tc>
        <w:tc>
          <w:tcPr>
            <w:tcW w:w="10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22.4</w:t>
            </w:r>
          </w:p>
        </w:tc>
        <w:tc>
          <w:tcPr>
            <w:tcW w:w="10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22.9</w:t>
            </w:r>
          </w:p>
        </w:tc>
        <w:tc>
          <w:tcPr>
            <w:tcW w:w="10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12 807</w:t>
            </w:r>
          </w:p>
        </w:tc>
        <w:tc>
          <w:tcPr>
            <w:tcW w:w="10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13 881</w:t>
            </w:r>
          </w:p>
        </w:tc>
      </w:tr>
      <w:tr w:rsidR="0064743F" w:rsidRPr="0064743F" w:rsidTr="0064743F">
        <w:trPr>
          <w:trHeight w:val="315"/>
        </w:trPr>
        <w:tc>
          <w:tcPr>
            <w:tcW w:w="246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Queensland</w:t>
            </w:r>
          </w:p>
        </w:tc>
        <w:tc>
          <w:tcPr>
            <w:tcW w:w="10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1.12753</w:t>
            </w:r>
          </w:p>
        </w:tc>
        <w:tc>
          <w:tcPr>
            <w:tcW w:w="10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1.17109</w:t>
            </w:r>
          </w:p>
        </w:tc>
        <w:tc>
          <w:tcPr>
            <w:tcW w:w="10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22.7</w:t>
            </w:r>
          </w:p>
        </w:tc>
        <w:tc>
          <w:tcPr>
            <w:tcW w:w="10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23.6</w:t>
            </w:r>
          </w:p>
        </w:tc>
        <w:tc>
          <w:tcPr>
            <w:tcW w:w="10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13 024</w:t>
            </w:r>
          </w:p>
        </w:tc>
        <w:tc>
          <w:tcPr>
            <w:tcW w:w="10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14 348</w:t>
            </w:r>
          </w:p>
        </w:tc>
      </w:tr>
      <w:tr w:rsidR="0064743F" w:rsidRPr="0064743F" w:rsidTr="0064743F">
        <w:trPr>
          <w:trHeight w:val="315"/>
        </w:trPr>
        <w:tc>
          <w:tcPr>
            <w:tcW w:w="246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Western Australia</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0.29999</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0.30330</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3.3</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3.4</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1 890</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2 037</w:t>
            </w:r>
          </w:p>
        </w:tc>
      </w:tr>
      <w:tr w:rsidR="0064743F" w:rsidRPr="0064743F" w:rsidTr="0064743F">
        <w:trPr>
          <w:trHeight w:val="315"/>
        </w:trPr>
        <w:tc>
          <w:tcPr>
            <w:tcW w:w="246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South Australia</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1.35883</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1.41695</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9.7</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10.1</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5 556</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6 110</w:t>
            </w:r>
          </w:p>
        </w:tc>
      </w:tr>
      <w:tr w:rsidR="0064743F" w:rsidRPr="0064743F" w:rsidTr="0064743F">
        <w:trPr>
          <w:trHeight w:val="315"/>
        </w:trPr>
        <w:tc>
          <w:tcPr>
            <w:tcW w:w="246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Tasmania</w:t>
            </w:r>
          </w:p>
        </w:tc>
        <w:tc>
          <w:tcPr>
            <w:tcW w:w="10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1.81906</w:t>
            </w:r>
          </w:p>
        </w:tc>
        <w:tc>
          <w:tcPr>
            <w:tcW w:w="10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1.77693</w:t>
            </w:r>
          </w:p>
        </w:tc>
        <w:tc>
          <w:tcPr>
            <w:tcW w:w="10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3.9</w:t>
            </w:r>
          </w:p>
        </w:tc>
        <w:tc>
          <w:tcPr>
            <w:tcW w:w="10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3.8</w:t>
            </w:r>
          </w:p>
        </w:tc>
        <w:tc>
          <w:tcPr>
            <w:tcW w:w="10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2 249</w:t>
            </w:r>
          </w:p>
        </w:tc>
        <w:tc>
          <w:tcPr>
            <w:tcW w:w="10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2 299</w:t>
            </w:r>
          </w:p>
        </w:tc>
      </w:tr>
      <w:tr w:rsidR="0064743F" w:rsidRPr="0064743F" w:rsidTr="0064743F">
        <w:trPr>
          <w:trHeight w:val="315"/>
        </w:trPr>
        <w:tc>
          <w:tcPr>
            <w:tcW w:w="246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Australian Capital Territory</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1.10012</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1.15648</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1.8</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1.9</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1 036</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1 155</w:t>
            </w:r>
          </w:p>
        </w:tc>
      </w:tr>
      <w:tr w:rsidR="0064743F" w:rsidRPr="0064743F" w:rsidTr="0064743F">
        <w:trPr>
          <w:trHeight w:val="315"/>
        </w:trPr>
        <w:tc>
          <w:tcPr>
            <w:tcW w:w="246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Northern Territory</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5.57053</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5.28450</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5.7</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5.4</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3 286</w:t>
            </w:r>
          </w:p>
        </w:tc>
        <w:tc>
          <w:tcPr>
            <w:tcW w:w="10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3 291</w:t>
            </w:r>
          </w:p>
        </w:tc>
      </w:tr>
      <w:tr w:rsidR="0064743F" w:rsidRPr="0064743F" w:rsidTr="0064743F">
        <w:trPr>
          <w:trHeight w:val="315"/>
        </w:trPr>
        <w:tc>
          <w:tcPr>
            <w:tcW w:w="246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Total</w:t>
            </w:r>
          </w:p>
        </w:tc>
        <w:tc>
          <w:tcPr>
            <w:tcW w:w="1080" w:type="dxa"/>
            <w:tcBorders>
              <w:top w:val="single" w:sz="4" w:space="0" w:color="auto"/>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1.00000</w:t>
            </w:r>
          </w:p>
        </w:tc>
        <w:tc>
          <w:tcPr>
            <w:tcW w:w="1080" w:type="dxa"/>
            <w:tcBorders>
              <w:top w:val="single" w:sz="4" w:space="0" w:color="auto"/>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1.00000</w:t>
            </w:r>
          </w:p>
        </w:tc>
        <w:tc>
          <w:tcPr>
            <w:tcW w:w="1080" w:type="dxa"/>
            <w:tcBorders>
              <w:top w:val="single" w:sz="4" w:space="0" w:color="auto"/>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100.0</w:t>
            </w:r>
          </w:p>
        </w:tc>
        <w:tc>
          <w:tcPr>
            <w:tcW w:w="1080" w:type="dxa"/>
            <w:tcBorders>
              <w:top w:val="single" w:sz="4" w:space="0" w:color="auto"/>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100.0</w:t>
            </w:r>
          </w:p>
        </w:tc>
        <w:tc>
          <w:tcPr>
            <w:tcW w:w="1080" w:type="dxa"/>
            <w:tcBorders>
              <w:top w:val="single" w:sz="4" w:space="0" w:color="auto"/>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57 250</w:t>
            </w:r>
          </w:p>
        </w:tc>
        <w:tc>
          <w:tcPr>
            <w:tcW w:w="1080" w:type="dxa"/>
            <w:tcBorders>
              <w:top w:val="single" w:sz="4" w:space="0" w:color="auto"/>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60 720</w:t>
            </w:r>
          </w:p>
        </w:tc>
      </w:tr>
    </w:tbl>
    <w:p w:rsidR="00880554" w:rsidRPr="00C27A12" w:rsidRDefault="00880554" w:rsidP="00880554">
      <w:pPr>
        <w:pStyle w:val="ListParagraph"/>
        <w:tabs>
          <w:tab w:val="left" w:pos="851"/>
        </w:tabs>
        <w:spacing w:after="0" w:line="240" w:lineRule="auto"/>
        <w:ind w:left="0"/>
        <w:rPr>
          <w:sz w:val="20"/>
        </w:rPr>
      </w:pPr>
      <w:r w:rsidRPr="00C27A12">
        <w:rPr>
          <w:sz w:val="20"/>
        </w:rPr>
        <w:t>Source:</w:t>
      </w:r>
      <w:r w:rsidRPr="00C27A12">
        <w:rPr>
          <w:sz w:val="20"/>
        </w:rPr>
        <w:tab/>
        <w:t>Commission calculation.</w:t>
      </w:r>
    </w:p>
    <w:p w:rsidR="00C27A12" w:rsidRPr="00EC79CF" w:rsidRDefault="00C27A12" w:rsidP="00C27A12">
      <w:pPr>
        <w:pStyle w:val="CGCNumberedPara"/>
      </w:pPr>
      <w:r w:rsidRPr="00EC79CF">
        <w:t>The methods used to derive these results for 201</w:t>
      </w:r>
      <w:r>
        <w:t>6</w:t>
      </w:r>
      <w:r w:rsidR="00173F5B">
        <w:noBreakHyphen/>
      </w:r>
      <w:r w:rsidRPr="00EC79CF">
        <w:t>1</w:t>
      </w:r>
      <w:r>
        <w:t>7</w:t>
      </w:r>
      <w:r w:rsidRPr="00EC79CF">
        <w:t xml:space="preserve"> are set out in</w:t>
      </w:r>
      <w:r>
        <w:t xml:space="preserve"> the </w:t>
      </w:r>
      <w:r w:rsidRPr="00E6200E">
        <w:rPr>
          <w:i/>
        </w:rPr>
        <w:t xml:space="preserve">Report on GST </w:t>
      </w:r>
      <w:r w:rsidR="00912F6E">
        <w:rPr>
          <w:i/>
        </w:rPr>
        <w:t xml:space="preserve">Revenue </w:t>
      </w:r>
      <w:r w:rsidRPr="00E6200E">
        <w:rPr>
          <w:i/>
        </w:rPr>
        <w:t>Sharing Relativities, 2015 Review</w:t>
      </w:r>
      <w:r w:rsidRPr="00EC79CF">
        <w:t xml:space="preserve">. Using </w:t>
      </w:r>
      <w:r>
        <w:t>these</w:t>
      </w:r>
      <w:r w:rsidRPr="00EC79CF">
        <w:t xml:space="preserve"> methods and data for 201</w:t>
      </w:r>
      <w:r>
        <w:t>2</w:t>
      </w:r>
      <w:r w:rsidR="00600553">
        <w:noBreakHyphen/>
      </w:r>
      <w:r w:rsidRPr="00EC79CF">
        <w:t>1</w:t>
      </w:r>
      <w:r>
        <w:t>3</w:t>
      </w:r>
      <w:r w:rsidRPr="00EC79CF">
        <w:t>, 201</w:t>
      </w:r>
      <w:r>
        <w:t>3</w:t>
      </w:r>
      <w:r w:rsidR="00600553">
        <w:noBreakHyphen/>
      </w:r>
      <w:r w:rsidRPr="00EC79CF">
        <w:t>1</w:t>
      </w:r>
      <w:r>
        <w:t>4</w:t>
      </w:r>
      <w:r w:rsidRPr="00EC79CF">
        <w:t xml:space="preserve"> and 201</w:t>
      </w:r>
      <w:r>
        <w:t>4</w:t>
      </w:r>
      <w:r w:rsidR="00173F5B">
        <w:noBreakHyphen/>
      </w:r>
      <w:r w:rsidRPr="00EC79CF">
        <w:t>1</w:t>
      </w:r>
      <w:r>
        <w:t>5</w:t>
      </w:r>
      <w:r w:rsidRPr="00EC79CF">
        <w:t>, we have measured how the economic</w:t>
      </w:r>
      <w:r w:rsidR="00ED1C91">
        <w:t xml:space="preserve">, </w:t>
      </w:r>
      <w:r w:rsidR="006A4C8D">
        <w:t xml:space="preserve">social, </w:t>
      </w:r>
      <w:r w:rsidR="00ED1C91">
        <w:t>demographic and other characteristics</w:t>
      </w:r>
      <w:r w:rsidRPr="00EC79CF">
        <w:t xml:space="preserve"> in the States affect the relative expenses States </w:t>
      </w:r>
      <w:r w:rsidR="00ED1C91">
        <w:t xml:space="preserve">need to </w:t>
      </w:r>
      <w:r w:rsidRPr="00EC79CF">
        <w:t xml:space="preserve">incur in providing services (including infrastructure) and the relative capacity of States to raise their own revenue. The expense and revenue estimates are then combined with the </w:t>
      </w:r>
      <w:r w:rsidR="001B17EA">
        <w:t xml:space="preserve">additional </w:t>
      </w:r>
      <w:r w:rsidRPr="00EC79CF">
        <w:t>Commo</w:t>
      </w:r>
      <w:r w:rsidR="00B7236A">
        <w:t xml:space="preserve">nwealth support States receive </w:t>
      </w:r>
      <w:r w:rsidRPr="00EC79CF">
        <w:t>and State populations to calculate State shares of the GST.</w:t>
      </w:r>
      <w:r w:rsidR="00B953CD">
        <w:rPr>
          <w:rStyle w:val="FootnoteReference"/>
        </w:rPr>
        <w:footnoteReference w:id="1"/>
      </w:r>
      <w:r w:rsidRPr="00EC79CF">
        <w:t xml:space="preserve"> These shares aim to provide States in 201</w:t>
      </w:r>
      <w:r>
        <w:t>6</w:t>
      </w:r>
      <w:r w:rsidR="00600553">
        <w:noBreakHyphen/>
      </w:r>
      <w:r w:rsidRPr="00EC79CF">
        <w:t>1</w:t>
      </w:r>
      <w:r>
        <w:t>7</w:t>
      </w:r>
      <w:r w:rsidRPr="00EC79CF">
        <w:t xml:space="preserve"> with the fiscal capacity to provide the average standard of services and associated infrastructure for their populations, if they make the average effort to raise revenue and operate at the average level of efficiency. </w:t>
      </w:r>
    </w:p>
    <w:p w:rsidR="00AA191F" w:rsidRDefault="00D7394F" w:rsidP="00205C19">
      <w:pPr>
        <w:pStyle w:val="Heading3"/>
      </w:pPr>
      <w:bookmarkStart w:id="254" w:name="_Toc442883272"/>
      <w:bookmarkStart w:id="255" w:name="_Toc442949120"/>
      <w:r>
        <w:t xml:space="preserve">Illustrative GST </w:t>
      </w:r>
      <w:r w:rsidR="004E710B">
        <w:t>d</w:t>
      </w:r>
      <w:r>
        <w:t>istribution</w:t>
      </w:r>
      <w:bookmarkEnd w:id="254"/>
      <w:bookmarkEnd w:id="255"/>
    </w:p>
    <w:p w:rsidR="00CF55EB" w:rsidRPr="00EC79CF" w:rsidRDefault="00CA77D8" w:rsidP="00CA77D8">
      <w:pPr>
        <w:pStyle w:val="CGCNumberedPara"/>
        <w:numPr>
          <w:ilvl w:val="1"/>
          <w:numId w:val="2"/>
        </w:numPr>
      </w:pPr>
      <w:r>
        <w:fldChar w:fldCharType="begin"/>
      </w:r>
      <w:r>
        <w:instrText xml:space="preserve"> REF _Ref398281657 \h </w:instrText>
      </w:r>
      <w:r>
        <w:fldChar w:fldCharType="separate"/>
      </w:r>
      <w:r w:rsidR="007A6AF0" w:rsidRPr="00EC79CF">
        <w:t xml:space="preserve">Table </w:t>
      </w:r>
      <w:r w:rsidR="007A6AF0">
        <w:rPr>
          <w:noProof/>
        </w:rPr>
        <w:t>2</w:t>
      </w:r>
      <w:r>
        <w:fldChar w:fldCharType="end"/>
      </w:r>
      <w:r>
        <w:t xml:space="preserve"> </w:t>
      </w:r>
      <w:r w:rsidR="00CF55EB" w:rsidRPr="00EC79CF">
        <w:t>shows the differences between the estimated GST distribution for 201</w:t>
      </w:r>
      <w:r>
        <w:t>5</w:t>
      </w:r>
      <w:r w:rsidR="00173F5B">
        <w:noBreakHyphen/>
      </w:r>
      <w:r w:rsidR="00CF55EB" w:rsidRPr="00EC79CF">
        <w:t>1</w:t>
      </w:r>
      <w:r>
        <w:t>6</w:t>
      </w:r>
      <w:r w:rsidR="00CF55EB" w:rsidRPr="00EC79CF">
        <w:t xml:space="preserve"> and the illustrative distribution for 201</w:t>
      </w:r>
      <w:r>
        <w:t>6</w:t>
      </w:r>
      <w:r w:rsidR="00173F5B">
        <w:noBreakHyphen/>
      </w:r>
      <w:r w:rsidR="00CF55EB" w:rsidRPr="00EC79CF">
        <w:t>1</w:t>
      </w:r>
      <w:r>
        <w:t>7</w:t>
      </w:r>
      <w:r w:rsidR="00CF55EB" w:rsidRPr="00EC79CF">
        <w:t xml:space="preserve">. </w:t>
      </w:r>
      <w:r w:rsidR="00CF55EB">
        <w:t>C</w:t>
      </w:r>
      <w:r w:rsidR="00CF55EB" w:rsidRPr="00EC79CF">
        <w:t>hange</w:t>
      </w:r>
      <w:r w:rsidR="00CF55EB">
        <w:t>s</w:t>
      </w:r>
      <w:r w:rsidR="00CF55EB" w:rsidRPr="00EC79CF">
        <w:t xml:space="preserve"> ha</w:t>
      </w:r>
      <w:r w:rsidR="00CF55EB">
        <w:t>ve</w:t>
      </w:r>
      <w:r w:rsidR="00CF55EB" w:rsidRPr="00EC79CF">
        <w:t xml:space="preserve"> occurred for a number of reasons:</w:t>
      </w:r>
    </w:p>
    <w:p w:rsidR="00CF55EB" w:rsidRPr="00EC79CF" w:rsidRDefault="00CF55EB" w:rsidP="00CF55EB">
      <w:pPr>
        <w:pStyle w:val="CGCBulletlist"/>
      </w:pPr>
      <w:r w:rsidRPr="00EC79CF">
        <w:lastRenderedPageBreak/>
        <w:t>State populations between 201</w:t>
      </w:r>
      <w:r w:rsidR="00CA77D8">
        <w:t>5</w:t>
      </w:r>
      <w:r w:rsidR="00173F5B">
        <w:noBreakHyphen/>
      </w:r>
      <w:r w:rsidRPr="00EC79CF">
        <w:t>1</w:t>
      </w:r>
      <w:r w:rsidR="00CA77D8">
        <w:t>6</w:t>
      </w:r>
      <w:r w:rsidRPr="00EC79CF">
        <w:t xml:space="preserve"> and 201</w:t>
      </w:r>
      <w:r w:rsidR="00CA77D8">
        <w:t>6</w:t>
      </w:r>
      <w:r w:rsidR="00173F5B">
        <w:noBreakHyphen/>
      </w:r>
      <w:r w:rsidRPr="00EC79CF">
        <w:t>1</w:t>
      </w:r>
      <w:r w:rsidR="00CA77D8">
        <w:t>7</w:t>
      </w:r>
      <w:r w:rsidRPr="00EC79CF">
        <w:t xml:space="preserve"> have changed</w:t>
      </w:r>
    </w:p>
    <w:p w:rsidR="00CF55EB" w:rsidRPr="00EC79CF" w:rsidRDefault="00CF55EB" w:rsidP="00CF55EB">
      <w:pPr>
        <w:pStyle w:val="CGCBulletlist"/>
      </w:pPr>
      <w:r w:rsidRPr="00EC79CF">
        <w:t>the amount of GST revenue available for distribution has increased</w:t>
      </w:r>
    </w:p>
    <w:p w:rsidR="00CF55EB" w:rsidRDefault="00CF55EB" w:rsidP="00CF55EB">
      <w:pPr>
        <w:pStyle w:val="CGCBulletlist"/>
      </w:pPr>
      <w:proofErr w:type="gramStart"/>
      <w:r w:rsidRPr="00EC79CF">
        <w:t>the</w:t>
      </w:r>
      <w:proofErr w:type="gramEnd"/>
      <w:r w:rsidRPr="00EC79CF">
        <w:t xml:space="preserve"> relative fiscal capacities of the States have changed </w:t>
      </w:r>
      <w:r w:rsidR="004D487E">
        <w:t xml:space="preserve">mainly </w:t>
      </w:r>
      <w:r w:rsidRPr="00EC79CF">
        <w:t>because of changes in State circumstances.</w:t>
      </w:r>
    </w:p>
    <w:p w:rsidR="00EF40DA" w:rsidRPr="00EC79CF" w:rsidRDefault="00EF40DA" w:rsidP="00636BD2">
      <w:pPr>
        <w:pStyle w:val="CGCNumberedPara"/>
      </w:pPr>
      <w:r w:rsidRPr="00EC79CF">
        <w:t xml:space="preserve">The Commission’s work </w:t>
      </w:r>
      <w:r w:rsidRPr="00EF40DA">
        <w:t>relates</w:t>
      </w:r>
      <w:r w:rsidRPr="00EC79CF">
        <w:t xml:space="preserve"> only to the changes in fiscal capacities. </w:t>
      </w:r>
    </w:p>
    <w:p w:rsidR="00CF55EB" w:rsidRDefault="00CF55EB" w:rsidP="00CF55EB">
      <w:pPr>
        <w:pStyle w:val="CGCTableHeading"/>
      </w:pPr>
      <w:bookmarkStart w:id="256" w:name="_Ref398281657"/>
      <w:r w:rsidRPr="00EC79CF">
        <w:t xml:space="preserve">Table </w:t>
      </w:r>
      <w:r w:rsidR="001F6199">
        <w:fldChar w:fldCharType="begin"/>
      </w:r>
      <w:r w:rsidR="00BB15A4">
        <w:instrText xml:space="preserve"> SEQ Table \* ARABIC</w:instrText>
      </w:r>
      <w:r w:rsidR="001F6199">
        <w:fldChar w:fldCharType="separate"/>
      </w:r>
      <w:r w:rsidR="007A6AF0">
        <w:rPr>
          <w:noProof/>
        </w:rPr>
        <w:t>2</w:t>
      </w:r>
      <w:r w:rsidR="001F6199">
        <w:fldChar w:fldCharType="end"/>
      </w:r>
      <w:bookmarkEnd w:id="256"/>
      <w:r w:rsidRPr="00EC79CF">
        <w:tab/>
      </w:r>
      <w:bookmarkStart w:id="257" w:name="_Ref430701542"/>
      <w:r w:rsidRPr="00EC79CF">
        <w:t>Distribution of the 201</w:t>
      </w:r>
      <w:r w:rsidR="00D61F54">
        <w:t>5</w:t>
      </w:r>
      <w:r w:rsidRPr="00EC79CF">
        <w:t>-1</w:t>
      </w:r>
      <w:r w:rsidR="00D61F54">
        <w:t>6</w:t>
      </w:r>
      <w:r w:rsidRPr="00EC79CF">
        <w:t xml:space="preserve"> GST and the illustrative 201</w:t>
      </w:r>
      <w:r w:rsidR="00D61F54">
        <w:t>6</w:t>
      </w:r>
      <w:r w:rsidRPr="00EC79CF">
        <w:t>-1</w:t>
      </w:r>
      <w:r w:rsidR="00D61F54">
        <w:t>7</w:t>
      </w:r>
      <w:r w:rsidRPr="00EC79CF">
        <w:t xml:space="preserve"> GST</w:t>
      </w:r>
      <w:bookmarkEnd w:id="257"/>
      <w:r w:rsidR="001B17EA">
        <w:t xml:space="preserve"> distribution</w:t>
      </w:r>
    </w:p>
    <w:tbl>
      <w:tblPr>
        <w:tblW w:w="8960" w:type="dxa"/>
        <w:tblInd w:w="93" w:type="dxa"/>
        <w:tblLook w:val="04A0" w:firstRow="1" w:lastRow="0" w:firstColumn="1" w:lastColumn="0" w:noHBand="0" w:noVBand="1"/>
      </w:tblPr>
      <w:tblGrid>
        <w:gridCol w:w="2180"/>
        <w:gridCol w:w="820"/>
        <w:gridCol w:w="820"/>
        <w:gridCol w:w="820"/>
        <w:gridCol w:w="700"/>
        <w:gridCol w:w="700"/>
        <w:gridCol w:w="700"/>
        <w:gridCol w:w="700"/>
        <w:gridCol w:w="700"/>
        <w:gridCol w:w="820"/>
      </w:tblGrid>
      <w:tr w:rsidR="0064743F" w:rsidRPr="0064743F" w:rsidTr="0064743F">
        <w:trPr>
          <w:trHeight w:val="379"/>
        </w:trPr>
        <w:tc>
          <w:tcPr>
            <w:tcW w:w="218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bookmarkStart w:id="258" w:name="RANGE!A10:J20"/>
            <w:r w:rsidRPr="0064743F">
              <w:rPr>
                <w:rFonts w:ascii="Calibri" w:eastAsia="Times New Roman" w:hAnsi="Calibri" w:cs="Times New Roman"/>
                <w:sz w:val="20"/>
                <w:szCs w:val="20"/>
                <w:lang w:eastAsia="en-AU"/>
              </w:rPr>
              <w:t> </w:t>
            </w:r>
            <w:bookmarkEnd w:id="258"/>
          </w:p>
        </w:tc>
        <w:tc>
          <w:tcPr>
            <w:tcW w:w="8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NSW</w:t>
            </w:r>
          </w:p>
        </w:tc>
        <w:tc>
          <w:tcPr>
            <w:tcW w:w="8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Vic</w:t>
            </w:r>
          </w:p>
        </w:tc>
        <w:tc>
          <w:tcPr>
            <w:tcW w:w="8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Qld</w:t>
            </w:r>
          </w:p>
        </w:tc>
        <w:tc>
          <w:tcPr>
            <w:tcW w:w="70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WA</w:t>
            </w:r>
          </w:p>
        </w:tc>
        <w:tc>
          <w:tcPr>
            <w:tcW w:w="70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SA</w:t>
            </w:r>
          </w:p>
        </w:tc>
        <w:tc>
          <w:tcPr>
            <w:tcW w:w="70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Tas</w:t>
            </w:r>
          </w:p>
        </w:tc>
        <w:tc>
          <w:tcPr>
            <w:tcW w:w="70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ACT</w:t>
            </w:r>
          </w:p>
        </w:tc>
        <w:tc>
          <w:tcPr>
            <w:tcW w:w="70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NT</w:t>
            </w:r>
          </w:p>
        </w:tc>
        <w:tc>
          <w:tcPr>
            <w:tcW w:w="8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Total</w:t>
            </w:r>
          </w:p>
        </w:tc>
      </w:tr>
      <w:tr w:rsidR="0064743F" w:rsidRPr="0064743F" w:rsidTr="0064743F">
        <w:trPr>
          <w:trHeight w:val="259"/>
        </w:trPr>
        <w:tc>
          <w:tcPr>
            <w:tcW w:w="21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r>
      <w:tr w:rsidR="0064743F" w:rsidRPr="0064743F" w:rsidTr="0064743F">
        <w:trPr>
          <w:trHeight w:val="315"/>
        </w:trPr>
        <w:tc>
          <w:tcPr>
            <w:tcW w:w="21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Estimated 2015-16</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17 401</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12 807</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13 024</w:t>
            </w: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1 890</w:t>
            </w: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5 556</w:t>
            </w: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2 249</w:t>
            </w: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1 036</w:t>
            </w: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3 286</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57 250</w:t>
            </w:r>
          </w:p>
        </w:tc>
      </w:tr>
      <w:tr w:rsidR="0064743F" w:rsidRPr="0064743F" w:rsidTr="0064743F">
        <w:trPr>
          <w:trHeight w:val="315"/>
        </w:trPr>
        <w:tc>
          <w:tcPr>
            <w:tcW w:w="21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Illustrative 2016-17</w:t>
            </w:r>
          </w:p>
        </w:tc>
        <w:tc>
          <w:tcPr>
            <w:tcW w:w="82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17 598</w:t>
            </w:r>
          </w:p>
        </w:tc>
        <w:tc>
          <w:tcPr>
            <w:tcW w:w="82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13 881</w:t>
            </w:r>
          </w:p>
        </w:tc>
        <w:tc>
          <w:tcPr>
            <w:tcW w:w="82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14 348</w:t>
            </w:r>
          </w:p>
        </w:tc>
        <w:tc>
          <w:tcPr>
            <w:tcW w:w="70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2 037</w:t>
            </w:r>
          </w:p>
        </w:tc>
        <w:tc>
          <w:tcPr>
            <w:tcW w:w="70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6 110</w:t>
            </w:r>
          </w:p>
        </w:tc>
        <w:tc>
          <w:tcPr>
            <w:tcW w:w="70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2 299</w:t>
            </w:r>
          </w:p>
        </w:tc>
        <w:tc>
          <w:tcPr>
            <w:tcW w:w="70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1 155</w:t>
            </w:r>
          </w:p>
        </w:tc>
        <w:tc>
          <w:tcPr>
            <w:tcW w:w="70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3 291</w:t>
            </w:r>
          </w:p>
        </w:tc>
        <w:tc>
          <w:tcPr>
            <w:tcW w:w="82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60 720</w:t>
            </w:r>
          </w:p>
        </w:tc>
      </w:tr>
      <w:tr w:rsidR="0064743F" w:rsidRPr="0064743F" w:rsidTr="0064743F">
        <w:trPr>
          <w:trHeight w:val="315"/>
        </w:trPr>
        <w:tc>
          <w:tcPr>
            <w:tcW w:w="21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Change</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196</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1 074</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1 324</w:t>
            </w: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148</w:t>
            </w: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554</w:t>
            </w: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50</w:t>
            </w: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119</w:t>
            </w: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3 470</w:t>
            </w:r>
          </w:p>
        </w:tc>
      </w:tr>
      <w:tr w:rsidR="0064743F" w:rsidRPr="0064743F" w:rsidTr="0064743F">
        <w:trPr>
          <w:trHeight w:val="315"/>
        </w:trPr>
        <w:tc>
          <w:tcPr>
            <w:tcW w:w="21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Change caused by new:</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r>
      <w:tr w:rsidR="0064743F" w:rsidRPr="0064743F" w:rsidTr="0064743F">
        <w:trPr>
          <w:trHeight w:val="315"/>
        </w:trPr>
        <w:tc>
          <w:tcPr>
            <w:tcW w:w="2180" w:type="dxa"/>
            <w:tcBorders>
              <w:top w:val="nil"/>
              <w:left w:val="nil"/>
              <w:bottom w:val="nil"/>
              <w:right w:val="nil"/>
            </w:tcBorders>
            <w:shd w:val="clear" w:color="auto" w:fill="auto"/>
            <w:noWrap/>
            <w:vAlign w:val="bottom"/>
            <w:hideMark/>
          </w:tcPr>
          <w:p w:rsidR="0064743F" w:rsidRPr="0064743F" w:rsidRDefault="00335D57" w:rsidP="0064743F">
            <w:pPr>
              <w:tabs>
                <w:tab w:val="clear" w:pos="567"/>
              </w:tabs>
              <w:spacing w:after="0" w:line="240" w:lineRule="auto"/>
              <w:ind w:firstLineChars="100" w:firstLine="200"/>
              <w:rPr>
                <w:rFonts w:ascii="Calibri" w:eastAsia="Times New Roman" w:hAnsi="Calibri" w:cs="Times New Roman"/>
                <w:sz w:val="20"/>
                <w:szCs w:val="20"/>
                <w:lang w:eastAsia="en-AU"/>
              </w:rPr>
            </w:pPr>
            <w:r>
              <w:rPr>
                <w:rFonts w:ascii="Calibri" w:eastAsia="Times New Roman" w:hAnsi="Calibri" w:cs="Times New Roman"/>
                <w:sz w:val="20"/>
                <w:szCs w:val="20"/>
                <w:lang w:eastAsia="en-AU"/>
              </w:rPr>
              <w:t>Population</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-8</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47</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14</w:t>
            </w: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12</w:t>
            </w: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-26</w:t>
            </w: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-28</w:t>
            </w: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-12</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0</w:t>
            </w:r>
          </w:p>
        </w:tc>
      </w:tr>
      <w:tr w:rsidR="0064743F" w:rsidRPr="0064743F" w:rsidTr="0064743F">
        <w:trPr>
          <w:trHeight w:val="315"/>
        </w:trPr>
        <w:tc>
          <w:tcPr>
            <w:tcW w:w="2180" w:type="dxa"/>
            <w:tcBorders>
              <w:top w:val="nil"/>
              <w:left w:val="nil"/>
              <w:bottom w:val="nil"/>
              <w:right w:val="nil"/>
            </w:tcBorders>
            <w:shd w:val="clear" w:color="auto" w:fill="auto"/>
            <w:noWrap/>
            <w:vAlign w:val="bottom"/>
            <w:hideMark/>
          </w:tcPr>
          <w:p w:rsidR="0064743F" w:rsidRPr="0064743F" w:rsidRDefault="00335D57" w:rsidP="0064743F">
            <w:pPr>
              <w:tabs>
                <w:tab w:val="clear" w:pos="567"/>
              </w:tabs>
              <w:spacing w:after="0" w:line="240" w:lineRule="auto"/>
              <w:ind w:firstLineChars="100" w:firstLine="200"/>
              <w:rPr>
                <w:rFonts w:ascii="Calibri" w:eastAsia="Times New Roman" w:hAnsi="Calibri" w:cs="Times New Roman"/>
                <w:sz w:val="20"/>
                <w:szCs w:val="20"/>
                <w:lang w:eastAsia="en-AU"/>
              </w:rPr>
            </w:pPr>
            <w:r>
              <w:rPr>
                <w:rFonts w:ascii="Calibri" w:eastAsia="Times New Roman" w:hAnsi="Calibri" w:cs="Times New Roman"/>
                <w:sz w:val="20"/>
                <w:szCs w:val="20"/>
                <w:lang w:eastAsia="en-AU"/>
              </w:rPr>
              <w:t>Pool</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1 054</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779</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790</w:t>
            </w: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115</w:t>
            </w: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335</w:t>
            </w: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135</w:t>
            </w: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63</w:t>
            </w:r>
          </w:p>
        </w:tc>
        <w:tc>
          <w:tcPr>
            <w:tcW w:w="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198</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3 470</w:t>
            </w:r>
          </w:p>
        </w:tc>
      </w:tr>
      <w:tr w:rsidR="0064743F" w:rsidRPr="0064743F" w:rsidTr="0064743F">
        <w:trPr>
          <w:trHeight w:val="315"/>
        </w:trPr>
        <w:tc>
          <w:tcPr>
            <w:tcW w:w="2180" w:type="dxa"/>
            <w:tcBorders>
              <w:top w:val="nil"/>
              <w:left w:val="nil"/>
              <w:bottom w:val="nil"/>
              <w:right w:val="nil"/>
            </w:tcBorders>
            <w:shd w:val="clear" w:color="auto" w:fill="auto"/>
            <w:vAlign w:val="bottom"/>
            <w:hideMark/>
          </w:tcPr>
          <w:p w:rsidR="0064743F" w:rsidRPr="0064743F" w:rsidRDefault="00335D57" w:rsidP="0064743F">
            <w:pPr>
              <w:tabs>
                <w:tab w:val="clear" w:pos="567"/>
              </w:tabs>
              <w:spacing w:after="0" w:line="240" w:lineRule="auto"/>
              <w:ind w:firstLineChars="100" w:firstLine="200"/>
              <w:rPr>
                <w:rFonts w:ascii="Calibri" w:eastAsia="Times New Roman" w:hAnsi="Calibri" w:cs="Times New Roman"/>
                <w:sz w:val="20"/>
                <w:szCs w:val="20"/>
                <w:lang w:eastAsia="en-AU"/>
              </w:rPr>
            </w:pPr>
            <w:r>
              <w:rPr>
                <w:rFonts w:ascii="Calibri" w:eastAsia="Times New Roman" w:hAnsi="Calibri" w:cs="Times New Roman"/>
                <w:sz w:val="20"/>
                <w:szCs w:val="20"/>
                <w:lang w:eastAsia="en-AU"/>
              </w:rPr>
              <w:t>Fiscal capacities</w:t>
            </w:r>
          </w:p>
        </w:tc>
        <w:tc>
          <w:tcPr>
            <w:tcW w:w="82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-850</w:t>
            </w:r>
          </w:p>
        </w:tc>
        <w:tc>
          <w:tcPr>
            <w:tcW w:w="82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248</w:t>
            </w:r>
          </w:p>
        </w:tc>
        <w:tc>
          <w:tcPr>
            <w:tcW w:w="82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520</w:t>
            </w:r>
          </w:p>
        </w:tc>
        <w:tc>
          <w:tcPr>
            <w:tcW w:w="70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20</w:t>
            </w:r>
          </w:p>
        </w:tc>
        <w:tc>
          <w:tcPr>
            <w:tcW w:w="70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245</w:t>
            </w:r>
          </w:p>
        </w:tc>
        <w:tc>
          <w:tcPr>
            <w:tcW w:w="70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-57</w:t>
            </w:r>
          </w:p>
        </w:tc>
        <w:tc>
          <w:tcPr>
            <w:tcW w:w="70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55</w:t>
            </w:r>
          </w:p>
        </w:tc>
        <w:tc>
          <w:tcPr>
            <w:tcW w:w="70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-182</w:t>
            </w:r>
          </w:p>
        </w:tc>
        <w:tc>
          <w:tcPr>
            <w:tcW w:w="82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0</w:t>
            </w:r>
          </w:p>
        </w:tc>
      </w:tr>
      <w:tr w:rsidR="0064743F" w:rsidRPr="0064743F" w:rsidTr="0064743F">
        <w:trPr>
          <w:trHeight w:val="315"/>
        </w:trPr>
        <w:tc>
          <w:tcPr>
            <w:tcW w:w="21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Change ($m)</w:t>
            </w:r>
          </w:p>
        </w:tc>
        <w:tc>
          <w:tcPr>
            <w:tcW w:w="820" w:type="dxa"/>
            <w:tcBorders>
              <w:top w:val="single" w:sz="4" w:space="0" w:color="auto"/>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196</w:t>
            </w:r>
          </w:p>
        </w:tc>
        <w:tc>
          <w:tcPr>
            <w:tcW w:w="820" w:type="dxa"/>
            <w:tcBorders>
              <w:top w:val="single" w:sz="4" w:space="0" w:color="auto"/>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1 074</w:t>
            </w:r>
          </w:p>
        </w:tc>
        <w:tc>
          <w:tcPr>
            <w:tcW w:w="820" w:type="dxa"/>
            <w:tcBorders>
              <w:top w:val="single" w:sz="4" w:space="0" w:color="auto"/>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1 324</w:t>
            </w:r>
          </w:p>
        </w:tc>
        <w:tc>
          <w:tcPr>
            <w:tcW w:w="700" w:type="dxa"/>
            <w:tcBorders>
              <w:top w:val="single" w:sz="4" w:space="0" w:color="auto"/>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148</w:t>
            </w:r>
          </w:p>
        </w:tc>
        <w:tc>
          <w:tcPr>
            <w:tcW w:w="700" w:type="dxa"/>
            <w:tcBorders>
              <w:top w:val="single" w:sz="4" w:space="0" w:color="auto"/>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554</w:t>
            </w:r>
          </w:p>
        </w:tc>
        <w:tc>
          <w:tcPr>
            <w:tcW w:w="700" w:type="dxa"/>
            <w:tcBorders>
              <w:top w:val="single" w:sz="4" w:space="0" w:color="auto"/>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50</w:t>
            </w:r>
          </w:p>
        </w:tc>
        <w:tc>
          <w:tcPr>
            <w:tcW w:w="700" w:type="dxa"/>
            <w:tcBorders>
              <w:top w:val="single" w:sz="4" w:space="0" w:color="auto"/>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119</w:t>
            </w:r>
          </w:p>
        </w:tc>
        <w:tc>
          <w:tcPr>
            <w:tcW w:w="700" w:type="dxa"/>
            <w:tcBorders>
              <w:top w:val="single" w:sz="4" w:space="0" w:color="auto"/>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w:t>
            </w:r>
          </w:p>
        </w:tc>
        <w:tc>
          <w:tcPr>
            <w:tcW w:w="820" w:type="dxa"/>
            <w:tcBorders>
              <w:top w:val="single" w:sz="4" w:space="0" w:color="auto"/>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3 470</w:t>
            </w:r>
          </w:p>
        </w:tc>
      </w:tr>
      <w:tr w:rsidR="0064743F" w:rsidRPr="0064743F" w:rsidTr="0064743F">
        <w:trPr>
          <w:trHeight w:val="315"/>
        </w:trPr>
        <w:tc>
          <w:tcPr>
            <w:tcW w:w="218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Change ($pc)</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25</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176</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270</w:t>
            </w:r>
          </w:p>
        </w:tc>
        <w:tc>
          <w:tcPr>
            <w:tcW w:w="70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55</w:t>
            </w:r>
          </w:p>
        </w:tc>
        <w:tc>
          <w:tcPr>
            <w:tcW w:w="70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321</w:t>
            </w:r>
          </w:p>
        </w:tc>
        <w:tc>
          <w:tcPr>
            <w:tcW w:w="70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97</w:t>
            </w:r>
          </w:p>
        </w:tc>
        <w:tc>
          <w:tcPr>
            <w:tcW w:w="70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298</w:t>
            </w:r>
          </w:p>
        </w:tc>
        <w:tc>
          <w:tcPr>
            <w:tcW w:w="700" w:type="dxa"/>
            <w:tcBorders>
              <w:top w:val="nil"/>
              <w:left w:val="nil"/>
              <w:bottom w:val="single" w:sz="4" w:space="0" w:color="auto"/>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21</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143</w:t>
            </w:r>
          </w:p>
        </w:tc>
      </w:tr>
    </w:tbl>
    <w:p w:rsidR="00E425CD" w:rsidRPr="00607162" w:rsidRDefault="00E425CD" w:rsidP="00E425CD">
      <w:pPr>
        <w:pStyle w:val="CGCTableFootnote"/>
      </w:pPr>
      <w:r w:rsidRPr="00607162">
        <w:t>Source:</w:t>
      </w:r>
      <w:r w:rsidRPr="00607162">
        <w:tab/>
      </w:r>
      <w:r w:rsidR="004B32B4">
        <w:t xml:space="preserve">See source and notes </w:t>
      </w:r>
      <w:r w:rsidR="00DA087B">
        <w:t>to</w:t>
      </w:r>
      <w:r w:rsidR="001539B7">
        <w:t xml:space="preserve"> </w:t>
      </w:r>
      <w:r w:rsidR="001539B7">
        <w:fldChar w:fldCharType="begin"/>
      </w:r>
      <w:r w:rsidR="001539B7">
        <w:instrText xml:space="preserve"> REF _Ref379537343 \h </w:instrText>
      </w:r>
      <w:r w:rsidR="001539B7">
        <w:fldChar w:fldCharType="separate"/>
      </w:r>
      <w:r w:rsidR="007A6AF0" w:rsidRPr="00E11EF7">
        <w:t xml:space="preserve">Table </w:t>
      </w:r>
      <w:r w:rsidR="007A6AF0">
        <w:rPr>
          <w:noProof/>
        </w:rPr>
        <w:t>1</w:t>
      </w:r>
      <w:r w:rsidR="007A6AF0">
        <w:noBreakHyphen/>
      </w:r>
      <w:r w:rsidR="007A6AF0">
        <w:rPr>
          <w:noProof/>
        </w:rPr>
        <w:t>1</w:t>
      </w:r>
      <w:r w:rsidR="001539B7">
        <w:fldChar w:fldCharType="end"/>
      </w:r>
      <w:r w:rsidR="004B32B4">
        <w:t>.</w:t>
      </w:r>
    </w:p>
    <w:p w:rsidR="009F346E" w:rsidRPr="00205C19" w:rsidRDefault="00205C19" w:rsidP="00205C19">
      <w:pPr>
        <w:pStyle w:val="Heading3"/>
      </w:pPr>
      <w:bookmarkStart w:id="259" w:name="_Toc428435387"/>
      <w:bookmarkStart w:id="260" w:name="_Toc433353474"/>
      <w:bookmarkStart w:id="261" w:name="_Toc441241580"/>
      <w:bookmarkStart w:id="262" w:name="_Toc441499250"/>
      <w:bookmarkStart w:id="263" w:name="_Toc441656024"/>
      <w:bookmarkStart w:id="264" w:name="_Toc442191906"/>
      <w:bookmarkStart w:id="265" w:name="_Toc442192158"/>
      <w:bookmarkStart w:id="266" w:name="_Toc442192223"/>
      <w:bookmarkStart w:id="267" w:name="_Toc442772809"/>
      <w:bookmarkStart w:id="268" w:name="_Toc442773036"/>
      <w:bookmarkStart w:id="269" w:name="_Toc442773208"/>
      <w:bookmarkStart w:id="270" w:name="_Toc442773560"/>
      <w:bookmarkStart w:id="271" w:name="_Toc442883273"/>
      <w:bookmarkStart w:id="272" w:name="_Toc442949121"/>
      <w:r>
        <w:t>W</w:t>
      </w:r>
      <w:r w:rsidRPr="00205C19">
        <w:t xml:space="preserve">hy </w:t>
      </w:r>
      <w:r w:rsidR="0056553E">
        <w:t>State</w:t>
      </w:r>
      <w:r>
        <w:t xml:space="preserve"> fiscal capacities</w:t>
      </w:r>
      <w:r w:rsidRPr="00205C19">
        <w:t xml:space="preserve"> </w:t>
      </w:r>
      <w:r w:rsidR="0056553E">
        <w:t xml:space="preserve">have </w:t>
      </w:r>
      <w:r w:rsidRPr="00205C19">
        <w:t>changed</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rsidR="00EF40DA" w:rsidRDefault="00EF40DA" w:rsidP="00AA191F">
      <w:pPr>
        <w:pStyle w:val="CGCNumberedPara"/>
      </w:pPr>
      <w:r>
        <w:t>In this update, we added data for 2014</w:t>
      </w:r>
      <w:r>
        <w:noBreakHyphen/>
        <w:t xml:space="preserve">15 </w:t>
      </w:r>
      <w:r w:rsidR="005F0051">
        <w:t xml:space="preserve">to our calculations </w:t>
      </w:r>
      <w:r>
        <w:t>and removed data for 201</w:t>
      </w:r>
      <w:r w:rsidR="00600553">
        <w:t>1</w:t>
      </w:r>
      <w:r>
        <w:noBreakHyphen/>
        <w:t>1</w:t>
      </w:r>
      <w:r w:rsidR="00600553">
        <w:t>2</w:t>
      </w:r>
      <w:r>
        <w:t>. The differences between these years are the major influence on changes in measured State fiscal capacities and</w:t>
      </w:r>
      <w:r w:rsidR="00600553">
        <w:t xml:space="preserve"> therefore our recommendations.</w:t>
      </w:r>
    </w:p>
    <w:p w:rsidR="009F346E" w:rsidRPr="000F6176" w:rsidRDefault="00AA191F" w:rsidP="00AA191F">
      <w:pPr>
        <w:pStyle w:val="CGCNumberedPara"/>
      </w:pPr>
      <w:r>
        <w:t>We have recommended a changed distribution because new data reveal changes in fiscal capacities in all areas of State budgets, as shown in</w:t>
      </w:r>
      <w:r w:rsidR="00443BC7">
        <w:t xml:space="preserve"> </w:t>
      </w:r>
      <w:r w:rsidR="00443BC7">
        <w:fldChar w:fldCharType="begin"/>
      </w:r>
      <w:r w:rsidR="00443BC7">
        <w:instrText xml:space="preserve"> REF _Ref428197925 \h </w:instrText>
      </w:r>
      <w:r w:rsidR="00443BC7">
        <w:fldChar w:fldCharType="separate"/>
      </w:r>
      <w:r w:rsidR="007A6AF0">
        <w:t xml:space="preserve">Table </w:t>
      </w:r>
      <w:r w:rsidR="007A6AF0">
        <w:rPr>
          <w:noProof/>
        </w:rPr>
        <w:t>3</w:t>
      </w:r>
      <w:r w:rsidR="00443BC7">
        <w:fldChar w:fldCharType="end"/>
      </w:r>
      <w:r>
        <w:t>. Changes in States’ estimated revenue raising capacity have been much more significant than changes in other aspects of State budgets.</w:t>
      </w:r>
    </w:p>
    <w:p w:rsidR="00E10868" w:rsidRPr="00A863CB" w:rsidRDefault="00AA191F" w:rsidP="00E06039">
      <w:pPr>
        <w:pStyle w:val="CGCTableHeading"/>
      </w:pPr>
      <w:bookmarkStart w:id="273" w:name="_Ref428197925"/>
      <w:r>
        <w:lastRenderedPageBreak/>
        <w:t xml:space="preserve">Table </w:t>
      </w:r>
      <w:r w:rsidR="001F6199">
        <w:fldChar w:fldCharType="begin"/>
      </w:r>
      <w:r w:rsidR="00BB15A4">
        <w:instrText xml:space="preserve"> SEQ Table \* ARABIC</w:instrText>
      </w:r>
      <w:r w:rsidR="001F6199">
        <w:fldChar w:fldCharType="separate"/>
      </w:r>
      <w:r w:rsidR="007A6AF0">
        <w:rPr>
          <w:noProof/>
        </w:rPr>
        <w:t>3</w:t>
      </w:r>
      <w:r w:rsidR="001F6199">
        <w:fldChar w:fldCharType="end"/>
      </w:r>
      <w:bookmarkEnd w:id="273"/>
      <w:r>
        <w:tab/>
      </w:r>
      <w:r w:rsidR="00E10868">
        <w:t xml:space="preserve">Composition of change in assessed fiscal capacities since the </w:t>
      </w:r>
      <w:r w:rsidR="00866DB3">
        <w:t>2015 Review</w:t>
      </w:r>
    </w:p>
    <w:tbl>
      <w:tblPr>
        <w:tblW w:w="8940" w:type="dxa"/>
        <w:tblInd w:w="93" w:type="dxa"/>
        <w:tblLook w:val="04A0" w:firstRow="1" w:lastRow="0" w:firstColumn="1" w:lastColumn="0" w:noHBand="0" w:noVBand="1"/>
      </w:tblPr>
      <w:tblGrid>
        <w:gridCol w:w="2460"/>
        <w:gridCol w:w="720"/>
        <w:gridCol w:w="720"/>
        <w:gridCol w:w="720"/>
        <w:gridCol w:w="720"/>
        <w:gridCol w:w="720"/>
        <w:gridCol w:w="720"/>
        <w:gridCol w:w="720"/>
        <w:gridCol w:w="720"/>
        <w:gridCol w:w="721"/>
      </w:tblGrid>
      <w:tr w:rsidR="0064743F" w:rsidRPr="0064743F" w:rsidTr="0064743F">
        <w:trPr>
          <w:trHeight w:val="379"/>
        </w:trPr>
        <w:tc>
          <w:tcPr>
            <w:tcW w:w="246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 </w:t>
            </w:r>
          </w:p>
        </w:tc>
        <w:tc>
          <w:tcPr>
            <w:tcW w:w="7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NSW</w:t>
            </w:r>
          </w:p>
        </w:tc>
        <w:tc>
          <w:tcPr>
            <w:tcW w:w="7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Vic</w:t>
            </w:r>
          </w:p>
        </w:tc>
        <w:tc>
          <w:tcPr>
            <w:tcW w:w="7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Qld</w:t>
            </w:r>
          </w:p>
        </w:tc>
        <w:tc>
          <w:tcPr>
            <w:tcW w:w="7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WA</w:t>
            </w:r>
          </w:p>
        </w:tc>
        <w:tc>
          <w:tcPr>
            <w:tcW w:w="7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SA</w:t>
            </w:r>
          </w:p>
        </w:tc>
        <w:tc>
          <w:tcPr>
            <w:tcW w:w="7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Tas</w:t>
            </w:r>
          </w:p>
        </w:tc>
        <w:tc>
          <w:tcPr>
            <w:tcW w:w="7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ACT</w:t>
            </w:r>
          </w:p>
        </w:tc>
        <w:tc>
          <w:tcPr>
            <w:tcW w:w="7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NT</w:t>
            </w:r>
          </w:p>
        </w:tc>
        <w:tc>
          <w:tcPr>
            <w:tcW w:w="7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64743F">
              <w:rPr>
                <w:rFonts w:ascii="Calibri" w:eastAsia="Times New Roman" w:hAnsi="Calibri" w:cs="Times New Roman"/>
                <w:sz w:val="20"/>
                <w:szCs w:val="20"/>
                <w:lang w:eastAsia="en-AU"/>
              </w:rPr>
              <w:t>Redist</w:t>
            </w:r>
            <w:proofErr w:type="spellEnd"/>
          </w:p>
        </w:tc>
      </w:tr>
      <w:tr w:rsidR="0064743F" w:rsidRPr="0064743F" w:rsidTr="0064743F">
        <w:trPr>
          <w:trHeight w:val="259"/>
        </w:trPr>
        <w:tc>
          <w:tcPr>
            <w:tcW w:w="246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r>
      <w:tr w:rsidR="0064743F" w:rsidRPr="0064743F" w:rsidTr="0064743F">
        <w:trPr>
          <w:trHeight w:val="315"/>
        </w:trPr>
        <w:tc>
          <w:tcPr>
            <w:tcW w:w="246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Expense requirement</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-67</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102</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144</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-25</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-37</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-66</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-8</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-43</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555</w:t>
            </w:r>
          </w:p>
        </w:tc>
      </w:tr>
      <w:tr w:rsidR="0064743F" w:rsidRPr="0064743F" w:rsidTr="0064743F">
        <w:trPr>
          <w:trHeight w:val="315"/>
        </w:trPr>
        <w:tc>
          <w:tcPr>
            <w:tcW w:w="246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Investment requirement</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241</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272</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-35</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-441</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73</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8</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-115</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594</w:t>
            </w:r>
          </w:p>
        </w:tc>
      </w:tr>
      <w:tr w:rsidR="0064743F" w:rsidRPr="0064743F" w:rsidTr="0064743F">
        <w:trPr>
          <w:trHeight w:val="315"/>
        </w:trPr>
        <w:tc>
          <w:tcPr>
            <w:tcW w:w="246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Net borrowing</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-50</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-25</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16</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68</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-10</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89</w:t>
            </w:r>
          </w:p>
        </w:tc>
      </w:tr>
      <w:tr w:rsidR="0064743F" w:rsidRPr="0064743F" w:rsidTr="0064743F">
        <w:trPr>
          <w:trHeight w:val="315"/>
        </w:trPr>
        <w:tc>
          <w:tcPr>
            <w:tcW w:w="246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Revenue capacity</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-662</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-121</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420</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381</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-58</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7</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65</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-30</w:t>
            </w:r>
          </w:p>
        </w:tc>
        <w:tc>
          <w:tcPr>
            <w:tcW w:w="72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1 240</w:t>
            </w:r>
          </w:p>
        </w:tc>
      </w:tr>
      <w:tr w:rsidR="0064743F" w:rsidRPr="0064743F" w:rsidTr="0064743F">
        <w:trPr>
          <w:trHeight w:val="315"/>
        </w:trPr>
        <w:tc>
          <w:tcPr>
            <w:tcW w:w="2460" w:type="dxa"/>
            <w:tcBorders>
              <w:top w:val="nil"/>
              <w:left w:val="nil"/>
              <w:bottom w:val="nil"/>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Commonwealth payments</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-311</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19</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-24</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37</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277</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0</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337</w:t>
            </w:r>
          </w:p>
        </w:tc>
      </w:tr>
      <w:tr w:rsidR="0064743F" w:rsidRPr="0064743F" w:rsidTr="0064743F">
        <w:trPr>
          <w:trHeight w:val="315"/>
        </w:trPr>
        <w:tc>
          <w:tcPr>
            <w:tcW w:w="2460" w:type="dxa"/>
            <w:tcBorders>
              <w:top w:val="nil"/>
              <w:left w:val="nil"/>
              <w:bottom w:val="single" w:sz="4" w:space="0" w:color="auto"/>
              <w:right w:val="nil"/>
            </w:tcBorders>
            <w:shd w:val="clear" w:color="auto" w:fill="auto"/>
            <w:vAlign w:val="bottom"/>
            <w:hideMark/>
          </w:tcPr>
          <w:p w:rsidR="0064743F" w:rsidRPr="0064743F" w:rsidRDefault="0064743F" w:rsidP="00E06039">
            <w:pPr>
              <w:keepNext/>
              <w:keepLines/>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 xml:space="preserve">Total </w:t>
            </w:r>
          </w:p>
        </w:tc>
        <w:tc>
          <w:tcPr>
            <w:tcW w:w="720" w:type="dxa"/>
            <w:tcBorders>
              <w:top w:val="nil"/>
              <w:left w:val="nil"/>
              <w:bottom w:val="single" w:sz="4" w:space="0" w:color="auto"/>
              <w:right w:val="nil"/>
            </w:tcBorders>
            <w:shd w:val="clear" w:color="auto" w:fill="auto"/>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-850</w:t>
            </w:r>
          </w:p>
        </w:tc>
        <w:tc>
          <w:tcPr>
            <w:tcW w:w="720" w:type="dxa"/>
            <w:tcBorders>
              <w:top w:val="nil"/>
              <w:left w:val="nil"/>
              <w:bottom w:val="single" w:sz="4" w:space="0" w:color="auto"/>
              <w:right w:val="nil"/>
            </w:tcBorders>
            <w:shd w:val="clear" w:color="auto" w:fill="auto"/>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248</w:t>
            </w:r>
          </w:p>
        </w:tc>
        <w:tc>
          <w:tcPr>
            <w:tcW w:w="720" w:type="dxa"/>
            <w:tcBorders>
              <w:top w:val="nil"/>
              <w:left w:val="nil"/>
              <w:bottom w:val="single" w:sz="4" w:space="0" w:color="auto"/>
              <w:right w:val="nil"/>
            </w:tcBorders>
            <w:shd w:val="clear" w:color="auto" w:fill="auto"/>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520</w:t>
            </w:r>
          </w:p>
        </w:tc>
        <w:tc>
          <w:tcPr>
            <w:tcW w:w="720" w:type="dxa"/>
            <w:tcBorders>
              <w:top w:val="nil"/>
              <w:left w:val="nil"/>
              <w:bottom w:val="single" w:sz="4" w:space="0" w:color="auto"/>
              <w:right w:val="nil"/>
            </w:tcBorders>
            <w:shd w:val="clear" w:color="auto" w:fill="auto"/>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20</w:t>
            </w:r>
          </w:p>
        </w:tc>
        <w:tc>
          <w:tcPr>
            <w:tcW w:w="720" w:type="dxa"/>
            <w:tcBorders>
              <w:top w:val="nil"/>
              <w:left w:val="nil"/>
              <w:bottom w:val="single" w:sz="4" w:space="0" w:color="auto"/>
              <w:right w:val="nil"/>
            </w:tcBorders>
            <w:shd w:val="clear" w:color="auto" w:fill="auto"/>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245</w:t>
            </w:r>
          </w:p>
        </w:tc>
        <w:tc>
          <w:tcPr>
            <w:tcW w:w="720" w:type="dxa"/>
            <w:tcBorders>
              <w:top w:val="nil"/>
              <w:left w:val="nil"/>
              <w:bottom w:val="single" w:sz="4" w:space="0" w:color="auto"/>
              <w:right w:val="nil"/>
            </w:tcBorders>
            <w:shd w:val="clear" w:color="auto" w:fill="auto"/>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-57</w:t>
            </w:r>
          </w:p>
        </w:tc>
        <w:tc>
          <w:tcPr>
            <w:tcW w:w="720" w:type="dxa"/>
            <w:tcBorders>
              <w:top w:val="nil"/>
              <w:left w:val="nil"/>
              <w:bottom w:val="single" w:sz="4" w:space="0" w:color="auto"/>
              <w:right w:val="nil"/>
            </w:tcBorders>
            <w:shd w:val="clear" w:color="auto" w:fill="auto"/>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55</w:t>
            </w:r>
          </w:p>
        </w:tc>
        <w:tc>
          <w:tcPr>
            <w:tcW w:w="720" w:type="dxa"/>
            <w:tcBorders>
              <w:top w:val="nil"/>
              <w:left w:val="nil"/>
              <w:bottom w:val="single" w:sz="4" w:space="0" w:color="auto"/>
              <w:right w:val="nil"/>
            </w:tcBorders>
            <w:shd w:val="clear" w:color="auto" w:fill="auto"/>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-182</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E06039">
            <w:pPr>
              <w:keepNext/>
              <w:keepLines/>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1 088</w:t>
            </w:r>
          </w:p>
        </w:tc>
      </w:tr>
    </w:tbl>
    <w:p w:rsidR="00D64B6F" w:rsidRDefault="00E10868" w:rsidP="00E06039">
      <w:pPr>
        <w:pStyle w:val="CGCTableFootnote"/>
        <w:keepNext/>
        <w:keepLines/>
      </w:pPr>
      <w:r>
        <w:t xml:space="preserve">Note: </w:t>
      </w:r>
      <w:r>
        <w:tab/>
        <w:t>The total change shown here is equivalent to the change</w:t>
      </w:r>
      <w:r w:rsidR="00A31185">
        <w:t xml:space="preserve"> caused by new</w:t>
      </w:r>
      <w:r>
        <w:t xml:space="preserve"> fiscal capacities shown in </w:t>
      </w:r>
      <w:r>
        <w:fldChar w:fldCharType="begin"/>
      </w:r>
      <w:r>
        <w:instrText xml:space="preserve"> REF _Ref398281657 \h </w:instrText>
      </w:r>
      <w:r>
        <w:fldChar w:fldCharType="separate"/>
      </w:r>
      <w:r w:rsidR="007A6AF0" w:rsidRPr="00EC79CF">
        <w:t xml:space="preserve">Table </w:t>
      </w:r>
      <w:r w:rsidR="007A6AF0">
        <w:rPr>
          <w:noProof/>
        </w:rPr>
        <w:t>2</w:t>
      </w:r>
      <w:r>
        <w:fldChar w:fldCharType="end"/>
      </w:r>
      <w:r w:rsidR="00B706F4">
        <w:t>.</w:t>
      </w:r>
      <w:r w:rsidR="00D64B6F">
        <w:t xml:space="preserve"> </w:t>
      </w:r>
    </w:p>
    <w:p w:rsidR="00D64B6F" w:rsidRDefault="00D64B6F" w:rsidP="00E06039">
      <w:pPr>
        <w:pStyle w:val="CGCTableFootnote"/>
        <w:keepNext/>
        <w:keepLines/>
      </w:pPr>
      <w:r>
        <w:tab/>
        <w:t>The redistribution is calculated as the sum of the positive (or negative) items in the row.</w:t>
      </w:r>
    </w:p>
    <w:p w:rsidR="00E10868" w:rsidRPr="00A863CB" w:rsidRDefault="00E10868" w:rsidP="00E06039">
      <w:pPr>
        <w:pStyle w:val="CGCTableFootnote"/>
        <w:keepNext/>
        <w:keepLines/>
      </w:pPr>
      <w:r w:rsidRPr="00A863CB">
        <w:t>Source:</w:t>
      </w:r>
      <w:r>
        <w:tab/>
      </w:r>
      <w:r w:rsidRPr="00A863CB">
        <w:t>Commission calculation</w:t>
      </w:r>
      <w:r>
        <w:t>.</w:t>
      </w:r>
    </w:p>
    <w:p w:rsidR="00AA191F" w:rsidRDefault="00443BC7" w:rsidP="00E10868">
      <w:pPr>
        <w:pStyle w:val="CGCNumberedPara"/>
      </w:pPr>
      <w:r>
        <w:fldChar w:fldCharType="begin"/>
      </w:r>
      <w:r>
        <w:instrText xml:space="preserve"> REF _Ref428198016 \h </w:instrText>
      </w:r>
      <w:r>
        <w:fldChar w:fldCharType="separate"/>
      </w:r>
      <w:r w:rsidR="007A6AF0">
        <w:t xml:space="preserve">Table </w:t>
      </w:r>
      <w:r w:rsidR="007A6AF0">
        <w:rPr>
          <w:noProof/>
        </w:rPr>
        <w:t>4</w:t>
      </w:r>
      <w:r>
        <w:fldChar w:fldCharType="end"/>
      </w:r>
      <w:r>
        <w:t xml:space="preserve"> </w:t>
      </w:r>
      <w:r w:rsidR="00AA191F" w:rsidRPr="00AA191F">
        <w:t xml:space="preserve">shows </w:t>
      </w:r>
      <w:r w:rsidR="00040864">
        <w:t xml:space="preserve">the </w:t>
      </w:r>
      <w:r w:rsidR="003B1255">
        <w:t xml:space="preserve">main causes of </w:t>
      </w:r>
      <w:r w:rsidR="00572E41">
        <w:t xml:space="preserve">the </w:t>
      </w:r>
      <w:r w:rsidR="003B1255">
        <w:t>change in the GST distribution</w:t>
      </w:r>
      <w:r w:rsidR="00040864">
        <w:t xml:space="preserve">. They are listed in order of importance. </w:t>
      </w:r>
    </w:p>
    <w:p w:rsidR="00443BC7" w:rsidRDefault="00443BC7" w:rsidP="0004756E">
      <w:pPr>
        <w:pStyle w:val="CGCTableHeading"/>
      </w:pPr>
      <w:bookmarkStart w:id="274" w:name="_Ref428198016"/>
      <w:r>
        <w:t xml:space="preserve">Table </w:t>
      </w:r>
      <w:r w:rsidR="001F6199">
        <w:fldChar w:fldCharType="begin"/>
      </w:r>
      <w:r w:rsidR="00BB15A4">
        <w:instrText xml:space="preserve"> SEQ Table \* ARABIC</w:instrText>
      </w:r>
      <w:r w:rsidR="001F6199">
        <w:fldChar w:fldCharType="separate"/>
      </w:r>
      <w:r w:rsidR="007A6AF0">
        <w:rPr>
          <w:noProof/>
        </w:rPr>
        <w:t>4</w:t>
      </w:r>
      <w:r w:rsidR="001F6199">
        <w:fldChar w:fldCharType="end"/>
      </w:r>
      <w:bookmarkEnd w:id="274"/>
      <w:r>
        <w:tab/>
      </w:r>
      <w:r w:rsidRPr="00443BC7">
        <w:t xml:space="preserve">Main causes of change in the distribution of </w:t>
      </w:r>
      <w:r w:rsidR="00040864">
        <w:t xml:space="preserve">the </w:t>
      </w:r>
      <w:r w:rsidRPr="00443BC7">
        <w:t>GST</w:t>
      </w:r>
      <w:r w:rsidR="00636BD2">
        <w:t xml:space="preserve"> since the </w:t>
      </w:r>
      <w:r w:rsidR="0015016C">
        <w:t>2015</w:t>
      </w:r>
      <w:r w:rsidR="00636BD2">
        <w:t xml:space="preserve"> </w:t>
      </w:r>
      <w:r w:rsidR="0015016C">
        <w:t>Review</w:t>
      </w:r>
    </w:p>
    <w:tbl>
      <w:tblPr>
        <w:tblW w:w="8980" w:type="dxa"/>
        <w:tblInd w:w="93" w:type="dxa"/>
        <w:tblLook w:val="04A0" w:firstRow="1" w:lastRow="0" w:firstColumn="1" w:lastColumn="0" w:noHBand="0" w:noVBand="1"/>
      </w:tblPr>
      <w:tblGrid>
        <w:gridCol w:w="2860"/>
        <w:gridCol w:w="680"/>
        <w:gridCol w:w="680"/>
        <w:gridCol w:w="680"/>
        <w:gridCol w:w="680"/>
        <w:gridCol w:w="680"/>
        <w:gridCol w:w="680"/>
        <w:gridCol w:w="680"/>
        <w:gridCol w:w="680"/>
        <w:gridCol w:w="721"/>
      </w:tblGrid>
      <w:tr w:rsidR="0064743F" w:rsidRPr="0064743F" w:rsidTr="0064743F">
        <w:trPr>
          <w:trHeight w:val="379"/>
        </w:trPr>
        <w:tc>
          <w:tcPr>
            <w:tcW w:w="286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bookmarkStart w:id="275" w:name="RANGE!A4:J13"/>
            <w:r w:rsidRPr="0064743F">
              <w:rPr>
                <w:rFonts w:ascii="Calibri" w:eastAsia="Times New Roman" w:hAnsi="Calibri" w:cs="Times New Roman"/>
                <w:sz w:val="20"/>
                <w:szCs w:val="20"/>
                <w:lang w:eastAsia="en-AU"/>
              </w:rPr>
              <w:t> </w:t>
            </w:r>
            <w:bookmarkEnd w:id="275"/>
          </w:p>
        </w:tc>
        <w:tc>
          <w:tcPr>
            <w:tcW w:w="68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NSW</w:t>
            </w:r>
          </w:p>
        </w:tc>
        <w:tc>
          <w:tcPr>
            <w:tcW w:w="68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Vic</w:t>
            </w:r>
          </w:p>
        </w:tc>
        <w:tc>
          <w:tcPr>
            <w:tcW w:w="68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Qld</w:t>
            </w:r>
          </w:p>
        </w:tc>
        <w:tc>
          <w:tcPr>
            <w:tcW w:w="68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WA</w:t>
            </w:r>
          </w:p>
        </w:tc>
        <w:tc>
          <w:tcPr>
            <w:tcW w:w="68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SA</w:t>
            </w:r>
          </w:p>
        </w:tc>
        <w:tc>
          <w:tcPr>
            <w:tcW w:w="68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Tas</w:t>
            </w:r>
          </w:p>
        </w:tc>
        <w:tc>
          <w:tcPr>
            <w:tcW w:w="68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ACT</w:t>
            </w:r>
          </w:p>
        </w:tc>
        <w:tc>
          <w:tcPr>
            <w:tcW w:w="68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NT</w:t>
            </w:r>
          </w:p>
        </w:tc>
        <w:tc>
          <w:tcPr>
            <w:tcW w:w="68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roofErr w:type="spellStart"/>
            <w:r w:rsidRPr="0064743F">
              <w:rPr>
                <w:rFonts w:ascii="Calibri" w:eastAsia="Times New Roman" w:hAnsi="Calibri" w:cs="Times New Roman"/>
                <w:sz w:val="20"/>
                <w:szCs w:val="20"/>
                <w:lang w:eastAsia="en-AU"/>
              </w:rPr>
              <w:t>Redist</w:t>
            </w:r>
            <w:proofErr w:type="spellEnd"/>
          </w:p>
        </w:tc>
      </w:tr>
      <w:tr w:rsidR="0064743F" w:rsidRPr="0064743F" w:rsidTr="0064743F">
        <w:trPr>
          <w:trHeight w:val="259"/>
        </w:trPr>
        <w:tc>
          <w:tcPr>
            <w:tcW w:w="286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 </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r>
      <w:tr w:rsidR="0064743F" w:rsidRPr="0064743F" w:rsidTr="0064743F">
        <w:trPr>
          <w:trHeight w:val="315"/>
        </w:trPr>
        <w:tc>
          <w:tcPr>
            <w:tcW w:w="286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Mining production</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-138</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-226</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250</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231</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-73</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-14</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-16</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-13</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481</w:t>
            </w:r>
          </w:p>
        </w:tc>
      </w:tr>
      <w:tr w:rsidR="0064743F" w:rsidRPr="0064743F" w:rsidTr="0064743F">
        <w:trPr>
          <w:trHeight w:val="315"/>
        </w:trPr>
        <w:tc>
          <w:tcPr>
            <w:tcW w:w="286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Property sales</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-474</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105</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84</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165</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65</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21</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27</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8</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474</w:t>
            </w:r>
          </w:p>
        </w:tc>
      </w:tr>
      <w:tr w:rsidR="0064743F" w:rsidRPr="0064743F" w:rsidTr="0064743F">
        <w:trPr>
          <w:trHeight w:val="315"/>
        </w:trPr>
        <w:tc>
          <w:tcPr>
            <w:tcW w:w="286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Commonwealth payments</w:t>
            </w:r>
          </w:p>
        </w:tc>
        <w:tc>
          <w:tcPr>
            <w:tcW w:w="6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-311</w:t>
            </w:r>
          </w:p>
        </w:tc>
        <w:tc>
          <w:tcPr>
            <w:tcW w:w="6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19</w:t>
            </w:r>
          </w:p>
        </w:tc>
        <w:tc>
          <w:tcPr>
            <w:tcW w:w="6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-24</w:t>
            </w:r>
          </w:p>
        </w:tc>
        <w:tc>
          <w:tcPr>
            <w:tcW w:w="6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37</w:t>
            </w:r>
          </w:p>
        </w:tc>
        <w:tc>
          <w:tcPr>
            <w:tcW w:w="6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277</w:t>
            </w:r>
          </w:p>
        </w:tc>
        <w:tc>
          <w:tcPr>
            <w:tcW w:w="6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w:t>
            </w:r>
          </w:p>
        </w:tc>
        <w:tc>
          <w:tcPr>
            <w:tcW w:w="6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0</w:t>
            </w:r>
          </w:p>
        </w:tc>
        <w:tc>
          <w:tcPr>
            <w:tcW w:w="680" w:type="dxa"/>
            <w:tcBorders>
              <w:top w:val="nil"/>
              <w:left w:val="nil"/>
              <w:bottom w:val="nil"/>
              <w:right w:val="nil"/>
            </w:tcBorders>
            <w:shd w:val="clear" w:color="auto" w:fill="auto"/>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337</w:t>
            </w:r>
          </w:p>
        </w:tc>
      </w:tr>
      <w:tr w:rsidR="0064743F" w:rsidRPr="0064743F" w:rsidTr="0064743F">
        <w:trPr>
          <w:trHeight w:val="315"/>
        </w:trPr>
        <w:tc>
          <w:tcPr>
            <w:tcW w:w="286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Population growth</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157</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117</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-48</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-244</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24</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7</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-9</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-19</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313</w:t>
            </w:r>
          </w:p>
        </w:tc>
      </w:tr>
      <w:tr w:rsidR="0064743F" w:rsidRPr="0064743F" w:rsidTr="0064743F">
        <w:trPr>
          <w:trHeight w:val="315"/>
        </w:trPr>
        <w:tc>
          <w:tcPr>
            <w:tcW w:w="286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Natural disaster relief</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-98</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-71</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149</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8</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9</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172</w:t>
            </w:r>
          </w:p>
        </w:tc>
      </w:tr>
      <w:tr w:rsidR="0064743F" w:rsidRPr="0064743F" w:rsidTr="0064743F">
        <w:trPr>
          <w:trHeight w:val="315"/>
        </w:trPr>
        <w:tc>
          <w:tcPr>
            <w:tcW w:w="286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Taxable payrolls</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-52</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23</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66</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-57</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-22</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60</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-23</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154</w:t>
            </w:r>
          </w:p>
        </w:tc>
      </w:tr>
      <w:tr w:rsidR="0064743F" w:rsidRPr="0064743F" w:rsidTr="0064743F">
        <w:trPr>
          <w:trHeight w:val="315"/>
        </w:trPr>
        <w:tc>
          <w:tcPr>
            <w:tcW w:w="286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Wage costs</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-53</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99</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31</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22</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-56</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-29</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-13</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152</w:t>
            </w:r>
          </w:p>
        </w:tc>
      </w:tr>
      <w:tr w:rsidR="0064743F" w:rsidRPr="0064743F" w:rsidTr="0064743F">
        <w:trPr>
          <w:trHeight w:val="315"/>
        </w:trPr>
        <w:tc>
          <w:tcPr>
            <w:tcW w:w="286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Other causes of change</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120</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181</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14</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-130</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22</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-49</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-147</w:t>
            </w:r>
          </w:p>
        </w:tc>
        <w:tc>
          <w:tcPr>
            <w:tcW w:w="68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333</w:t>
            </w:r>
          </w:p>
        </w:tc>
      </w:tr>
      <w:tr w:rsidR="0064743F" w:rsidRPr="0064743F" w:rsidTr="0064743F">
        <w:trPr>
          <w:trHeight w:val="315"/>
        </w:trPr>
        <w:tc>
          <w:tcPr>
            <w:tcW w:w="286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Total</w:t>
            </w:r>
          </w:p>
        </w:tc>
        <w:tc>
          <w:tcPr>
            <w:tcW w:w="680" w:type="dxa"/>
            <w:tcBorders>
              <w:top w:val="single" w:sz="4" w:space="0" w:color="auto"/>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-850</w:t>
            </w:r>
          </w:p>
        </w:tc>
        <w:tc>
          <w:tcPr>
            <w:tcW w:w="680" w:type="dxa"/>
            <w:tcBorders>
              <w:top w:val="single" w:sz="4" w:space="0" w:color="auto"/>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248</w:t>
            </w:r>
          </w:p>
        </w:tc>
        <w:tc>
          <w:tcPr>
            <w:tcW w:w="680" w:type="dxa"/>
            <w:tcBorders>
              <w:top w:val="single" w:sz="4" w:space="0" w:color="auto"/>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520</w:t>
            </w:r>
          </w:p>
        </w:tc>
        <w:tc>
          <w:tcPr>
            <w:tcW w:w="680" w:type="dxa"/>
            <w:tcBorders>
              <w:top w:val="single" w:sz="4" w:space="0" w:color="auto"/>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20</w:t>
            </w:r>
          </w:p>
        </w:tc>
        <w:tc>
          <w:tcPr>
            <w:tcW w:w="680" w:type="dxa"/>
            <w:tcBorders>
              <w:top w:val="single" w:sz="4" w:space="0" w:color="auto"/>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245</w:t>
            </w:r>
          </w:p>
        </w:tc>
        <w:tc>
          <w:tcPr>
            <w:tcW w:w="680" w:type="dxa"/>
            <w:tcBorders>
              <w:top w:val="single" w:sz="4" w:space="0" w:color="auto"/>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-57</w:t>
            </w:r>
          </w:p>
        </w:tc>
        <w:tc>
          <w:tcPr>
            <w:tcW w:w="680" w:type="dxa"/>
            <w:tcBorders>
              <w:top w:val="single" w:sz="4" w:space="0" w:color="auto"/>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55</w:t>
            </w:r>
          </w:p>
        </w:tc>
        <w:tc>
          <w:tcPr>
            <w:tcW w:w="680" w:type="dxa"/>
            <w:tcBorders>
              <w:top w:val="single" w:sz="4" w:space="0" w:color="auto"/>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-182</w:t>
            </w:r>
          </w:p>
        </w:tc>
        <w:tc>
          <w:tcPr>
            <w:tcW w:w="680" w:type="dxa"/>
            <w:tcBorders>
              <w:top w:val="single" w:sz="4" w:space="0" w:color="auto"/>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1 088</w:t>
            </w:r>
          </w:p>
        </w:tc>
      </w:tr>
    </w:tbl>
    <w:p w:rsidR="00443BC7" w:rsidRDefault="00D64B6F" w:rsidP="00B706F4">
      <w:pPr>
        <w:pStyle w:val="CGCTableFootnote"/>
        <w:keepNext/>
      </w:pPr>
      <w:r>
        <w:t>Note:</w:t>
      </w:r>
      <w:r>
        <w:tab/>
      </w:r>
      <w:r w:rsidR="00443BC7">
        <w:t>The redistribution is calculated as the sum of the positive (or negative) items in the row.</w:t>
      </w:r>
    </w:p>
    <w:p w:rsidR="00443BC7" w:rsidRDefault="00443BC7" w:rsidP="00443BC7">
      <w:pPr>
        <w:pStyle w:val="CGCTableFootnote"/>
      </w:pPr>
      <w:r>
        <w:t>Source:</w:t>
      </w:r>
      <w:r>
        <w:tab/>
        <w:t>Commission calculation</w:t>
      </w:r>
      <w:r w:rsidR="006A4C8D">
        <w:t>.</w:t>
      </w:r>
    </w:p>
    <w:p w:rsidR="00CC3CDB" w:rsidRPr="009F0FC8" w:rsidRDefault="00CC3CDB" w:rsidP="00CC3CDB">
      <w:pPr>
        <w:pStyle w:val="CGCNumberedPara"/>
        <w:rPr>
          <w:rStyle w:val="Heading6Char"/>
          <w:rFonts w:eastAsiaTheme="minorHAnsi" w:cstheme="minorBidi"/>
          <w:b w:val="0"/>
          <w:i w:val="0"/>
          <w:iCs w:val="0"/>
          <w:color w:val="auto"/>
          <w:sz w:val="24"/>
        </w:rPr>
      </w:pPr>
      <w:r w:rsidRPr="009F0FC8">
        <w:t>The most important changes were</w:t>
      </w:r>
      <w:r w:rsidR="00572E41">
        <w:t xml:space="preserve"> the following.</w:t>
      </w:r>
    </w:p>
    <w:p w:rsidR="00572E41" w:rsidRPr="009F0FC8" w:rsidRDefault="00572E41" w:rsidP="00572E41">
      <w:pPr>
        <w:pStyle w:val="CGCBulletlist"/>
      </w:pPr>
      <w:bookmarkStart w:id="276" w:name="_Toc442949122"/>
      <w:r w:rsidRPr="009F0FC8">
        <w:rPr>
          <w:rStyle w:val="Heading5Char"/>
        </w:rPr>
        <w:t xml:space="preserve">Mining </w:t>
      </w:r>
      <w:r w:rsidR="00BA2EE4">
        <w:rPr>
          <w:rStyle w:val="Heading5Char"/>
        </w:rPr>
        <w:t>production</w:t>
      </w:r>
      <w:r w:rsidRPr="009F0FC8">
        <w:rPr>
          <w:rStyle w:val="Heading5Char"/>
        </w:rPr>
        <w:t>.</w:t>
      </w:r>
      <w:bookmarkEnd w:id="276"/>
      <w:r w:rsidRPr="009F0FC8">
        <w:t xml:space="preserve"> </w:t>
      </w:r>
      <w:r>
        <w:t xml:space="preserve">The value of </w:t>
      </w:r>
      <w:r w:rsidR="00D01F4D">
        <w:t>mining production has fallen</w:t>
      </w:r>
      <w:r w:rsidR="006A4C8D">
        <w:t>,</w:t>
      </w:r>
      <w:r w:rsidR="00D01F4D">
        <w:t xml:space="preserve"> reducing the fiscal capacity of the major mining States. This has shift</w:t>
      </w:r>
      <w:r w:rsidR="00E55184">
        <w:t xml:space="preserve">ed </w:t>
      </w:r>
      <w:r w:rsidR="00D01F4D">
        <w:t>GST revenue towards them</w:t>
      </w:r>
      <w:r w:rsidR="00A47468">
        <w:t xml:space="preserve"> and away from the other States.</w:t>
      </w:r>
      <w:r w:rsidR="00D01F4D">
        <w:t xml:space="preserve"> </w:t>
      </w:r>
    </w:p>
    <w:p w:rsidR="00CC3CDB" w:rsidRPr="009F0FC8" w:rsidRDefault="00CC3CDB" w:rsidP="00CC3CDB">
      <w:pPr>
        <w:pStyle w:val="CGCBulletlist"/>
      </w:pPr>
      <w:bookmarkStart w:id="277" w:name="_Toc442949123"/>
      <w:r w:rsidRPr="009F0FC8">
        <w:rPr>
          <w:rStyle w:val="Heading5Char"/>
        </w:rPr>
        <w:t>Property sales.</w:t>
      </w:r>
      <w:bookmarkEnd w:id="277"/>
      <w:r>
        <w:t xml:space="preserve"> </w:t>
      </w:r>
      <w:r w:rsidR="001B17EA">
        <w:t>B</w:t>
      </w:r>
      <w:r>
        <w:t>etween 2011</w:t>
      </w:r>
      <w:r w:rsidRPr="009F0FC8">
        <w:t>-1</w:t>
      </w:r>
      <w:r>
        <w:t>2</w:t>
      </w:r>
      <w:r w:rsidRPr="009F0FC8">
        <w:t xml:space="preserve"> and 201</w:t>
      </w:r>
      <w:r>
        <w:t>4</w:t>
      </w:r>
      <w:r w:rsidRPr="009F0FC8">
        <w:t>-1</w:t>
      </w:r>
      <w:r>
        <w:t>5</w:t>
      </w:r>
      <w:r w:rsidR="001B17EA">
        <w:t xml:space="preserve">, New South Wales’ share of </w:t>
      </w:r>
      <w:r w:rsidR="00B218E0">
        <w:t>property sales increased from 35% to 41%</w:t>
      </w:r>
      <w:r w:rsidR="006A4C8D">
        <w:t>,</w:t>
      </w:r>
      <w:r w:rsidR="00B218E0">
        <w:t xml:space="preserve"> </w:t>
      </w:r>
      <w:r w:rsidR="001B17EA">
        <w:t>which resulted in an increase in its share of the</w:t>
      </w:r>
      <w:r w:rsidR="00B218E0">
        <w:t xml:space="preserve"> assessed tax base</w:t>
      </w:r>
      <w:r w:rsidRPr="009F0FC8">
        <w:t xml:space="preserve">. This </w:t>
      </w:r>
      <w:r w:rsidR="006A4C8D">
        <w:t xml:space="preserve">has </w:t>
      </w:r>
      <w:r w:rsidRPr="009F0FC8">
        <w:t xml:space="preserve">increased its assessed </w:t>
      </w:r>
      <w:r>
        <w:t>revenue</w:t>
      </w:r>
      <w:r w:rsidRPr="009F0FC8">
        <w:t xml:space="preserve"> </w:t>
      </w:r>
      <w:r w:rsidR="006A4C8D">
        <w:t xml:space="preserve">raising </w:t>
      </w:r>
      <w:r w:rsidRPr="009F0FC8">
        <w:t xml:space="preserve">capacity, reducing its GST share. </w:t>
      </w:r>
      <w:r w:rsidR="00917328">
        <w:t xml:space="preserve">All other States </w:t>
      </w:r>
      <w:r w:rsidRPr="009F0FC8">
        <w:t xml:space="preserve">experienced a below average increase over this time, </w:t>
      </w:r>
      <w:r w:rsidR="00917328">
        <w:t xml:space="preserve">notably Western Australia and the ACT, </w:t>
      </w:r>
      <w:r w:rsidRPr="009F0FC8">
        <w:t xml:space="preserve">reducing </w:t>
      </w:r>
      <w:r>
        <w:t>their</w:t>
      </w:r>
      <w:r w:rsidRPr="009F0FC8">
        <w:t xml:space="preserve"> assessed capacity and increasing </w:t>
      </w:r>
      <w:r>
        <w:t>their</w:t>
      </w:r>
      <w:r w:rsidRPr="009F0FC8">
        <w:t xml:space="preserve"> GST share</w:t>
      </w:r>
      <w:r>
        <w:t>s</w:t>
      </w:r>
      <w:r w:rsidRPr="009F0FC8">
        <w:t xml:space="preserve">. </w:t>
      </w:r>
    </w:p>
    <w:p w:rsidR="00CC3CDB" w:rsidRPr="00C746FA" w:rsidRDefault="00CC3CDB" w:rsidP="00CC3CDB">
      <w:pPr>
        <w:pStyle w:val="CGCBulletlist"/>
      </w:pPr>
      <w:bookmarkStart w:id="278" w:name="_Toc442949124"/>
      <w:r w:rsidRPr="00C746FA">
        <w:rPr>
          <w:rStyle w:val="Heading5Char"/>
        </w:rPr>
        <w:t>Commonwealth payments.</w:t>
      </w:r>
      <w:bookmarkEnd w:id="278"/>
      <w:r w:rsidRPr="00C746FA">
        <w:t xml:space="preserve"> We observed significant changes in the size and distribution of the payments among the States in 2014</w:t>
      </w:r>
      <w:r w:rsidRPr="00C746FA">
        <w:noBreakHyphen/>
        <w:t>15</w:t>
      </w:r>
      <w:r w:rsidR="00E55184">
        <w:t xml:space="preserve"> compared to 2011</w:t>
      </w:r>
      <w:r w:rsidR="00E55184">
        <w:noBreakHyphen/>
        <w:t>12</w:t>
      </w:r>
      <w:r w:rsidRPr="00C746FA">
        <w:t xml:space="preserve">. For New South Wales, </w:t>
      </w:r>
      <w:r>
        <w:t>an</w:t>
      </w:r>
      <w:r w:rsidRPr="00C746FA">
        <w:t xml:space="preserve"> increase between 201</w:t>
      </w:r>
      <w:r>
        <w:t>1</w:t>
      </w:r>
      <w:r w:rsidRPr="00C746FA">
        <w:t>-1</w:t>
      </w:r>
      <w:r>
        <w:t>2</w:t>
      </w:r>
      <w:r w:rsidRPr="00C746FA">
        <w:t xml:space="preserve"> and 201</w:t>
      </w:r>
      <w:r>
        <w:t>4</w:t>
      </w:r>
      <w:r w:rsidRPr="00C746FA">
        <w:t>-1</w:t>
      </w:r>
      <w:r>
        <w:t xml:space="preserve">5 </w:t>
      </w:r>
      <w:r w:rsidRPr="00C746FA">
        <w:t xml:space="preserve">in </w:t>
      </w:r>
      <w:r>
        <w:t>its</w:t>
      </w:r>
      <w:r w:rsidRPr="00C746FA">
        <w:t xml:space="preserve"> share of </w:t>
      </w:r>
      <w:r>
        <w:lastRenderedPageBreak/>
        <w:t xml:space="preserve">funding for government schools and infrastructure payments for health, water and </w:t>
      </w:r>
      <w:r w:rsidRPr="00C746FA">
        <w:t>rail reduced its GST share.</w:t>
      </w:r>
      <w:r>
        <w:t xml:space="preserve"> South Australia’s share of water and rail infrastructure payments fell </w:t>
      </w:r>
      <w:r w:rsidR="00B218E0">
        <w:t xml:space="preserve">over this period </w:t>
      </w:r>
      <w:r>
        <w:t>and this</w:t>
      </w:r>
      <w:r w:rsidR="006A4C8D">
        <w:t xml:space="preserve"> </w:t>
      </w:r>
      <w:r>
        <w:t>increased its GST share.</w:t>
      </w:r>
    </w:p>
    <w:p w:rsidR="00CF17E4" w:rsidRDefault="00CF17E4" w:rsidP="00CF17E4">
      <w:pPr>
        <w:pStyle w:val="CGCBulletlist"/>
      </w:pPr>
      <w:bookmarkStart w:id="279" w:name="_Toc442949125"/>
      <w:r w:rsidRPr="009D1234">
        <w:rPr>
          <w:rStyle w:val="Heading5Char"/>
        </w:rPr>
        <w:t>Population growth.</w:t>
      </w:r>
      <w:r w:rsidRPr="00EC4948">
        <w:rPr>
          <w:rStyle w:val="Heading5Char"/>
          <w:rFonts w:eastAsiaTheme="minorHAnsi" w:cstheme="minorBidi"/>
          <w:b w:val="0"/>
          <w:i w:val="0"/>
          <w:color w:val="auto"/>
          <w:sz w:val="24"/>
        </w:rPr>
        <w:t xml:space="preserve"> </w:t>
      </w:r>
      <w:r w:rsidR="00A47468">
        <w:rPr>
          <w:rStyle w:val="Heading5Char"/>
          <w:rFonts w:eastAsiaTheme="minorHAnsi" w:cstheme="minorBidi"/>
          <w:b w:val="0"/>
          <w:i w:val="0"/>
          <w:color w:val="auto"/>
          <w:sz w:val="24"/>
        </w:rPr>
        <w:t xml:space="preserve">The pattern of population growth has changed </w:t>
      </w:r>
      <w:r w:rsidR="00530A48">
        <w:rPr>
          <w:rStyle w:val="Heading5Char"/>
          <w:rFonts w:eastAsiaTheme="minorHAnsi" w:cstheme="minorBidi"/>
          <w:b w:val="0"/>
          <w:i w:val="0"/>
          <w:color w:val="auto"/>
          <w:sz w:val="24"/>
        </w:rPr>
        <w:t>between 2011</w:t>
      </w:r>
      <w:r w:rsidR="00530A48">
        <w:rPr>
          <w:rStyle w:val="Heading5Char"/>
          <w:rFonts w:eastAsiaTheme="minorHAnsi" w:cstheme="minorBidi"/>
          <w:b w:val="0"/>
          <w:i w:val="0"/>
          <w:color w:val="auto"/>
          <w:sz w:val="24"/>
        </w:rPr>
        <w:noBreakHyphen/>
        <w:t xml:space="preserve">12 and 2014-15 </w:t>
      </w:r>
      <w:r w:rsidR="00A47468">
        <w:rPr>
          <w:rStyle w:val="Heading5Char"/>
          <w:rFonts w:eastAsiaTheme="minorHAnsi" w:cstheme="minorBidi"/>
          <w:b w:val="0"/>
          <w:i w:val="0"/>
          <w:color w:val="auto"/>
          <w:sz w:val="24"/>
        </w:rPr>
        <w:t xml:space="preserve">leading to a change in the pattern of assessed investment expenditure among the States. The rate of population growth in some States has declined, </w:t>
      </w:r>
      <w:r w:rsidR="005F0051">
        <w:rPr>
          <w:rStyle w:val="Heading5Char"/>
          <w:rFonts w:eastAsiaTheme="minorHAnsi" w:cstheme="minorBidi"/>
          <w:b w:val="0"/>
          <w:i w:val="0"/>
          <w:color w:val="auto"/>
          <w:sz w:val="24"/>
        </w:rPr>
        <w:t xml:space="preserve">particularly </w:t>
      </w:r>
      <w:r w:rsidR="00A47468">
        <w:rPr>
          <w:rStyle w:val="Heading5Char"/>
          <w:rFonts w:eastAsiaTheme="minorHAnsi" w:cstheme="minorBidi"/>
          <w:b w:val="0"/>
          <w:i w:val="0"/>
          <w:color w:val="auto"/>
          <w:sz w:val="24"/>
        </w:rPr>
        <w:t xml:space="preserve">Western Australia and the Northern Territory, </w:t>
      </w:r>
      <w:r w:rsidR="006A4C8D">
        <w:rPr>
          <w:rStyle w:val="Heading5Char"/>
          <w:rFonts w:eastAsiaTheme="minorHAnsi" w:cstheme="minorBidi"/>
          <w:b w:val="0"/>
          <w:i w:val="0"/>
          <w:color w:val="auto"/>
          <w:sz w:val="24"/>
        </w:rPr>
        <w:t xml:space="preserve">while in others it has </w:t>
      </w:r>
      <w:r w:rsidR="00A47468">
        <w:rPr>
          <w:rStyle w:val="Heading5Char"/>
          <w:rFonts w:eastAsiaTheme="minorHAnsi" w:cstheme="minorBidi"/>
          <w:b w:val="0"/>
          <w:i w:val="0"/>
          <w:color w:val="auto"/>
          <w:sz w:val="24"/>
        </w:rPr>
        <w:t xml:space="preserve">increased, </w:t>
      </w:r>
      <w:r w:rsidR="005F0051">
        <w:rPr>
          <w:rStyle w:val="Heading5Char"/>
          <w:rFonts w:eastAsiaTheme="minorHAnsi" w:cstheme="minorBidi"/>
          <w:b w:val="0"/>
          <w:i w:val="0"/>
          <w:color w:val="auto"/>
          <w:sz w:val="24"/>
        </w:rPr>
        <w:t xml:space="preserve">particularly </w:t>
      </w:r>
      <w:r w:rsidR="00A47468">
        <w:rPr>
          <w:rStyle w:val="Heading5Char"/>
          <w:rFonts w:eastAsiaTheme="minorHAnsi" w:cstheme="minorBidi"/>
          <w:b w:val="0"/>
          <w:i w:val="0"/>
          <w:color w:val="auto"/>
          <w:sz w:val="24"/>
        </w:rPr>
        <w:t>New South Wales and Victoria.</w:t>
      </w:r>
      <w:bookmarkEnd w:id="279"/>
      <w:r w:rsidR="00A47468">
        <w:rPr>
          <w:rStyle w:val="Heading5Char"/>
          <w:rFonts w:eastAsiaTheme="minorHAnsi" w:cstheme="minorBidi"/>
          <w:b w:val="0"/>
          <w:i w:val="0"/>
          <w:color w:val="auto"/>
          <w:sz w:val="24"/>
        </w:rPr>
        <w:t xml:space="preserve"> </w:t>
      </w:r>
    </w:p>
    <w:p w:rsidR="00836A55" w:rsidRPr="00C746FA" w:rsidRDefault="00836A55" w:rsidP="00836A55">
      <w:pPr>
        <w:pStyle w:val="CGCBulletlist"/>
      </w:pPr>
      <w:bookmarkStart w:id="280" w:name="_Toc442949126"/>
      <w:r w:rsidRPr="00C746FA">
        <w:rPr>
          <w:rStyle w:val="Heading5Char"/>
        </w:rPr>
        <w:t>Natural disaster relief.</w:t>
      </w:r>
      <w:bookmarkEnd w:id="280"/>
      <w:r w:rsidRPr="00C746FA">
        <w:t xml:space="preserve"> Queensland’s natural disaster relief expenses (net of Commonwealth assistance) in 2014-15 remain</w:t>
      </w:r>
      <w:r w:rsidR="00560B9E">
        <w:t>ed</w:t>
      </w:r>
      <w:r w:rsidRPr="00C746FA">
        <w:t xml:space="preserve"> high and above the amount for 2011</w:t>
      </w:r>
      <w:r w:rsidR="008F2A7A">
        <w:noBreakHyphen/>
      </w:r>
      <w:r w:rsidRPr="00C746FA">
        <w:t xml:space="preserve">12, leading to increases in its GST share. Its expenses principally related to flood and cyclone events between 2013 and 2015. There has been a </w:t>
      </w:r>
      <w:r>
        <w:t>significant</w:t>
      </w:r>
      <w:r w:rsidRPr="00C746FA">
        <w:t xml:space="preserve"> increase in expenses for the Northern Territory related to flood and cyclone </w:t>
      </w:r>
      <w:r>
        <w:t>events over the same period.</w:t>
      </w:r>
    </w:p>
    <w:p w:rsidR="00314713" w:rsidRDefault="004E7ED4" w:rsidP="00CC3CDB">
      <w:pPr>
        <w:pStyle w:val="CGCBulletlist"/>
      </w:pPr>
      <w:r>
        <w:rPr>
          <w:rStyle w:val="Heading6Char"/>
        </w:rPr>
        <w:t>Taxable payrolls</w:t>
      </w:r>
      <w:r w:rsidR="00BA2EE4" w:rsidRPr="00E604EF">
        <w:rPr>
          <w:rStyle w:val="Heading6Char"/>
        </w:rPr>
        <w:t>.</w:t>
      </w:r>
      <w:r w:rsidR="00BA2EE4" w:rsidRPr="00E604EF">
        <w:rPr>
          <w:rStyle w:val="Heading5Char"/>
          <w:rFonts w:eastAsiaTheme="minorHAnsi" w:cstheme="minorBidi"/>
          <w:b w:val="0"/>
          <w:i w:val="0"/>
          <w:color w:val="auto"/>
          <w:sz w:val="24"/>
        </w:rPr>
        <w:t xml:space="preserve"> </w:t>
      </w:r>
      <w:r w:rsidR="00314713">
        <w:t>Differences across States in the rate of growth of taxable private sector payrolls between 2011</w:t>
      </w:r>
      <w:r w:rsidR="00314713">
        <w:noBreakHyphen/>
        <w:t>12 and 2014</w:t>
      </w:r>
      <w:r w:rsidR="00314713">
        <w:noBreakHyphen/>
        <w:t xml:space="preserve">15 have </w:t>
      </w:r>
      <w:r w:rsidR="00E604EF">
        <w:t>affected State revenue raising capacity. Notably, taxable payrolls in the ACT fell between 2011</w:t>
      </w:r>
      <w:r w:rsidR="00E604EF">
        <w:noBreakHyphen/>
        <w:t>12 and 2014</w:t>
      </w:r>
      <w:r w:rsidR="00E604EF">
        <w:noBreakHyphen/>
        <w:t>15 which resulted in a significant reduction in its ability to raise payroll tax</w:t>
      </w:r>
      <w:r w:rsidR="00B218E0">
        <w:t>, increasing its GST share</w:t>
      </w:r>
      <w:r w:rsidR="00E604EF">
        <w:t>.</w:t>
      </w:r>
    </w:p>
    <w:p w:rsidR="00836A55" w:rsidRPr="00836A55" w:rsidRDefault="00836A55" w:rsidP="00836A55">
      <w:pPr>
        <w:pStyle w:val="CGCBulletlist"/>
        <w:rPr>
          <w:rStyle w:val="Heading5Char"/>
          <w:rFonts w:eastAsiaTheme="minorHAnsi" w:cstheme="minorBidi"/>
          <w:b w:val="0"/>
          <w:i w:val="0"/>
          <w:color w:val="auto"/>
          <w:sz w:val="24"/>
        </w:rPr>
      </w:pPr>
      <w:r w:rsidRPr="00CF17E4">
        <w:rPr>
          <w:rStyle w:val="Heading6Char"/>
        </w:rPr>
        <w:t>Wage costs.</w:t>
      </w:r>
      <w:r w:rsidRPr="00836A55">
        <w:t xml:space="preserve"> New data for the latest year shows relative wage pressures in South Australia</w:t>
      </w:r>
      <w:r w:rsidR="00587150">
        <w:t xml:space="preserve">, </w:t>
      </w:r>
      <w:r w:rsidR="00587150" w:rsidRPr="00836A55">
        <w:t>Tasmania</w:t>
      </w:r>
      <w:r w:rsidRPr="00836A55">
        <w:t xml:space="preserve"> and the ACT to be much lower than in earlier years, and in New South Wales to be slightly lower. This has resulted in </w:t>
      </w:r>
      <w:proofErr w:type="gramStart"/>
      <w:r w:rsidRPr="00836A55">
        <w:t>a redistribution</w:t>
      </w:r>
      <w:proofErr w:type="gramEnd"/>
      <w:r w:rsidRPr="00836A55">
        <w:t xml:space="preserve"> away from these States. Victoria has been the main recipient from these changes in wage costs. </w:t>
      </w:r>
    </w:p>
    <w:p w:rsidR="00986F01" w:rsidRPr="00205C19" w:rsidRDefault="009A6BBD" w:rsidP="00205C19">
      <w:pPr>
        <w:pStyle w:val="Heading3"/>
      </w:pPr>
      <w:bookmarkStart w:id="281" w:name="_Toc428435389"/>
      <w:bookmarkStart w:id="282" w:name="_Toc433353475"/>
      <w:bookmarkStart w:id="283" w:name="_Toc441241581"/>
      <w:bookmarkStart w:id="284" w:name="_Toc441499251"/>
      <w:bookmarkStart w:id="285" w:name="_Toc441656025"/>
      <w:bookmarkStart w:id="286" w:name="_Toc442191907"/>
      <w:bookmarkStart w:id="287" w:name="_Toc442192159"/>
      <w:bookmarkStart w:id="288" w:name="_Toc442192224"/>
      <w:bookmarkStart w:id="289" w:name="_Toc442772810"/>
      <w:bookmarkStart w:id="290" w:name="_Toc442773037"/>
      <w:bookmarkStart w:id="291" w:name="_Toc442773209"/>
      <w:bookmarkStart w:id="292" w:name="_Toc442773561"/>
      <w:bookmarkStart w:id="293" w:name="_Toc442883274"/>
      <w:bookmarkStart w:id="294" w:name="_Toc442949127"/>
      <w:r>
        <w:t xml:space="preserve">State by State changes since the </w:t>
      </w:r>
      <w:r w:rsidR="00205C19" w:rsidRPr="00205C19">
        <w:t xml:space="preserve">2015 </w:t>
      </w:r>
      <w:bookmarkEnd w:id="281"/>
      <w:r w:rsidR="00205C19" w:rsidRPr="00205C19">
        <w:t>Review</w:t>
      </w:r>
      <w:bookmarkEnd w:id="282"/>
      <w:bookmarkEnd w:id="283"/>
      <w:bookmarkEnd w:id="284"/>
      <w:bookmarkEnd w:id="285"/>
      <w:bookmarkEnd w:id="286"/>
      <w:bookmarkEnd w:id="287"/>
      <w:bookmarkEnd w:id="288"/>
      <w:bookmarkEnd w:id="289"/>
      <w:bookmarkEnd w:id="290"/>
      <w:bookmarkEnd w:id="291"/>
      <w:bookmarkEnd w:id="292"/>
      <w:bookmarkEnd w:id="293"/>
      <w:bookmarkEnd w:id="294"/>
    </w:p>
    <w:p w:rsidR="00530A48" w:rsidRDefault="00595216" w:rsidP="00572E41">
      <w:pPr>
        <w:pStyle w:val="CGCNumberedPara"/>
        <w:tabs>
          <w:tab w:val="clear" w:pos="567"/>
        </w:tabs>
        <w:spacing w:after="200" w:line="276" w:lineRule="auto"/>
        <w:sectPr w:rsidR="00530A48" w:rsidSect="00530A48">
          <w:footerReference w:type="default" r:id="rId30"/>
          <w:footerReference w:type="first" r:id="rId31"/>
          <w:type w:val="continuous"/>
          <w:pgSz w:w="11899" w:h="16838" w:code="9"/>
          <w:pgMar w:top="1440" w:right="1440" w:bottom="1440" w:left="1440" w:header="709" w:footer="709" w:gutter="0"/>
          <w:pgNumType w:start="1"/>
          <w:cols w:space="708"/>
          <w:titlePg/>
          <w:docGrid w:linePitch="326"/>
        </w:sectPr>
      </w:pPr>
      <w:r w:rsidRPr="00EC79CF">
        <w:t xml:space="preserve">Changes that </w:t>
      </w:r>
      <w:r w:rsidR="006A4C8D">
        <w:t xml:space="preserve">have </w:t>
      </w:r>
      <w:r w:rsidRPr="00EC79CF">
        <w:t>had important effects on the assessed fiscal capacity of each State are summarised in the following section. The</w:t>
      </w:r>
      <w:r w:rsidR="00F65E1A">
        <w:t>se</w:t>
      </w:r>
      <w:r w:rsidRPr="00EC79CF">
        <w:t xml:space="preserve"> are based on </w:t>
      </w:r>
      <w:r w:rsidR="00572E41">
        <w:t xml:space="preserve">estimated </w:t>
      </w:r>
      <w:r w:rsidRPr="00EC79CF">
        <w:t>201</w:t>
      </w:r>
      <w:r w:rsidR="00512852">
        <w:t>6</w:t>
      </w:r>
      <w:r w:rsidR="006E44C6">
        <w:noBreakHyphen/>
      </w:r>
      <w:r w:rsidRPr="00EC79CF">
        <w:t>1</w:t>
      </w:r>
      <w:r w:rsidR="00512852">
        <w:t>7</w:t>
      </w:r>
      <w:r w:rsidRPr="00EC79CF">
        <w:t xml:space="preserve"> GST revenue and </w:t>
      </w:r>
      <w:r w:rsidR="002C0A26">
        <w:t xml:space="preserve">estimated </w:t>
      </w:r>
      <w:r w:rsidRPr="00EC79CF">
        <w:t>December 201</w:t>
      </w:r>
      <w:r w:rsidR="006E44C6">
        <w:t>6</w:t>
      </w:r>
      <w:r w:rsidRPr="00EC79CF">
        <w:t xml:space="preserve"> populations. </w:t>
      </w:r>
      <w:r w:rsidR="00B706F4">
        <w:t xml:space="preserve">Chapter </w:t>
      </w:r>
      <w:r w:rsidR="00AC301E">
        <w:t>1</w:t>
      </w:r>
      <w:r w:rsidR="00B706F4">
        <w:t xml:space="preserve"> </w:t>
      </w:r>
      <w:r w:rsidRPr="00EC79CF">
        <w:t>provide</w:t>
      </w:r>
      <w:r>
        <w:t>s</w:t>
      </w:r>
      <w:r w:rsidRPr="00EC79CF">
        <w:t xml:space="preserve"> more detail.</w:t>
      </w:r>
    </w:p>
    <w:p w:rsidR="006A3E53" w:rsidRDefault="006A3E53" w:rsidP="006A3E53">
      <w:pPr>
        <w:pStyle w:val="Heading4"/>
        <w:spacing w:before="0"/>
        <w:sectPr w:rsidR="006A3E53" w:rsidSect="00530A48">
          <w:footerReference w:type="first" r:id="rId32"/>
          <w:pgSz w:w="11899" w:h="16838" w:code="9"/>
          <w:pgMar w:top="1440" w:right="1080" w:bottom="1440" w:left="1080" w:header="709" w:footer="709" w:gutter="0"/>
          <w:cols w:space="708"/>
          <w:titlePg/>
          <w:docGrid w:linePitch="326"/>
        </w:sectPr>
      </w:pPr>
      <w:bookmarkStart w:id="295" w:name="_Toc442191908"/>
      <w:bookmarkStart w:id="296" w:name="_Toc442192160"/>
      <w:bookmarkStart w:id="297" w:name="_Toc442192225"/>
      <w:bookmarkStart w:id="298" w:name="_Toc442772811"/>
      <w:bookmarkStart w:id="299" w:name="_Toc442773038"/>
      <w:bookmarkStart w:id="300" w:name="_Toc442773210"/>
      <w:bookmarkStart w:id="301" w:name="_Toc442883275"/>
      <w:bookmarkStart w:id="302" w:name="_Toc442949128"/>
      <w:r>
        <w:lastRenderedPageBreak/>
        <w:t>New South Wales</w:t>
      </w:r>
      <w:bookmarkEnd w:id="295"/>
      <w:bookmarkEnd w:id="296"/>
      <w:bookmarkEnd w:id="297"/>
      <w:bookmarkEnd w:id="298"/>
      <w:bookmarkEnd w:id="299"/>
      <w:bookmarkEnd w:id="300"/>
      <w:bookmarkEnd w:id="301"/>
      <w:bookmarkEnd w:id="302"/>
    </w:p>
    <w:p w:rsidR="006A3E53" w:rsidRPr="009E7E10" w:rsidRDefault="006A3E53" w:rsidP="009E7E10">
      <w:pPr>
        <w:spacing w:before="120"/>
        <w:rPr>
          <w:rStyle w:val="CGCTableHeadingChar"/>
        </w:rPr>
      </w:pPr>
      <w:proofErr w:type="gramStart"/>
      <w:r>
        <w:rPr>
          <w:rStyle w:val="Heading6Char"/>
        </w:rPr>
        <w:lastRenderedPageBreak/>
        <w:t>Changes in this update.</w:t>
      </w:r>
      <w:proofErr w:type="gramEnd"/>
      <w:r>
        <w:rPr>
          <w:rStyle w:val="Heading6Char"/>
        </w:rPr>
        <w:t xml:space="preserve"> </w:t>
      </w:r>
      <w:r w:rsidRPr="00EB0261">
        <w:rPr>
          <w:szCs w:val="24"/>
        </w:rPr>
        <w:t xml:space="preserve">New South Wales has become the State with the second strongest assessed fiscal capacity due to growth in property sales and an increase in its share of PSPs. </w:t>
      </w:r>
      <w:r w:rsidR="005E0DA9">
        <w:rPr>
          <w:szCs w:val="24"/>
        </w:rPr>
        <w:t>This</w:t>
      </w:r>
      <w:r w:rsidRPr="00EB0261">
        <w:rPr>
          <w:szCs w:val="24"/>
        </w:rPr>
        <w:t xml:space="preserve"> improved New South Wales</w:t>
      </w:r>
      <w:r w:rsidR="00B35D5D">
        <w:rPr>
          <w:szCs w:val="24"/>
        </w:rPr>
        <w:t>’</w:t>
      </w:r>
      <w:r w:rsidRPr="00EB0261">
        <w:rPr>
          <w:szCs w:val="24"/>
        </w:rPr>
        <w:t xml:space="preserve"> revenue raising capacity and reduced its GST share. These changes were partially offset by</w:t>
      </w:r>
      <w:r w:rsidR="006A4C8D">
        <w:rPr>
          <w:szCs w:val="24"/>
        </w:rPr>
        <w:t xml:space="preserve"> </w:t>
      </w:r>
      <w:proofErr w:type="gramStart"/>
      <w:r w:rsidR="006A4C8D">
        <w:rPr>
          <w:szCs w:val="24"/>
        </w:rPr>
        <w:t>an</w:t>
      </w:r>
      <w:r w:rsidRPr="00EB0261">
        <w:rPr>
          <w:szCs w:val="24"/>
        </w:rPr>
        <w:t xml:space="preserve"> acceleration</w:t>
      </w:r>
      <w:proofErr w:type="gramEnd"/>
      <w:r w:rsidRPr="00EB0261">
        <w:rPr>
          <w:szCs w:val="24"/>
        </w:rPr>
        <w:t xml:space="preserve"> in New South Wales</w:t>
      </w:r>
      <w:r w:rsidR="00541A5D">
        <w:rPr>
          <w:szCs w:val="24"/>
        </w:rPr>
        <w:t>’</w:t>
      </w:r>
      <w:r w:rsidRPr="00EB0261">
        <w:rPr>
          <w:szCs w:val="24"/>
        </w:rPr>
        <w:t xml:space="preserve"> population growth which led to an increase in its assessed investment requirement. While New South Wales’ increased fiscal capacity will see its G</w:t>
      </w:r>
      <w:r w:rsidR="005E0DA9">
        <w:rPr>
          <w:szCs w:val="24"/>
        </w:rPr>
        <w:t>ST share fall from 30.4% to 29.0</w:t>
      </w:r>
      <w:r w:rsidRPr="00EB0261">
        <w:rPr>
          <w:szCs w:val="24"/>
        </w:rPr>
        <w:t>%</w:t>
      </w:r>
      <w:r w:rsidR="00CA516C">
        <w:rPr>
          <w:szCs w:val="24"/>
        </w:rPr>
        <w:t>,</w:t>
      </w:r>
      <w:r w:rsidRPr="00EB0261">
        <w:rPr>
          <w:szCs w:val="24"/>
        </w:rPr>
        <w:t xml:space="preserve"> its GST </w:t>
      </w:r>
      <w:r w:rsidR="005E0DA9">
        <w:rPr>
          <w:szCs w:val="24"/>
        </w:rPr>
        <w:t>entitlement</w:t>
      </w:r>
      <w:r w:rsidRPr="00EB0261">
        <w:rPr>
          <w:szCs w:val="24"/>
        </w:rPr>
        <w:t xml:space="preserve"> in 2016-17 will rise by $</w:t>
      </w:r>
      <w:r w:rsidR="005E0DA9">
        <w:rPr>
          <w:szCs w:val="24"/>
        </w:rPr>
        <w:t>19</w:t>
      </w:r>
      <w:r w:rsidR="007F71B1">
        <w:rPr>
          <w:szCs w:val="24"/>
        </w:rPr>
        <w:t>6</w:t>
      </w:r>
      <w:r w:rsidRPr="00EB0261">
        <w:rPr>
          <w:szCs w:val="24"/>
        </w:rPr>
        <w:t xml:space="preserve"> million, or 1.</w:t>
      </w:r>
      <w:r w:rsidR="00BA21DA">
        <w:rPr>
          <w:szCs w:val="24"/>
        </w:rPr>
        <w:t>1</w:t>
      </w:r>
      <w:r w:rsidRPr="00EB0261">
        <w:rPr>
          <w:szCs w:val="24"/>
        </w:rPr>
        <w:t xml:space="preserve">%, due to growth in the pool. </w:t>
      </w:r>
      <w:r>
        <w:br w:type="column"/>
      </w:r>
      <w:r w:rsidRPr="009E7E10">
        <w:rPr>
          <w:rStyle w:val="CGCTableHeadingChar"/>
        </w:rPr>
        <w:lastRenderedPageBreak/>
        <w:t xml:space="preserve">Table </w:t>
      </w:r>
      <w:r w:rsidR="005F0051" w:rsidRPr="009E7E10">
        <w:rPr>
          <w:rStyle w:val="CGCTableHeadingChar"/>
        </w:rPr>
        <w:fldChar w:fldCharType="begin"/>
      </w:r>
      <w:r w:rsidR="005F0051" w:rsidRPr="009E7E10">
        <w:rPr>
          <w:rStyle w:val="CGCTableHeadingChar"/>
        </w:rPr>
        <w:instrText xml:space="preserve"> SEQ Table \* ARABIC </w:instrText>
      </w:r>
      <w:r w:rsidR="005F0051" w:rsidRPr="009E7E10">
        <w:rPr>
          <w:rStyle w:val="CGCTableHeadingChar"/>
        </w:rPr>
        <w:fldChar w:fldCharType="separate"/>
      </w:r>
      <w:r w:rsidR="007A6AF0">
        <w:rPr>
          <w:rStyle w:val="CGCTableHeadingChar"/>
          <w:noProof/>
        </w:rPr>
        <w:t>5</w:t>
      </w:r>
      <w:r w:rsidR="005F0051" w:rsidRPr="009E7E10">
        <w:rPr>
          <w:rStyle w:val="CGCTableHeadingChar"/>
        </w:rPr>
        <w:fldChar w:fldCharType="end"/>
      </w:r>
      <w:r w:rsidRPr="009E7E10">
        <w:rPr>
          <w:rStyle w:val="CGCTableHeadingChar"/>
        </w:rPr>
        <w:tab/>
        <w:t>Change in GST</w:t>
      </w:r>
    </w:p>
    <w:tbl>
      <w:tblPr>
        <w:tblW w:w="4240" w:type="dxa"/>
        <w:tblInd w:w="93" w:type="dxa"/>
        <w:tblLook w:val="04A0" w:firstRow="1" w:lastRow="0" w:firstColumn="1" w:lastColumn="0" w:noHBand="0" w:noVBand="1"/>
      </w:tblPr>
      <w:tblGrid>
        <w:gridCol w:w="2700"/>
        <w:gridCol w:w="820"/>
        <w:gridCol w:w="720"/>
      </w:tblGrid>
      <w:tr w:rsidR="0064743F" w:rsidRPr="0064743F" w:rsidTr="0064743F">
        <w:trPr>
          <w:trHeight w:val="375"/>
        </w:trPr>
        <w:tc>
          <w:tcPr>
            <w:tcW w:w="270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$pc</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Change due to</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New population</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-8</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Growth in GST available</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1 054</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136</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New relativities</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-850</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-109</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200" w:firstLine="4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Data revisions</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-42</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200" w:firstLine="4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Change in circumstances</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-808</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-104</w:t>
            </w:r>
          </w:p>
        </w:tc>
      </w:tr>
      <w:tr w:rsidR="0064743F" w:rsidRPr="0064743F" w:rsidTr="0064743F">
        <w:trPr>
          <w:trHeight w:val="315"/>
        </w:trPr>
        <w:tc>
          <w:tcPr>
            <w:tcW w:w="270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Total change</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196</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25</w:t>
            </w:r>
          </w:p>
        </w:tc>
      </w:tr>
    </w:tbl>
    <w:p w:rsidR="006A3E53" w:rsidRDefault="006A3E53" w:rsidP="006A3E53">
      <w:pPr>
        <w:pStyle w:val="CGCTableFootnote"/>
        <w:sectPr w:rsidR="006A3E53" w:rsidSect="0055307A">
          <w:type w:val="continuous"/>
          <w:pgSz w:w="11899" w:h="16838" w:code="9"/>
          <w:pgMar w:top="1440" w:right="1080" w:bottom="1440" w:left="1080" w:header="709" w:footer="709" w:gutter="0"/>
          <w:cols w:num="2" w:space="145" w:equalWidth="0">
            <w:col w:w="5500" w:space="145"/>
            <w:col w:w="4094"/>
          </w:cols>
          <w:titlePg/>
          <w:docGrid w:linePitch="326"/>
        </w:sectPr>
      </w:pPr>
      <w:r>
        <w:t>Note: Table may not add due to rounding.</w:t>
      </w:r>
    </w:p>
    <w:p w:rsidR="006A3E53" w:rsidRDefault="006A3E53" w:rsidP="00153AC5">
      <w:pPr>
        <w:pStyle w:val="CGCTableHeading"/>
        <w:spacing w:after="80" w:line="320" w:lineRule="atLeast"/>
      </w:pPr>
      <w:r>
        <w:lastRenderedPageBreak/>
        <w:t xml:space="preserve">Table </w:t>
      </w:r>
      <w:r w:rsidR="0014378B">
        <w:fldChar w:fldCharType="begin"/>
      </w:r>
      <w:r w:rsidR="0014378B">
        <w:instrText xml:space="preserve"> SEQ Table \* ARABIC </w:instrText>
      </w:r>
      <w:r w:rsidR="0014378B">
        <w:fldChar w:fldCharType="separate"/>
      </w:r>
      <w:r w:rsidR="007A6AF0">
        <w:rPr>
          <w:noProof/>
        </w:rPr>
        <w:t>6</w:t>
      </w:r>
      <w:r w:rsidR="0014378B">
        <w:rPr>
          <w:noProof/>
        </w:rPr>
        <w:fldChar w:fldCharType="end"/>
      </w:r>
      <w:r w:rsidRPr="00EC79CF">
        <w:rPr>
          <w:bCs/>
        </w:rPr>
        <w:tab/>
      </w:r>
      <w:r>
        <w:t>Main causes of change for New South Wales</w:t>
      </w:r>
    </w:p>
    <w:tbl>
      <w:tblPr>
        <w:tblW w:w="9920" w:type="dxa"/>
        <w:tblInd w:w="93" w:type="dxa"/>
        <w:tblLook w:val="04A0" w:firstRow="1" w:lastRow="0" w:firstColumn="1" w:lastColumn="0" w:noHBand="0" w:noVBand="1"/>
      </w:tblPr>
      <w:tblGrid>
        <w:gridCol w:w="660"/>
        <w:gridCol w:w="640"/>
        <w:gridCol w:w="8620"/>
      </w:tblGrid>
      <w:tr w:rsidR="00B941DE" w:rsidRPr="00B941DE" w:rsidTr="00D51D26">
        <w:trPr>
          <w:trHeight w:val="360"/>
        </w:trPr>
        <w:tc>
          <w:tcPr>
            <w:tcW w:w="1300" w:type="dxa"/>
            <w:gridSpan w:val="2"/>
            <w:tcBorders>
              <w:top w:val="single" w:sz="4" w:space="0" w:color="auto"/>
              <w:bottom w:val="single" w:sz="4" w:space="0" w:color="auto"/>
            </w:tcBorders>
            <w:shd w:val="clear" w:color="auto" w:fill="auto"/>
            <w:vAlign w:val="center"/>
            <w:hideMark/>
          </w:tcPr>
          <w:p w:rsidR="00B941DE" w:rsidRPr="00B941DE" w:rsidRDefault="00B941DE" w:rsidP="00BA51F0">
            <w:pPr>
              <w:tabs>
                <w:tab w:val="clear" w:pos="567"/>
              </w:tabs>
              <w:spacing w:after="0" w:line="240" w:lineRule="auto"/>
              <w:ind w:hanging="93"/>
              <w:rPr>
                <w:rFonts w:ascii="Calibri" w:eastAsia="Times New Roman" w:hAnsi="Calibri" w:cs="Times New Roman"/>
                <w:sz w:val="20"/>
                <w:szCs w:val="20"/>
                <w:lang w:eastAsia="en-AU"/>
              </w:rPr>
            </w:pPr>
            <w:r w:rsidRPr="00B941DE">
              <w:rPr>
                <w:rFonts w:ascii="Calibri" w:eastAsia="Times New Roman" w:hAnsi="Calibri" w:cs="Times New Roman"/>
                <w:sz w:val="20"/>
                <w:szCs w:val="20"/>
                <w:lang w:eastAsia="en-AU"/>
              </w:rPr>
              <w:t>Change ($m)</w:t>
            </w:r>
          </w:p>
        </w:tc>
        <w:tc>
          <w:tcPr>
            <w:tcW w:w="8620" w:type="dxa"/>
            <w:tcBorders>
              <w:top w:val="single" w:sz="4" w:space="0" w:color="auto"/>
              <w:bottom w:val="single" w:sz="4" w:space="0" w:color="auto"/>
            </w:tcBorders>
            <w:shd w:val="clear" w:color="auto" w:fill="auto"/>
            <w:vAlign w:val="center"/>
            <w:hideMark/>
          </w:tcPr>
          <w:p w:rsidR="00B941DE" w:rsidRPr="00B941DE" w:rsidRDefault="00B941DE" w:rsidP="00B941DE">
            <w:pPr>
              <w:tabs>
                <w:tab w:val="clear" w:pos="567"/>
              </w:tabs>
              <w:spacing w:after="0" w:line="240" w:lineRule="auto"/>
              <w:rPr>
                <w:rFonts w:ascii="Calibri" w:eastAsia="Times New Roman" w:hAnsi="Calibri" w:cs="Times New Roman"/>
                <w:sz w:val="20"/>
                <w:szCs w:val="20"/>
                <w:lang w:eastAsia="en-AU"/>
              </w:rPr>
            </w:pPr>
            <w:r w:rsidRPr="00B941DE">
              <w:rPr>
                <w:rFonts w:ascii="Calibri" w:eastAsia="Times New Roman" w:hAnsi="Calibri" w:cs="Times New Roman"/>
                <w:sz w:val="20"/>
                <w:szCs w:val="20"/>
                <w:lang w:eastAsia="en-AU"/>
              </w:rPr>
              <w:t>Reason for change</w:t>
            </w:r>
          </w:p>
        </w:tc>
      </w:tr>
      <w:tr w:rsidR="00B941DE" w:rsidRPr="00B941DE" w:rsidTr="00D51D26">
        <w:trPr>
          <w:trHeight w:val="360"/>
        </w:trPr>
        <w:tc>
          <w:tcPr>
            <w:tcW w:w="9920" w:type="dxa"/>
            <w:gridSpan w:val="3"/>
            <w:tcBorders>
              <w:top w:val="single" w:sz="4" w:space="0" w:color="auto"/>
            </w:tcBorders>
            <w:shd w:val="clear" w:color="auto" w:fill="auto"/>
            <w:vAlign w:val="center"/>
            <w:hideMark/>
          </w:tcPr>
          <w:p w:rsidR="00B941DE" w:rsidRPr="00B941DE" w:rsidRDefault="00B941DE" w:rsidP="00BA51F0">
            <w:pPr>
              <w:tabs>
                <w:tab w:val="clear" w:pos="567"/>
              </w:tabs>
              <w:spacing w:after="0" w:line="240" w:lineRule="auto"/>
              <w:ind w:hanging="93"/>
              <w:rPr>
                <w:rFonts w:ascii="Calibri" w:eastAsia="Times New Roman" w:hAnsi="Calibri" w:cs="Times New Roman"/>
                <w:b/>
                <w:bCs/>
                <w:sz w:val="20"/>
                <w:szCs w:val="20"/>
                <w:lang w:eastAsia="en-AU"/>
              </w:rPr>
            </w:pPr>
            <w:r w:rsidRPr="00B941DE">
              <w:rPr>
                <w:rFonts w:ascii="Calibri" w:eastAsia="Times New Roman" w:hAnsi="Calibri" w:cs="Times New Roman"/>
                <w:b/>
                <w:bCs/>
                <w:sz w:val="20"/>
                <w:szCs w:val="20"/>
                <w:lang w:eastAsia="en-AU"/>
              </w:rPr>
              <w:t>Changes in circumstances</w:t>
            </w:r>
          </w:p>
        </w:tc>
      </w:tr>
      <w:tr w:rsidR="00B941DE" w:rsidRPr="00B941DE" w:rsidTr="00D51D26">
        <w:trPr>
          <w:trHeight w:val="495"/>
        </w:trPr>
        <w:tc>
          <w:tcPr>
            <w:tcW w:w="660" w:type="dxa"/>
            <w:shd w:val="clear" w:color="auto" w:fill="auto"/>
            <w:hideMark/>
          </w:tcPr>
          <w:p w:rsidR="00B941DE" w:rsidRPr="00B941DE" w:rsidRDefault="00B941DE" w:rsidP="00B941DE">
            <w:pPr>
              <w:tabs>
                <w:tab w:val="clear" w:pos="567"/>
              </w:tabs>
              <w:spacing w:after="0" w:line="240" w:lineRule="auto"/>
              <w:jc w:val="right"/>
              <w:rPr>
                <w:rFonts w:ascii="Calibri" w:eastAsia="Times New Roman" w:hAnsi="Calibri" w:cs="Times New Roman"/>
                <w:sz w:val="20"/>
                <w:szCs w:val="20"/>
                <w:lang w:eastAsia="en-AU"/>
              </w:rPr>
            </w:pPr>
            <w:r w:rsidRPr="00B941DE">
              <w:rPr>
                <w:rFonts w:ascii="Calibri" w:eastAsia="Times New Roman" w:hAnsi="Calibri" w:cs="Times New Roman"/>
                <w:sz w:val="20"/>
                <w:szCs w:val="20"/>
                <w:lang w:eastAsia="en-AU"/>
              </w:rPr>
              <w:t>-457</w:t>
            </w:r>
          </w:p>
        </w:tc>
        <w:tc>
          <w:tcPr>
            <w:tcW w:w="640" w:type="dxa"/>
            <w:shd w:val="clear" w:color="auto" w:fill="auto"/>
            <w:hideMark/>
          </w:tcPr>
          <w:p w:rsidR="00B941DE" w:rsidRPr="00B941DE" w:rsidRDefault="00B941DE" w:rsidP="00B941DE">
            <w:pPr>
              <w:tabs>
                <w:tab w:val="clear" w:pos="567"/>
              </w:tabs>
              <w:spacing w:after="0" w:line="240" w:lineRule="auto"/>
              <w:rPr>
                <w:rFonts w:ascii="Calibri" w:eastAsia="Times New Roman" w:hAnsi="Calibri" w:cs="Times New Roman"/>
                <w:sz w:val="20"/>
                <w:szCs w:val="20"/>
                <w:lang w:eastAsia="en-AU"/>
              </w:rPr>
            </w:pPr>
          </w:p>
        </w:tc>
        <w:tc>
          <w:tcPr>
            <w:tcW w:w="8620" w:type="dxa"/>
            <w:shd w:val="clear" w:color="auto" w:fill="auto"/>
            <w:hideMark/>
          </w:tcPr>
          <w:p w:rsidR="00B941DE" w:rsidRPr="00B941DE" w:rsidRDefault="00B941DE" w:rsidP="00892DA0">
            <w:pPr>
              <w:tabs>
                <w:tab w:val="clear" w:pos="567"/>
              </w:tabs>
              <w:spacing w:after="0" w:line="240" w:lineRule="auto"/>
              <w:rPr>
                <w:rFonts w:ascii="Calibri" w:eastAsia="Times New Roman" w:hAnsi="Calibri" w:cs="Times New Roman"/>
                <w:b/>
                <w:bCs/>
                <w:sz w:val="20"/>
                <w:szCs w:val="20"/>
                <w:lang w:eastAsia="en-AU"/>
              </w:rPr>
            </w:pPr>
            <w:r w:rsidRPr="00B941DE">
              <w:rPr>
                <w:rFonts w:ascii="Calibri" w:eastAsia="Times New Roman" w:hAnsi="Calibri" w:cs="Times New Roman"/>
                <w:b/>
                <w:bCs/>
                <w:sz w:val="20"/>
                <w:szCs w:val="20"/>
                <w:lang w:eastAsia="en-AU"/>
              </w:rPr>
              <w:t xml:space="preserve">Property sales. </w:t>
            </w:r>
            <w:r w:rsidRPr="00B941DE">
              <w:rPr>
                <w:rFonts w:ascii="Calibri" w:eastAsia="Times New Roman" w:hAnsi="Calibri" w:cs="Times New Roman"/>
                <w:sz w:val="20"/>
                <w:szCs w:val="20"/>
                <w:lang w:eastAsia="en-AU"/>
              </w:rPr>
              <w:t xml:space="preserve">Above average growth in property turnover increased the State’s share of the conveyance duty tax base from 35% in 2011-12 to 41% in 2014-15, reducing its GST </w:t>
            </w:r>
            <w:r w:rsidR="00892DA0">
              <w:rPr>
                <w:rFonts w:ascii="Calibri" w:eastAsia="Times New Roman" w:hAnsi="Calibri" w:cs="Times New Roman"/>
                <w:sz w:val="20"/>
                <w:szCs w:val="20"/>
                <w:lang w:eastAsia="en-AU"/>
              </w:rPr>
              <w:t>share</w:t>
            </w:r>
            <w:r w:rsidRPr="00B941DE">
              <w:rPr>
                <w:rFonts w:ascii="Calibri" w:eastAsia="Times New Roman" w:hAnsi="Calibri" w:cs="Times New Roman"/>
                <w:sz w:val="20"/>
                <w:szCs w:val="20"/>
                <w:lang w:eastAsia="en-AU"/>
              </w:rPr>
              <w:t>.</w:t>
            </w:r>
          </w:p>
        </w:tc>
      </w:tr>
      <w:tr w:rsidR="00B941DE" w:rsidRPr="00B941DE" w:rsidTr="00D51D26">
        <w:trPr>
          <w:trHeight w:val="495"/>
        </w:trPr>
        <w:tc>
          <w:tcPr>
            <w:tcW w:w="660" w:type="dxa"/>
            <w:shd w:val="clear" w:color="auto" w:fill="auto"/>
            <w:hideMark/>
          </w:tcPr>
          <w:p w:rsidR="00B941DE" w:rsidRPr="00B941DE" w:rsidRDefault="00B941DE" w:rsidP="00B941DE">
            <w:pPr>
              <w:tabs>
                <w:tab w:val="clear" w:pos="567"/>
              </w:tabs>
              <w:spacing w:after="0" w:line="240" w:lineRule="auto"/>
              <w:jc w:val="right"/>
              <w:rPr>
                <w:rFonts w:ascii="Calibri" w:eastAsia="Times New Roman" w:hAnsi="Calibri" w:cs="Times New Roman"/>
                <w:sz w:val="20"/>
                <w:szCs w:val="20"/>
                <w:lang w:eastAsia="en-AU"/>
              </w:rPr>
            </w:pPr>
            <w:r w:rsidRPr="00B941DE">
              <w:rPr>
                <w:rFonts w:ascii="Calibri" w:eastAsia="Times New Roman" w:hAnsi="Calibri" w:cs="Times New Roman"/>
                <w:sz w:val="20"/>
                <w:szCs w:val="20"/>
                <w:lang w:eastAsia="en-AU"/>
              </w:rPr>
              <w:t>-311</w:t>
            </w:r>
          </w:p>
        </w:tc>
        <w:tc>
          <w:tcPr>
            <w:tcW w:w="640" w:type="dxa"/>
            <w:shd w:val="clear" w:color="auto" w:fill="auto"/>
            <w:hideMark/>
          </w:tcPr>
          <w:p w:rsidR="00B941DE" w:rsidRPr="00B941DE" w:rsidRDefault="00B941DE" w:rsidP="00B941DE">
            <w:pPr>
              <w:tabs>
                <w:tab w:val="clear" w:pos="567"/>
              </w:tabs>
              <w:spacing w:after="0" w:line="240" w:lineRule="auto"/>
              <w:rPr>
                <w:rFonts w:ascii="Calibri" w:eastAsia="Times New Roman" w:hAnsi="Calibri" w:cs="Times New Roman"/>
                <w:sz w:val="20"/>
                <w:szCs w:val="20"/>
                <w:lang w:eastAsia="en-AU"/>
              </w:rPr>
            </w:pPr>
          </w:p>
        </w:tc>
        <w:tc>
          <w:tcPr>
            <w:tcW w:w="8620" w:type="dxa"/>
            <w:shd w:val="clear" w:color="auto" w:fill="auto"/>
            <w:hideMark/>
          </w:tcPr>
          <w:p w:rsidR="00B941DE" w:rsidRPr="00B941DE" w:rsidRDefault="00B941DE" w:rsidP="00B941DE">
            <w:pPr>
              <w:tabs>
                <w:tab w:val="clear" w:pos="567"/>
              </w:tabs>
              <w:spacing w:after="0" w:line="240" w:lineRule="auto"/>
              <w:rPr>
                <w:rFonts w:ascii="Calibri" w:eastAsia="Times New Roman" w:hAnsi="Calibri" w:cs="Times New Roman"/>
                <w:b/>
                <w:bCs/>
                <w:sz w:val="20"/>
                <w:szCs w:val="20"/>
                <w:lang w:eastAsia="en-AU"/>
              </w:rPr>
            </w:pPr>
            <w:r w:rsidRPr="00B941DE">
              <w:rPr>
                <w:rFonts w:ascii="Calibri" w:eastAsia="Times New Roman" w:hAnsi="Calibri" w:cs="Times New Roman"/>
                <w:b/>
                <w:bCs/>
                <w:sz w:val="20"/>
                <w:szCs w:val="20"/>
                <w:lang w:eastAsia="en-AU"/>
              </w:rPr>
              <w:t xml:space="preserve">Commonwealth payments. </w:t>
            </w:r>
            <w:r w:rsidRPr="00B941DE">
              <w:rPr>
                <w:rFonts w:ascii="Calibri" w:eastAsia="Times New Roman" w:hAnsi="Calibri" w:cs="Times New Roman"/>
                <w:sz w:val="20"/>
                <w:szCs w:val="20"/>
                <w:lang w:eastAsia="en-AU"/>
              </w:rPr>
              <w:t>An increase in government schools, health infrastructure and rail infrastructure payments between 2011-12 and 2014-15 contributed to a reduction in its GST revenue.</w:t>
            </w:r>
          </w:p>
        </w:tc>
      </w:tr>
      <w:tr w:rsidR="00B941DE" w:rsidRPr="00B941DE" w:rsidTr="00D51D26">
        <w:trPr>
          <w:trHeight w:val="495"/>
        </w:trPr>
        <w:tc>
          <w:tcPr>
            <w:tcW w:w="660" w:type="dxa"/>
            <w:shd w:val="clear" w:color="auto" w:fill="auto"/>
            <w:hideMark/>
          </w:tcPr>
          <w:p w:rsidR="00B941DE" w:rsidRPr="00B941DE" w:rsidRDefault="00B941DE" w:rsidP="00B941DE">
            <w:pPr>
              <w:tabs>
                <w:tab w:val="clear" w:pos="567"/>
              </w:tabs>
              <w:spacing w:after="0" w:line="240" w:lineRule="auto"/>
              <w:jc w:val="right"/>
              <w:rPr>
                <w:rFonts w:ascii="Calibri" w:eastAsia="Times New Roman" w:hAnsi="Calibri" w:cs="Times New Roman"/>
                <w:sz w:val="20"/>
                <w:szCs w:val="20"/>
                <w:lang w:eastAsia="en-AU"/>
              </w:rPr>
            </w:pPr>
            <w:r w:rsidRPr="00B941DE">
              <w:rPr>
                <w:rFonts w:ascii="Calibri" w:eastAsia="Times New Roman" w:hAnsi="Calibri" w:cs="Times New Roman"/>
                <w:sz w:val="20"/>
                <w:szCs w:val="20"/>
                <w:lang w:eastAsia="en-AU"/>
              </w:rPr>
              <w:t>263</w:t>
            </w:r>
          </w:p>
        </w:tc>
        <w:tc>
          <w:tcPr>
            <w:tcW w:w="640" w:type="dxa"/>
            <w:shd w:val="clear" w:color="auto" w:fill="auto"/>
            <w:hideMark/>
          </w:tcPr>
          <w:p w:rsidR="00B941DE" w:rsidRPr="00B941DE" w:rsidRDefault="00B941DE" w:rsidP="00B941DE">
            <w:pPr>
              <w:tabs>
                <w:tab w:val="clear" w:pos="567"/>
              </w:tabs>
              <w:spacing w:after="0" w:line="240" w:lineRule="auto"/>
              <w:rPr>
                <w:rFonts w:ascii="Calibri" w:eastAsia="Times New Roman" w:hAnsi="Calibri" w:cs="Times New Roman"/>
                <w:sz w:val="20"/>
                <w:szCs w:val="20"/>
                <w:lang w:eastAsia="en-AU"/>
              </w:rPr>
            </w:pPr>
          </w:p>
        </w:tc>
        <w:tc>
          <w:tcPr>
            <w:tcW w:w="8620" w:type="dxa"/>
            <w:shd w:val="clear" w:color="auto" w:fill="auto"/>
            <w:hideMark/>
          </w:tcPr>
          <w:p w:rsidR="00B941DE" w:rsidRPr="00B941DE" w:rsidRDefault="00B941DE" w:rsidP="00B941DE">
            <w:pPr>
              <w:tabs>
                <w:tab w:val="clear" w:pos="567"/>
              </w:tabs>
              <w:spacing w:after="0" w:line="240" w:lineRule="auto"/>
              <w:rPr>
                <w:rFonts w:ascii="Calibri" w:eastAsia="Times New Roman" w:hAnsi="Calibri" w:cs="Times New Roman"/>
                <w:b/>
                <w:bCs/>
                <w:sz w:val="20"/>
                <w:szCs w:val="20"/>
                <w:lang w:eastAsia="en-AU"/>
              </w:rPr>
            </w:pPr>
            <w:r w:rsidRPr="00B941DE">
              <w:rPr>
                <w:rFonts w:ascii="Calibri" w:eastAsia="Times New Roman" w:hAnsi="Calibri" w:cs="Times New Roman"/>
                <w:b/>
                <w:bCs/>
                <w:sz w:val="20"/>
                <w:szCs w:val="20"/>
                <w:lang w:eastAsia="en-AU"/>
              </w:rPr>
              <w:t>Investment including population growth.</w:t>
            </w:r>
            <w:r w:rsidRPr="00B941DE">
              <w:rPr>
                <w:rFonts w:ascii="Calibri" w:eastAsia="Times New Roman" w:hAnsi="Calibri" w:cs="Times New Roman"/>
                <w:sz w:val="20"/>
                <w:szCs w:val="20"/>
                <w:lang w:eastAsia="en-AU"/>
              </w:rPr>
              <w:t xml:space="preserve"> Stronger population growth in 2014-</w:t>
            </w:r>
            <w:r w:rsidRPr="00B941DE">
              <w:rPr>
                <w:rFonts w:ascii="Calibri" w:eastAsia="Times New Roman" w:hAnsi="Calibri" w:cs="Times New Roman"/>
                <w:sz w:val="20"/>
                <w:szCs w:val="20"/>
                <w:lang w:eastAsia="en-AU"/>
              </w:rPr>
              <w:softHyphen/>
              <w:t>15 compared to 2011</w:t>
            </w:r>
            <w:r w:rsidRPr="00B941DE">
              <w:rPr>
                <w:rFonts w:ascii="Calibri" w:eastAsia="Times New Roman" w:hAnsi="Calibri" w:cs="Times New Roman"/>
                <w:sz w:val="20"/>
                <w:szCs w:val="20"/>
                <w:lang w:eastAsia="en-AU"/>
              </w:rPr>
              <w:noBreakHyphen/>
              <w:t xml:space="preserve">12 increased its assessed investment and its GST share. </w:t>
            </w:r>
          </w:p>
        </w:tc>
      </w:tr>
      <w:tr w:rsidR="00B941DE" w:rsidRPr="00B941DE" w:rsidTr="00D51D26">
        <w:trPr>
          <w:trHeight w:val="495"/>
        </w:trPr>
        <w:tc>
          <w:tcPr>
            <w:tcW w:w="660" w:type="dxa"/>
            <w:shd w:val="clear" w:color="auto" w:fill="auto"/>
            <w:hideMark/>
          </w:tcPr>
          <w:p w:rsidR="00B941DE" w:rsidRPr="00B941DE" w:rsidRDefault="00B941DE" w:rsidP="00B941DE">
            <w:pPr>
              <w:tabs>
                <w:tab w:val="clear" w:pos="567"/>
              </w:tabs>
              <w:spacing w:after="0" w:line="240" w:lineRule="auto"/>
              <w:jc w:val="right"/>
              <w:rPr>
                <w:rFonts w:ascii="Calibri" w:eastAsia="Times New Roman" w:hAnsi="Calibri" w:cs="Times New Roman"/>
                <w:sz w:val="20"/>
                <w:szCs w:val="20"/>
                <w:lang w:eastAsia="en-AU"/>
              </w:rPr>
            </w:pPr>
            <w:r w:rsidRPr="00B941DE">
              <w:rPr>
                <w:rFonts w:ascii="Calibri" w:eastAsia="Times New Roman" w:hAnsi="Calibri" w:cs="Times New Roman"/>
                <w:sz w:val="20"/>
                <w:szCs w:val="20"/>
                <w:lang w:eastAsia="en-AU"/>
              </w:rPr>
              <w:t>-145</w:t>
            </w:r>
          </w:p>
        </w:tc>
        <w:tc>
          <w:tcPr>
            <w:tcW w:w="640" w:type="dxa"/>
            <w:shd w:val="clear" w:color="auto" w:fill="auto"/>
            <w:hideMark/>
          </w:tcPr>
          <w:p w:rsidR="00B941DE" w:rsidRPr="00B941DE" w:rsidRDefault="00B941DE" w:rsidP="00B941DE">
            <w:pPr>
              <w:tabs>
                <w:tab w:val="clear" w:pos="567"/>
              </w:tabs>
              <w:spacing w:after="0" w:line="240" w:lineRule="auto"/>
              <w:rPr>
                <w:rFonts w:ascii="Calibri" w:eastAsia="Times New Roman" w:hAnsi="Calibri" w:cs="Times New Roman"/>
                <w:sz w:val="20"/>
                <w:szCs w:val="20"/>
                <w:lang w:eastAsia="en-AU"/>
              </w:rPr>
            </w:pPr>
          </w:p>
        </w:tc>
        <w:tc>
          <w:tcPr>
            <w:tcW w:w="8620" w:type="dxa"/>
            <w:shd w:val="clear" w:color="auto" w:fill="auto"/>
            <w:hideMark/>
          </w:tcPr>
          <w:p w:rsidR="00B941DE" w:rsidRPr="00B941DE" w:rsidRDefault="00B941DE" w:rsidP="00B941DE">
            <w:pPr>
              <w:tabs>
                <w:tab w:val="clear" w:pos="567"/>
              </w:tabs>
              <w:spacing w:after="0" w:line="240" w:lineRule="auto"/>
              <w:rPr>
                <w:rFonts w:ascii="Calibri" w:eastAsia="Times New Roman" w:hAnsi="Calibri" w:cs="Times New Roman"/>
                <w:b/>
                <w:bCs/>
                <w:sz w:val="20"/>
                <w:szCs w:val="20"/>
                <w:lang w:eastAsia="en-AU"/>
              </w:rPr>
            </w:pPr>
            <w:r w:rsidRPr="00B941DE">
              <w:rPr>
                <w:rFonts w:ascii="Calibri" w:eastAsia="Times New Roman" w:hAnsi="Calibri" w:cs="Times New Roman"/>
                <w:b/>
                <w:bCs/>
                <w:sz w:val="20"/>
                <w:szCs w:val="20"/>
                <w:lang w:eastAsia="en-AU"/>
              </w:rPr>
              <w:t>Mining production</w:t>
            </w:r>
            <w:r w:rsidRPr="00B941DE">
              <w:rPr>
                <w:rFonts w:ascii="Calibri" w:eastAsia="Times New Roman" w:hAnsi="Calibri" w:cs="Times New Roman"/>
                <w:sz w:val="20"/>
                <w:szCs w:val="20"/>
                <w:lang w:eastAsia="en-AU"/>
              </w:rPr>
              <w:t>. A fall in the value of mining production reduced the revenue raising capacity of the major mining States. This shifted GST away from New South Wales.</w:t>
            </w:r>
            <w:r w:rsidRPr="00B941DE">
              <w:rPr>
                <w:rFonts w:ascii="Calibri" w:eastAsia="Times New Roman" w:hAnsi="Calibri" w:cs="Times New Roman"/>
                <w:b/>
                <w:bCs/>
                <w:sz w:val="20"/>
                <w:szCs w:val="20"/>
                <w:lang w:eastAsia="en-AU"/>
              </w:rPr>
              <w:t xml:space="preserve"> </w:t>
            </w:r>
          </w:p>
        </w:tc>
      </w:tr>
      <w:tr w:rsidR="00B941DE" w:rsidRPr="00B941DE" w:rsidTr="00D51D26">
        <w:trPr>
          <w:trHeight w:val="495"/>
        </w:trPr>
        <w:tc>
          <w:tcPr>
            <w:tcW w:w="660" w:type="dxa"/>
            <w:tcBorders>
              <w:bottom w:val="single" w:sz="4" w:space="0" w:color="auto"/>
            </w:tcBorders>
            <w:shd w:val="clear" w:color="auto" w:fill="auto"/>
            <w:hideMark/>
          </w:tcPr>
          <w:p w:rsidR="00B941DE" w:rsidRPr="00B941DE" w:rsidRDefault="00B941DE" w:rsidP="00B941DE">
            <w:pPr>
              <w:tabs>
                <w:tab w:val="clear" w:pos="567"/>
              </w:tabs>
              <w:spacing w:after="0" w:line="240" w:lineRule="auto"/>
              <w:jc w:val="right"/>
              <w:rPr>
                <w:rFonts w:ascii="Calibri" w:eastAsia="Times New Roman" w:hAnsi="Calibri" w:cs="Times New Roman"/>
                <w:sz w:val="20"/>
                <w:szCs w:val="20"/>
                <w:lang w:eastAsia="en-AU"/>
              </w:rPr>
            </w:pPr>
            <w:r w:rsidRPr="00B941DE">
              <w:rPr>
                <w:rFonts w:ascii="Calibri" w:eastAsia="Times New Roman" w:hAnsi="Calibri" w:cs="Times New Roman"/>
                <w:sz w:val="20"/>
                <w:szCs w:val="20"/>
                <w:lang w:eastAsia="en-AU"/>
              </w:rPr>
              <w:t>-96</w:t>
            </w:r>
          </w:p>
        </w:tc>
        <w:tc>
          <w:tcPr>
            <w:tcW w:w="640" w:type="dxa"/>
            <w:tcBorders>
              <w:bottom w:val="single" w:sz="4" w:space="0" w:color="auto"/>
            </w:tcBorders>
            <w:shd w:val="clear" w:color="auto" w:fill="auto"/>
            <w:hideMark/>
          </w:tcPr>
          <w:p w:rsidR="00B941DE" w:rsidRPr="00B941DE" w:rsidRDefault="00B941DE" w:rsidP="00B941DE">
            <w:pPr>
              <w:tabs>
                <w:tab w:val="clear" w:pos="567"/>
              </w:tabs>
              <w:spacing w:after="0" w:line="240" w:lineRule="auto"/>
              <w:rPr>
                <w:rFonts w:ascii="Calibri" w:eastAsia="Times New Roman" w:hAnsi="Calibri" w:cs="Times New Roman"/>
                <w:sz w:val="20"/>
                <w:szCs w:val="20"/>
                <w:lang w:eastAsia="en-AU"/>
              </w:rPr>
            </w:pPr>
            <w:r w:rsidRPr="00B941DE">
              <w:rPr>
                <w:rFonts w:ascii="Calibri" w:eastAsia="Times New Roman" w:hAnsi="Calibri" w:cs="Times New Roman"/>
                <w:sz w:val="20"/>
                <w:szCs w:val="20"/>
                <w:lang w:eastAsia="en-AU"/>
              </w:rPr>
              <w:t> </w:t>
            </w:r>
          </w:p>
        </w:tc>
        <w:tc>
          <w:tcPr>
            <w:tcW w:w="8620" w:type="dxa"/>
            <w:tcBorders>
              <w:bottom w:val="single" w:sz="4" w:space="0" w:color="auto"/>
            </w:tcBorders>
            <w:shd w:val="clear" w:color="auto" w:fill="auto"/>
            <w:hideMark/>
          </w:tcPr>
          <w:p w:rsidR="00B941DE" w:rsidRPr="00B941DE" w:rsidRDefault="00B941DE" w:rsidP="00B941DE">
            <w:pPr>
              <w:tabs>
                <w:tab w:val="clear" w:pos="567"/>
              </w:tabs>
              <w:spacing w:after="0" w:line="240" w:lineRule="auto"/>
              <w:rPr>
                <w:rFonts w:ascii="Calibri" w:eastAsia="Times New Roman" w:hAnsi="Calibri" w:cs="Times New Roman"/>
                <w:b/>
                <w:bCs/>
                <w:sz w:val="20"/>
                <w:szCs w:val="20"/>
                <w:lang w:eastAsia="en-AU"/>
              </w:rPr>
            </w:pPr>
            <w:r w:rsidRPr="00B941DE">
              <w:rPr>
                <w:rFonts w:ascii="Calibri" w:eastAsia="Times New Roman" w:hAnsi="Calibri" w:cs="Times New Roman"/>
                <w:b/>
                <w:bCs/>
                <w:sz w:val="20"/>
                <w:szCs w:val="20"/>
                <w:lang w:eastAsia="en-AU"/>
              </w:rPr>
              <w:t xml:space="preserve">Natural disaster relief. </w:t>
            </w:r>
            <w:r w:rsidRPr="00B941DE">
              <w:rPr>
                <w:rFonts w:ascii="Calibri" w:eastAsia="Times New Roman" w:hAnsi="Calibri" w:cs="Times New Roman"/>
                <w:sz w:val="20"/>
                <w:szCs w:val="20"/>
                <w:lang w:eastAsia="en-AU"/>
              </w:rPr>
              <w:t>Queensland’s natural disaster relief net expenses remained at historically high levels in 2014-15 leading to a reduction in the GST share of all other States including New South Wales.</w:t>
            </w:r>
          </w:p>
        </w:tc>
      </w:tr>
    </w:tbl>
    <w:p w:rsidR="006A3E53" w:rsidRDefault="006A3E53" w:rsidP="006A3E53">
      <w:pPr>
        <w:sectPr w:rsidR="006A3E53" w:rsidSect="0055307A">
          <w:type w:val="continuous"/>
          <w:pgSz w:w="11899" w:h="16838" w:code="9"/>
          <w:pgMar w:top="1440" w:right="1080" w:bottom="1440" w:left="1080" w:header="709" w:footer="709" w:gutter="0"/>
          <w:cols w:space="1"/>
          <w:titlePg/>
          <w:docGrid w:linePitch="326"/>
        </w:sectPr>
      </w:pPr>
    </w:p>
    <w:p w:rsidR="00F240B1" w:rsidRDefault="006A3E53" w:rsidP="00153AC5">
      <w:pPr>
        <w:spacing w:before="240"/>
        <w:rPr>
          <w:szCs w:val="24"/>
        </w:rPr>
      </w:pPr>
      <w:proofErr w:type="gramStart"/>
      <w:r w:rsidRPr="00EB0261">
        <w:rPr>
          <w:rStyle w:val="Heading6Char"/>
        </w:rPr>
        <w:lastRenderedPageBreak/>
        <w:t xml:space="preserve">Fiscal </w:t>
      </w:r>
      <w:r>
        <w:rPr>
          <w:rStyle w:val="Heading6Char"/>
        </w:rPr>
        <w:t>capacity</w:t>
      </w:r>
      <w:r w:rsidRPr="00EB0261">
        <w:rPr>
          <w:rStyle w:val="Heading6Char"/>
        </w:rPr>
        <w:t>.</w:t>
      </w:r>
      <w:proofErr w:type="gramEnd"/>
      <w:r w:rsidRPr="00EB0261">
        <w:t xml:space="preserve"> </w:t>
      </w:r>
      <w:r w:rsidRPr="00EB0261">
        <w:rPr>
          <w:szCs w:val="24"/>
        </w:rPr>
        <w:t xml:space="preserve">New South Wales’ strong fiscal position is due to its below average assessed costs of providing services and infrastructure, reflecting the State’s below average shares of Indigenous people and people living in remote areas, above average non-State provision of health services, below average population growth and economies of scale in administration. </w:t>
      </w:r>
    </w:p>
    <w:p w:rsidR="006A3E53" w:rsidRDefault="006A3E53" w:rsidP="008F00A3">
      <w:pPr>
        <w:rPr>
          <w:szCs w:val="24"/>
        </w:rPr>
      </w:pPr>
      <w:r w:rsidRPr="00EB0261">
        <w:rPr>
          <w:szCs w:val="24"/>
        </w:rPr>
        <w:t xml:space="preserve">Those effects </w:t>
      </w:r>
      <w:r w:rsidR="00F240B1">
        <w:rPr>
          <w:szCs w:val="24"/>
        </w:rPr>
        <w:t xml:space="preserve">on its fiscal capacity </w:t>
      </w:r>
      <w:r w:rsidRPr="00EB0261">
        <w:rPr>
          <w:szCs w:val="24"/>
        </w:rPr>
        <w:t>are partly offset by the State’s below average revenue raising capacity, which is mainly due to its below average mining production, and above average wages which increase its expenses.</w:t>
      </w:r>
    </w:p>
    <w:p w:rsidR="006A3E53" w:rsidRDefault="006A3E53" w:rsidP="00153AC5">
      <w:pPr>
        <w:pStyle w:val="CGCTableHeading"/>
        <w:keepNext w:val="0"/>
        <w:keepLines w:val="0"/>
        <w:spacing w:after="80" w:line="320" w:lineRule="atLeast"/>
        <w:ind w:left="0" w:firstLine="0"/>
      </w:pPr>
      <w:r>
        <w:rPr>
          <w:szCs w:val="24"/>
        </w:rPr>
        <w:br w:type="column"/>
      </w:r>
      <w:r>
        <w:lastRenderedPageBreak/>
        <w:t xml:space="preserve">Table </w:t>
      </w:r>
      <w:r w:rsidR="0014378B">
        <w:fldChar w:fldCharType="begin"/>
      </w:r>
      <w:r w:rsidR="0014378B">
        <w:instrText xml:space="preserve"> SEQ Table \* ARABIC </w:instrText>
      </w:r>
      <w:r w:rsidR="0014378B">
        <w:fldChar w:fldCharType="separate"/>
      </w:r>
      <w:r w:rsidR="007A6AF0">
        <w:rPr>
          <w:noProof/>
        </w:rPr>
        <w:t>7</w:t>
      </w:r>
      <w:r w:rsidR="0014378B">
        <w:rPr>
          <w:noProof/>
        </w:rPr>
        <w:fldChar w:fldCharType="end"/>
      </w:r>
      <w:r w:rsidRPr="00EC79CF">
        <w:tab/>
        <w:t>Assessed GST, 201</w:t>
      </w:r>
      <w:r>
        <w:t>6</w:t>
      </w:r>
      <w:r>
        <w:noBreakHyphen/>
        <w:t>17</w:t>
      </w:r>
    </w:p>
    <w:tbl>
      <w:tblPr>
        <w:tblW w:w="4240" w:type="dxa"/>
        <w:tblInd w:w="93" w:type="dxa"/>
        <w:tblLook w:val="04A0" w:firstRow="1" w:lastRow="0" w:firstColumn="1" w:lastColumn="0" w:noHBand="0" w:noVBand="1"/>
      </w:tblPr>
      <w:tblGrid>
        <w:gridCol w:w="2700"/>
        <w:gridCol w:w="820"/>
        <w:gridCol w:w="720"/>
      </w:tblGrid>
      <w:tr w:rsidR="0064743F" w:rsidRPr="0064743F" w:rsidTr="0064743F">
        <w:trPr>
          <w:trHeight w:val="375"/>
        </w:trPr>
        <w:tc>
          <w:tcPr>
            <w:tcW w:w="270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$pc</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Equal per capita share</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19 392</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2 496</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Effect of assessed:</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Expenses</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-2 690</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-346</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Investment</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-325</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-42</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Net borrowing</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40</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Revenue</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1 029</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132</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Commonwealth payments</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152</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20</w:t>
            </w:r>
          </w:p>
        </w:tc>
      </w:tr>
      <w:tr w:rsidR="0064743F" w:rsidRPr="0064743F" w:rsidTr="0064743F">
        <w:trPr>
          <w:trHeight w:val="315"/>
        </w:trPr>
        <w:tc>
          <w:tcPr>
            <w:tcW w:w="270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Assessed GST</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17 598</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2 265</w:t>
            </w:r>
          </w:p>
        </w:tc>
      </w:tr>
    </w:tbl>
    <w:p w:rsidR="006A3E53" w:rsidRDefault="006A3E53" w:rsidP="006A3E53">
      <w:pPr>
        <w:pStyle w:val="CGCTableFootnote"/>
        <w:sectPr w:rsidR="006A3E53" w:rsidSect="0055307A">
          <w:type w:val="continuous"/>
          <w:pgSz w:w="11899" w:h="16838" w:code="9"/>
          <w:pgMar w:top="1440" w:right="1080" w:bottom="1440" w:left="1080" w:header="709" w:footer="709" w:gutter="0"/>
          <w:cols w:num="2" w:space="157" w:equalWidth="0">
            <w:col w:w="5500" w:space="157"/>
            <w:col w:w="4082"/>
          </w:cols>
          <w:titlePg/>
          <w:docGrid w:linePitch="326"/>
        </w:sectPr>
      </w:pPr>
      <w:r>
        <w:t>Note: Table may not add due to rounding.</w:t>
      </w:r>
    </w:p>
    <w:p w:rsidR="006A3E53" w:rsidRDefault="006A3E53" w:rsidP="006A3E53">
      <w:pPr>
        <w:pStyle w:val="Heading4"/>
        <w:spacing w:before="0"/>
        <w:sectPr w:rsidR="006A3E53" w:rsidSect="00132DB7">
          <w:footerReference w:type="default" r:id="rId33"/>
          <w:pgSz w:w="11899" w:h="16838" w:code="9"/>
          <w:pgMar w:top="1440" w:right="1080" w:bottom="1440" w:left="1080" w:header="709" w:footer="709" w:gutter="0"/>
          <w:cols w:space="708"/>
          <w:docGrid w:linePitch="326"/>
        </w:sectPr>
      </w:pPr>
      <w:bookmarkStart w:id="303" w:name="_Toc442191909"/>
      <w:bookmarkStart w:id="304" w:name="_Toc442192161"/>
      <w:bookmarkStart w:id="305" w:name="_Toc442192226"/>
      <w:bookmarkStart w:id="306" w:name="_Toc442772812"/>
      <w:bookmarkStart w:id="307" w:name="_Toc442773039"/>
      <w:bookmarkStart w:id="308" w:name="_Toc442773211"/>
      <w:bookmarkStart w:id="309" w:name="_Toc442883276"/>
      <w:bookmarkStart w:id="310" w:name="_Toc442949129"/>
      <w:r>
        <w:lastRenderedPageBreak/>
        <w:t>Victoria</w:t>
      </w:r>
      <w:bookmarkEnd w:id="303"/>
      <w:bookmarkEnd w:id="304"/>
      <w:bookmarkEnd w:id="305"/>
      <w:bookmarkEnd w:id="306"/>
      <w:bookmarkEnd w:id="307"/>
      <w:bookmarkEnd w:id="308"/>
      <w:bookmarkEnd w:id="309"/>
      <w:bookmarkEnd w:id="310"/>
    </w:p>
    <w:p w:rsidR="006A3E53" w:rsidRPr="00153AC5" w:rsidRDefault="006A3E53" w:rsidP="009E7E10">
      <w:pPr>
        <w:spacing w:before="120"/>
        <w:rPr>
          <w:b/>
          <w:bCs/>
          <w:szCs w:val="20"/>
        </w:rPr>
      </w:pPr>
      <w:proofErr w:type="gramStart"/>
      <w:r>
        <w:rPr>
          <w:rStyle w:val="Heading6Char"/>
        </w:rPr>
        <w:lastRenderedPageBreak/>
        <w:t>Changes in this update.</w:t>
      </w:r>
      <w:proofErr w:type="gramEnd"/>
      <w:r>
        <w:rPr>
          <w:rStyle w:val="Heading6Char"/>
        </w:rPr>
        <w:t xml:space="preserve"> </w:t>
      </w:r>
      <w:r w:rsidRPr="007202D1">
        <w:t>Victor</w:t>
      </w:r>
      <w:r>
        <w:t>ia</w:t>
      </w:r>
      <w:r w:rsidR="00836A55">
        <w:t xml:space="preserve">’s </w:t>
      </w:r>
      <w:r w:rsidR="00214375">
        <w:t xml:space="preserve">assessed </w:t>
      </w:r>
      <w:r w:rsidR="00836A55">
        <w:t>fiscal capacity has</w:t>
      </w:r>
      <w:r>
        <w:t xml:space="preserve"> </w:t>
      </w:r>
      <w:r w:rsidR="002E50E3">
        <w:t>fallen</w:t>
      </w:r>
      <w:r>
        <w:t xml:space="preserve"> </w:t>
      </w:r>
      <w:r w:rsidR="00AC5303">
        <w:t xml:space="preserve">marginally </w:t>
      </w:r>
      <w:r w:rsidR="00214375">
        <w:t>so</w:t>
      </w:r>
      <w:r w:rsidR="00AC5303">
        <w:t xml:space="preserve"> it now has the</w:t>
      </w:r>
      <w:r>
        <w:t xml:space="preserve"> third</w:t>
      </w:r>
      <w:r w:rsidRPr="00EC79CF">
        <w:t xml:space="preserve"> h</w:t>
      </w:r>
      <w:r>
        <w:t>ighest fiscal capacity</w:t>
      </w:r>
      <w:r w:rsidR="002E50E3">
        <w:t xml:space="preserve">. </w:t>
      </w:r>
      <w:r w:rsidR="00AC5303">
        <w:t xml:space="preserve">Its expenditure requirement is higher due to </w:t>
      </w:r>
      <w:r w:rsidR="00214375">
        <w:t>an increase in its need to invest in new infrastructure</w:t>
      </w:r>
      <w:r w:rsidR="00AC5303">
        <w:t xml:space="preserve">, driven by population growth, and higher wage costs. Its disadvantage in </w:t>
      </w:r>
      <w:r w:rsidR="00214375">
        <w:t xml:space="preserve">mining </w:t>
      </w:r>
      <w:r w:rsidR="00AC5303">
        <w:t>royalties has been reduced by falls in the value of mining production</w:t>
      </w:r>
      <w:r w:rsidR="00F240B1">
        <w:t xml:space="preserve"> in other States</w:t>
      </w:r>
      <w:r w:rsidR="00AC5303">
        <w:t xml:space="preserve">. </w:t>
      </w:r>
      <w:r w:rsidRPr="00EC79CF">
        <w:t>Compared with 201</w:t>
      </w:r>
      <w:r>
        <w:t>5</w:t>
      </w:r>
      <w:r w:rsidRPr="00EC79CF">
        <w:t>-1</w:t>
      </w:r>
      <w:r>
        <w:t>6</w:t>
      </w:r>
      <w:r w:rsidRPr="00EC79CF">
        <w:t xml:space="preserve">, the State’s </w:t>
      </w:r>
      <w:r w:rsidR="00541A5D" w:rsidRPr="00EC79CF">
        <w:t xml:space="preserve">share </w:t>
      </w:r>
      <w:r w:rsidR="00541A5D">
        <w:t xml:space="preserve">of the GST </w:t>
      </w:r>
      <w:r w:rsidR="00541A5D" w:rsidRPr="00EC79CF">
        <w:t xml:space="preserve">will </w:t>
      </w:r>
      <w:r w:rsidR="00541A5D">
        <w:t>rise from 22.4</w:t>
      </w:r>
      <w:r w:rsidR="00541A5D" w:rsidRPr="00EC79CF">
        <w:t>% to 2</w:t>
      </w:r>
      <w:r w:rsidR="00541A5D">
        <w:t xml:space="preserve">2.9%. </w:t>
      </w:r>
      <w:r w:rsidR="004E7ED4">
        <w:t>Its</w:t>
      </w:r>
      <w:r w:rsidR="00541A5D">
        <w:t xml:space="preserve"> </w:t>
      </w:r>
      <w:r w:rsidRPr="00EC79CF">
        <w:t xml:space="preserve">GST </w:t>
      </w:r>
      <w:r w:rsidR="002E50E3">
        <w:t>entitlement</w:t>
      </w:r>
      <w:r>
        <w:t xml:space="preserve"> </w:t>
      </w:r>
      <w:r w:rsidRPr="00EC79CF">
        <w:t>will rise by $</w:t>
      </w:r>
      <w:r w:rsidR="002E50E3">
        <w:t>1 </w:t>
      </w:r>
      <w:r>
        <w:t>07</w:t>
      </w:r>
      <w:r w:rsidR="007F71B1">
        <w:t>4</w:t>
      </w:r>
      <w:r>
        <w:t> </w:t>
      </w:r>
      <w:r w:rsidRPr="00EC79CF">
        <w:t xml:space="preserve">million or </w:t>
      </w:r>
      <w:r>
        <w:t>8.</w:t>
      </w:r>
      <w:r w:rsidR="00BA21DA">
        <w:t>4</w:t>
      </w:r>
      <w:r>
        <w:t xml:space="preserve">% </w:t>
      </w:r>
      <w:r w:rsidR="00541A5D">
        <w:t>mostly</w:t>
      </w:r>
      <w:r w:rsidR="009774F3">
        <w:t xml:space="preserve"> due to growth in the </w:t>
      </w:r>
      <w:r w:rsidR="00541A5D">
        <w:t>pool</w:t>
      </w:r>
      <w:r w:rsidR="009774F3">
        <w:t>.</w:t>
      </w:r>
      <w:r w:rsidR="00153AC5">
        <w:t xml:space="preserve"> </w:t>
      </w:r>
      <w:r>
        <w:br w:type="column"/>
      </w:r>
      <w:r w:rsidRPr="00153AC5">
        <w:rPr>
          <w:b/>
          <w:bCs/>
          <w:szCs w:val="20"/>
        </w:rPr>
        <w:lastRenderedPageBreak/>
        <w:t xml:space="preserve">Table </w:t>
      </w:r>
      <w:r w:rsidR="005F0051" w:rsidRPr="00153AC5">
        <w:rPr>
          <w:b/>
          <w:bCs/>
          <w:szCs w:val="20"/>
        </w:rPr>
        <w:fldChar w:fldCharType="begin"/>
      </w:r>
      <w:r w:rsidR="005F0051" w:rsidRPr="00153AC5">
        <w:rPr>
          <w:b/>
          <w:bCs/>
          <w:szCs w:val="20"/>
        </w:rPr>
        <w:instrText xml:space="preserve"> SEQ Table \* ARABIC </w:instrText>
      </w:r>
      <w:r w:rsidR="005F0051" w:rsidRPr="00153AC5">
        <w:rPr>
          <w:b/>
          <w:bCs/>
          <w:szCs w:val="20"/>
        </w:rPr>
        <w:fldChar w:fldCharType="separate"/>
      </w:r>
      <w:r w:rsidR="007A6AF0">
        <w:rPr>
          <w:b/>
          <w:bCs/>
          <w:noProof/>
          <w:szCs w:val="20"/>
        </w:rPr>
        <w:t>8</w:t>
      </w:r>
      <w:r w:rsidR="005F0051" w:rsidRPr="00153AC5">
        <w:rPr>
          <w:b/>
          <w:bCs/>
          <w:szCs w:val="20"/>
        </w:rPr>
        <w:fldChar w:fldCharType="end"/>
      </w:r>
      <w:r w:rsidRPr="00153AC5">
        <w:rPr>
          <w:b/>
          <w:bCs/>
          <w:szCs w:val="20"/>
        </w:rPr>
        <w:tab/>
        <w:t>Change in GST</w:t>
      </w:r>
    </w:p>
    <w:tbl>
      <w:tblPr>
        <w:tblW w:w="4240" w:type="dxa"/>
        <w:tblInd w:w="93" w:type="dxa"/>
        <w:tblLook w:val="04A0" w:firstRow="1" w:lastRow="0" w:firstColumn="1" w:lastColumn="0" w:noHBand="0" w:noVBand="1"/>
      </w:tblPr>
      <w:tblGrid>
        <w:gridCol w:w="2700"/>
        <w:gridCol w:w="820"/>
        <w:gridCol w:w="720"/>
      </w:tblGrid>
      <w:tr w:rsidR="0064743F" w:rsidRPr="0064743F" w:rsidTr="0064743F">
        <w:trPr>
          <w:trHeight w:val="375"/>
        </w:trPr>
        <w:tc>
          <w:tcPr>
            <w:tcW w:w="270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$pc</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Change due to</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New population</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47</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8</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Growth in GST available</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779</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128</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New relativities</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248</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41</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200" w:firstLine="4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Data revisions</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34</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6</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200" w:firstLine="4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Change in circumstances</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213</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35</w:t>
            </w:r>
          </w:p>
        </w:tc>
      </w:tr>
      <w:tr w:rsidR="0064743F" w:rsidRPr="0064743F" w:rsidTr="0064743F">
        <w:trPr>
          <w:trHeight w:val="315"/>
        </w:trPr>
        <w:tc>
          <w:tcPr>
            <w:tcW w:w="270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Total change</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1 074</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176</w:t>
            </w:r>
          </w:p>
        </w:tc>
      </w:tr>
    </w:tbl>
    <w:p w:rsidR="006A3E53" w:rsidRDefault="006A3E53" w:rsidP="006A3E53">
      <w:pPr>
        <w:pStyle w:val="CGCTableFootnote"/>
        <w:sectPr w:rsidR="006A3E53" w:rsidSect="0055307A">
          <w:type w:val="continuous"/>
          <w:pgSz w:w="11899" w:h="16838" w:code="9"/>
          <w:pgMar w:top="1440" w:right="1080" w:bottom="1440" w:left="1080" w:header="709" w:footer="709" w:gutter="0"/>
          <w:cols w:num="2" w:space="145" w:equalWidth="0">
            <w:col w:w="5500" w:space="145"/>
            <w:col w:w="4094"/>
          </w:cols>
          <w:titlePg/>
          <w:docGrid w:linePitch="326"/>
        </w:sectPr>
      </w:pPr>
      <w:r>
        <w:t>Note: Table may not add due to rounding.</w:t>
      </w:r>
    </w:p>
    <w:p w:rsidR="006A3E53" w:rsidRDefault="006A3E53" w:rsidP="00153AC5">
      <w:pPr>
        <w:pStyle w:val="CGCTableHeading"/>
        <w:spacing w:after="80" w:line="320" w:lineRule="atLeast"/>
      </w:pPr>
      <w:r>
        <w:lastRenderedPageBreak/>
        <w:t xml:space="preserve">Table </w:t>
      </w:r>
      <w:r w:rsidR="0014378B">
        <w:fldChar w:fldCharType="begin"/>
      </w:r>
      <w:r w:rsidR="0014378B">
        <w:instrText xml:space="preserve"> SEQ Table \* ARABIC </w:instrText>
      </w:r>
      <w:r w:rsidR="0014378B">
        <w:fldChar w:fldCharType="separate"/>
      </w:r>
      <w:r w:rsidR="007A6AF0">
        <w:rPr>
          <w:noProof/>
        </w:rPr>
        <w:t>9</w:t>
      </w:r>
      <w:r w:rsidR="0014378B">
        <w:rPr>
          <w:noProof/>
        </w:rPr>
        <w:fldChar w:fldCharType="end"/>
      </w:r>
      <w:r w:rsidRPr="00153AC5">
        <w:tab/>
      </w:r>
      <w:r>
        <w:t>Main causes of change for Victoria</w:t>
      </w:r>
    </w:p>
    <w:tbl>
      <w:tblPr>
        <w:tblW w:w="9920" w:type="dxa"/>
        <w:tblInd w:w="93" w:type="dxa"/>
        <w:tblLook w:val="04A0" w:firstRow="1" w:lastRow="0" w:firstColumn="1" w:lastColumn="0" w:noHBand="0" w:noVBand="1"/>
      </w:tblPr>
      <w:tblGrid>
        <w:gridCol w:w="700"/>
        <w:gridCol w:w="540"/>
        <w:gridCol w:w="8680"/>
      </w:tblGrid>
      <w:tr w:rsidR="00BA51F0" w:rsidRPr="00BA51F0" w:rsidTr="00D51D26">
        <w:trPr>
          <w:trHeight w:val="360"/>
        </w:trPr>
        <w:tc>
          <w:tcPr>
            <w:tcW w:w="1240" w:type="dxa"/>
            <w:gridSpan w:val="2"/>
            <w:tcBorders>
              <w:top w:val="single" w:sz="4" w:space="0" w:color="auto"/>
              <w:bottom w:val="single" w:sz="4" w:space="0" w:color="auto"/>
            </w:tcBorders>
            <w:shd w:val="clear" w:color="auto" w:fill="auto"/>
            <w:vAlign w:val="center"/>
            <w:hideMark/>
          </w:tcPr>
          <w:p w:rsidR="00BA51F0" w:rsidRPr="00BA51F0" w:rsidRDefault="00BA51F0" w:rsidP="00BA51F0">
            <w:pPr>
              <w:tabs>
                <w:tab w:val="clear" w:pos="567"/>
              </w:tabs>
              <w:spacing w:after="0" w:line="240" w:lineRule="auto"/>
              <w:ind w:hanging="93"/>
              <w:jc w:val="both"/>
              <w:rPr>
                <w:rFonts w:ascii="Calibri" w:eastAsia="Times New Roman" w:hAnsi="Calibri" w:cs="Times New Roman"/>
                <w:sz w:val="20"/>
                <w:szCs w:val="20"/>
                <w:lang w:eastAsia="en-AU"/>
              </w:rPr>
            </w:pPr>
            <w:r w:rsidRPr="00BA51F0">
              <w:rPr>
                <w:rFonts w:ascii="Calibri" w:eastAsia="Times New Roman" w:hAnsi="Calibri" w:cs="Times New Roman"/>
                <w:sz w:val="20"/>
                <w:szCs w:val="20"/>
                <w:lang w:eastAsia="en-AU"/>
              </w:rPr>
              <w:t>Change ($m)</w:t>
            </w:r>
          </w:p>
        </w:tc>
        <w:tc>
          <w:tcPr>
            <w:tcW w:w="8680" w:type="dxa"/>
            <w:tcBorders>
              <w:top w:val="single" w:sz="4" w:space="0" w:color="auto"/>
              <w:bottom w:val="single" w:sz="4" w:space="0" w:color="auto"/>
            </w:tcBorders>
            <w:shd w:val="clear" w:color="auto" w:fill="auto"/>
            <w:vAlign w:val="center"/>
            <w:hideMark/>
          </w:tcPr>
          <w:p w:rsidR="00BA51F0" w:rsidRPr="00BA51F0" w:rsidRDefault="00BA51F0" w:rsidP="00BA51F0">
            <w:pPr>
              <w:tabs>
                <w:tab w:val="clear" w:pos="567"/>
              </w:tabs>
              <w:spacing w:after="0" w:line="240" w:lineRule="auto"/>
              <w:rPr>
                <w:rFonts w:ascii="Calibri" w:eastAsia="Times New Roman" w:hAnsi="Calibri" w:cs="Times New Roman"/>
                <w:sz w:val="20"/>
                <w:szCs w:val="20"/>
                <w:lang w:eastAsia="en-AU"/>
              </w:rPr>
            </w:pPr>
            <w:r w:rsidRPr="00BA51F0">
              <w:rPr>
                <w:rFonts w:ascii="Calibri" w:eastAsia="Times New Roman" w:hAnsi="Calibri" w:cs="Times New Roman"/>
                <w:sz w:val="20"/>
                <w:szCs w:val="20"/>
                <w:lang w:eastAsia="en-AU"/>
              </w:rPr>
              <w:t>Reason for change</w:t>
            </w:r>
          </w:p>
        </w:tc>
      </w:tr>
      <w:tr w:rsidR="00BA51F0" w:rsidRPr="00BA51F0" w:rsidTr="00D51D26">
        <w:trPr>
          <w:trHeight w:val="360"/>
        </w:trPr>
        <w:tc>
          <w:tcPr>
            <w:tcW w:w="9920" w:type="dxa"/>
            <w:gridSpan w:val="3"/>
            <w:tcBorders>
              <w:top w:val="single" w:sz="4" w:space="0" w:color="auto"/>
            </w:tcBorders>
            <w:shd w:val="clear" w:color="auto" w:fill="auto"/>
            <w:vAlign w:val="center"/>
            <w:hideMark/>
          </w:tcPr>
          <w:p w:rsidR="00BA51F0" w:rsidRPr="00BA51F0" w:rsidRDefault="00BA51F0" w:rsidP="00BA51F0">
            <w:pPr>
              <w:tabs>
                <w:tab w:val="clear" w:pos="567"/>
              </w:tabs>
              <w:spacing w:after="0" w:line="240" w:lineRule="auto"/>
              <w:ind w:hanging="93"/>
              <w:rPr>
                <w:rFonts w:ascii="Calibri" w:eastAsia="Times New Roman" w:hAnsi="Calibri" w:cs="Times New Roman"/>
                <w:b/>
                <w:bCs/>
                <w:sz w:val="20"/>
                <w:szCs w:val="20"/>
                <w:lang w:eastAsia="en-AU"/>
              </w:rPr>
            </w:pPr>
            <w:r w:rsidRPr="00BA51F0">
              <w:rPr>
                <w:rFonts w:ascii="Calibri" w:eastAsia="Times New Roman" w:hAnsi="Calibri" w:cs="Times New Roman"/>
                <w:b/>
                <w:bCs/>
                <w:sz w:val="20"/>
                <w:szCs w:val="20"/>
                <w:lang w:eastAsia="en-AU"/>
              </w:rPr>
              <w:t>Changes in circumstances</w:t>
            </w:r>
          </w:p>
        </w:tc>
      </w:tr>
      <w:tr w:rsidR="00BA51F0" w:rsidRPr="00BA51F0" w:rsidTr="00D51D26">
        <w:trPr>
          <w:trHeight w:val="495"/>
        </w:trPr>
        <w:tc>
          <w:tcPr>
            <w:tcW w:w="700" w:type="dxa"/>
            <w:shd w:val="clear" w:color="auto" w:fill="auto"/>
            <w:hideMark/>
          </w:tcPr>
          <w:p w:rsidR="00BA51F0" w:rsidRPr="00BA51F0" w:rsidRDefault="00BA51F0" w:rsidP="00BA51F0">
            <w:pPr>
              <w:tabs>
                <w:tab w:val="clear" w:pos="567"/>
              </w:tabs>
              <w:spacing w:after="0" w:line="240" w:lineRule="auto"/>
              <w:jc w:val="right"/>
              <w:rPr>
                <w:rFonts w:ascii="Calibri" w:eastAsia="Times New Roman" w:hAnsi="Calibri" w:cs="Times New Roman"/>
                <w:sz w:val="20"/>
                <w:szCs w:val="20"/>
                <w:lang w:eastAsia="en-AU"/>
              </w:rPr>
            </w:pPr>
            <w:r w:rsidRPr="00BA51F0">
              <w:rPr>
                <w:rFonts w:ascii="Calibri" w:eastAsia="Times New Roman" w:hAnsi="Calibri" w:cs="Times New Roman"/>
                <w:sz w:val="20"/>
                <w:szCs w:val="20"/>
                <w:lang w:eastAsia="en-AU"/>
              </w:rPr>
              <w:t>248</w:t>
            </w:r>
          </w:p>
        </w:tc>
        <w:tc>
          <w:tcPr>
            <w:tcW w:w="540" w:type="dxa"/>
            <w:shd w:val="clear" w:color="auto" w:fill="auto"/>
            <w:hideMark/>
          </w:tcPr>
          <w:p w:rsidR="00BA51F0" w:rsidRPr="00BA51F0" w:rsidRDefault="00BA51F0" w:rsidP="00BA51F0">
            <w:pPr>
              <w:tabs>
                <w:tab w:val="clear" w:pos="567"/>
              </w:tabs>
              <w:spacing w:after="0" w:line="240" w:lineRule="auto"/>
              <w:rPr>
                <w:rFonts w:ascii="Calibri" w:eastAsia="Times New Roman" w:hAnsi="Calibri" w:cs="Times New Roman"/>
                <w:sz w:val="20"/>
                <w:szCs w:val="20"/>
                <w:lang w:eastAsia="en-AU"/>
              </w:rPr>
            </w:pPr>
          </w:p>
        </w:tc>
        <w:tc>
          <w:tcPr>
            <w:tcW w:w="8680" w:type="dxa"/>
            <w:shd w:val="clear" w:color="auto" w:fill="auto"/>
            <w:hideMark/>
          </w:tcPr>
          <w:p w:rsidR="00BA51F0" w:rsidRPr="00BA51F0" w:rsidRDefault="00BA51F0" w:rsidP="00BA51F0">
            <w:pPr>
              <w:tabs>
                <w:tab w:val="clear" w:pos="567"/>
              </w:tabs>
              <w:spacing w:after="0" w:line="240" w:lineRule="auto"/>
              <w:rPr>
                <w:rFonts w:ascii="Calibri" w:eastAsia="Times New Roman" w:hAnsi="Calibri" w:cs="Times New Roman"/>
                <w:b/>
                <w:bCs/>
                <w:sz w:val="20"/>
                <w:szCs w:val="20"/>
                <w:lang w:eastAsia="en-AU"/>
              </w:rPr>
            </w:pPr>
            <w:r w:rsidRPr="00BA51F0">
              <w:rPr>
                <w:rFonts w:ascii="Calibri" w:eastAsia="Times New Roman" w:hAnsi="Calibri" w:cs="Times New Roman"/>
                <w:b/>
                <w:bCs/>
                <w:sz w:val="20"/>
                <w:szCs w:val="20"/>
                <w:lang w:eastAsia="en-AU"/>
              </w:rPr>
              <w:t>Investment including population growth.</w:t>
            </w:r>
            <w:r w:rsidRPr="00BA51F0">
              <w:rPr>
                <w:rFonts w:ascii="Calibri" w:eastAsia="Times New Roman" w:hAnsi="Calibri" w:cs="Times New Roman"/>
                <w:sz w:val="20"/>
                <w:szCs w:val="20"/>
                <w:lang w:eastAsia="en-AU"/>
              </w:rPr>
              <w:t xml:space="preserve"> Victoria’s share of national population growth was higher in 2014</w:t>
            </w:r>
            <w:r w:rsidRPr="00BA51F0">
              <w:rPr>
                <w:rFonts w:ascii="Calibri" w:eastAsia="Times New Roman" w:hAnsi="Calibri" w:cs="Times New Roman"/>
                <w:sz w:val="20"/>
                <w:szCs w:val="20"/>
                <w:lang w:eastAsia="en-AU"/>
              </w:rPr>
              <w:noBreakHyphen/>
              <w:t>15 compared to 2011</w:t>
            </w:r>
            <w:r w:rsidRPr="00BA51F0">
              <w:rPr>
                <w:rFonts w:ascii="Calibri" w:eastAsia="Times New Roman" w:hAnsi="Calibri" w:cs="Times New Roman"/>
                <w:sz w:val="20"/>
                <w:szCs w:val="20"/>
                <w:lang w:eastAsia="en-AU"/>
              </w:rPr>
              <w:noBreakHyphen/>
              <w:t>12 and this increased its assessed investment and its GST share.</w:t>
            </w:r>
          </w:p>
        </w:tc>
      </w:tr>
      <w:tr w:rsidR="00BA51F0" w:rsidRPr="00BA51F0" w:rsidTr="00D51D26">
        <w:trPr>
          <w:trHeight w:val="495"/>
        </w:trPr>
        <w:tc>
          <w:tcPr>
            <w:tcW w:w="700" w:type="dxa"/>
            <w:shd w:val="clear" w:color="auto" w:fill="auto"/>
            <w:hideMark/>
          </w:tcPr>
          <w:p w:rsidR="00BA51F0" w:rsidRPr="00BA51F0" w:rsidRDefault="00BA51F0" w:rsidP="00BA51F0">
            <w:pPr>
              <w:tabs>
                <w:tab w:val="clear" w:pos="567"/>
              </w:tabs>
              <w:spacing w:after="0" w:line="240" w:lineRule="auto"/>
              <w:jc w:val="right"/>
              <w:rPr>
                <w:rFonts w:ascii="Calibri" w:eastAsia="Times New Roman" w:hAnsi="Calibri" w:cs="Times New Roman"/>
                <w:sz w:val="20"/>
                <w:szCs w:val="20"/>
                <w:lang w:eastAsia="en-AU"/>
              </w:rPr>
            </w:pPr>
            <w:r w:rsidRPr="00BA51F0">
              <w:rPr>
                <w:rFonts w:ascii="Calibri" w:eastAsia="Times New Roman" w:hAnsi="Calibri" w:cs="Times New Roman"/>
                <w:sz w:val="20"/>
                <w:szCs w:val="20"/>
                <w:lang w:eastAsia="en-AU"/>
              </w:rPr>
              <w:t>-232</w:t>
            </w:r>
          </w:p>
        </w:tc>
        <w:tc>
          <w:tcPr>
            <w:tcW w:w="540" w:type="dxa"/>
            <w:shd w:val="clear" w:color="auto" w:fill="auto"/>
            <w:hideMark/>
          </w:tcPr>
          <w:p w:rsidR="00BA51F0" w:rsidRPr="00BA51F0" w:rsidRDefault="00BA51F0" w:rsidP="00BA51F0">
            <w:pPr>
              <w:tabs>
                <w:tab w:val="clear" w:pos="567"/>
              </w:tabs>
              <w:spacing w:after="0" w:line="240" w:lineRule="auto"/>
              <w:rPr>
                <w:rFonts w:ascii="Calibri" w:eastAsia="Times New Roman" w:hAnsi="Calibri" w:cs="Times New Roman"/>
                <w:sz w:val="20"/>
                <w:szCs w:val="20"/>
                <w:lang w:eastAsia="en-AU"/>
              </w:rPr>
            </w:pPr>
          </w:p>
        </w:tc>
        <w:tc>
          <w:tcPr>
            <w:tcW w:w="8680" w:type="dxa"/>
            <w:shd w:val="clear" w:color="auto" w:fill="auto"/>
            <w:hideMark/>
          </w:tcPr>
          <w:p w:rsidR="00BA51F0" w:rsidRPr="00BA51F0" w:rsidRDefault="00BA51F0" w:rsidP="00BA51F0">
            <w:pPr>
              <w:tabs>
                <w:tab w:val="clear" w:pos="567"/>
              </w:tabs>
              <w:spacing w:after="0" w:line="240" w:lineRule="auto"/>
              <w:rPr>
                <w:rFonts w:ascii="Calibri" w:eastAsia="Times New Roman" w:hAnsi="Calibri" w:cs="Times New Roman"/>
                <w:b/>
                <w:bCs/>
                <w:sz w:val="20"/>
                <w:szCs w:val="20"/>
                <w:lang w:eastAsia="en-AU"/>
              </w:rPr>
            </w:pPr>
            <w:r w:rsidRPr="00BA51F0">
              <w:rPr>
                <w:rFonts w:ascii="Calibri" w:eastAsia="Times New Roman" w:hAnsi="Calibri" w:cs="Times New Roman"/>
                <w:b/>
                <w:bCs/>
                <w:sz w:val="20"/>
                <w:szCs w:val="20"/>
                <w:lang w:eastAsia="en-AU"/>
              </w:rPr>
              <w:t>Mining production</w:t>
            </w:r>
            <w:r w:rsidRPr="00BA51F0">
              <w:rPr>
                <w:rFonts w:ascii="Calibri" w:eastAsia="Times New Roman" w:hAnsi="Calibri" w:cs="Times New Roman"/>
                <w:sz w:val="20"/>
                <w:szCs w:val="20"/>
                <w:lang w:eastAsia="en-AU"/>
              </w:rPr>
              <w:t>. A fall in the value of mining production reduced the revenue raising capacity of the major mining States. This shifted GST away from Victoria.</w:t>
            </w:r>
          </w:p>
        </w:tc>
      </w:tr>
      <w:tr w:rsidR="00BA51F0" w:rsidRPr="00BA51F0" w:rsidTr="00D51D26">
        <w:trPr>
          <w:trHeight w:val="495"/>
        </w:trPr>
        <w:tc>
          <w:tcPr>
            <w:tcW w:w="700" w:type="dxa"/>
            <w:shd w:val="clear" w:color="auto" w:fill="auto"/>
            <w:hideMark/>
          </w:tcPr>
          <w:p w:rsidR="00BA51F0" w:rsidRPr="00BA51F0" w:rsidRDefault="00BA51F0" w:rsidP="00BA51F0">
            <w:pPr>
              <w:tabs>
                <w:tab w:val="clear" w:pos="567"/>
              </w:tabs>
              <w:spacing w:after="0" w:line="240" w:lineRule="auto"/>
              <w:jc w:val="right"/>
              <w:rPr>
                <w:rFonts w:ascii="Calibri" w:eastAsia="Times New Roman" w:hAnsi="Calibri" w:cs="Times New Roman"/>
                <w:sz w:val="20"/>
                <w:szCs w:val="20"/>
                <w:lang w:eastAsia="en-AU"/>
              </w:rPr>
            </w:pPr>
            <w:r w:rsidRPr="00BA51F0">
              <w:rPr>
                <w:rFonts w:ascii="Calibri" w:eastAsia="Times New Roman" w:hAnsi="Calibri" w:cs="Times New Roman"/>
                <w:sz w:val="20"/>
                <w:szCs w:val="20"/>
                <w:lang w:eastAsia="en-AU"/>
              </w:rPr>
              <w:t>88</w:t>
            </w:r>
          </w:p>
        </w:tc>
        <w:tc>
          <w:tcPr>
            <w:tcW w:w="540" w:type="dxa"/>
            <w:shd w:val="clear" w:color="auto" w:fill="auto"/>
            <w:hideMark/>
          </w:tcPr>
          <w:p w:rsidR="00BA51F0" w:rsidRPr="00BA51F0" w:rsidRDefault="00BA51F0" w:rsidP="00BA51F0">
            <w:pPr>
              <w:tabs>
                <w:tab w:val="clear" w:pos="567"/>
              </w:tabs>
              <w:spacing w:after="0" w:line="240" w:lineRule="auto"/>
              <w:rPr>
                <w:rFonts w:ascii="Calibri" w:eastAsia="Times New Roman" w:hAnsi="Calibri" w:cs="Times New Roman"/>
                <w:sz w:val="20"/>
                <w:szCs w:val="20"/>
                <w:lang w:eastAsia="en-AU"/>
              </w:rPr>
            </w:pPr>
          </w:p>
        </w:tc>
        <w:tc>
          <w:tcPr>
            <w:tcW w:w="8680" w:type="dxa"/>
            <w:shd w:val="clear" w:color="auto" w:fill="auto"/>
            <w:hideMark/>
          </w:tcPr>
          <w:p w:rsidR="00BA51F0" w:rsidRPr="00BA51F0" w:rsidRDefault="00BA51F0" w:rsidP="00BA51F0">
            <w:pPr>
              <w:tabs>
                <w:tab w:val="clear" w:pos="567"/>
              </w:tabs>
              <w:spacing w:after="0" w:line="240" w:lineRule="auto"/>
              <w:rPr>
                <w:rFonts w:ascii="Calibri" w:eastAsia="Times New Roman" w:hAnsi="Calibri" w:cs="Times New Roman"/>
                <w:b/>
                <w:bCs/>
                <w:sz w:val="20"/>
                <w:szCs w:val="20"/>
                <w:lang w:eastAsia="en-AU"/>
              </w:rPr>
            </w:pPr>
            <w:r w:rsidRPr="00BA51F0">
              <w:rPr>
                <w:rFonts w:ascii="Calibri" w:eastAsia="Times New Roman" w:hAnsi="Calibri" w:cs="Times New Roman"/>
                <w:b/>
                <w:bCs/>
                <w:sz w:val="20"/>
                <w:szCs w:val="20"/>
                <w:lang w:eastAsia="en-AU"/>
              </w:rPr>
              <w:t>Wage costs.</w:t>
            </w:r>
            <w:r w:rsidRPr="00BA51F0">
              <w:rPr>
                <w:rFonts w:ascii="Calibri" w:eastAsia="Times New Roman" w:hAnsi="Calibri" w:cs="Times New Roman"/>
                <w:sz w:val="20"/>
                <w:szCs w:val="20"/>
                <w:lang w:eastAsia="en-AU"/>
              </w:rPr>
              <w:t xml:space="preserve"> Our measure of wage pressures beyond the control of State governments shows Victoria’s relative wage costs increased between 2011</w:t>
            </w:r>
            <w:r w:rsidRPr="00BA51F0">
              <w:rPr>
                <w:rFonts w:ascii="Calibri" w:eastAsia="Times New Roman" w:hAnsi="Calibri" w:cs="Times New Roman"/>
                <w:sz w:val="20"/>
                <w:szCs w:val="20"/>
                <w:lang w:eastAsia="en-AU"/>
              </w:rPr>
              <w:noBreakHyphen/>
              <w:t>12 and 2014</w:t>
            </w:r>
            <w:r w:rsidRPr="00BA51F0">
              <w:rPr>
                <w:rFonts w:ascii="Calibri" w:eastAsia="Times New Roman" w:hAnsi="Calibri" w:cs="Times New Roman"/>
                <w:sz w:val="20"/>
                <w:szCs w:val="20"/>
                <w:lang w:eastAsia="en-AU"/>
              </w:rPr>
              <w:noBreakHyphen/>
              <w:t>15, increasing its GST share.</w:t>
            </w:r>
          </w:p>
        </w:tc>
      </w:tr>
      <w:tr w:rsidR="00BA51F0" w:rsidRPr="00BA51F0" w:rsidTr="00D51D26">
        <w:trPr>
          <w:trHeight w:val="495"/>
        </w:trPr>
        <w:tc>
          <w:tcPr>
            <w:tcW w:w="700" w:type="dxa"/>
            <w:shd w:val="clear" w:color="auto" w:fill="auto"/>
            <w:hideMark/>
          </w:tcPr>
          <w:p w:rsidR="00BA51F0" w:rsidRPr="00BA51F0" w:rsidRDefault="00BA51F0" w:rsidP="00BA51F0">
            <w:pPr>
              <w:tabs>
                <w:tab w:val="clear" w:pos="567"/>
              </w:tabs>
              <w:spacing w:after="0" w:line="240" w:lineRule="auto"/>
              <w:jc w:val="right"/>
              <w:rPr>
                <w:rFonts w:ascii="Calibri" w:eastAsia="Times New Roman" w:hAnsi="Calibri" w:cs="Times New Roman"/>
                <w:sz w:val="20"/>
                <w:szCs w:val="20"/>
                <w:lang w:eastAsia="en-AU"/>
              </w:rPr>
            </w:pPr>
            <w:r w:rsidRPr="00BA51F0">
              <w:rPr>
                <w:rFonts w:ascii="Calibri" w:eastAsia="Times New Roman" w:hAnsi="Calibri" w:cs="Times New Roman"/>
                <w:sz w:val="20"/>
                <w:szCs w:val="20"/>
                <w:lang w:eastAsia="en-AU"/>
              </w:rPr>
              <w:t>-76</w:t>
            </w:r>
          </w:p>
        </w:tc>
        <w:tc>
          <w:tcPr>
            <w:tcW w:w="540" w:type="dxa"/>
            <w:shd w:val="clear" w:color="auto" w:fill="auto"/>
            <w:hideMark/>
          </w:tcPr>
          <w:p w:rsidR="00BA51F0" w:rsidRPr="00BA51F0" w:rsidRDefault="00BA51F0" w:rsidP="00BA51F0">
            <w:pPr>
              <w:tabs>
                <w:tab w:val="clear" w:pos="567"/>
              </w:tabs>
              <w:spacing w:after="0" w:line="240" w:lineRule="auto"/>
              <w:rPr>
                <w:rFonts w:ascii="Calibri" w:eastAsia="Times New Roman" w:hAnsi="Calibri" w:cs="Times New Roman"/>
                <w:sz w:val="20"/>
                <w:szCs w:val="20"/>
                <w:lang w:eastAsia="en-AU"/>
              </w:rPr>
            </w:pPr>
          </w:p>
        </w:tc>
        <w:tc>
          <w:tcPr>
            <w:tcW w:w="8680" w:type="dxa"/>
            <w:shd w:val="clear" w:color="auto" w:fill="auto"/>
            <w:hideMark/>
          </w:tcPr>
          <w:p w:rsidR="00BA51F0" w:rsidRPr="00BA51F0" w:rsidRDefault="00BA51F0" w:rsidP="00BA51F0">
            <w:pPr>
              <w:tabs>
                <w:tab w:val="clear" w:pos="567"/>
              </w:tabs>
              <w:spacing w:after="0" w:line="240" w:lineRule="auto"/>
              <w:rPr>
                <w:rFonts w:ascii="Calibri" w:eastAsia="Times New Roman" w:hAnsi="Calibri" w:cs="Times New Roman"/>
                <w:b/>
                <w:bCs/>
                <w:sz w:val="20"/>
                <w:szCs w:val="20"/>
                <w:lang w:eastAsia="en-AU"/>
              </w:rPr>
            </w:pPr>
            <w:r w:rsidRPr="00BA51F0">
              <w:rPr>
                <w:rFonts w:ascii="Calibri" w:eastAsia="Times New Roman" w:hAnsi="Calibri" w:cs="Times New Roman"/>
                <w:b/>
                <w:bCs/>
                <w:sz w:val="20"/>
                <w:szCs w:val="20"/>
                <w:lang w:eastAsia="en-AU"/>
              </w:rPr>
              <w:t xml:space="preserve">Natural disaster relief. </w:t>
            </w:r>
            <w:r w:rsidRPr="00BA51F0">
              <w:rPr>
                <w:rFonts w:ascii="Calibri" w:eastAsia="Times New Roman" w:hAnsi="Calibri" w:cs="Times New Roman"/>
                <w:sz w:val="20"/>
                <w:szCs w:val="20"/>
                <w:lang w:eastAsia="en-AU"/>
              </w:rPr>
              <w:t>Queensland’s natural disaster relief net expenses remained at historically high levels in 2014-15 leading to a reduction in the GST share of all other States including Victoria.</w:t>
            </w:r>
          </w:p>
        </w:tc>
      </w:tr>
      <w:tr w:rsidR="00BA51F0" w:rsidRPr="00BA51F0" w:rsidTr="00D51D26">
        <w:trPr>
          <w:trHeight w:val="495"/>
        </w:trPr>
        <w:tc>
          <w:tcPr>
            <w:tcW w:w="700" w:type="dxa"/>
            <w:tcBorders>
              <w:bottom w:val="single" w:sz="4" w:space="0" w:color="auto"/>
            </w:tcBorders>
            <w:shd w:val="clear" w:color="auto" w:fill="auto"/>
            <w:hideMark/>
          </w:tcPr>
          <w:p w:rsidR="00BA51F0" w:rsidRPr="00BA51F0" w:rsidRDefault="00BA51F0" w:rsidP="00BA51F0">
            <w:pPr>
              <w:tabs>
                <w:tab w:val="clear" w:pos="567"/>
              </w:tabs>
              <w:spacing w:after="0" w:line="240" w:lineRule="auto"/>
              <w:jc w:val="right"/>
              <w:rPr>
                <w:rFonts w:ascii="Calibri" w:eastAsia="Times New Roman" w:hAnsi="Calibri" w:cs="Times New Roman"/>
                <w:sz w:val="20"/>
                <w:szCs w:val="20"/>
                <w:lang w:eastAsia="en-AU"/>
              </w:rPr>
            </w:pPr>
            <w:r w:rsidRPr="00BA51F0">
              <w:rPr>
                <w:rFonts w:ascii="Calibri" w:eastAsia="Times New Roman" w:hAnsi="Calibri" w:cs="Times New Roman"/>
                <w:sz w:val="20"/>
                <w:szCs w:val="20"/>
                <w:lang w:eastAsia="en-AU"/>
              </w:rPr>
              <w:t>65</w:t>
            </w:r>
          </w:p>
        </w:tc>
        <w:tc>
          <w:tcPr>
            <w:tcW w:w="540" w:type="dxa"/>
            <w:tcBorders>
              <w:bottom w:val="single" w:sz="4" w:space="0" w:color="auto"/>
            </w:tcBorders>
            <w:shd w:val="clear" w:color="auto" w:fill="auto"/>
            <w:hideMark/>
          </w:tcPr>
          <w:p w:rsidR="00BA51F0" w:rsidRPr="00BA51F0" w:rsidRDefault="00BA51F0" w:rsidP="00BA51F0">
            <w:pPr>
              <w:tabs>
                <w:tab w:val="clear" w:pos="567"/>
              </w:tabs>
              <w:spacing w:after="0" w:line="240" w:lineRule="auto"/>
              <w:rPr>
                <w:rFonts w:ascii="Calibri" w:eastAsia="Times New Roman" w:hAnsi="Calibri" w:cs="Times New Roman"/>
                <w:sz w:val="20"/>
                <w:szCs w:val="20"/>
                <w:lang w:eastAsia="en-AU"/>
              </w:rPr>
            </w:pPr>
            <w:r w:rsidRPr="00BA51F0">
              <w:rPr>
                <w:rFonts w:ascii="Calibri" w:eastAsia="Times New Roman" w:hAnsi="Calibri" w:cs="Times New Roman"/>
                <w:sz w:val="20"/>
                <w:szCs w:val="20"/>
                <w:lang w:eastAsia="en-AU"/>
              </w:rPr>
              <w:t> </w:t>
            </w:r>
          </w:p>
        </w:tc>
        <w:tc>
          <w:tcPr>
            <w:tcW w:w="8680" w:type="dxa"/>
            <w:tcBorders>
              <w:bottom w:val="single" w:sz="4" w:space="0" w:color="auto"/>
            </w:tcBorders>
            <w:shd w:val="clear" w:color="auto" w:fill="auto"/>
            <w:hideMark/>
          </w:tcPr>
          <w:p w:rsidR="00BA51F0" w:rsidRPr="00BA51F0" w:rsidRDefault="00BA51F0" w:rsidP="00BA51F0">
            <w:pPr>
              <w:tabs>
                <w:tab w:val="clear" w:pos="567"/>
              </w:tabs>
              <w:spacing w:after="0" w:line="240" w:lineRule="auto"/>
              <w:rPr>
                <w:rFonts w:ascii="Calibri" w:eastAsia="Times New Roman" w:hAnsi="Calibri" w:cs="Times New Roman"/>
                <w:b/>
                <w:bCs/>
                <w:sz w:val="20"/>
                <w:szCs w:val="20"/>
                <w:lang w:eastAsia="en-AU"/>
              </w:rPr>
            </w:pPr>
            <w:r w:rsidRPr="00BA51F0">
              <w:rPr>
                <w:rFonts w:ascii="Calibri" w:eastAsia="Times New Roman" w:hAnsi="Calibri" w:cs="Times New Roman"/>
                <w:b/>
                <w:bCs/>
                <w:sz w:val="20"/>
                <w:szCs w:val="20"/>
                <w:lang w:eastAsia="en-AU"/>
              </w:rPr>
              <w:t>Property sales.</w:t>
            </w:r>
            <w:r w:rsidRPr="00BA51F0">
              <w:rPr>
                <w:rFonts w:ascii="Calibri" w:eastAsia="Times New Roman" w:hAnsi="Calibri" w:cs="Times New Roman"/>
                <w:sz w:val="20"/>
                <w:szCs w:val="20"/>
                <w:lang w:eastAsia="en-AU"/>
              </w:rPr>
              <w:t xml:space="preserve"> A below average increase in Victoria’s property sales reduced its capacity to raise revenue from conveyance duty and increased its GST share.</w:t>
            </w:r>
          </w:p>
        </w:tc>
      </w:tr>
    </w:tbl>
    <w:p w:rsidR="006A3E53" w:rsidRDefault="006A3E53" w:rsidP="006A3E53">
      <w:pPr>
        <w:sectPr w:rsidR="006A3E53" w:rsidSect="0055307A">
          <w:type w:val="continuous"/>
          <w:pgSz w:w="11899" w:h="16838" w:code="9"/>
          <w:pgMar w:top="1440" w:right="1080" w:bottom="1440" w:left="1080" w:header="709" w:footer="709" w:gutter="0"/>
          <w:cols w:space="1"/>
          <w:titlePg/>
          <w:docGrid w:linePitch="326"/>
        </w:sectPr>
      </w:pPr>
    </w:p>
    <w:p w:rsidR="006A3E53" w:rsidRPr="007202D1" w:rsidRDefault="006A3E53" w:rsidP="006A3E53">
      <w:pPr>
        <w:spacing w:before="240"/>
        <w:rPr>
          <w:szCs w:val="24"/>
        </w:rPr>
      </w:pPr>
      <w:proofErr w:type="gramStart"/>
      <w:r w:rsidRPr="00EB0261">
        <w:rPr>
          <w:rStyle w:val="Heading6Char"/>
        </w:rPr>
        <w:lastRenderedPageBreak/>
        <w:t xml:space="preserve">Fiscal </w:t>
      </w:r>
      <w:r>
        <w:rPr>
          <w:rStyle w:val="Heading6Char"/>
        </w:rPr>
        <w:t>capacity</w:t>
      </w:r>
      <w:r w:rsidRPr="00EB0261">
        <w:rPr>
          <w:rStyle w:val="Heading6Char"/>
        </w:rPr>
        <w:t>.</w:t>
      </w:r>
      <w:proofErr w:type="gramEnd"/>
      <w:r w:rsidRPr="00EB0261">
        <w:t xml:space="preserve"> </w:t>
      </w:r>
      <w:r>
        <w:rPr>
          <w:szCs w:val="24"/>
        </w:rPr>
        <w:t xml:space="preserve">Victoria’s strong fiscal position </w:t>
      </w:r>
      <w:r w:rsidRPr="007202D1">
        <w:rPr>
          <w:szCs w:val="24"/>
        </w:rPr>
        <w:t>is due to its well below average assessed expenses in providing services reflect</w:t>
      </w:r>
      <w:r>
        <w:rPr>
          <w:szCs w:val="24"/>
        </w:rPr>
        <w:t>ing</w:t>
      </w:r>
      <w:r w:rsidRPr="007202D1">
        <w:rPr>
          <w:szCs w:val="24"/>
        </w:rPr>
        <w:t xml:space="preserve"> its below average shares of government school enrolments, Indigenous people, people living in remote areas and economies of scale in administration. This is reduced further by below average wage expenses.</w:t>
      </w:r>
    </w:p>
    <w:p w:rsidR="006A3E53" w:rsidRDefault="006A3E53" w:rsidP="006A3E53">
      <w:pPr>
        <w:rPr>
          <w:szCs w:val="24"/>
        </w:rPr>
      </w:pPr>
      <w:r w:rsidRPr="007202D1">
        <w:rPr>
          <w:szCs w:val="24"/>
        </w:rPr>
        <w:t>Those effects on its fiscal capacity are partly offset by its below average revenue raising capacity, which is mainly due to its well below average mining production and taxable payrolls, and by its above average investment requirements.</w:t>
      </w:r>
    </w:p>
    <w:p w:rsidR="006A3E53" w:rsidRDefault="006A3E53" w:rsidP="008767BF">
      <w:pPr>
        <w:pStyle w:val="CGCTableHeading"/>
        <w:keepNext w:val="0"/>
        <w:keepLines w:val="0"/>
        <w:spacing w:after="80" w:line="320" w:lineRule="atLeast"/>
        <w:ind w:left="0" w:firstLine="0"/>
      </w:pPr>
      <w:r>
        <w:rPr>
          <w:szCs w:val="24"/>
        </w:rPr>
        <w:br w:type="column"/>
      </w:r>
      <w:r>
        <w:lastRenderedPageBreak/>
        <w:t xml:space="preserve">Table </w:t>
      </w:r>
      <w:r w:rsidR="0014378B">
        <w:fldChar w:fldCharType="begin"/>
      </w:r>
      <w:r w:rsidR="0014378B">
        <w:instrText xml:space="preserve"> SEQ Table \* ARABIC </w:instrText>
      </w:r>
      <w:r w:rsidR="0014378B">
        <w:fldChar w:fldCharType="separate"/>
      </w:r>
      <w:r w:rsidR="007A6AF0">
        <w:rPr>
          <w:noProof/>
        </w:rPr>
        <w:t>10</w:t>
      </w:r>
      <w:r w:rsidR="0014378B">
        <w:rPr>
          <w:noProof/>
        </w:rPr>
        <w:fldChar w:fldCharType="end"/>
      </w:r>
      <w:r w:rsidRPr="00EC79CF">
        <w:tab/>
        <w:t>Assessed GST, 201</w:t>
      </w:r>
      <w:r>
        <w:t>6</w:t>
      </w:r>
      <w:r>
        <w:noBreakHyphen/>
        <w:t>17</w:t>
      </w:r>
    </w:p>
    <w:tbl>
      <w:tblPr>
        <w:tblW w:w="4240" w:type="dxa"/>
        <w:tblInd w:w="93" w:type="dxa"/>
        <w:tblLook w:val="04A0" w:firstRow="1" w:lastRow="0" w:firstColumn="1" w:lastColumn="0" w:noHBand="0" w:noVBand="1"/>
      </w:tblPr>
      <w:tblGrid>
        <w:gridCol w:w="2700"/>
        <w:gridCol w:w="820"/>
        <w:gridCol w:w="720"/>
      </w:tblGrid>
      <w:tr w:rsidR="0064743F" w:rsidRPr="0064743F" w:rsidTr="0064743F">
        <w:trPr>
          <w:trHeight w:val="375"/>
        </w:trPr>
        <w:tc>
          <w:tcPr>
            <w:tcW w:w="270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$pc</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Equal per capita share</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15 212</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2 496</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Effect of assessed:</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Expenses</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-5 012</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-822</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Investment</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202</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33</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Net borrowing</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-35</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-6</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Revenue</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3 434</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563</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Commonwealth payments</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79</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13</w:t>
            </w:r>
          </w:p>
        </w:tc>
      </w:tr>
      <w:tr w:rsidR="0064743F" w:rsidRPr="0064743F" w:rsidTr="0064743F">
        <w:trPr>
          <w:trHeight w:val="315"/>
        </w:trPr>
        <w:tc>
          <w:tcPr>
            <w:tcW w:w="270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Assessed GST</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13 881</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2 277</w:t>
            </w:r>
          </w:p>
        </w:tc>
      </w:tr>
    </w:tbl>
    <w:p w:rsidR="006A3E53" w:rsidRDefault="006A3E53" w:rsidP="006A3E53">
      <w:pPr>
        <w:pStyle w:val="CGCTableFootnote"/>
        <w:sectPr w:rsidR="006A3E53" w:rsidSect="0055307A">
          <w:type w:val="continuous"/>
          <w:pgSz w:w="11899" w:h="16838" w:code="9"/>
          <w:pgMar w:top="1440" w:right="1080" w:bottom="1440" w:left="1080" w:header="709" w:footer="709" w:gutter="0"/>
          <w:cols w:num="2" w:space="157" w:equalWidth="0">
            <w:col w:w="5500" w:space="157"/>
            <w:col w:w="4082"/>
          </w:cols>
          <w:titlePg/>
          <w:docGrid w:linePitch="326"/>
        </w:sectPr>
      </w:pPr>
      <w:r>
        <w:t>Note: Table may not add due to rounding.</w:t>
      </w:r>
    </w:p>
    <w:p w:rsidR="006A3E53" w:rsidRDefault="006A3E53" w:rsidP="006A3E53">
      <w:pPr>
        <w:pStyle w:val="Heading4"/>
        <w:spacing w:before="0"/>
        <w:sectPr w:rsidR="006A3E53" w:rsidSect="0055307A">
          <w:footerReference w:type="default" r:id="rId34"/>
          <w:footerReference w:type="first" r:id="rId35"/>
          <w:pgSz w:w="11899" w:h="16838" w:code="9"/>
          <w:pgMar w:top="1440" w:right="1080" w:bottom="1440" w:left="1080" w:header="709" w:footer="709" w:gutter="0"/>
          <w:cols w:space="708"/>
          <w:titlePg/>
          <w:docGrid w:linePitch="326"/>
        </w:sectPr>
      </w:pPr>
      <w:bookmarkStart w:id="311" w:name="_Toc442191910"/>
      <w:bookmarkStart w:id="312" w:name="_Toc442192162"/>
      <w:bookmarkStart w:id="313" w:name="_Toc442192227"/>
      <w:bookmarkStart w:id="314" w:name="_Toc442772813"/>
      <w:bookmarkStart w:id="315" w:name="_Toc442773040"/>
      <w:bookmarkStart w:id="316" w:name="_Toc442773212"/>
      <w:bookmarkStart w:id="317" w:name="_Toc442883277"/>
      <w:bookmarkStart w:id="318" w:name="_Toc442949130"/>
      <w:r>
        <w:lastRenderedPageBreak/>
        <w:t>Queensland</w:t>
      </w:r>
      <w:bookmarkEnd w:id="311"/>
      <w:bookmarkEnd w:id="312"/>
      <w:bookmarkEnd w:id="313"/>
      <w:bookmarkEnd w:id="314"/>
      <w:bookmarkEnd w:id="315"/>
      <w:bookmarkEnd w:id="316"/>
      <w:bookmarkEnd w:id="317"/>
      <w:bookmarkEnd w:id="318"/>
    </w:p>
    <w:p w:rsidR="006A3E53" w:rsidRPr="0001171D" w:rsidRDefault="006A3E53" w:rsidP="0001171D">
      <w:pPr>
        <w:spacing w:before="120"/>
        <w:rPr>
          <w:b/>
          <w:bCs/>
          <w:szCs w:val="20"/>
        </w:rPr>
      </w:pPr>
      <w:proofErr w:type="gramStart"/>
      <w:r>
        <w:rPr>
          <w:rStyle w:val="Heading6Char"/>
        </w:rPr>
        <w:lastRenderedPageBreak/>
        <w:t>Changes in this update.</w:t>
      </w:r>
      <w:proofErr w:type="gramEnd"/>
      <w:r>
        <w:rPr>
          <w:rStyle w:val="Heading6Char"/>
        </w:rPr>
        <w:t xml:space="preserve"> </w:t>
      </w:r>
      <w:r w:rsidRPr="00C04661">
        <w:t xml:space="preserve">There has been </w:t>
      </w:r>
      <w:r>
        <w:t>further weakening in Queensland’s assessed fiscal capacity due mainly to deterioration in its assessed revenue raising capacity across most revenue bases including coal production, property sales and taxable payrolls</w:t>
      </w:r>
      <w:r w:rsidR="00175478">
        <w:t>, and</w:t>
      </w:r>
      <w:r>
        <w:t xml:space="preserve"> high natural disaster expenses</w:t>
      </w:r>
      <w:r w:rsidR="008767BF">
        <w:t xml:space="preserve"> related to </w:t>
      </w:r>
      <w:r w:rsidR="00F240B1">
        <w:t xml:space="preserve">a series of </w:t>
      </w:r>
      <w:r w:rsidR="008767BF">
        <w:t>flood and cyclone events</w:t>
      </w:r>
      <w:r w:rsidR="00F240B1">
        <w:t xml:space="preserve"> since 2011</w:t>
      </w:r>
      <w:r w:rsidR="001862BC">
        <w:t xml:space="preserve">. These </w:t>
      </w:r>
      <w:r w:rsidR="00175478">
        <w:t>effects</w:t>
      </w:r>
      <w:r w:rsidR="001862BC">
        <w:t xml:space="preserve"> were offset by</w:t>
      </w:r>
      <w:r>
        <w:t xml:space="preserve"> a slowdown in </w:t>
      </w:r>
      <w:r w:rsidR="001862BC">
        <w:t>its</w:t>
      </w:r>
      <w:r>
        <w:t xml:space="preserve"> population growth </w:t>
      </w:r>
      <w:r w:rsidR="00175478">
        <w:t>which reduced</w:t>
      </w:r>
      <w:r>
        <w:t xml:space="preserve"> its assessed investment. </w:t>
      </w:r>
      <w:r w:rsidR="00175478">
        <w:t>Queensland’s</w:t>
      </w:r>
      <w:r w:rsidR="009774F3">
        <w:t xml:space="preserve"> reduced fiscal capacity </w:t>
      </w:r>
      <w:r w:rsidR="000469FA">
        <w:t>will see its GST share rise from 22.7% to 23.6</w:t>
      </w:r>
      <w:r w:rsidR="000469FA" w:rsidRPr="00F567B9">
        <w:t>%</w:t>
      </w:r>
      <w:r w:rsidR="00F240B1">
        <w:t xml:space="preserve">. This change, </w:t>
      </w:r>
      <w:r w:rsidR="000469FA">
        <w:t>combined with pool growth</w:t>
      </w:r>
      <w:r w:rsidR="00564AFC">
        <w:t>,</w:t>
      </w:r>
      <w:r w:rsidR="000469FA">
        <w:t xml:space="preserve"> will see its </w:t>
      </w:r>
      <w:r w:rsidRPr="00F567B9">
        <w:t xml:space="preserve">GST </w:t>
      </w:r>
      <w:r w:rsidR="009774F3">
        <w:t xml:space="preserve">entitlement </w:t>
      </w:r>
      <w:r>
        <w:t>rise by $1</w:t>
      </w:r>
      <w:r w:rsidR="00564AFC">
        <w:t> </w:t>
      </w:r>
      <w:r>
        <w:t>324 </w:t>
      </w:r>
      <w:r w:rsidRPr="00F567B9">
        <w:t xml:space="preserve">million or </w:t>
      </w:r>
      <w:r>
        <w:t>10.2</w:t>
      </w:r>
      <w:r w:rsidR="000469FA">
        <w:t>%.</w:t>
      </w:r>
      <w:r>
        <w:br w:type="column"/>
      </w:r>
      <w:r w:rsidRPr="0001171D">
        <w:rPr>
          <w:b/>
          <w:bCs/>
          <w:szCs w:val="20"/>
        </w:rPr>
        <w:lastRenderedPageBreak/>
        <w:t xml:space="preserve">Table </w:t>
      </w:r>
      <w:r w:rsidR="005F0051" w:rsidRPr="0001171D">
        <w:rPr>
          <w:b/>
          <w:bCs/>
          <w:szCs w:val="20"/>
        </w:rPr>
        <w:fldChar w:fldCharType="begin"/>
      </w:r>
      <w:r w:rsidR="005F0051" w:rsidRPr="0001171D">
        <w:rPr>
          <w:b/>
          <w:bCs/>
          <w:szCs w:val="20"/>
        </w:rPr>
        <w:instrText xml:space="preserve"> SEQ Table \* ARABIC </w:instrText>
      </w:r>
      <w:r w:rsidR="005F0051" w:rsidRPr="0001171D">
        <w:rPr>
          <w:b/>
          <w:bCs/>
          <w:szCs w:val="20"/>
        </w:rPr>
        <w:fldChar w:fldCharType="separate"/>
      </w:r>
      <w:r w:rsidR="007A6AF0">
        <w:rPr>
          <w:b/>
          <w:bCs/>
          <w:noProof/>
          <w:szCs w:val="20"/>
        </w:rPr>
        <w:t>11</w:t>
      </w:r>
      <w:r w:rsidR="005F0051" w:rsidRPr="0001171D">
        <w:rPr>
          <w:b/>
          <w:bCs/>
          <w:szCs w:val="20"/>
        </w:rPr>
        <w:fldChar w:fldCharType="end"/>
      </w:r>
      <w:r w:rsidR="00D92EEC">
        <w:rPr>
          <w:b/>
          <w:bCs/>
          <w:szCs w:val="20"/>
        </w:rPr>
        <w:tab/>
        <w:t>Change</w:t>
      </w:r>
      <w:r w:rsidRPr="0001171D">
        <w:rPr>
          <w:b/>
          <w:bCs/>
          <w:szCs w:val="20"/>
        </w:rPr>
        <w:t xml:space="preserve"> in GST</w:t>
      </w:r>
    </w:p>
    <w:tbl>
      <w:tblPr>
        <w:tblW w:w="4240" w:type="dxa"/>
        <w:tblInd w:w="93" w:type="dxa"/>
        <w:tblLook w:val="04A0" w:firstRow="1" w:lastRow="0" w:firstColumn="1" w:lastColumn="0" w:noHBand="0" w:noVBand="1"/>
      </w:tblPr>
      <w:tblGrid>
        <w:gridCol w:w="2700"/>
        <w:gridCol w:w="820"/>
        <w:gridCol w:w="720"/>
      </w:tblGrid>
      <w:tr w:rsidR="0064743F" w:rsidRPr="0064743F" w:rsidTr="0064743F">
        <w:trPr>
          <w:trHeight w:val="375"/>
        </w:trPr>
        <w:tc>
          <w:tcPr>
            <w:tcW w:w="270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$pc</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Change due to</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New population</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14</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Growth in GST available</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790</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161</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New relativities</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520</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106</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200" w:firstLine="4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Data revisions</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30</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6</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200" w:firstLine="4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Change in circumstances</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491</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100</w:t>
            </w:r>
          </w:p>
        </w:tc>
      </w:tr>
      <w:tr w:rsidR="0064743F" w:rsidRPr="0064743F" w:rsidTr="0064743F">
        <w:trPr>
          <w:trHeight w:val="315"/>
        </w:trPr>
        <w:tc>
          <w:tcPr>
            <w:tcW w:w="270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Total change</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1 324</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270</w:t>
            </w:r>
          </w:p>
        </w:tc>
      </w:tr>
    </w:tbl>
    <w:p w:rsidR="006A3E53" w:rsidRDefault="006A3E53" w:rsidP="006A3E53">
      <w:pPr>
        <w:pStyle w:val="CGCTableFootnote"/>
        <w:sectPr w:rsidR="006A3E53" w:rsidSect="0055307A">
          <w:type w:val="continuous"/>
          <w:pgSz w:w="11899" w:h="16838" w:code="9"/>
          <w:pgMar w:top="1440" w:right="1080" w:bottom="1440" w:left="1080" w:header="709" w:footer="709" w:gutter="0"/>
          <w:cols w:num="2" w:space="145" w:equalWidth="0">
            <w:col w:w="5500" w:space="145"/>
            <w:col w:w="4094"/>
          </w:cols>
          <w:titlePg/>
          <w:docGrid w:linePitch="326"/>
        </w:sectPr>
      </w:pPr>
      <w:r>
        <w:t>Note: Table may not add due to rounding.</w:t>
      </w:r>
    </w:p>
    <w:p w:rsidR="006A3E53" w:rsidRDefault="006A3E53" w:rsidP="009E7E10">
      <w:pPr>
        <w:pStyle w:val="CGCTableHeading"/>
        <w:spacing w:after="80" w:line="320" w:lineRule="atLeast"/>
      </w:pPr>
      <w:r>
        <w:lastRenderedPageBreak/>
        <w:t xml:space="preserve">Table </w:t>
      </w:r>
      <w:r w:rsidR="0014378B">
        <w:fldChar w:fldCharType="begin"/>
      </w:r>
      <w:r w:rsidR="0014378B">
        <w:instrText xml:space="preserve"> SEQ Table \* ARABIC </w:instrText>
      </w:r>
      <w:r w:rsidR="0014378B">
        <w:fldChar w:fldCharType="separate"/>
      </w:r>
      <w:r w:rsidR="007A6AF0">
        <w:rPr>
          <w:noProof/>
        </w:rPr>
        <w:t>12</w:t>
      </w:r>
      <w:r w:rsidR="0014378B">
        <w:rPr>
          <w:noProof/>
        </w:rPr>
        <w:fldChar w:fldCharType="end"/>
      </w:r>
      <w:r w:rsidRPr="00153AC5">
        <w:tab/>
      </w:r>
      <w:r>
        <w:t>Main causes of change for Queensland</w:t>
      </w:r>
    </w:p>
    <w:tbl>
      <w:tblPr>
        <w:tblW w:w="9920" w:type="dxa"/>
        <w:tblInd w:w="93" w:type="dxa"/>
        <w:tblLook w:val="04A0" w:firstRow="1" w:lastRow="0" w:firstColumn="1" w:lastColumn="0" w:noHBand="0" w:noVBand="1"/>
      </w:tblPr>
      <w:tblGrid>
        <w:gridCol w:w="700"/>
        <w:gridCol w:w="540"/>
        <w:gridCol w:w="8680"/>
      </w:tblGrid>
      <w:tr w:rsidR="008D7669" w:rsidRPr="008D7669" w:rsidTr="00D51D26">
        <w:trPr>
          <w:trHeight w:val="360"/>
        </w:trPr>
        <w:tc>
          <w:tcPr>
            <w:tcW w:w="1240" w:type="dxa"/>
            <w:gridSpan w:val="2"/>
            <w:tcBorders>
              <w:top w:val="single" w:sz="4" w:space="0" w:color="auto"/>
              <w:bottom w:val="single" w:sz="4" w:space="0" w:color="auto"/>
            </w:tcBorders>
            <w:shd w:val="clear" w:color="auto" w:fill="auto"/>
            <w:vAlign w:val="center"/>
            <w:hideMark/>
          </w:tcPr>
          <w:p w:rsidR="008D7669" w:rsidRPr="008D7669" w:rsidRDefault="008D7669" w:rsidP="008D7669">
            <w:pPr>
              <w:tabs>
                <w:tab w:val="clear" w:pos="567"/>
              </w:tabs>
              <w:spacing w:after="0" w:line="240" w:lineRule="auto"/>
              <w:ind w:hanging="93"/>
              <w:jc w:val="both"/>
              <w:rPr>
                <w:rFonts w:ascii="Calibri" w:eastAsia="Times New Roman" w:hAnsi="Calibri" w:cs="Times New Roman"/>
                <w:sz w:val="20"/>
                <w:szCs w:val="20"/>
                <w:lang w:eastAsia="en-AU"/>
              </w:rPr>
            </w:pPr>
            <w:r w:rsidRPr="008D7669">
              <w:rPr>
                <w:rFonts w:ascii="Calibri" w:eastAsia="Times New Roman" w:hAnsi="Calibri" w:cs="Times New Roman"/>
                <w:sz w:val="20"/>
                <w:szCs w:val="20"/>
                <w:lang w:eastAsia="en-AU"/>
              </w:rPr>
              <w:t>Change ($m)</w:t>
            </w:r>
          </w:p>
        </w:tc>
        <w:tc>
          <w:tcPr>
            <w:tcW w:w="8680" w:type="dxa"/>
            <w:tcBorders>
              <w:top w:val="single" w:sz="4" w:space="0" w:color="auto"/>
              <w:bottom w:val="single" w:sz="4" w:space="0" w:color="auto"/>
            </w:tcBorders>
            <w:shd w:val="clear" w:color="auto" w:fill="auto"/>
            <w:vAlign w:val="center"/>
            <w:hideMark/>
          </w:tcPr>
          <w:p w:rsidR="008D7669" w:rsidRPr="008D7669" w:rsidRDefault="008D7669" w:rsidP="008D7669">
            <w:pPr>
              <w:tabs>
                <w:tab w:val="clear" w:pos="567"/>
              </w:tabs>
              <w:spacing w:after="0" w:line="240" w:lineRule="auto"/>
              <w:rPr>
                <w:rFonts w:ascii="Calibri" w:eastAsia="Times New Roman" w:hAnsi="Calibri" w:cs="Times New Roman"/>
                <w:sz w:val="20"/>
                <w:szCs w:val="20"/>
                <w:lang w:eastAsia="en-AU"/>
              </w:rPr>
            </w:pPr>
            <w:r w:rsidRPr="008D7669">
              <w:rPr>
                <w:rFonts w:ascii="Calibri" w:eastAsia="Times New Roman" w:hAnsi="Calibri" w:cs="Times New Roman"/>
                <w:sz w:val="20"/>
                <w:szCs w:val="20"/>
                <w:lang w:eastAsia="en-AU"/>
              </w:rPr>
              <w:t>Reason for change</w:t>
            </w:r>
          </w:p>
        </w:tc>
      </w:tr>
      <w:tr w:rsidR="008D7669" w:rsidRPr="008D7669" w:rsidTr="00D51D26">
        <w:trPr>
          <w:trHeight w:val="360"/>
        </w:trPr>
        <w:tc>
          <w:tcPr>
            <w:tcW w:w="9920" w:type="dxa"/>
            <w:gridSpan w:val="3"/>
            <w:tcBorders>
              <w:top w:val="single" w:sz="4" w:space="0" w:color="auto"/>
            </w:tcBorders>
            <w:shd w:val="clear" w:color="auto" w:fill="auto"/>
            <w:vAlign w:val="center"/>
            <w:hideMark/>
          </w:tcPr>
          <w:p w:rsidR="008D7669" w:rsidRPr="008D7669" w:rsidRDefault="008D7669" w:rsidP="008D7669">
            <w:pPr>
              <w:tabs>
                <w:tab w:val="clear" w:pos="567"/>
              </w:tabs>
              <w:spacing w:after="0" w:line="240" w:lineRule="auto"/>
              <w:ind w:hanging="93"/>
              <w:rPr>
                <w:rFonts w:ascii="Calibri" w:eastAsia="Times New Roman" w:hAnsi="Calibri" w:cs="Times New Roman"/>
                <w:b/>
                <w:bCs/>
                <w:sz w:val="20"/>
                <w:szCs w:val="20"/>
                <w:lang w:eastAsia="en-AU"/>
              </w:rPr>
            </w:pPr>
            <w:r w:rsidRPr="008D7669">
              <w:rPr>
                <w:rFonts w:ascii="Calibri" w:eastAsia="Times New Roman" w:hAnsi="Calibri" w:cs="Times New Roman"/>
                <w:b/>
                <w:bCs/>
                <w:sz w:val="20"/>
                <w:szCs w:val="20"/>
                <w:lang w:eastAsia="en-AU"/>
              </w:rPr>
              <w:t>Changes in circumstances</w:t>
            </w:r>
          </w:p>
        </w:tc>
      </w:tr>
      <w:tr w:rsidR="008D7669" w:rsidRPr="008D7669" w:rsidTr="00D51D26">
        <w:trPr>
          <w:trHeight w:val="495"/>
        </w:trPr>
        <w:tc>
          <w:tcPr>
            <w:tcW w:w="700" w:type="dxa"/>
            <w:shd w:val="clear" w:color="auto" w:fill="auto"/>
            <w:hideMark/>
          </w:tcPr>
          <w:p w:rsidR="008D7669" w:rsidRPr="008D7669" w:rsidRDefault="008D7669" w:rsidP="008D7669">
            <w:pPr>
              <w:tabs>
                <w:tab w:val="clear" w:pos="567"/>
              </w:tabs>
              <w:spacing w:after="0" w:line="240" w:lineRule="auto"/>
              <w:jc w:val="right"/>
              <w:rPr>
                <w:rFonts w:ascii="Calibri" w:eastAsia="Times New Roman" w:hAnsi="Calibri" w:cs="Times New Roman"/>
                <w:sz w:val="20"/>
                <w:szCs w:val="20"/>
                <w:lang w:eastAsia="en-AU"/>
              </w:rPr>
            </w:pPr>
            <w:r w:rsidRPr="008D7669">
              <w:rPr>
                <w:rFonts w:ascii="Calibri" w:eastAsia="Times New Roman" w:hAnsi="Calibri" w:cs="Times New Roman"/>
                <w:sz w:val="20"/>
                <w:szCs w:val="20"/>
                <w:lang w:eastAsia="en-AU"/>
              </w:rPr>
              <w:t>257</w:t>
            </w:r>
          </w:p>
        </w:tc>
        <w:tc>
          <w:tcPr>
            <w:tcW w:w="540" w:type="dxa"/>
            <w:shd w:val="clear" w:color="auto" w:fill="auto"/>
            <w:noWrap/>
            <w:hideMark/>
          </w:tcPr>
          <w:p w:rsidR="008D7669" w:rsidRPr="008D7669" w:rsidRDefault="008D7669" w:rsidP="008D7669">
            <w:pPr>
              <w:tabs>
                <w:tab w:val="clear" w:pos="567"/>
              </w:tabs>
              <w:spacing w:after="0" w:line="240" w:lineRule="auto"/>
              <w:rPr>
                <w:rFonts w:ascii="Calibri" w:eastAsia="Times New Roman" w:hAnsi="Calibri" w:cs="Times New Roman"/>
                <w:sz w:val="20"/>
                <w:szCs w:val="20"/>
                <w:lang w:eastAsia="en-AU"/>
              </w:rPr>
            </w:pPr>
          </w:p>
        </w:tc>
        <w:tc>
          <w:tcPr>
            <w:tcW w:w="8680" w:type="dxa"/>
            <w:shd w:val="clear" w:color="auto" w:fill="auto"/>
            <w:hideMark/>
          </w:tcPr>
          <w:p w:rsidR="008D7669" w:rsidRPr="008D7669" w:rsidRDefault="008D7669" w:rsidP="008D7669">
            <w:pPr>
              <w:tabs>
                <w:tab w:val="clear" w:pos="567"/>
              </w:tabs>
              <w:spacing w:after="0" w:line="240" w:lineRule="auto"/>
              <w:rPr>
                <w:rFonts w:ascii="Calibri" w:eastAsia="Times New Roman" w:hAnsi="Calibri" w:cs="Times New Roman"/>
                <w:b/>
                <w:bCs/>
                <w:sz w:val="20"/>
                <w:szCs w:val="20"/>
                <w:lang w:eastAsia="en-AU"/>
              </w:rPr>
            </w:pPr>
            <w:r w:rsidRPr="008D7669">
              <w:rPr>
                <w:rFonts w:ascii="Calibri" w:eastAsia="Times New Roman" w:hAnsi="Calibri" w:cs="Times New Roman"/>
                <w:b/>
                <w:bCs/>
                <w:sz w:val="20"/>
                <w:szCs w:val="20"/>
                <w:lang w:eastAsia="en-AU"/>
              </w:rPr>
              <w:t>Mining production.</w:t>
            </w:r>
            <w:r w:rsidRPr="008D7669">
              <w:rPr>
                <w:rFonts w:ascii="Calibri" w:eastAsia="Times New Roman" w:hAnsi="Calibri" w:cs="Times New Roman"/>
                <w:sz w:val="20"/>
                <w:szCs w:val="20"/>
                <w:lang w:eastAsia="en-AU"/>
              </w:rPr>
              <w:t xml:space="preserve"> A fall in the value of mining production, notably coal, reduced Queensland’s revenue raising capacity and increased its GST share.</w:t>
            </w:r>
          </w:p>
        </w:tc>
      </w:tr>
      <w:tr w:rsidR="008D7669" w:rsidRPr="008D7669" w:rsidTr="00D51D26">
        <w:trPr>
          <w:trHeight w:val="495"/>
        </w:trPr>
        <w:tc>
          <w:tcPr>
            <w:tcW w:w="700" w:type="dxa"/>
            <w:shd w:val="clear" w:color="auto" w:fill="auto"/>
            <w:hideMark/>
          </w:tcPr>
          <w:p w:rsidR="008D7669" w:rsidRPr="008D7669" w:rsidRDefault="008D7669" w:rsidP="008D7669">
            <w:pPr>
              <w:tabs>
                <w:tab w:val="clear" w:pos="567"/>
              </w:tabs>
              <w:spacing w:after="0" w:line="240" w:lineRule="auto"/>
              <w:jc w:val="right"/>
              <w:rPr>
                <w:rFonts w:ascii="Calibri" w:eastAsia="Times New Roman" w:hAnsi="Calibri" w:cs="Times New Roman"/>
                <w:sz w:val="20"/>
                <w:szCs w:val="20"/>
                <w:lang w:eastAsia="en-AU"/>
              </w:rPr>
            </w:pPr>
            <w:r w:rsidRPr="008D7669">
              <w:rPr>
                <w:rFonts w:ascii="Calibri" w:eastAsia="Times New Roman" w:hAnsi="Calibri" w:cs="Times New Roman"/>
                <w:sz w:val="20"/>
                <w:szCs w:val="20"/>
                <w:lang w:eastAsia="en-AU"/>
              </w:rPr>
              <w:t>151</w:t>
            </w:r>
          </w:p>
        </w:tc>
        <w:tc>
          <w:tcPr>
            <w:tcW w:w="540" w:type="dxa"/>
            <w:shd w:val="clear" w:color="auto" w:fill="auto"/>
            <w:noWrap/>
            <w:hideMark/>
          </w:tcPr>
          <w:p w:rsidR="008D7669" w:rsidRPr="008D7669" w:rsidRDefault="008D7669" w:rsidP="008D7669">
            <w:pPr>
              <w:tabs>
                <w:tab w:val="clear" w:pos="567"/>
              </w:tabs>
              <w:spacing w:after="0" w:line="240" w:lineRule="auto"/>
              <w:rPr>
                <w:rFonts w:ascii="Calibri" w:eastAsia="Times New Roman" w:hAnsi="Calibri" w:cs="Times New Roman"/>
                <w:sz w:val="20"/>
                <w:szCs w:val="20"/>
                <w:lang w:eastAsia="en-AU"/>
              </w:rPr>
            </w:pPr>
          </w:p>
        </w:tc>
        <w:tc>
          <w:tcPr>
            <w:tcW w:w="8680" w:type="dxa"/>
            <w:shd w:val="clear" w:color="auto" w:fill="auto"/>
            <w:hideMark/>
          </w:tcPr>
          <w:p w:rsidR="008D7669" w:rsidRPr="008D7669" w:rsidRDefault="008D7669" w:rsidP="008D7669">
            <w:pPr>
              <w:tabs>
                <w:tab w:val="clear" w:pos="567"/>
              </w:tabs>
              <w:spacing w:after="0" w:line="240" w:lineRule="auto"/>
              <w:rPr>
                <w:rFonts w:ascii="Calibri" w:eastAsia="Times New Roman" w:hAnsi="Calibri" w:cs="Times New Roman"/>
                <w:b/>
                <w:bCs/>
                <w:sz w:val="20"/>
                <w:szCs w:val="20"/>
                <w:lang w:eastAsia="en-AU"/>
              </w:rPr>
            </w:pPr>
            <w:r w:rsidRPr="008D7669">
              <w:rPr>
                <w:rFonts w:ascii="Calibri" w:eastAsia="Times New Roman" w:hAnsi="Calibri" w:cs="Times New Roman"/>
                <w:b/>
                <w:bCs/>
                <w:sz w:val="20"/>
                <w:szCs w:val="20"/>
                <w:lang w:eastAsia="en-AU"/>
              </w:rPr>
              <w:t>Natural disaster relief.</w:t>
            </w:r>
            <w:r w:rsidRPr="008D7669">
              <w:rPr>
                <w:rFonts w:ascii="Calibri" w:eastAsia="Times New Roman" w:hAnsi="Calibri" w:cs="Times New Roman"/>
                <w:sz w:val="20"/>
                <w:szCs w:val="20"/>
                <w:lang w:eastAsia="en-AU"/>
              </w:rPr>
              <w:t xml:space="preserve"> Queensland’s natural disaster relief net expenses remained at historically high levels in 2014-15 leading to an increase in its GST share.</w:t>
            </w:r>
          </w:p>
        </w:tc>
      </w:tr>
      <w:tr w:rsidR="008D7669" w:rsidRPr="008D7669" w:rsidTr="00D51D26">
        <w:trPr>
          <w:trHeight w:val="495"/>
        </w:trPr>
        <w:tc>
          <w:tcPr>
            <w:tcW w:w="700" w:type="dxa"/>
            <w:shd w:val="clear" w:color="auto" w:fill="auto"/>
            <w:hideMark/>
          </w:tcPr>
          <w:p w:rsidR="008D7669" w:rsidRPr="008D7669" w:rsidRDefault="008D7669" w:rsidP="008D7669">
            <w:pPr>
              <w:tabs>
                <w:tab w:val="clear" w:pos="567"/>
              </w:tabs>
              <w:spacing w:after="0" w:line="240" w:lineRule="auto"/>
              <w:jc w:val="right"/>
              <w:rPr>
                <w:rFonts w:ascii="Calibri" w:eastAsia="Times New Roman" w:hAnsi="Calibri" w:cs="Times New Roman"/>
                <w:sz w:val="20"/>
                <w:szCs w:val="20"/>
                <w:lang w:eastAsia="en-AU"/>
              </w:rPr>
            </w:pPr>
            <w:r w:rsidRPr="008D7669">
              <w:rPr>
                <w:rFonts w:ascii="Calibri" w:eastAsia="Times New Roman" w:hAnsi="Calibri" w:cs="Times New Roman"/>
                <w:sz w:val="20"/>
                <w:szCs w:val="20"/>
                <w:lang w:eastAsia="en-AU"/>
              </w:rPr>
              <w:t>94</w:t>
            </w:r>
          </w:p>
        </w:tc>
        <w:tc>
          <w:tcPr>
            <w:tcW w:w="540" w:type="dxa"/>
            <w:shd w:val="clear" w:color="auto" w:fill="auto"/>
            <w:noWrap/>
            <w:hideMark/>
          </w:tcPr>
          <w:p w:rsidR="008D7669" w:rsidRPr="008D7669" w:rsidRDefault="008D7669" w:rsidP="008D7669">
            <w:pPr>
              <w:tabs>
                <w:tab w:val="clear" w:pos="567"/>
              </w:tabs>
              <w:spacing w:after="0" w:line="240" w:lineRule="auto"/>
              <w:rPr>
                <w:rFonts w:ascii="Calibri" w:eastAsia="Times New Roman" w:hAnsi="Calibri" w:cs="Times New Roman"/>
                <w:sz w:val="20"/>
                <w:szCs w:val="20"/>
                <w:lang w:eastAsia="en-AU"/>
              </w:rPr>
            </w:pPr>
          </w:p>
        </w:tc>
        <w:tc>
          <w:tcPr>
            <w:tcW w:w="8680" w:type="dxa"/>
            <w:shd w:val="clear" w:color="auto" w:fill="auto"/>
            <w:hideMark/>
          </w:tcPr>
          <w:p w:rsidR="008D7669" w:rsidRPr="008D7669" w:rsidRDefault="008D7669" w:rsidP="008D7669">
            <w:pPr>
              <w:tabs>
                <w:tab w:val="clear" w:pos="567"/>
              </w:tabs>
              <w:spacing w:after="0" w:line="240" w:lineRule="auto"/>
              <w:rPr>
                <w:rFonts w:ascii="Calibri" w:eastAsia="Times New Roman" w:hAnsi="Calibri" w:cs="Times New Roman"/>
                <w:b/>
                <w:bCs/>
                <w:sz w:val="20"/>
                <w:szCs w:val="20"/>
                <w:lang w:eastAsia="en-AU"/>
              </w:rPr>
            </w:pPr>
            <w:r w:rsidRPr="008D7669">
              <w:rPr>
                <w:rFonts w:ascii="Calibri" w:eastAsia="Times New Roman" w:hAnsi="Calibri" w:cs="Times New Roman"/>
                <w:b/>
                <w:bCs/>
                <w:sz w:val="20"/>
                <w:szCs w:val="20"/>
                <w:lang w:eastAsia="en-AU"/>
              </w:rPr>
              <w:t>Property sales.</w:t>
            </w:r>
            <w:r w:rsidRPr="008D7669">
              <w:rPr>
                <w:rFonts w:ascii="Calibri" w:eastAsia="Times New Roman" w:hAnsi="Calibri" w:cs="Times New Roman"/>
                <w:sz w:val="20"/>
                <w:szCs w:val="20"/>
                <w:lang w:eastAsia="en-AU"/>
              </w:rPr>
              <w:t xml:space="preserve"> A below average increase in Queensland’s property sales reduced its capacity to raise revenue from conveyance duty and increased its GST share.</w:t>
            </w:r>
          </w:p>
        </w:tc>
      </w:tr>
      <w:tr w:rsidR="008D7669" w:rsidRPr="008D7669" w:rsidTr="00D51D26">
        <w:trPr>
          <w:trHeight w:val="735"/>
        </w:trPr>
        <w:tc>
          <w:tcPr>
            <w:tcW w:w="700" w:type="dxa"/>
            <w:shd w:val="clear" w:color="auto" w:fill="auto"/>
            <w:hideMark/>
          </w:tcPr>
          <w:p w:rsidR="008D7669" w:rsidRPr="008D7669" w:rsidRDefault="008D7669" w:rsidP="008D7669">
            <w:pPr>
              <w:tabs>
                <w:tab w:val="clear" w:pos="567"/>
              </w:tabs>
              <w:spacing w:after="0" w:line="240" w:lineRule="auto"/>
              <w:jc w:val="right"/>
              <w:rPr>
                <w:rFonts w:ascii="Calibri" w:eastAsia="Times New Roman" w:hAnsi="Calibri" w:cs="Times New Roman"/>
                <w:sz w:val="20"/>
                <w:szCs w:val="20"/>
                <w:lang w:eastAsia="en-AU"/>
              </w:rPr>
            </w:pPr>
            <w:r w:rsidRPr="008D7669">
              <w:rPr>
                <w:rFonts w:ascii="Calibri" w:eastAsia="Times New Roman" w:hAnsi="Calibri" w:cs="Times New Roman"/>
                <w:sz w:val="20"/>
                <w:szCs w:val="20"/>
                <w:lang w:eastAsia="en-AU"/>
              </w:rPr>
              <w:t>-69</w:t>
            </w:r>
          </w:p>
        </w:tc>
        <w:tc>
          <w:tcPr>
            <w:tcW w:w="540" w:type="dxa"/>
            <w:shd w:val="clear" w:color="auto" w:fill="auto"/>
            <w:noWrap/>
            <w:hideMark/>
          </w:tcPr>
          <w:p w:rsidR="008D7669" w:rsidRPr="008D7669" w:rsidRDefault="008D7669" w:rsidP="008D7669">
            <w:pPr>
              <w:tabs>
                <w:tab w:val="clear" w:pos="567"/>
              </w:tabs>
              <w:spacing w:after="0" w:line="240" w:lineRule="auto"/>
              <w:rPr>
                <w:rFonts w:ascii="Calibri" w:eastAsia="Times New Roman" w:hAnsi="Calibri" w:cs="Times New Roman"/>
                <w:sz w:val="20"/>
                <w:szCs w:val="20"/>
                <w:lang w:eastAsia="en-AU"/>
              </w:rPr>
            </w:pPr>
          </w:p>
        </w:tc>
        <w:tc>
          <w:tcPr>
            <w:tcW w:w="8680" w:type="dxa"/>
            <w:shd w:val="clear" w:color="auto" w:fill="auto"/>
            <w:hideMark/>
          </w:tcPr>
          <w:p w:rsidR="008D7669" w:rsidRPr="008D7669" w:rsidRDefault="008D7669" w:rsidP="008D7669">
            <w:pPr>
              <w:tabs>
                <w:tab w:val="clear" w:pos="567"/>
              </w:tabs>
              <w:spacing w:after="0" w:line="240" w:lineRule="auto"/>
              <w:rPr>
                <w:rFonts w:ascii="Calibri" w:eastAsia="Times New Roman" w:hAnsi="Calibri" w:cs="Times New Roman"/>
                <w:b/>
                <w:bCs/>
                <w:sz w:val="20"/>
                <w:szCs w:val="20"/>
                <w:lang w:eastAsia="en-AU"/>
              </w:rPr>
            </w:pPr>
            <w:r w:rsidRPr="008D7669">
              <w:rPr>
                <w:rFonts w:ascii="Calibri" w:eastAsia="Times New Roman" w:hAnsi="Calibri" w:cs="Times New Roman"/>
                <w:b/>
                <w:bCs/>
                <w:sz w:val="20"/>
                <w:szCs w:val="20"/>
                <w:lang w:eastAsia="en-AU"/>
              </w:rPr>
              <w:t>Investment including population growth.</w:t>
            </w:r>
            <w:r w:rsidRPr="008D7669">
              <w:rPr>
                <w:rFonts w:ascii="Calibri" w:eastAsia="Times New Roman" w:hAnsi="Calibri" w:cs="Times New Roman"/>
                <w:sz w:val="20"/>
                <w:szCs w:val="20"/>
                <w:lang w:eastAsia="en-AU"/>
              </w:rPr>
              <w:t xml:space="preserve"> Queensland’s share of national population growth was smaller in 2014</w:t>
            </w:r>
            <w:r w:rsidRPr="008D7669">
              <w:rPr>
                <w:rFonts w:ascii="Calibri" w:eastAsia="Times New Roman" w:hAnsi="Calibri" w:cs="Times New Roman"/>
                <w:sz w:val="20"/>
                <w:szCs w:val="20"/>
                <w:lang w:eastAsia="en-AU"/>
              </w:rPr>
              <w:noBreakHyphen/>
              <w:t>15 compared to 2011</w:t>
            </w:r>
            <w:r w:rsidRPr="008D7669">
              <w:rPr>
                <w:rFonts w:ascii="Calibri" w:eastAsia="Times New Roman" w:hAnsi="Calibri" w:cs="Times New Roman"/>
                <w:sz w:val="20"/>
                <w:szCs w:val="20"/>
                <w:lang w:eastAsia="en-AU"/>
              </w:rPr>
              <w:noBreakHyphen/>
              <w:t>12 and this reduced its assessed investment and its GST share. Assessed investment in social infrastructure (for example, schools) contributed most to this change.</w:t>
            </w:r>
          </w:p>
        </w:tc>
      </w:tr>
      <w:tr w:rsidR="008D7669" w:rsidRPr="008D7669" w:rsidTr="00D51D26">
        <w:trPr>
          <w:trHeight w:val="735"/>
        </w:trPr>
        <w:tc>
          <w:tcPr>
            <w:tcW w:w="700" w:type="dxa"/>
            <w:tcBorders>
              <w:bottom w:val="single" w:sz="4" w:space="0" w:color="auto"/>
            </w:tcBorders>
            <w:shd w:val="clear" w:color="auto" w:fill="auto"/>
            <w:hideMark/>
          </w:tcPr>
          <w:p w:rsidR="008D7669" w:rsidRPr="008D7669" w:rsidRDefault="008D7669" w:rsidP="008D7669">
            <w:pPr>
              <w:tabs>
                <w:tab w:val="clear" w:pos="567"/>
              </w:tabs>
              <w:spacing w:after="0" w:line="240" w:lineRule="auto"/>
              <w:jc w:val="right"/>
              <w:rPr>
                <w:rFonts w:ascii="Calibri" w:eastAsia="Times New Roman" w:hAnsi="Calibri" w:cs="Times New Roman"/>
                <w:sz w:val="20"/>
                <w:szCs w:val="20"/>
                <w:lang w:eastAsia="en-AU"/>
              </w:rPr>
            </w:pPr>
            <w:r w:rsidRPr="008D7669">
              <w:rPr>
                <w:rFonts w:ascii="Calibri" w:eastAsia="Times New Roman" w:hAnsi="Calibri" w:cs="Times New Roman"/>
                <w:sz w:val="20"/>
                <w:szCs w:val="20"/>
                <w:lang w:eastAsia="en-AU"/>
              </w:rPr>
              <w:t>47</w:t>
            </w:r>
          </w:p>
        </w:tc>
        <w:tc>
          <w:tcPr>
            <w:tcW w:w="540" w:type="dxa"/>
            <w:tcBorders>
              <w:bottom w:val="single" w:sz="4" w:space="0" w:color="auto"/>
            </w:tcBorders>
            <w:shd w:val="clear" w:color="auto" w:fill="auto"/>
            <w:noWrap/>
            <w:hideMark/>
          </w:tcPr>
          <w:p w:rsidR="008D7669" w:rsidRPr="008D7669" w:rsidRDefault="008D7669" w:rsidP="008D7669">
            <w:pPr>
              <w:tabs>
                <w:tab w:val="clear" w:pos="567"/>
              </w:tabs>
              <w:spacing w:after="0" w:line="240" w:lineRule="auto"/>
              <w:rPr>
                <w:rFonts w:ascii="Calibri" w:eastAsia="Times New Roman" w:hAnsi="Calibri" w:cs="Times New Roman"/>
                <w:sz w:val="20"/>
                <w:szCs w:val="20"/>
                <w:lang w:eastAsia="en-AU"/>
              </w:rPr>
            </w:pPr>
            <w:r w:rsidRPr="008D7669">
              <w:rPr>
                <w:rFonts w:ascii="Calibri" w:eastAsia="Times New Roman" w:hAnsi="Calibri" w:cs="Times New Roman"/>
                <w:sz w:val="20"/>
                <w:szCs w:val="20"/>
                <w:lang w:eastAsia="en-AU"/>
              </w:rPr>
              <w:t> </w:t>
            </w:r>
          </w:p>
        </w:tc>
        <w:tc>
          <w:tcPr>
            <w:tcW w:w="8680" w:type="dxa"/>
            <w:tcBorders>
              <w:bottom w:val="single" w:sz="4" w:space="0" w:color="auto"/>
            </w:tcBorders>
            <w:shd w:val="clear" w:color="auto" w:fill="auto"/>
            <w:hideMark/>
          </w:tcPr>
          <w:p w:rsidR="008D7669" w:rsidRPr="008D7669" w:rsidRDefault="008D7669" w:rsidP="008D7669">
            <w:pPr>
              <w:tabs>
                <w:tab w:val="clear" w:pos="567"/>
              </w:tabs>
              <w:spacing w:after="0" w:line="240" w:lineRule="auto"/>
              <w:rPr>
                <w:rFonts w:ascii="Calibri" w:eastAsia="Times New Roman" w:hAnsi="Calibri" w:cs="Times New Roman"/>
                <w:b/>
                <w:bCs/>
                <w:sz w:val="20"/>
                <w:szCs w:val="20"/>
                <w:lang w:eastAsia="en-AU"/>
              </w:rPr>
            </w:pPr>
            <w:r w:rsidRPr="008D7669">
              <w:rPr>
                <w:rFonts w:ascii="Calibri" w:eastAsia="Times New Roman" w:hAnsi="Calibri" w:cs="Times New Roman"/>
                <w:b/>
                <w:bCs/>
                <w:sz w:val="20"/>
                <w:szCs w:val="20"/>
                <w:lang w:eastAsia="en-AU"/>
              </w:rPr>
              <w:t xml:space="preserve">Taxable payrolls. </w:t>
            </w:r>
            <w:r w:rsidRPr="008D7669">
              <w:rPr>
                <w:rFonts w:ascii="Calibri" w:eastAsia="Times New Roman" w:hAnsi="Calibri" w:cs="Times New Roman"/>
                <w:sz w:val="20"/>
                <w:szCs w:val="20"/>
                <w:lang w:eastAsia="en-AU"/>
              </w:rPr>
              <w:t>Queensland’s taxable private sector payrolls had below average growth between 2011</w:t>
            </w:r>
            <w:r w:rsidRPr="008D7669">
              <w:rPr>
                <w:rFonts w:ascii="Calibri" w:eastAsia="Times New Roman" w:hAnsi="Calibri" w:cs="Times New Roman"/>
                <w:sz w:val="20"/>
                <w:szCs w:val="20"/>
                <w:lang w:eastAsia="en-AU"/>
              </w:rPr>
              <w:noBreakHyphen/>
              <w:t>12 and 2014</w:t>
            </w:r>
            <w:r w:rsidRPr="008D7669">
              <w:rPr>
                <w:rFonts w:ascii="Calibri" w:eastAsia="Times New Roman" w:hAnsi="Calibri" w:cs="Times New Roman"/>
                <w:sz w:val="20"/>
                <w:szCs w:val="20"/>
                <w:lang w:eastAsia="en-AU"/>
              </w:rPr>
              <w:noBreakHyphen/>
              <w:t>15 leading to a reduction in its revenue raising capacity and an increase in its GST share.</w:t>
            </w:r>
          </w:p>
        </w:tc>
      </w:tr>
    </w:tbl>
    <w:p w:rsidR="006A3E53" w:rsidRDefault="006A3E53" w:rsidP="006A3E53">
      <w:pPr>
        <w:sectPr w:rsidR="006A3E53" w:rsidSect="0055307A">
          <w:type w:val="continuous"/>
          <w:pgSz w:w="11899" w:h="16838" w:code="9"/>
          <w:pgMar w:top="1440" w:right="1080" w:bottom="1440" w:left="1080" w:header="709" w:footer="709" w:gutter="0"/>
          <w:cols w:space="1"/>
          <w:titlePg/>
          <w:docGrid w:linePitch="326"/>
        </w:sectPr>
      </w:pPr>
    </w:p>
    <w:p w:rsidR="006A3E53" w:rsidRPr="00F567B9" w:rsidRDefault="006A3E53" w:rsidP="008556E1">
      <w:pPr>
        <w:spacing w:before="240"/>
        <w:rPr>
          <w:noProof/>
          <w:lang w:eastAsia="en-AU"/>
        </w:rPr>
      </w:pPr>
      <w:proofErr w:type="gramStart"/>
      <w:r w:rsidRPr="00EB0261">
        <w:rPr>
          <w:rStyle w:val="Heading6Char"/>
        </w:rPr>
        <w:lastRenderedPageBreak/>
        <w:t xml:space="preserve">Fiscal </w:t>
      </w:r>
      <w:r>
        <w:rPr>
          <w:rStyle w:val="Heading6Char"/>
        </w:rPr>
        <w:t>capacity</w:t>
      </w:r>
      <w:r w:rsidRPr="00EB0261">
        <w:rPr>
          <w:rStyle w:val="Heading6Char"/>
        </w:rPr>
        <w:t>.</w:t>
      </w:r>
      <w:proofErr w:type="gramEnd"/>
      <w:r w:rsidRPr="00EB0261">
        <w:t xml:space="preserve"> </w:t>
      </w:r>
      <w:r>
        <w:t xml:space="preserve">Queensland’s below average fiscal </w:t>
      </w:r>
      <w:r w:rsidR="009774F3">
        <w:t xml:space="preserve">capacity </w:t>
      </w:r>
      <w:r>
        <w:t>is</w:t>
      </w:r>
      <w:r w:rsidRPr="00F567B9">
        <w:t xml:space="preserve"> due to above average assessed expenses</w:t>
      </w:r>
      <w:r>
        <w:t xml:space="preserve"> and below average </w:t>
      </w:r>
      <w:r w:rsidRPr="00F567B9">
        <w:t xml:space="preserve">revenue raising capacity which reflects a below average payroll tax base and below average </w:t>
      </w:r>
      <w:r>
        <w:t>property sales.</w:t>
      </w:r>
      <w:r>
        <w:rPr>
          <w:noProof/>
          <w:lang w:eastAsia="en-AU"/>
        </w:rPr>
        <w:t xml:space="preserve"> T</w:t>
      </w:r>
      <w:r w:rsidRPr="00F567B9">
        <w:t xml:space="preserve">his is </w:t>
      </w:r>
      <w:r>
        <w:t xml:space="preserve">partly </w:t>
      </w:r>
      <w:r w:rsidRPr="00F567B9">
        <w:t>offset by its above average mining production</w:t>
      </w:r>
      <w:r w:rsidR="009774F3">
        <w:t>,</w:t>
      </w:r>
      <w:r>
        <w:t xml:space="preserve"> </w:t>
      </w:r>
      <w:r w:rsidR="009774F3">
        <w:rPr>
          <w:noProof/>
          <w:lang w:eastAsia="en-AU"/>
        </w:rPr>
        <w:t>and</w:t>
      </w:r>
      <w:r w:rsidR="009774F3" w:rsidRPr="00F567B9">
        <w:rPr>
          <w:noProof/>
          <w:lang w:eastAsia="en-AU"/>
        </w:rPr>
        <w:t xml:space="preserve"> above average share</w:t>
      </w:r>
      <w:r w:rsidR="0098086C">
        <w:rPr>
          <w:noProof/>
          <w:lang w:eastAsia="en-AU"/>
        </w:rPr>
        <w:t>s</w:t>
      </w:r>
      <w:r w:rsidR="009774F3" w:rsidRPr="00F567B9">
        <w:rPr>
          <w:noProof/>
          <w:lang w:eastAsia="en-AU"/>
        </w:rPr>
        <w:t xml:space="preserve"> of </w:t>
      </w:r>
      <w:r w:rsidR="00892DA0">
        <w:rPr>
          <w:noProof/>
          <w:lang w:eastAsia="en-AU"/>
        </w:rPr>
        <w:t xml:space="preserve">motor vehicles and </w:t>
      </w:r>
      <w:r w:rsidR="009774F3" w:rsidRPr="00F567B9">
        <w:rPr>
          <w:noProof/>
          <w:lang w:eastAsia="en-AU"/>
        </w:rPr>
        <w:t>Commonwealth payments</w:t>
      </w:r>
      <w:r w:rsidR="009774F3">
        <w:rPr>
          <w:noProof/>
          <w:lang w:eastAsia="en-AU"/>
        </w:rPr>
        <w:t>.</w:t>
      </w:r>
    </w:p>
    <w:p w:rsidR="006A3E53" w:rsidRDefault="006A3E53" w:rsidP="006A3E53">
      <w:pPr>
        <w:rPr>
          <w:szCs w:val="24"/>
        </w:rPr>
      </w:pPr>
      <w:r w:rsidRPr="00F567B9">
        <w:t>Its high expense requirements are due to above average shares of government school enrolments, Indigenous people and people living in remote areas. In addition, Queensland’s share of natural disaster relief net expenses is well above average. Those effects are partly offset by its below average wage</w:t>
      </w:r>
      <w:r>
        <w:t xml:space="preserve"> expenses and </w:t>
      </w:r>
      <w:r w:rsidR="009774F3">
        <w:t>costs of providing urban transport</w:t>
      </w:r>
      <w:r w:rsidRPr="00F567B9">
        <w:t>.</w:t>
      </w:r>
    </w:p>
    <w:p w:rsidR="006A3E53" w:rsidRDefault="006A3E53" w:rsidP="008767BF">
      <w:pPr>
        <w:pStyle w:val="CGCTableHeading"/>
        <w:keepNext w:val="0"/>
        <w:keepLines w:val="0"/>
        <w:spacing w:after="80" w:line="320" w:lineRule="atLeast"/>
        <w:ind w:left="0" w:firstLine="0"/>
      </w:pPr>
      <w:r>
        <w:rPr>
          <w:szCs w:val="24"/>
        </w:rPr>
        <w:br w:type="column"/>
      </w:r>
      <w:r>
        <w:lastRenderedPageBreak/>
        <w:t xml:space="preserve">Table </w:t>
      </w:r>
      <w:r w:rsidR="0014378B">
        <w:fldChar w:fldCharType="begin"/>
      </w:r>
      <w:r w:rsidR="0014378B">
        <w:instrText xml:space="preserve"> SEQ Table \* ARABIC </w:instrText>
      </w:r>
      <w:r w:rsidR="0014378B">
        <w:fldChar w:fldCharType="separate"/>
      </w:r>
      <w:r w:rsidR="007A6AF0">
        <w:rPr>
          <w:noProof/>
        </w:rPr>
        <w:t>13</w:t>
      </w:r>
      <w:r w:rsidR="0014378B">
        <w:rPr>
          <w:noProof/>
        </w:rPr>
        <w:fldChar w:fldCharType="end"/>
      </w:r>
      <w:r w:rsidRPr="00EC79CF">
        <w:tab/>
        <w:t>Assessed GST, 201</w:t>
      </w:r>
      <w:r>
        <w:t>6</w:t>
      </w:r>
      <w:r>
        <w:noBreakHyphen/>
        <w:t>17</w:t>
      </w:r>
    </w:p>
    <w:tbl>
      <w:tblPr>
        <w:tblW w:w="4240" w:type="dxa"/>
        <w:tblInd w:w="93" w:type="dxa"/>
        <w:tblLook w:val="04A0" w:firstRow="1" w:lastRow="0" w:firstColumn="1" w:lastColumn="0" w:noHBand="0" w:noVBand="1"/>
      </w:tblPr>
      <w:tblGrid>
        <w:gridCol w:w="2700"/>
        <w:gridCol w:w="820"/>
        <w:gridCol w:w="720"/>
      </w:tblGrid>
      <w:tr w:rsidR="0064743F" w:rsidRPr="0064743F" w:rsidTr="0064743F">
        <w:trPr>
          <w:trHeight w:val="375"/>
        </w:trPr>
        <w:tc>
          <w:tcPr>
            <w:tcW w:w="270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$pc</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Equal per capita share</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12 214</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2 496</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Effect of assessed:</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Expenses</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1 872</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383</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Investment</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-56</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-11</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Net borrowing</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-7</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Revenue</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431</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88</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Commonwealth payments</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-105</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-21</w:t>
            </w:r>
          </w:p>
        </w:tc>
      </w:tr>
      <w:tr w:rsidR="0064743F" w:rsidRPr="0064743F" w:rsidTr="0064743F">
        <w:trPr>
          <w:trHeight w:val="315"/>
        </w:trPr>
        <w:tc>
          <w:tcPr>
            <w:tcW w:w="270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Assessed GST</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14 348</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2 932</w:t>
            </w:r>
          </w:p>
        </w:tc>
      </w:tr>
    </w:tbl>
    <w:p w:rsidR="006A3E53" w:rsidRDefault="006A3E53" w:rsidP="006A3E53">
      <w:pPr>
        <w:pStyle w:val="CGCTableFootnote"/>
        <w:sectPr w:rsidR="006A3E53" w:rsidSect="0055307A">
          <w:type w:val="continuous"/>
          <w:pgSz w:w="11899" w:h="16838" w:code="9"/>
          <w:pgMar w:top="1440" w:right="1080" w:bottom="1440" w:left="1080" w:header="709" w:footer="709" w:gutter="0"/>
          <w:cols w:num="2" w:space="157" w:equalWidth="0">
            <w:col w:w="5500" w:space="157"/>
            <w:col w:w="4082"/>
          </w:cols>
          <w:titlePg/>
          <w:docGrid w:linePitch="326"/>
        </w:sectPr>
      </w:pPr>
      <w:r>
        <w:t>Note: Table may not add due to rounding.</w:t>
      </w:r>
    </w:p>
    <w:p w:rsidR="006A3E53" w:rsidRDefault="006A3E53" w:rsidP="006A3E53">
      <w:pPr>
        <w:pStyle w:val="Heading4"/>
        <w:spacing w:before="0"/>
        <w:sectPr w:rsidR="006A3E53" w:rsidSect="0055307A">
          <w:footerReference w:type="default" r:id="rId36"/>
          <w:footerReference w:type="first" r:id="rId37"/>
          <w:pgSz w:w="11899" w:h="16838" w:code="9"/>
          <w:pgMar w:top="1440" w:right="1080" w:bottom="1440" w:left="1080" w:header="709" w:footer="709" w:gutter="0"/>
          <w:cols w:space="708"/>
          <w:titlePg/>
          <w:docGrid w:linePitch="326"/>
        </w:sectPr>
      </w:pPr>
      <w:bookmarkStart w:id="319" w:name="_Toc442191911"/>
      <w:bookmarkStart w:id="320" w:name="_Toc442192163"/>
      <w:bookmarkStart w:id="321" w:name="_Toc442192228"/>
      <w:bookmarkStart w:id="322" w:name="_Toc442772814"/>
      <w:bookmarkStart w:id="323" w:name="_Toc442773041"/>
      <w:bookmarkStart w:id="324" w:name="_Toc442773213"/>
      <w:bookmarkStart w:id="325" w:name="_Toc442883278"/>
      <w:bookmarkStart w:id="326" w:name="_Toc442949131"/>
      <w:r>
        <w:lastRenderedPageBreak/>
        <w:t>Western Australia</w:t>
      </w:r>
      <w:bookmarkEnd w:id="319"/>
      <w:bookmarkEnd w:id="320"/>
      <w:bookmarkEnd w:id="321"/>
      <w:bookmarkEnd w:id="322"/>
      <w:bookmarkEnd w:id="323"/>
      <w:bookmarkEnd w:id="324"/>
      <w:bookmarkEnd w:id="325"/>
      <w:bookmarkEnd w:id="326"/>
    </w:p>
    <w:p w:rsidR="006A3E53" w:rsidRPr="0001171D" w:rsidRDefault="006A3E53" w:rsidP="0001171D">
      <w:pPr>
        <w:spacing w:before="120"/>
        <w:rPr>
          <w:rStyle w:val="CGCTableHeadingChar"/>
        </w:rPr>
      </w:pPr>
      <w:proofErr w:type="gramStart"/>
      <w:r>
        <w:rPr>
          <w:rStyle w:val="Heading6Char"/>
        </w:rPr>
        <w:lastRenderedPageBreak/>
        <w:t>Changes in this update.</w:t>
      </w:r>
      <w:proofErr w:type="gramEnd"/>
      <w:r>
        <w:rPr>
          <w:rStyle w:val="Heading6Char"/>
        </w:rPr>
        <w:t xml:space="preserve"> </w:t>
      </w:r>
      <w:r w:rsidRPr="00F07716">
        <w:t xml:space="preserve">Western Australia’s </w:t>
      </w:r>
      <w:r>
        <w:t>assessed fiscal capacity has stabilised with its share of GST revenue in 2016</w:t>
      </w:r>
      <w:r>
        <w:noBreakHyphen/>
        <w:t xml:space="preserve">17 increasing slightly from 3.3% to 3.4%. </w:t>
      </w:r>
      <w:r w:rsidR="004F0129">
        <w:t xml:space="preserve">This was </w:t>
      </w:r>
      <w:r>
        <w:t xml:space="preserve">the result of two significant but offsetting changes. </w:t>
      </w:r>
      <w:r w:rsidR="009774F3">
        <w:t>T</w:t>
      </w:r>
      <w:r>
        <w:t xml:space="preserve">here was a decline in its revenue raising capacity due to a </w:t>
      </w:r>
      <w:r w:rsidR="00541A5D">
        <w:t xml:space="preserve">fall </w:t>
      </w:r>
      <w:r>
        <w:t>in the value of iron ore production and below aver</w:t>
      </w:r>
      <w:r w:rsidR="008E24BC">
        <w:t xml:space="preserve">age growth in property sales, </w:t>
      </w:r>
      <w:r w:rsidR="002131EC">
        <w:t>but this was offset by</w:t>
      </w:r>
      <w:r>
        <w:t xml:space="preserve"> a decline in its share of </w:t>
      </w:r>
      <w:r w:rsidR="00541A5D">
        <w:t xml:space="preserve">national </w:t>
      </w:r>
      <w:r>
        <w:t>population growth</w:t>
      </w:r>
      <w:r w:rsidR="006C49B6">
        <w:t xml:space="preserve"> that reduced</w:t>
      </w:r>
      <w:r>
        <w:t xml:space="preserve"> its assessed investment</w:t>
      </w:r>
      <w:r w:rsidR="002131EC">
        <w:t>.</w:t>
      </w:r>
      <w:r>
        <w:t xml:space="preserve"> Compared</w:t>
      </w:r>
      <w:r w:rsidR="006E269B">
        <w:t xml:space="preserve"> with</w:t>
      </w:r>
      <w:r>
        <w:t xml:space="preserve"> 2015-16, the State’s GST wi</w:t>
      </w:r>
      <w:r w:rsidR="008E24BC">
        <w:t>ll rise by $148</w:t>
      </w:r>
      <w:r w:rsidR="00541A5D">
        <w:t> </w:t>
      </w:r>
      <w:r w:rsidR="008E24BC">
        <w:t>million or 7.</w:t>
      </w:r>
      <w:r w:rsidR="007F71B1">
        <w:t>8</w:t>
      </w:r>
      <w:r w:rsidR="008E24BC">
        <w:t xml:space="preserve">% due to growth in the GST </w:t>
      </w:r>
      <w:r w:rsidR="00541A5D">
        <w:t xml:space="preserve">pool </w:t>
      </w:r>
      <w:r w:rsidR="008E24BC">
        <w:t xml:space="preserve">and a small </w:t>
      </w:r>
      <w:r w:rsidR="006E269B">
        <w:t>fall</w:t>
      </w:r>
      <w:r w:rsidR="008E24BC">
        <w:t xml:space="preserve"> in its assessed fiscal capacity.</w:t>
      </w:r>
      <w:r>
        <w:br w:type="column"/>
      </w:r>
      <w:r w:rsidRPr="0001171D">
        <w:rPr>
          <w:rStyle w:val="CGCTableHeadingChar"/>
        </w:rPr>
        <w:lastRenderedPageBreak/>
        <w:t xml:space="preserve">Table </w:t>
      </w:r>
      <w:r w:rsidR="005F0051" w:rsidRPr="0001171D">
        <w:rPr>
          <w:rStyle w:val="CGCTableHeadingChar"/>
        </w:rPr>
        <w:fldChar w:fldCharType="begin"/>
      </w:r>
      <w:r w:rsidR="005F0051" w:rsidRPr="0001171D">
        <w:rPr>
          <w:rStyle w:val="CGCTableHeadingChar"/>
        </w:rPr>
        <w:instrText xml:space="preserve"> SEQ Table \* ARABIC </w:instrText>
      </w:r>
      <w:r w:rsidR="005F0051" w:rsidRPr="0001171D">
        <w:rPr>
          <w:rStyle w:val="CGCTableHeadingChar"/>
        </w:rPr>
        <w:fldChar w:fldCharType="separate"/>
      </w:r>
      <w:r w:rsidR="007A6AF0">
        <w:rPr>
          <w:rStyle w:val="CGCTableHeadingChar"/>
          <w:noProof/>
        </w:rPr>
        <w:t>14</w:t>
      </w:r>
      <w:r w:rsidR="005F0051" w:rsidRPr="0001171D">
        <w:rPr>
          <w:rStyle w:val="CGCTableHeadingChar"/>
        </w:rPr>
        <w:fldChar w:fldCharType="end"/>
      </w:r>
      <w:r w:rsidR="00D92EEC">
        <w:rPr>
          <w:rStyle w:val="CGCTableHeadingChar"/>
        </w:rPr>
        <w:tab/>
        <w:t>Change</w:t>
      </w:r>
      <w:r w:rsidRPr="0001171D">
        <w:rPr>
          <w:rStyle w:val="CGCTableHeadingChar"/>
        </w:rPr>
        <w:t xml:space="preserve"> in GST</w:t>
      </w:r>
    </w:p>
    <w:tbl>
      <w:tblPr>
        <w:tblW w:w="4240" w:type="dxa"/>
        <w:tblInd w:w="93" w:type="dxa"/>
        <w:tblLook w:val="04A0" w:firstRow="1" w:lastRow="0" w:firstColumn="1" w:lastColumn="0" w:noHBand="0" w:noVBand="1"/>
      </w:tblPr>
      <w:tblGrid>
        <w:gridCol w:w="2700"/>
        <w:gridCol w:w="820"/>
        <w:gridCol w:w="720"/>
      </w:tblGrid>
      <w:tr w:rsidR="0064743F" w:rsidRPr="0064743F" w:rsidTr="0064743F">
        <w:trPr>
          <w:trHeight w:val="375"/>
        </w:trPr>
        <w:tc>
          <w:tcPr>
            <w:tcW w:w="270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$pc</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Change due to</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New population</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12</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Growth in GST available</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115</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43</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New relativities</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20</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8</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200" w:firstLine="4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Data revisions</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-44</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-16</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200" w:firstLine="4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Change in circumstances</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63</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23</w:t>
            </w:r>
          </w:p>
        </w:tc>
      </w:tr>
      <w:tr w:rsidR="0064743F" w:rsidRPr="0064743F" w:rsidTr="0064743F">
        <w:trPr>
          <w:trHeight w:val="315"/>
        </w:trPr>
        <w:tc>
          <w:tcPr>
            <w:tcW w:w="270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Total change</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148</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55</w:t>
            </w:r>
          </w:p>
        </w:tc>
      </w:tr>
    </w:tbl>
    <w:p w:rsidR="006A3E53" w:rsidRDefault="006A3E53" w:rsidP="006A3E53">
      <w:pPr>
        <w:pStyle w:val="CGCTableFootnote"/>
        <w:sectPr w:rsidR="006A3E53" w:rsidSect="0055307A">
          <w:type w:val="continuous"/>
          <w:pgSz w:w="11899" w:h="16838" w:code="9"/>
          <w:pgMar w:top="1440" w:right="1080" w:bottom="1440" w:left="1080" w:header="709" w:footer="709" w:gutter="0"/>
          <w:cols w:num="2" w:space="145" w:equalWidth="0">
            <w:col w:w="5500" w:space="145"/>
            <w:col w:w="4094"/>
          </w:cols>
          <w:titlePg/>
          <w:docGrid w:linePitch="326"/>
        </w:sectPr>
      </w:pPr>
      <w:r>
        <w:t>Note: Table may not add due to rounding.</w:t>
      </w:r>
    </w:p>
    <w:p w:rsidR="006A3E53" w:rsidRDefault="006A3E53" w:rsidP="0001171D">
      <w:pPr>
        <w:pStyle w:val="CGCTableHeading"/>
        <w:spacing w:after="80" w:line="320" w:lineRule="atLeast"/>
      </w:pPr>
      <w:r>
        <w:lastRenderedPageBreak/>
        <w:t xml:space="preserve">Table </w:t>
      </w:r>
      <w:r w:rsidR="0014378B">
        <w:fldChar w:fldCharType="begin"/>
      </w:r>
      <w:r w:rsidR="0014378B">
        <w:instrText xml:space="preserve"> SEQ Table \* ARABIC </w:instrText>
      </w:r>
      <w:r w:rsidR="0014378B">
        <w:fldChar w:fldCharType="separate"/>
      </w:r>
      <w:r w:rsidR="007A6AF0">
        <w:rPr>
          <w:noProof/>
        </w:rPr>
        <w:t>15</w:t>
      </w:r>
      <w:r w:rsidR="0014378B">
        <w:rPr>
          <w:noProof/>
        </w:rPr>
        <w:fldChar w:fldCharType="end"/>
      </w:r>
      <w:r w:rsidRPr="00153AC5">
        <w:tab/>
      </w:r>
      <w:r>
        <w:t>Main causes of change for Western Australia</w:t>
      </w:r>
    </w:p>
    <w:tbl>
      <w:tblPr>
        <w:tblW w:w="9920" w:type="dxa"/>
        <w:tblInd w:w="93" w:type="dxa"/>
        <w:tblLook w:val="04A0" w:firstRow="1" w:lastRow="0" w:firstColumn="1" w:lastColumn="0" w:noHBand="0" w:noVBand="1"/>
      </w:tblPr>
      <w:tblGrid>
        <w:gridCol w:w="700"/>
        <w:gridCol w:w="540"/>
        <w:gridCol w:w="8680"/>
      </w:tblGrid>
      <w:tr w:rsidR="001516B7" w:rsidRPr="001516B7" w:rsidTr="00D51D26">
        <w:trPr>
          <w:trHeight w:val="360"/>
        </w:trPr>
        <w:tc>
          <w:tcPr>
            <w:tcW w:w="1240" w:type="dxa"/>
            <w:gridSpan w:val="2"/>
            <w:tcBorders>
              <w:top w:val="single" w:sz="4" w:space="0" w:color="auto"/>
              <w:bottom w:val="single" w:sz="4" w:space="0" w:color="auto"/>
            </w:tcBorders>
            <w:shd w:val="clear" w:color="auto" w:fill="auto"/>
            <w:vAlign w:val="center"/>
            <w:hideMark/>
          </w:tcPr>
          <w:p w:rsidR="001516B7" w:rsidRPr="001516B7" w:rsidRDefault="001516B7" w:rsidP="001516B7">
            <w:pPr>
              <w:tabs>
                <w:tab w:val="clear" w:pos="567"/>
              </w:tabs>
              <w:spacing w:after="0" w:line="240" w:lineRule="auto"/>
              <w:ind w:hanging="93"/>
              <w:rPr>
                <w:rFonts w:ascii="Calibri" w:eastAsia="Times New Roman" w:hAnsi="Calibri" w:cs="Times New Roman"/>
                <w:sz w:val="20"/>
                <w:szCs w:val="20"/>
                <w:lang w:eastAsia="en-AU"/>
              </w:rPr>
            </w:pPr>
            <w:r w:rsidRPr="001516B7">
              <w:rPr>
                <w:rFonts w:ascii="Calibri" w:eastAsia="Times New Roman" w:hAnsi="Calibri" w:cs="Times New Roman"/>
                <w:sz w:val="20"/>
                <w:szCs w:val="20"/>
                <w:lang w:eastAsia="en-AU"/>
              </w:rPr>
              <w:t>Change ($m)</w:t>
            </w:r>
          </w:p>
        </w:tc>
        <w:tc>
          <w:tcPr>
            <w:tcW w:w="8680" w:type="dxa"/>
            <w:tcBorders>
              <w:top w:val="single" w:sz="4" w:space="0" w:color="auto"/>
              <w:bottom w:val="single" w:sz="4" w:space="0" w:color="auto"/>
            </w:tcBorders>
            <w:shd w:val="clear" w:color="auto" w:fill="auto"/>
            <w:vAlign w:val="center"/>
            <w:hideMark/>
          </w:tcPr>
          <w:p w:rsidR="001516B7" w:rsidRPr="001516B7" w:rsidRDefault="001516B7" w:rsidP="001516B7">
            <w:pPr>
              <w:tabs>
                <w:tab w:val="clear" w:pos="567"/>
              </w:tabs>
              <w:spacing w:after="0" w:line="240" w:lineRule="auto"/>
              <w:rPr>
                <w:rFonts w:ascii="Calibri" w:eastAsia="Times New Roman" w:hAnsi="Calibri" w:cs="Times New Roman"/>
                <w:sz w:val="20"/>
                <w:szCs w:val="20"/>
                <w:lang w:eastAsia="en-AU"/>
              </w:rPr>
            </w:pPr>
            <w:r w:rsidRPr="001516B7">
              <w:rPr>
                <w:rFonts w:ascii="Calibri" w:eastAsia="Times New Roman" w:hAnsi="Calibri" w:cs="Times New Roman"/>
                <w:sz w:val="20"/>
                <w:szCs w:val="20"/>
                <w:lang w:eastAsia="en-AU"/>
              </w:rPr>
              <w:t>Reason for change</w:t>
            </w:r>
          </w:p>
        </w:tc>
      </w:tr>
      <w:tr w:rsidR="001516B7" w:rsidRPr="001516B7" w:rsidTr="00D51D26">
        <w:trPr>
          <w:trHeight w:val="360"/>
        </w:trPr>
        <w:tc>
          <w:tcPr>
            <w:tcW w:w="9920" w:type="dxa"/>
            <w:gridSpan w:val="3"/>
            <w:tcBorders>
              <w:top w:val="single" w:sz="4" w:space="0" w:color="auto"/>
            </w:tcBorders>
            <w:shd w:val="clear" w:color="auto" w:fill="auto"/>
            <w:vAlign w:val="center"/>
            <w:hideMark/>
          </w:tcPr>
          <w:p w:rsidR="001516B7" w:rsidRPr="00A966AB" w:rsidRDefault="001516B7" w:rsidP="001516B7">
            <w:pPr>
              <w:tabs>
                <w:tab w:val="clear" w:pos="567"/>
              </w:tabs>
              <w:spacing w:after="0" w:line="240" w:lineRule="auto"/>
              <w:ind w:hanging="93"/>
              <w:rPr>
                <w:rFonts w:ascii="Calibri" w:eastAsia="Times New Roman" w:hAnsi="Calibri" w:cs="Times New Roman"/>
                <w:b/>
                <w:bCs/>
                <w:sz w:val="20"/>
                <w:szCs w:val="20"/>
                <w:lang w:eastAsia="en-AU"/>
              </w:rPr>
            </w:pPr>
            <w:r w:rsidRPr="00A966AB">
              <w:rPr>
                <w:rFonts w:ascii="Calibri" w:eastAsia="Times New Roman" w:hAnsi="Calibri" w:cs="Times New Roman"/>
                <w:b/>
                <w:bCs/>
                <w:sz w:val="20"/>
                <w:szCs w:val="20"/>
                <w:lang w:eastAsia="en-AU"/>
              </w:rPr>
              <w:t>Data revisions</w:t>
            </w:r>
          </w:p>
        </w:tc>
      </w:tr>
      <w:tr w:rsidR="001516B7" w:rsidRPr="001516B7" w:rsidTr="00D51D26">
        <w:trPr>
          <w:trHeight w:val="495"/>
        </w:trPr>
        <w:tc>
          <w:tcPr>
            <w:tcW w:w="700" w:type="dxa"/>
            <w:shd w:val="clear" w:color="auto" w:fill="auto"/>
            <w:hideMark/>
          </w:tcPr>
          <w:p w:rsidR="001516B7" w:rsidRPr="00A966AB" w:rsidRDefault="001516B7" w:rsidP="001516B7">
            <w:pPr>
              <w:tabs>
                <w:tab w:val="clear" w:pos="567"/>
              </w:tabs>
              <w:spacing w:after="0" w:line="240" w:lineRule="auto"/>
              <w:jc w:val="right"/>
              <w:rPr>
                <w:rFonts w:ascii="Calibri" w:eastAsia="Times New Roman" w:hAnsi="Calibri" w:cs="Times New Roman"/>
                <w:sz w:val="20"/>
                <w:szCs w:val="20"/>
                <w:lang w:eastAsia="en-AU"/>
              </w:rPr>
            </w:pPr>
            <w:r w:rsidRPr="00A966AB">
              <w:rPr>
                <w:rFonts w:ascii="Calibri" w:eastAsia="Times New Roman" w:hAnsi="Calibri" w:cs="Times New Roman"/>
                <w:sz w:val="20"/>
                <w:szCs w:val="20"/>
                <w:lang w:eastAsia="en-AU"/>
              </w:rPr>
              <w:t>-54</w:t>
            </w:r>
          </w:p>
        </w:tc>
        <w:tc>
          <w:tcPr>
            <w:tcW w:w="540" w:type="dxa"/>
            <w:shd w:val="clear" w:color="auto" w:fill="auto"/>
            <w:noWrap/>
            <w:hideMark/>
          </w:tcPr>
          <w:p w:rsidR="001516B7" w:rsidRPr="00A966AB" w:rsidRDefault="001516B7" w:rsidP="001516B7">
            <w:pPr>
              <w:tabs>
                <w:tab w:val="clear" w:pos="567"/>
              </w:tabs>
              <w:spacing w:after="0" w:line="240" w:lineRule="auto"/>
              <w:rPr>
                <w:rFonts w:ascii="Calibri" w:eastAsia="Times New Roman" w:hAnsi="Calibri" w:cs="Times New Roman"/>
                <w:sz w:val="20"/>
                <w:szCs w:val="20"/>
                <w:lang w:eastAsia="en-AU"/>
              </w:rPr>
            </w:pPr>
          </w:p>
        </w:tc>
        <w:tc>
          <w:tcPr>
            <w:tcW w:w="8680" w:type="dxa"/>
            <w:shd w:val="clear" w:color="auto" w:fill="auto"/>
            <w:hideMark/>
          </w:tcPr>
          <w:p w:rsidR="001516B7" w:rsidRPr="00A966AB" w:rsidRDefault="001516B7" w:rsidP="001516B7">
            <w:pPr>
              <w:tabs>
                <w:tab w:val="clear" w:pos="567"/>
              </w:tabs>
              <w:spacing w:after="0" w:line="240" w:lineRule="auto"/>
              <w:rPr>
                <w:rFonts w:ascii="Calibri" w:eastAsia="Times New Roman" w:hAnsi="Calibri" w:cs="Times New Roman"/>
                <w:b/>
                <w:bCs/>
                <w:sz w:val="20"/>
                <w:szCs w:val="20"/>
                <w:lang w:eastAsia="en-AU"/>
              </w:rPr>
            </w:pPr>
            <w:r w:rsidRPr="00A966AB">
              <w:rPr>
                <w:rFonts w:ascii="Calibri" w:eastAsia="Times New Roman" w:hAnsi="Calibri" w:cs="Times New Roman"/>
                <w:b/>
                <w:bCs/>
                <w:sz w:val="20"/>
                <w:szCs w:val="20"/>
                <w:lang w:eastAsia="en-AU"/>
              </w:rPr>
              <w:t xml:space="preserve">Investment including population growth. </w:t>
            </w:r>
            <w:r w:rsidRPr="00A966AB">
              <w:rPr>
                <w:rFonts w:ascii="Calibri" w:eastAsia="Times New Roman" w:hAnsi="Calibri" w:cs="Times New Roman"/>
                <w:sz w:val="20"/>
                <w:szCs w:val="20"/>
                <w:lang w:eastAsia="en-AU"/>
              </w:rPr>
              <w:t>The ABS revised down Western Australia’s share of population growth in 2013</w:t>
            </w:r>
            <w:r w:rsidRPr="00A966AB">
              <w:rPr>
                <w:rFonts w:ascii="Calibri" w:eastAsia="Times New Roman" w:hAnsi="Calibri" w:cs="Times New Roman"/>
                <w:sz w:val="20"/>
                <w:szCs w:val="20"/>
                <w:lang w:eastAsia="en-AU"/>
              </w:rPr>
              <w:noBreakHyphen/>
              <w:t>14 by more than the average</w:t>
            </w:r>
            <w:r w:rsidR="00892DA0" w:rsidRPr="00A966AB">
              <w:rPr>
                <w:rFonts w:ascii="Calibri" w:eastAsia="Times New Roman" w:hAnsi="Calibri" w:cs="Times New Roman"/>
                <w:sz w:val="20"/>
                <w:szCs w:val="20"/>
                <w:lang w:eastAsia="en-AU"/>
              </w:rPr>
              <w:t>,</w:t>
            </w:r>
            <w:r w:rsidRPr="00A966AB">
              <w:rPr>
                <w:rFonts w:ascii="Calibri" w:eastAsia="Times New Roman" w:hAnsi="Calibri" w:cs="Times New Roman"/>
                <w:sz w:val="20"/>
                <w:szCs w:val="20"/>
                <w:lang w:eastAsia="en-AU"/>
              </w:rPr>
              <w:t xml:space="preserve"> reducing its GST share.</w:t>
            </w:r>
          </w:p>
        </w:tc>
      </w:tr>
      <w:tr w:rsidR="001516B7" w:rsidRPr="001516B7" w:rsidTr="00D51D26">
        <w:trPr>
          <w:trHeight w:val="360"/>
        </w:trPr>
        <w:tc>
          <w:tcPr>
            <w:tcW w:w="9920" w:type="dxa"/>
            <w:gridSpan w:val="3"/>
            <w:shd w:val="clear" w:color="auto" w:fill="auto"/>
            <w:vAlign w:val="center"/>
            <w:hideMark/>
          </w:tcPr>
          <w:p w:rsidR="001516B7" w:rsidRPr="001516B7" w:rsidRDefault="001516B7" w:rsidP="001516B7">
            <w:pPr>
              <w:tabs>
                <w:tab w:val="clear" w:pos="567"/>
              </w:tabs>
              <w:spacing w:after="0" w:line="240" w:lineRule="auto"/>
              <w:ind w:hanging="93"/>
              <w:rPr>
                <w:rFonts w:ascii="Calibri" w:eastAsia="Times New Roman" w:hAnsi="Calibri" w:cs="Times New Roman"/>
                <w:b/>
                <w:bCs/>
                <w:sz w:val="20"/>
                <w:szCs w:val="20"/>
                <w:lang w:eastAsia="en-AU"/>
              </w:rPr>
            </w:pPr>
            <w:r w:rsidRPr="001516B7">
              <w:rPr>
                <w:rFonts w:ascii="Calibri" w:eastAsia="Times New Roman" w:hAnsi="Calibri" w:cs="Times New Roman"/>
                <w:b/>
                <w:bCs/>
                <w:sz w:val="20"/>
                <w:szCs w:val="20"/>
                <w:lang w:eastAsia="en-AU"/>
              </w:rPr>
              <w:t>Changes in circumstances</w:t>
            </w:r>
          </w:p>
        </w:tc>
      </w:tr>
      <w:tr w:rsidR="001516B7" w:rsidRPr="001516B7" w:rsidTr="00D51D26">
        <w:trPr>
          <w:trHeight w:val="708"/>
        </w:trPr>
        <w:tc>
          <w:tcPr>
            <w:tcW w:w="700" w:type="dxa"/>
            <w:shd w:val="clear" w:color="auto" w:fill="auto"/>
            <w:hideMark/>
          </w:tcPr>
          <w:p w:rsidR="001516B7" w:rsidRPr="001516B7" w:rsidRDefault="001516B7" w:rsidP="001516B7">
            <w:pPr>
              <w:tabs>
                <w:tab w:val="clear" w:pos="567"/>
              </w:tabs>
              <w:spacing w:after="0" w:line="240" w:lineRule="auto"/>
              <w:jc w:val="right"/>
              <w:rPr>
                <w:rFonts w:ascii="Calibri" w:eastAsia="Times New Roman" w:hAnsi="Calibri" w:cs="Times New Roman"/>
                <w:sz w:val="20"/>
                <w:szCs w:val="20"/>
                <w:lang w:eastAsia="en-AU"/>
              </w:rPr>
            </w:pPr>
            <w:r w:rsidRPr="001516B7">
              <w:rPr>
                <w:rFonts w:ascii="Calibri" w:eastAsia="Times New Roman" w:hAnsi="Calibri" w:cs="Times New Roman"/>
                <w:sz w:val="20"/>
                <w:szCs w:val="20"/>
                <w:lang w:eastAsia="en-AU"/>
              </w:rPr>
              <w:t>-387</w:t>
            </w:r>
          </w:p>
        </w:tc>
        <w:tc>
          <w:tcPr>
            <w:tcW w:w="540" w:type="dxa"/>
            <w:shd w:val="clear" w:color="auto" w:fill="auto"/>
            <w:hideMark/>
          </w:tcPr>
          <w:p w:rsidR="001516B7" w:rsidRPr="001516B7" w:rsidRDefault="001516B7" w:rsidP="001516B7">
            <w:pPr>
              <w:tabs>
                <w:tab w:val="clear" w:pos="567"/>
              </w:tabs>
              <w:spacing w:after="0" w:line="240" w:lineRule="auto"/>
              <w:rPr>
                <w:rFonts w:ascii="Calibri" w:eastAsia="Times New Roman" w:hAnsi="Calibri" w:cs="Times New Roman"/>
                <w:sz w:val="20"/>
                <w:szCs w:val="20"/>
                <w:lang w:eastAsia="en-AU"/>
              </w:rPr>
            </w:pPr>
          </w:p>
        </w:tc>
        <w:tc>
          <w:tcPr>
            <w:tcW w:w="8680" w:type="dxa"/>
            <w:shd w:val="clear" w:color="auto" w:fill="auto"/>
            <w:hideMark/>
          </w:tcPr>
          <w:p w:rsidR="001516B7" w:rsidRPr="001516B7" w:rsidRDefault="001516B7" w:rsidP="00FC3EDE">
            <w:pPr>
              <w:tabs>
                <w:tab w:val="clear" w:pos="567"/>
              </w:tabs>
              <w:spacing w:after="0" w:line="240" w:lineRule="auto"/>
              <w:rPr>
                <w:rFonts w:ascii="Calibri" w:eastAsia="Times New Roman" w:hAnsi="Calibri" w:cs="Times New Roman"/>
                <w:b/>
                <w:bCs/>
                <w:sz w:val="20"/>
                <w:szCs w:val="20"/>
                <w:lang w:eastAsia="en-AU"/>
              </w:rPr>
            </w:pPr>
            <w:r w:rsidRPr="001516B7">
              <w:rPr>
                <w:rFonts w:ascii="Calibri" w:eastAsia="Times New Roman" w:hAnsi="Calibri" w:cs="Times New Roman"/>
                <w:b/>
                <w:bCs/>
                <w:sz w:val="20"/>
                <w:szCs w:val="20"/>
                <w:lang w:eastAsia="en-AU"/>
              </w:rPr>
              <w:t>Investment including population growth.</w:t>
            </w:r>
            <w:r w:rsidRPr="001516B7">
              <w:rPr>
                <w:rFonts w:ascii="Calibri" w:eastAsia="Times New Roman" w:hAnsi="Calibri" w:cs="Times New Roman"/>
                <w:sz w:val="20"/>
                <w:szCs w:val="20"/>
                <w:lang w:eastAsia="en-AU"/>
              </w:rPr>
              <w:t xml:space="preserve"> Western Australia’s share of national population growth was much smaller in 2014</w:t>
            </w:r>
            <w:r w:rsidRPr="001516B7">
              <w:rPr>
                <w:rFonts w:ascii="Calibri" w:eastAsia="Times New Roman" w:hAnsi="Calibri" w:cs="Times New Roman"/>
                <w:sz w:val="20"/>
                <w:szCs w:val="20"/>
                <w:lang w:eastAsia="en-AU"/>
              </w:rPr>
              <w:noBreakHyphen/>
              <w:t>15 compared to 2011</w:t>
            </w:r>
            <w:r w:rsidRPr="001516B7">
              <w:rPr>
                <w:rFonts w:ascii="Calibri" w:eastAsia="Times New Roman" w:hAnsi="Calibri" w:cs="Times New Roman"/>
                <w:sz w:val="20"/>
                <w:szCs w:val="20"/>
                <w:lang w:eastAsia="en-AU"/>
              </w:rPr>
              <w:noBreakHyphen/>
              <w:t xml:space="preserve">12 and this reduced its assessed investment and its GST share. Assessed investment in social infrastructure and rural roads contributed most to the change. </w:t>
            </w:r>
          </w:p>
        </w:tc>
      </w:tr>
      <w:tr w:rsidR="001516B7" w:rsidRPr="001516B7" w:rsidTr="00D51D26">
        <w:trPr>
          <w:trHeight w:val="495"/>
        </w:trPr>
        <w:tc>
          <w:tcPr>
            <w:tcW w:w="700" w:type="dxa"/>
            <w:shd w:val="clear" w:color="auto" w:fill="auto"/>
            <w:hideMark/>
          </w:tcPr>
          <w:p w:rsidR="001516B7" w:rsidRPr="001516B7" w:rsidRDefault="001516B7" w:rsidP="001516B7">
            <w:pPr>
              <w:tabs>
                <w:tab w:val="clear" w:pos="567"/>
              </w:tabs>
              <w:spacing w:after="0" w:line="240" w:lineRule="auto"/>
              <w:jc w:val="right"/>
              <w:rPr>
                <w:rFonts w:ascii="Calibri" w:eastAsia="Times New Roman" w:hAnsi="Calibri" w:cs="Times New Roman"/>
                <w:sz w:val="20"/>
                <w:szCs w:val="20"/>
                <w:lang w:eastAsia="en-AU"/>
              </w:rPr>
            </w:pPr>
            <w:r w:rsidRPr="001516B7">
              <w:rPr>
                <w:rFonts w:ascii="Calibri" w:eastAsia="Times New Roman" w:hAnsi="Calibri" w:cs="Times New Roman"/>
                <w:sz w:val="20"/>
                <w:szCs w:val="20"/>
                <w:lang w:eastAsia="en-AU"/>
              </w:rPr>
              <w:t>239</w:t>
            </w:r>
          </w:p>
        </w:tc>
        <w:tc>
          <w:tcPr>
            <w:tcW w:w="540" w:type="dxa"/>
            <w:shd w:val="clear" w:color="auto" w:fill="auto"/>
            <w:hideMark/>
          </w:tcPr>
          <w:p w:rsidR="001516B7" w:rsidRPr="001516B7" w:rsidRDefault="001516B7" w:rsidP="001516B7">
            <w:pPr>
              <w:tabs>
                <w:tab w:val="clear" w:pos="567"/>
              </w:tabs>
              <w:spacing w:after="0" w:line="240" w:lineRule="auto"/>
              <w:rPr>
                <w:rFonts w:ascii="Calibri" w:eastAsia="Times New Roman" w:hAnsi="Calibri" w:cs="Times New Roman"/>
                <w:sz w:val="20"/>
                <w:szCs w:val="20"/>
                <w:lang w:eastAsia="en-AU"/>
              </w:rPr>
            </w:pPr>
          </w:p>
        </w:tc>
        <w:tc>
          <w:tcPr>
            <w:tcW w:w="8680" w:type="dxa"/>
            <w:shd w:val="clear" w:color="auto" w:fill="auto"/>
            <w:hideMark/>
          </w:tcPr>
          <w:p w:rsidR="001516B7" w:rsidRPr="001516B7" w:rsidRDefault="001516B7" w:rsidP="001516B7">
            <w:pPr>
              <w:tabs>
                <w:tab w:val="clear" w:pos="567"/>
              </w:tabs>
              <w:spacing w:after="0" w:line="240" w:lineRule="auto"/>
              <w:rPr>
                <w:rFonts w:ascii="Calibri" w:eastAsia="Times New Roman" w:hAnsi="Calibri" w:cs="Times New Roman"/>
                <w:b/>
                <w:bCs/>
                <w:sz w:val="20"/>
                <w:szCs w:val="20"/>
                <w:lang w:eastAsia="en-AU"/>
              </w:rPr>
            </w:pPr>
            <w:r w:rsidRPr="001516B7">
              <w:rPr>
                <w:rFonts w:ascii="Calibri" w:eastAsia="Times New Roman" w:hAnsi="Calibri" w:cs="Times New Roman"/>
                <w:b/>
                <w:bCs/>
                <w:sz w:val="20"/>
                <w:szCs w:val="20"/>
                <w:lang w:eastAsia="en-AU"/>
              </w:rPr>
              <w:t>Mining production.</w:t>
            </w:r>
            <w:r w:rsidRPr="001516B7">
              <w:rPr>
                <w:rFonts w:ascii="Calibri" w:eastAsia="Times New Roman" w:hAnsi="Calibri" w:cs="Times New Roman"/>
                <w:sz w:val="20"/>
                <w:szCs w:val="20"/>
                <w:lang w:eastAsia="en-AU"/>
              </w:rPr>
              <w:t xml:space="preserve"> A fall in the value of mining production, notably iron ore, reduced Western Australia’s revenue raising capacity and increased its GST share.</w:t>
            </w:r>
          </w:p>
        </w:tc>
      </w:tr>
      <w:tr w:rsidR="001516B7" w:rsidRPr="001516B7" w:rsidTr="00D51D26">
        <w:trPr>
          <w:trHeight w:val="495"/>
        </w:trPr>
        <w:tc>
          <w:tcPr>
            <w:tcW w:w="700" w:type="dxa"/>
            <w:shd w:val="clear" w:color="auto" w:fill="auto"/>
            <w:hideMark/>
          </w:tcPr>
          <w:p w:rsidR="001516B7" w:rsidRPr="001516B7" w:rsidRDefault="001516B7" w:rsidP="001516B7">
            <w:pPr>
              <w:tabs>
                <w:tab w:val="clear" w:pos="567"/>
              </w:tabs>
              <w:spacing w:after="0" w:line="240" w:lineRule="auto"/>
              <w:jc w:val="right"/>
              <w:rPr>
                <w:rFonts w:ascii="Calibri" w:eastAsia="Times New Roman" w:hAnsi="Calibri" w:cs="Times New Roman"/>
                <w:sz w:val="20"/>
                <w:szCs w:val="20"/>
                <w:lang w:eastAsia="en-AU"/>
              </w:rPr>
            </w:pPr>
            <w:r w:rsidRPr="001516B7">
              <w:rPr>
                <w:rFonts w:ascii="Calibri" w:eastAsia="Times New Roman" w:hAnsi="Calibri" w:cs="Times New Roman"/>
                <w:sz w:val="20"/>
                <w:szCs w:val="20"/>
                <w:lang w:eastAsia="en-AU"/>
              </w:rPr>
              <w:t>173</w:t>
            </w:r>
          </w:p>
        </w:tc>
        <w:tc>
          <w:tcPr>
            <w:tcW w:w="540" w:type="dxa"/>
            <w:shd w:val="clear" w:color="auto" w:fill="auto"/>
            <w:hideMark/>
          </w:tcPr>
          <w:p w:rsidR="001516B7" w:rsidRPr="001516B7" w:rsidRDefault="001516B7" w:rsidP="001516B7">
            <w:pPr>
              <w:tabs>
                <w:tab w:val="clear" w:pos="567"/>
              </w:tabs>
              <w:spacing w:after="0" w:line="240" w:lineRule="auto"/>
              <w:rPr>
                <w:rFonts w:ascii="Calibri" w:eastAsia="Times New Roman" w:hAnsi="Calibri" w:cs="Times New Roman"/>
                <w:sz w:val="20"/>
                <w:szCs w:val="20"/>
                <w:lang w:eastAsia="en-AU"/>
              </w:rPr>
            </w:pPr>
          </w:p>
        </w:tc>
        <w:tc>
          <w:tcPr>
            <w:tcW w:w="8680" w:type="dxa"/>
            <w:shd w:val="clear" w:color="auto" w:fill="auto"/>
            <w:hideMark/>
          </w:tcPr>
          <w:p w:rsidR="001516B7" w:rsidRPr="001516B7" w:rsidRDefault="001516B7" w:rsidP="001516B7">
            <w:pPr>
              <w:tabs>
                <w:tab w:val="clear" w:pos="567"/>
              </w:tabs>
              <w:spacing w:after="0" w:line="240" w:lineRule="auto"/>
              <w:rPr>
                <w:rFonts w:ascii="Calibri" w:eastAsia="Times New Roman" w:hAnsi="Calibri" w:cs="Times New Roman"/>
                <w:b/>
                <w:bCs/>
                <w:sz w:val="20"/>
                <w:szCs w:val="20"/>
                <w:lang w:eastAsia="en-AU"/>
              </w:rPr>
            </w:pPr>
            <w:r w:rsidRPr="001516B7">
              <w:rPr>
                <w:rFonts w:ascii="Calibri" w:eastAsia="Times New Roman" w:hAnsi="Calibri" w:cs="Times New Roman"/>
                <w:b/>
                <w:bCs/>
                <w:sz w:val="20"/>
                <w:szCs w:val="20"/>
                <w:lang w:eastAsia="en-AU"/>
              </w:rPr>
              <w:t>Property sales.</w:t>
            </w:r>
            <w:r w:rsidRPr="001516B7">
              <w:rPr>
                <w:rFonts w:ascii="Calibri" w:eastAsia="Times New Roman" w:hAnsi="Calibri" w:cs="Times New Roman"/>
                <w:sz w:val="20"/>
                <w:szCs w:val="20"/>
                <w:lang w:eastAsia="en-AU"/>
              </w:rPr>
              <w:t xml:space="preserve"> A well below average increase in Western Australia’s property sales reduced its capacity to raise revenue from conveyance duty and increased its GST share. </w:t>
            </w:r>
          </w:p>
        </w:tc>
      </w:tr>
      <w:tr w:rsidR="001516B7" w:rsidRPr="001516B7" w:rsidTr="00D51D26">
        <w:trPr>
          <w:trHeight w:val="495"/>
        </w:trPr>
        <w:tc>
          <w:tcPr>
            <w:tcW w:w="700" w:type="dxa"/>
            <w:tcBorders>
              <w:bottom w:val="single" w:sz="4" w:space="0" w:color="auto"/>
            </w:tcBorders>
            <w:shd w:val="clear" w:color="auto" w:fill="auto"/>
            <w:hideMark/>
          </w:tcPr>
          <w:p w:rsidR="001516B7" w:rsidRPr="001516B7" w:rsidRDefault="001516B7" w:rsidP="001516B7">
            <w:pPr>
              <w:tabs>
                <w:tab w:val="clear" w:pos="567"/>
              </w:tabs>
              <w:spacing w:after="0" w:line="240" w:lineRule="auto"/>
              <w:jc w:val="right"/>
              <w:rPr>
                <w:rFonts w:ascii="Calibri" w:eastAsia="Times New Roman" w:hAnsi="Calibri" w:cs="Times New Roman"/>
                <w:sz w:val="20"/>
                <w:szCs w:val="20"/>
                <w:lang w:eastAsia="en-AU"/>
              </w:rPr>
            </w:pPr>
            <w:r w:rsidRPr="001516B7">
              <w:rPr>
                <w:rFonts w:ascii="Calibri" w:eastAsia="Times New Roman" w:hAnsi="Calibri" w:cs="Times New Roman"/>
                <w:sz w:val="20"/>
                <w:szCs w:val="20"/>
                <w:lang w:eastAsia="en-AU"/>
              </w:rPr>
              <w:t>-40</w:t>
            </w:r>
          </w:p>
        </w:tc>
        <w:tc>
          <w:tcPr>
            <w:tcW w:w="540" w:type="dxa"/>
            <w:tcBorders>
              <w:bottom w:val="single" w:sz="4" w:space="0" w:color="auto"/>
            </w:tcBorders>
            <w:shd w:val="clear" w:color="auto" w:fill="auto"/>
            <w:hideMark/>
          </w:tcPr>
          <w:p w:rsidR="001516B7" w:rsidRPr="001516B7" w:rsidRDefault="001516B7" w:rsidP="001516B7">
            <w:pPr>
              <w:tabs>
                <w:tab w:val="clear" w:pos="567"/>
              </w:tabs>
              <w:spacing w:after="0" w:line="240" w:lineRule="auto"/>
              <w:rPr>
                <w:rFonts w:ascii="Calibri" w:eastAsia="Times New Roman" w:hAnsi="Calibri" w:cs="Times New Roman"/>
                <w:sz w:val="20"/>
                <w:szCs w:val="20"/>
                <w:lang w:eastAsia="en-AU"/>
              </w:rPr>
            </w:pPr>
            <w:r w:rsidRPr="001516B7">
              <w:rPr>
                <w:rFonts w:ascii="Calibri" w:eastAsia="Times New Roman" w:hAnsi="Calibri" w:cs="Times New Roman"/>
                <w:sz w:val="20"/>
                <w:szCs w:val="20"/>
                <w:lang w:eastAsia="en-AU"/>
              </w:rPr>
              <w:t> </w:t>
            </w:r>
          </w:p>
        </w:tc>
        <w:tc>
          <w:tcPr>
            <w:tcW w:w="8680" w:type="dxa"/>
            <w:tcBorders>
              <w:bottom w:val="single" w:sz="4" w:space="0" w:color="auto"/>
            </w:tcBorders>
            <w:shd w:val="clear" w:color="auto" w:fill="auto"/>
            <w:hideMark/>
          </w:tcPr>
          <w:p w:rsidR="001516B7" w:rsidRPr="001516B7" w:rsidRDefault="001516B7" w:rsidP="001516B7">
            <w:pPr>
              <w:tabs>
                <w:tab w:val="clear" w:pos="567"/>
              </w:tabs>
              <w:spacing w:after="0" w:line="240" w:lineRule="auto"/>
              <w:rPr>
                <w:rFonts w:ascii="Calibri" w:eastAsia="Times New Roman" w:hAnsi="Calibri" w:cs="Times New Roman"/>
                <w:b/>
                <w:bCs/>
                <w:sz w:val="20"/>
                <w:szCs w:val="20"/>
                <w:lang w:eastAsia="en-AU"/>
              </w:rPr>
            </w:pPr>
            <w:r w:rsidRPr="001516B7">
              <w:rPr>
                <w:rFonts w:ascii="Calibri" w:eastAsia="Times New Roman" w:hAnsi="Calibri" w:cs="Times New Roman"/>
                <w:b/>
                <w:bCs/>
                <w:sz w:val="20"/>
                <w:szCs w:val="20"/>
                <w:lang w:eastAsia="en-AU"/>
              </w:rPr>
              <w:t>Taxable payrolls.</w:t>
            </w:r>
            <w:r w:rsidRPr="001516B7">
              <w:rPr>
                <w:rFonts w:ascii="Calibri" w:eastAsia="Times New Roman" w:hAnsi="Calibri" w:cs="Times New Roman"/>
                <w:sz w:val="20"/>
                <w:szCs w:val="20"/>
                <w:lang w:eastAsia="en-AU"/>
              </w:rPr>
              <w:t xml:space="preserve"> Western Australia’s taxable private sector payrolls had above average growth between 2011</w:t>
            </w:r>
            <w:r w:rsidRPr="001516B7">
              <w:rPr>
                <w:rFonts w:ascii="Calibri" w:eastAsia="Times New Roman" w:hAnsi="Calibri" w:cs="Times New Roman"/>
                <w:sz w:val="20"/>
                <w:szCs w:val="20"/>
                <w:lang w:eastAsia="en-AU"/>
              </w:rPr>
              <w:noBreakHyphen/>
              <w:t>12 and 2014</w:t>
            </w:r>
            <w:r w:rsidRPr="001516B7">
              <w:rPr>
                <w:rFonts w:ascii="Calibri" w:eastAsia="Times New Roman" w:hAnsi="Calibri" w:cs="Times New Roman"/>
                <w:sz w:val="20"/>
                <w:szCs w:val="20"/>
                <w:lang w:eastAsia="en-AU"/>
              </w:rPr>
              <w:noBreakHyphen/>
              <w:t>15 leading to an increase in its revenue raising capacity and a reduced GST share.</w:t>
            </w:r>
          </w:p>
        </w:tc>
      </w:tr>
    </w:tbl>
    <w:p w:rsidR="006A3E53" w:rsidRDefault="006A3E53" w:rsidP="006A3E53">
      <w:pPr>
        <w:sectPr w:rsidR="006A3E53" w:rsidSect="0055307A">
          <w:type w:val="continuous"/>
          <w:pgSz w:w="11899" w:h="16838" w:code="9"/>
          <w:pgMar w:top="1440" w:right="1080" w:bottom="1440" w:left="1080" w:header="709" w:footer="709" w:gutter="0"/>
          <w:cols w:space="1"/>
          <w:titlePg/>
          <w:docGrid w:linePitch="326"/>
        </w:sectPr>
      </w:pPr>
    </w:p>
    <w:p w:rsidR="006A3E53" w:rsidRPr="00EC79CF" w:rsidRDefault="006A3E53" w:rsidP="001A2A95">
      <w:pPr>
        <w:spacing w:before="240"/>
      </w:pPr>
      <w:proofErr w:type="gramStart"/>
      <w:r w:rsidRPr="00EB0261">
        <w:rPr>
          <w:rStyle w:val="Heading6Char"/>
        </w:rPr>
        <w:lastRenderedPageBreak/>
        <w:t xml:space="preserve">Fiscal </w:t>
      </w:r>
      <w:r>
        <w:rPr>
          <w:rStyle w:val="Heading6Char"/>
        </w:rPr>
        <w:t>capacity</w:t>
      </w:r>
      <w:r w:rsidRPr="00EB0261">
        <w:rPr>
          <w:rStyle w:val="Heading6Char"/>
        </w:rPr>
        <w:t>.</w:t>
      </w:r>
      <w:proofErr w:type="gramEnd"/>
      <w:r w:rsidRPr="00EB0261">
        <w:t xml:space="preserve"> </w:t>
      </w:r>
      <w:r>
        <w:t>Western Australia</w:t>
      </w:r>
      <w:r w:rsidR="00B35D5D">
        <w:t>’s</w:t>
      </w:r>
      <w:r>
        <w:t xml:space="preserve"> </w:t>
      </w:r>
      <w:r w:rsidRPr="00EC79CF">
        <w:t xml:space="preserve">high capacity is due to above average capacity in all revenue streams except insurance taxes, </w:t>
      </w:r>
      <w:r>
        <w:t>but</w:t>
      </w:r>
      <w:r w:rsidRPr="00EC79CF">
        <w:t xml:space="preserve"> especially hig</w:t>
      </w:r>
      <w:r>
        <w:t>h capacity in mining production,</w:t>
      </w:r>
      <w:r w:rsidRPr="00EC79CF">
        <w:t xml:space="preserve"> and to a lesser extent</w:t>
      </w:r>
      <w:r w:rsidR="00AE63D3">
        <w:t>,</w:t>
      </w:r>
      <w:r w:rsidRPr="00EC79CF">
        <w:t xml:space="preserve"> </w:t>
      </w:r>
      <w:r>
        <w:t xml:space="preserve">taxable </w:t>
      </w:r>
      <w:r w:rsidRPr="00EC79CF">
        <w:t xml:space="preserve">payrolls. Those effects on its fiscal capacity are partly offset by </w:t>
      </w:r>
      <w:r w:rsidR="006E269B">
        <w:t xml:space="preserve">its </w:t>
      </w:r>
      <w:r w:rsidRPr="00EC79CF">
        <w:t xml:space="preserve">having the third highest assessed expenses and </w:t>
      </w:r>
      <w:r>
        <w:t xml:space="preserve">second </w:t>
      </w:r>
      <w:r w:rsidRPr="00EC79CF">
        <w:t>highest i</w:t>
      </w:r>
      <w:r w:rsidR="008E24BC">
        <w:t>nvestment need per capita</w:t>
      </w:r>
      <w:r w:rsidRPr="00EC79CF">
        <w:t xml:space="preserve">. </w:t>
      </w:r>
    </w:p>
    <w:p w:rsidR="006A3E53" w:rsidRDefault="006A3E53" w:rsidP="006A3E53">
      <w:pPr>
        <w:rPr>
          <w:szCs w:val="24"/>
        </w:rPr>
      </w:pPr>
      <w:r>
        <w:t>Its high expenditure</w:t>
      </w:r>
      <w:r w:rsidRPr="00EC79CF">
        <w:t xml:space="preserve"> requirements are due to above average shares of Indigenous people and people in remote areas, and above average population growth. Above average wage levels and below average non</w:t>
      </w:r>
      <w:r>
        <w:noBreakHyphen/>
      </w:r>
      <w:r w:rsidRPr="00EC79CF">
        <w:t>State provision of health services also contrib</w:t>
      </w:r>
      <w:r w:rsidR="008E24BC">
        <w:t>ute</w:t>
      </w:r>
      <w:r w:rsidRPr="00EC79CF">
        <w:t xml:space="preserve"> significantly.</w:t>
      </w:r>
    </w:p>
    <w:p w:rsidR="006A3E53" w:rsidRDefault="006A3E53" w:rsidP="0001171D">
      <w:pPr>
        <w:pStyle w:val="CGCTableHeading"/>
        <w:spacing w:after="80" w:line="320" w:lineRule="atLeast"/>
      </w:pPr>
      <w:r>
        <w:rPr>
          <w:szCs w:val="24"/>
        </w:rPr>
        <w:br w:type="column"/>
      </w:r>
      <w:r>
        <w:lastRenderedPageBreak/>
        <w:t xml:space="preserve">Table </w:t>
      </w:r>
      <w:r w:rsidR="0014378B">
        <w:fldChar w:fldCharType="begin"/>
      </w:r>
      <w:r w:rsidR="0014378B">
        <w:instrText xml:space="preserve"> SEQ Table \* ARABIC </w:instrText>
      </w:r>
      <w:r w:rsidR="0014378B">
        <w:fldChar w:fldCharType="separate"/>
      </w:r>
      <w:r w:rsidR="007A6AF0">
        <w:rPr>
          <w:noProof/>
        </w:rPr>
        <w:t>16</w:t>
      </w:r>
      <w:r w:rsidR="0014378B">
        <w:rPr>
          <w:noProof/>
        </w:rPr>
        <w:fldChar w:fldCharType="end"/>
      </w:r>
      <w:r w:rsidRPr="00EC79CF">
        <w:tab/>
        <w:t>Assessed GST, 201</w:t>
      </w:r>
      <w:r>
        <w:t>6</w:t>
      </w:r>
      <w:r>
        <w:noBreakHyphen/>
        <w:t>17</w:t>
      </w:r>
    </w:p>
    <w:tbl>
      <w:tblPr>
        <w:tblW w:w="4240" w:type="dxa"/>
        <w:tblInd w:w="93" w:type="dxa"/>
        <w:tblLook w:val="04A0" w:firstRow="1" w:lastRow="0" w:firstColumn="1" w:lastColumn="0" w:noHBand="0" w:noVBand="1"/>
      </w:tblPr>
      <w:tblGrid>
        <w:gridCol w:w="2700"/>
        <w:gridCol w:w="820"/>
        <w:gridCol w:w="720"/>
      </w:tblGrid>
      <w:tr w:rsidR="0064743F" w:rsidRPr="0064743F" w:rsidTr="0064743F">
        <w:trPr>
          <w:trHeight w:val="375"/>
        </w:trPr>
        <w:tc>
          <w:tcPr>
            <w:tcW w:w="270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$pc</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Equal per capita share</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6 696</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2 496</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Effect of assessed:</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Expenses</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2 412</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899</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Investment</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648</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241</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Net borrowing</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-52</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-19</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Revenue</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-7 679</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-2 862</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Commonwealth payments</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13</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w:t>
            </w:r>
          </w:p>
        </w:tc>
      </w:tr>
      <w:tr w:rsidR="0064743F" w:rsidRPr="0064743F" w:rsidTr="0064743F">
        <w:trPr>
          <w:trHeight w:val="315"/>
        </w:trPr>
        <w:tc>
          <w:tcPr>
            <w:tcW w:w="270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Assessed GST</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2 037</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759</w:t>
            </w:r>
          </w:p>
        </w:tc>
      </w:tr>
    </w:tbl>
    <w:p w:rsidR="006A3E53" w:rsidRDefault="006A3E53" w:rsidP="006A3E53">
      <w:pPr>
        <w:pStyle w:val="CGCTableFootnote"/>
        <w:sectPr w:rsidR="006A3E53" w:rsidSect="00801569">
          <w:type w:val="continuous"/>
          <w:pgSz w:w="11899" w:h="16838" w:code="9"/>
          <w:pgMar w:top="1440" w:right="1077" w:bottom="1440" w:left="1077" w:header="709" w:footer="709" w:gutter="0"/>
          <w:cols w:num="2" w:space="157" w:equalWidth="0">
            <w:col w:w="5503" w:space="157"/>
            <w:col w:w="4085"/>
          </w:cols>
          <w:titlePg/>
          <w:docGrid w:linePitch="326"/>
        </w:sectPr>
      </w:pPr>
      <w:r>
        <w:t>Note: Table may not add due to rounding.</w:t>
      </w:r>
    </w:p>
    <w:p w:rsidR="006A3E53" w:rsidRDefault="006A3E53" w:rsidP="006A3E53">
      <w:pPr>
        <w:pStyle w:val="Heading4"/>
        <w:spacing w:before="0"/>
        <w:sectPr w:rsidR="006A3E53" w:rsidSect="0055307A">
          <w:footerReference w:type="default" r:id="rId38"/>
          <w:footerReference w:type="first" r:id="rId39"/>
          <w:pgSz w:w="11899" w:h="16838" w:code="9"/>
          <w:pgMar w:top="1440" w:right="1080" w:bottom="1440" w:left="1080" w:header="709" w:footer="709" w:gutter="0"/>
          <w:cols w:space="708"/>
          <w:titlePg/>
          <w:docGrid w:linePitch="326"/>
        </w:sectPr>
      </w:pPr>
      <w:bookmarkStart w:id="327" w:name="_Toc442191912"/>
      <w:bookmarkStart w:id="328" w:name="_Toc442192164"/>
      <w:bookmarkStart w:id="329" w:name="_Toc442192229"/>
      <w:bookmarkStart w:id="330" w:name="_Toc442772815"/>
      <w:bookmarkStart w:id="331" w:name="_Toc442773042"/>
      <w:bookmarkStart w:id="332" w:name="_Toc442773214"/>
      <w:bookmarkStart w:id="333" w:name="_Toc442883279"/>
      <w:bookmarkStart w:id="334" w:name="_Toc442949132"/>
      <w:r>
        <w:lastRenderedPageBreak/>
        <w:t>South Australia</w:t>
      </w:r>
      <w:bookmarkEnd w:id="327"/>
      <w:bookmarkEnd w:id="328"/>
      <w:bookmarkEnd w:id="329"/>
      <w:bookmarkEnd w:id="330"/>
      <w:bookmarkEnd w:id="331"/>
      <w:bookmarkEnd w:id="332"/>
      <w:bookmarkEnd w:id="333"/>
      <w:bookmarkEnd w:id="334"/>
    </w:p>
    <w:p w:rsidR="006A3E53" w:rsidRPr="0001171D" w:rsidRDefault="006A3E53" w:rsidP="0001171D">
      <w:pPr>
        <w:spacing w:before="120"/>
        <w:rPr>
          <w:rStyle w:val="CGCTableHeadingChar"/>
        </w:rPr>
      </w:pPr>
      <w:proofErr w:type="gramStart"/>
      <w:r>
        <w:rPr>
          <w:rStyle w:val="Heading6Char"/>
        </w:rPr>
        <w:lastRenderedPageBreak/>
        <w:t>Changes in this update.</w:t>
      </w:r>
      <w:proofErr w:type="gramEnd"/>
      <w:r>
        <w:rPr>
          <w:rStyle w:val="Heading6Char"/>
        </w:rPr>
        <w:t xml:space="preserve"> </w:t>
      </w:r>
      <w:r w:rsidRPr="00CE7649">
        <w:t xml:space="preserve">South Australia remains the State with the third </w:t>
      </w:r>
      <w:r>
        <w:t>lowest</w:t>
      </w:r>
      <w:r w:rsidRPr="00CE7649">
        <w:t xml:space="preserve"> fiscal</w:t>
      </w:r>
      <w:r>
        <w:t xml:space="preserve"> capacity</w:t>
      </w:r>
      <w:r w:rsidR="008E24BC">
        <w:t xml:space="preserve"> but there has been </w:t>
      </w:r>
      <w:r w:rsidR="00AD0B3B">
        <w:t xml:space="preserve">some </w:t>
      </w:r>
      <w:r w:rsidR="008E24BC">
        <w:t xml:space="preserve">deterioration </w:t>
      </w:r>
      <w:r w:rsidR="004F0129">
        <w:t>due to</w:t>
      </w:r>
      <w:r w:rsidR="008E24BC">
        <w:t xml:space="preserve"> </w:t>
      </w:r>
      <w:r>
        <w:t xml:space="preserve">a reduction in its share of </w:t>
      </w:r>
      <w:r w:rsidR="00AD0B3B">
        <w:t>PSPs</w:t>
      </w:r>
      <w:r>
        <w:t xml:space="preserve">. Otherwise there were a number </w:t>
      </w:r>
      <w:r w:rsidR="00B35D5D">
        <w:t xml:space="preserve">of </w:t>
      </w:r>
      <w:r>
        <w:t>offsetting changes which affected its revenue raising capacity and expenditure requirement</w:t>
      </w:r>
      <w:r w:rsidR="008E24BC">
        <w:t>s</w:t>
      </w:r>
      <w:r>
        <w:t xml:space="preserve">. A fall in the value of mining production </w:t>
      </w:r>
      <w:r w:rsidR="004F0129">
        <w:t xml:space="preserve">in other States </w:t>
      </w:r>
      <w:r>
        <w:t xml:space="preserve">moved GST away from South Australia but this was offset by a below average increase in property sales. Similarly a fall in relative wage costs reduced South Australia’s service delivery costs </w:t>
      </w:r>
      <w:r w:rsidR="00392FBA">
        <w:t>but this</w:t>
      </w:r>
      <w:r>
        <w:t xml:space="preserve"> </w:t>
      </w:r>
      <w:r w:rsidR="00392FBA">
        <w:t xml:space="preserve">was </w:t>
      </w:r>
      <w:r>
        <w:t xml:space="preserve">offset by an increase in its share of population growth. </w:t>
      </w:r>
      <w:r w:rsidR="003D7B67">
        <w:t>Compared with 2015</w:t>
      </w:r>
      <w:r w:rsidR="003D7B67">
        <w:noBreakHyphen/>
        <w:t>16, the State’s share of</w:t>
      </w:r>
      <w:r w:rsidR="000469FA">
        <w:t xml:space="preserve"> </w:t>
      </w:r>
      <w:r w:rsidR="003D7B67">
        <w:t xml:space="preserve">share of </w:t>
      </w:r>
      <w:r w:rsidR="000469FA">
        <w:t xml:space="preserve">GST </w:t>
      </w:r>
      <w:r w:rsidR="003D7B67">
        <w:t xml:space="preserve">will </w:t>
      </w:r>
      <w:r w:rsidR="000469FA">
        <w:t>rise from 9.7% to 10.1%, and</w:t>
      </w:r>
      <w:r w:rsidR="003D7B67">
        <w:t>,</w:t>
      </w:r>
      <w:r w:rsidR="000469FA">
        <w:t xml:space="preserve"> combined with pool growth</w:t>
      </w:r>
      <w:r w:rsidR="003D7B67">
        <w:t>,</w:t>
      </w:r>
      <w:r w:rsidR="000469FA">
        <w:t xml:space="preserve"> its </w:t>
      </w:r>
      <w:r w:rsidR="000469FA" w:rsidRPr="00F567B9">
        <w:t xml:space="preserve">GST </w:t>
      </w:r>
      <w:r w:rsidR="000469FA">
        <w:t xml:space="preserve">entitlement </w:t>
      </w:r>
      <w:r w:rsidR="004F0129">
        <w:t xml:space="preserve">will </w:t>
      </w:r>
      <w:r w:rsidR="000469FA">
        <w:t>rise by $554 </w:t>
      </w:r>
      <w:r w:rsidR="000469FA" w:rsidRPr="00F567B9">
        <w:t xml:space="preserve">million or </w:t>
      </w:r>
      <w:r w:rsidR="008E24BC">
        <w:t>10.0</w:t>
      </w:r>
      <w:r w:rsidR="000469FA">
        <w:t>%.</w:t>
      </w:r>
      <w:r>
        <w:br w:type="column"/>
      </w:r>
      <w:r w:rsidRPr="0001171D">
        <w:rPr>
          <w:rStyle w:val="CGCTableHeadingChar"/>
        </w:rPr>
        <w:lastRenderedPageBreak/>
        <w:t xml:space="preserve">Table </w:t>
      </w:r>
      <w:r w:rsidR="005F0051" w:rsidRPr="0001171D">
        <w:rPr>
          <w:rStyle w:val="CGCTableHeadingChar"/>
        </w:rPr>
        <w:fldChar w:fldCharType="begin"/>
      </w:r>
      <w:r w:rsidR="005F0051" w:rsidRPr="0001171D">
        <w:rPr>
          <w:rStyle w:val="CGCTableHeadingChar"/>
        </w:rPr>
        <w:instrText xml:space="preserve"> SEQ Table \* ARABIC </w:instrText>
      </w:r>
      <w:r w:rsidR="005F0051" w:rsidRPr="0001171D">
        <w:rPr>
          <w:rStyle w:val="CGCTableHeadingChar"/>
        </w:rPr>
        <w:fldChar w:fldCharType="separate"/>
      </w:r>
      <w:r w:rsidR="007A6AF0">
        <w:rPr>
          <w:rStyle w:val="CGCTableHeadingChar"/>
          <w:noProof/>
        </w:rPr>
        <w:t>17</w:t>
      </w:r>
      <w:r w:rsidR="005F0051" w:rsidRPr="0001171D">
        <w:rPr>
          <w:rStyle w:val="CGCTableHeadingChar"/>
        </w:rPr>
        <w:fldChar w:fldCharType="end"/>
      </w:r>
      <w:r w:rsidR="00D92EEC">
        <w:rPr>
          <w:rStyle w:val="CGCTableHeadingChar"/>
        </w:rPr>
        <w:tab/>
        <w:t>Change</w:t>
      </w:r>
      <w:r w:rsidRPr="0001171D">
        <w:rPr>
          <w:rStyle w:val="CGCTableHeadingChar"/>
        </w:rPr>
        <w:t xml:space="preserve"> in GST</w:t>
      </w:r>
    </w:p>
    <w:tbl>
      <w:tblPr>
        <w:tblW w:w="4240" w:type="dxa"/>
        <w:tblInd w:w="93" w:type="dxa"/>
        <w:tblLook w:val="04A0" w:firstRow="1" w:lastRow="0" w:firstColumn="1" w:lastColumn="0" w:noHBand="0" w:noVBand="1"/>
      </w:tblPr>
      <w:tblGrid>
        <w:gridCol w:w="2700"/>
        <w:gridCol w:w="820"/>
        <w:gridCol w:w="720"/>
      </w:tblGrid>
      <w:tr w:rsidR="0064743F" w:rsidRPr="0064743F" w:rsidTr="0064743F">
        <w:trPr>
          <w:trHeight w:val="375"/>
        </w:trPr>
        <w:tc>
          <w:tcPr>
            <w:tcW w:w="270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$pc</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Change due to</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New population</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-26</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-15</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Growth in GST available</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335</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195</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New relativities</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245</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142</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200" w:firstLine="4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Data revisions</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-22</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-12</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200" w:firstLine="4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Change in circumstances</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267</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155</w:t>
            </w:r>
          </w:p>
        </w:tc>
      </w:tr>
      <w:tr w:rsidR="0064743F" w:rsidRPr="0064743F" w:rsidTr="0064743F">
        <w:trPr>
          <w:trHeight w:val="315"/>
        </w:trPr>
        <w:tc>
          <w:tcPr>
            <w:tcW w:w="270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Total change</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554</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321</w:t>
            </w:r>
          </w:p>
        </w:tc>
      </w:tr>
    </w:tbl>
    <w:p w:rsidR="006A3E53" w:rsidRDefault="006A3E53" w:rsidP="006A3E53">
      <w:pPr>
        <w:pStyle w:val="CGCTableFootnote"/>
        <w:sectPr w:rsidR="006A3E53" w:rsidSect="0055307A">
          <w:type w:val="continuous"/>
          <w:pgSz w:w="11899" w:h="16838" w:code="9"/>
          <w:pgMar w:top="1440" w:right="1080" w:bottom="1440" w:left="1080" w:header="709" w:footer="709" w:gutter="0"/>
          <w:cols w:num="2" w:space="145" w:equalWidth="0">
            <w:col w:w="5500" w:space="145"/>
            <w:col w:w="4094"/>
          </w:cols>
          <w:titlePg/>
          <w:docGrid w:linePitch="326"/>
        </w:sectPr>
      </w:pPr>
      <w:r>
        <w:t>Note: Table may not add due to rounding.</w:t>
      </w:r>
    </w:p>
    <w:p w:rsidR="006A3E53" w:rsidRDefault="006A3E53" w:rsidP="00A40BFA">
      <w:pPr>
        <w:pStyle w:val="CGCTableHeading"/>
        <w:spacing w:before="120" w:after="80"/>
      </w:pPr>
      <w:r>
        <w:lastRenderedPageBreak/>
        <w:t xml:space="preserve">Table </w:t>
      </w:r>
      <w:r w:rsidR="0014378B">
        <w:fldChar w:fldCharType="begin"/>
      </w:r>
      <w:r w:rsidR="0014378B">
        <w:instrText xml:space="preserve"> SEQ Table \* ARABIC </w:instrText>
      </w:r>
      <w:r w:rsidR="0014378B">
        <w:fldChar w:fldCharType="separate"/>
      </w:r>
      <w:r w:rsidR="007A6AF0">
        <w:rPr>
          <w:noProof/>
        </w:rPr>
        <w:t>18</w:t>
      </w:r>
      <w:r w:rsidR="0014378B">
        <w:rPr>
          <w:noProof/>
        </w:rPr>
        <w:fldChar w:fldCharType="end"/>
      </w:r>
      <w:r w:rsidRPr="00153AC5">
        <w:tab/>
      </w:r>
      <w:r>
        <w:t>Main causes of change for South Australia</w:t>
      </w:r>
    </w:p>
    <w:tbl>
      <w:tblPr>
        <w:tblW w:w="9920" w:type="dxa"/>
        <w:tblInd w:w="93" w:type="dxa"/>
        <w:tblLook w:val="04A0" w:firstRow="1" w:lastRow="0" w:firstColumn="1" w:lastColumn="0" w:noHBand="0" w:noVBand="1"/>
      </w:tblPr>
      <w:tblGrid>
        <w:gridCol w:w="700"/>
        <w:gridCol w:w="540"/>
        <w:gridCol w:w="8680"/>
      </w:tblGrid>
      <w:tr w:rsidR="002B1854" w:rsidRPr="002B1854" w:rsidTr="00D51D26">
        <w:trPr>
          <w:trHeight w:val="360"/>
        </w:trPr>
        <w:tc>
          <w:tcPr>
            <w:tcW w:w="1240" w:type="dxa"/>
            <w:gridSpan w:val="2"/>
            <w:tcBorders>
              <w:top w:val="single" w:sz="4" w:space="0" w:color="auto"/>
              <w:bottom w:val="single" w:sz="4" w:space="0" w:color="auto"/>
            </w:tcBorders>
            <w:shd w:val="clear" w:color="auto" w:fill="auto"/>
            <w:vAlign w:val="center"/>
            <w:hideMark/>
          </w:tcPr>
          <w:p w:rsidR="002B1854" w:rsidRPr="002B1854" w:rsidRDefault="002B1854" w:rsidP="002B1854">
            <w:pPr>
              <w:tabs>
                <w:tab w:val="clear" w:pos="567"/>
              </w:tabs>
              <w:spacing w:after="0" w:line="240" w:lineRule="auto"/>
              <w:ind w:hanging="93"/>
              <w:rPr>
                <w:rFonts w:ascii="Calibri" w:eastAsia="Times New Roman" w:hAnsi="Calibri" w:cs="Times New Roman"/>
                <w:sz w:val="20"/>
                <w:szCs w:val="20"/>
                <w:lang w:eastAsia="en-AU"/>
              </w:rPr>
            </w:pPr>
            <w:r w:rsidRPr="002B1854">
              <w:rPr>
                <w:rFonts w:ascii="Calibri" w:eastAsia="Times New Roman" w:hAnsi="Calibri" w:cs="Times New Roman"/>
                <w:sz w:val="20"/>
                <w:szCs w:val="20"/>
                <w:lang w:eastAsia="en-AU"/>
              </w:rPr>
              <w:t>Change ($m)</w:t>
            </w:r>
          </w:p>
        </w:tc>
        <w:tc>
          <w:tcPr>
            <w:tcW w:w="8680" w:type="dxa"/>
            <w:tcBorders>
              <w:top w:val="single" w:sz="4" w:space="0" w:color="auto"/>
              <w:bottom w:val="single" w:sz="4" w:space="0" w:color="auto"/>
            </w:tcBorders>
            <w:shd w:val="clear" w:color="auto" w:fill="auto"/>
            <w:vAlign w:val="center"/>
            <w:hideMark/>
          </w:tcPr>
          <w:p w:rsidR="002B1854" w:rsidRPr="002B1854" w:rsidRDefault="002B1854" w:rsidP="002B1854">
            <w:pPr>
              <w:tabs>
                <w:tab w:val="clear" w:pos="567"/>
              </w:tabs>
              <w:spacing w:after="0" w:line="240" w:lineRule="auto"/>
              <w:rPr>
                <w:rFonts w:ascii="Calibri" w:eastAsia="Times New Roman" w:hAnsi="Calibri" w:cs="Times New Roman"/>
                <w:sz w:val="20"/>
                <w:szCs w:val="20"/>
                <w:lang w:eastAsia="en-AU"/>
              </w:rPr>
            </w:pPr>
            <w:r w:rsidRPr="002B1854">
              <w:rPr>
                <w:rFonts w:ascii="Calibri" w:eastAsia="Times New Roman" w:hAnsi="Calibri" w:cs="Times New Roman"/>
                <w:sz w:val="20"/>
                <w:szCs w:val="20"/>
                <w:lang w:eastAsia="en-AU"/>
              </w:rPr>
              <w:t>Reason for change</w:t>
            </w:r>
          </w:p>
        </w:tc>
      </w:tr>
      <w:tr w:rsidR="002B1854" w:rsidRPr="002B1854" w:rsidTr="00D51D26">
        <w:trPr>
          <w:trHeight w:val="360"/>
        </w:trPr>
        <w:tc>
          <w:tcPr>
            <w:tcW w:w="9920" w:type="dxa"/>
            <w:gridSpan w:val="3"/>
            <w:tcBorders>
              <w:top w:val="single" w:sz="4" w:space="0" w:color="auto"/>
            </w:tcBorders>
            <w:shd w:val="clear" w:color="auto" w:fill="auto"/>
            <w:vAlign w:val="center"/>
            <w:hideMark/>
          </w:tcPr>
          <w:p w:rsidR="002B1854" w:rsidRPr="002B1854" w:rsidRDefault="002B1854" w:rsidP="002B1854">
            <w:pPr>
              <w:tabs>
                <w:tab w:val="clear" w:pos="567"/>
              </w:tabs>
              <w:spacing w:after="0" w:line="240" w:lineRule="auto"/>
              <w:ind w:hanging="93"/>
              <w:rPr>
                <w:rFonts w:ascii="Calibri" w:eastAsia="Times New Roman" w:hAnsi="Calibri" w:cs="Times New Roman"/>
                <w:b/>
                <w:bCs/>
                <w:sz w:val="20"/>
                <w:szCs w:val="20"/>
                <w:lang w:eastAsia="en-AU"/>
              </w:rPr>
            </w:pPr>
            <w:r w:rsidRPr="002B1854">
              <w:rPr>
                <w:rFonts w:ascii="Calibri" w:eastAsia="Times New Roman" w:hAnsi="Calibri" w:cs="Times New Roman"/>
                <w:b/>
                <w:bCs/>
                <w:sz w:val="20"/>
                <w:szCs w:val="20"/>
                <w:lang w:eastAsia="en-AU"/>
              </w:rPr>
              <w:t>Changes in circumstances</w:t>
            </w:r>
          </w:p>
        </w:tc>
      </w:tr>
      <w:tr w:rsidR="002B1854" w:rsidRPr="002B1854" w:rsidTr="00D51D26">
        <w:trPr>
          <w:trHeight w:val="735"/>
        </w:trPr>
        <w:tc>
          <w:tcPr>
            <w:tcW w:w="700" w:type="dxa"/>
            <w:shd w:val="clear" w:color="auto" w:fill="auto"/>
            <w:hideMark/>
          </w:tcPr>
          <w:p w:rsidR="002B1854" w:rsidRPr="002B1854" w:rsidRDefault="002B1854" w:rsidP="002B1854">
            <w:pPr>
              <w:tabs>
                <w:tab w:val="clear" w:pos="567"/>
              </w:tabs>
              <w:spacing w:after="0" w:line="240" w:lineRule="auto"/>
              <w:jc w:val="right"/>
              <w:rPr>
                <w:rFonts w:ascii="Calibri" w:eastAsia="Times New Roman" w:hAnsi="Calibri" w:cs="Times New Roman"/>
                <w:sz w:val="20"/>
                <w:szCs w:val="20"/>
                <w:lang w:eastAsia="en-AU"/>
              </w:rPr>
            </w:pPr>
            <w:r w:rsidRPr="002B1854">
              <w:rPr>
                <w:rFonts w:ascii="Calibri" w:eastAsia="Times New Roman" w:hAnsi="Calibri" w:cs="Times New Roman"/>
                <w:sz w:val="20"/>
                <w:szCs w:val="20"/>
                <w:lang w:eastAsia="en-AU"/>
              </w:rPr>
              <w:t>277</w:t>
            </w:r>
          </w:p>
        </w:tc>
        <w:tc>
          <w:tcPr>
            <w:tcW w:w="540" w:type="dxa"/>
            <w:shd w:val="clear" w:color="auto" w:fill="auto"/>
            <w:hideMark/>
          </w:tcPr>
          <w:p w:rsidR="002B1854" w:rsidRPr="002B1854" w:rsidRDefault="002B1854" w:rsidP="002B1854">
            <w:pPr>
              <w:tabs>
                <w:tab w:val="clear" w:pos="567"/>
              </w:tabs>
              <w:spacing w:after="0" w:line="240" w:lineRule="auto"/>
              <w:rPr>
                <w:rFonts w:ascii="Calibri" w:eastAsia="Times New Roman" w:hAnsi="Calibri" w:cs="Times New Roman"/>
                <w:sz w:val="20"/>
                <w:szCs w:val="20"/>
                <w:lang w:eastAsia="en-AU"/>
              </w:rPr>
            </w:pPr>
          </w:p>
        </w:tc>
        <w:tc>
          <w:tcPr>
            <w:tcW w:w="8680" w:type="dxa"/>
            <w:shd w:val="clear" w:color="auto" w:fill="auto"/>
            <w:hideMark/>
          </w:tcPr>
          <w:p w:rsidR="002B1854" w:rsidRPr="002B1854" w:rsidRDefault="002B1854" w:rsidP="002B1854">
            <w:pPr>
              <w:tabs>
                <w:tab w:val="clear" w:pos="567"/>
              </w:tabs>
              <w:spacing w:after="0" w:line="240" w:lineRule="auto"/>
              <w:rPr>
                <w:rFonts w:ascii="Calibri" w:eastAsia="Times New Roman" w:hAnsi="Calibri" w:cs="Times New Roman"/>
                <w:b/>
                <w:bCs/>
                <w:sz w:val="20"/>
                <w:szCs w:val="20"/>
                <w:lang w:eastAsia="en-AU"/>
              </w:rPr>
            </w:pPr>
            <w:r w:rsidRPr="002B1854">
              <w:rPr>
                <w:rFonts w:ascii="Calibri" w:eastAsia="Times New Roman" w:hAnsi="Calibri" w:cs="Times New Roman"/>
                <w:b/>
                <w:bCs/>
                <w:sz w:val="20"/>
                <w:szCs w:val="20"/>
                <w:lang w:eastAsia="en-AU"/>
              </w:rPr>
              <w:t>Commonwealth payments.</w:t>
            </w:r>
            <w:r w:rsidRPr="002B1854">
              <w:rPr>
                <w:rFonts w:ascii="Calibri" w:eastAsia="Times New Roman" w:hAnsi="Calibri" w:cs="Times New Roman"/>
                <w:sz w:val="20"/>
                <w:szCs w:val="20"/>
                <w:lang w:eastAsia="en-AU"/>
              </w:rPr>
              <w:t xml:space="preserve"> South Australia’s share of payments was lower in 2014-15 compared with 2011-12 because 2011-12 included two large payments — one for the Adelaide desalination plant and the other for a major railway junction upgrade.</w:t>
            </w:r>
          </w:p>
        </w:tc>
      </w:tr>
      <w:tr w:rsidR="002B1854" w:rsidRPr="002B1854" w:rsidTr="00D51D26">
        <w:trPr>
          <w:trHeight w:val="495"/>
        </w:trPr>
        <w:tc>
          <w:tcPr>
            <w:tcW w:w="700" w:type="dxa"/>
            <w:shd w:val="clear" w:color="auto" w:fill="auto"/>
            <w:hideMark/>
          </w:tcPr>
          <w:p w:rsidR="002B1854" w:rsidRPr="002B1854" w:rsidRDefault="002B1854" w:rsidP="002B1854">
            <w:pPr>
              <w:tabs>
                <w:tab w:val="clear" w:pos="567"/>
              </w:tabs>
              <w:spacing w:after="0" w:line="240" w:lineRule="auto"/>
              <w:jc w:val="right"/>
              <w:rPr>
                <w:rFonts w:ascii="Calibri" w:eastAsia="Times New Roman" w:hAnsi="Calibri" w:cs="Times New Roman"/>
                <w:sz w:val="20"/>
                <w:szCs w:val="20"/>
                <w:lang w:eastAsia="en-AU"/>
              </w:rPr>
            </w:pPr>
            <w:r w:rsidRPr="002B1854">
              <w:rPr>
                <w:rFonts w:ascii="Calibri" w:eastAsia="Times New Roman" w:hAnsi="Calibri" w:cs="Times New Roman"/>
                <w:sz w:val="20"/>
                <w:szCs w:val="20"/>
                <w:lang w:eastAsia="en-AU"/>
              </w:rPr>
              <w:t>-74</w:t>
            </w:r>
          </w:p>
        </w:tc>
        <w:tc>
          <w:tcPr>
            <w:tcW w:w="540" w:type="dxa"/>
            <w:shd w:val="clear" w:color="auto" w:fill="auto"/>
            <w:hideMark/>
          </w:tcPr>
          <w:p w:rsidR="002B1854" w:rsidRPr="002B1854" w:rsidRDefault="002B1854" w:rsidP="002B1854">
            <w:pPr>
              <w:tabs>
                <w:tab w:val="clear" w:pos="567"/>
              </w:tabs>
              <w:spacing w:after="0" w:line="240" w:lineRule="auto"/>
              <w:rPr>
                <w:rFonts w:ascii="Calibri" w:eastAsia="Times New Roman" w:hAnsi="Calibri" w:cs="Times New Roman"/>
                <w:sz w:val="20"/>
                <w:szCs w:val="20"/>
                <w:lang w:eastAsia="en-AU"/>
              </w:rPr>
            </w:pPr>
          </w:p>
        </w:tc>
        <w:tc>
          <w:tcPr>
            <w:tcW w:w="8680" w:type="dxa"/>
            <w:shd w:val="clear" w:color="auto" w:fill="auto"/>
            <w:hideMark/>
          </w:tcPr>
          <w:p w:rsidR="002B1854" w:rsidRPr="002B1854" w:rsidRDefault="002B1854" w:rsidP="002B1854">
            <w:pPr>
              <w:tabs>
                <w:tab w:val="clear" w:pos="567"/>
              </w:tabs>
              <w:spacing w:after="0" w:line="240" w:lineRule="auto"/>
              <w:rPr>
                <w:rFonts w:ascii="Calibri" w:eastAsia="Times New Roman" w:hAnsi="Calibri" w:cs="Times New Roman"/>
                <w:b/>
                <w:bCs/>
                <w:sz w:val="20"/>
                <w:szCs w:val="20"/>
                <w:lang w:eastAsia="en-AU"/>
              </w:rPr>
            </w:pPr>
            <w:r w:rsidRPr="002B1854">
              <w:rPr>
                <w:rFonts w:ascii="Calibri" w:eastAsia="Times New Roman" w:hAnsi="Calibri" w:cs="Times New Roman"/>
                <w:b/>
                <w:bCs/>
                <w:sz w:val="20"/>
                <w:szCs w:val="20"/>
                <w:lang w:eastAsia="en-AU"/>
              </w:rPr>
              <w:t>Mining production</w:t>
            </w:r>
            <w:r w:rsidRPr="002B1854">
              <w:rPr>
                <w:rFonts w:ascii="Calibri" w:eastAsia="Times New Roman" w:hAnsi="Calibri" w:cs="Times New Roman"/>
                <w:sz w:val="20"/>
                <w:szCs w:val="20"/>
                <w:lang w:eastAsia="en-AU"/>
              </w:rPr>
              <w:t>. A fall in the value of mining production reduced the revenue raising capacity of the major mining States. This shifted GST away from South Australia.</w:t>
            </w:r>
          </w:p>
        </w:tc>
      </w:tr>
      <w:tr w:rsidR="002B1854" w:rsidRPr="002B1854" w:rsidTr="00D51D26">
        <w:trPr>
          <w:trHeight w:val="495"/>
        </w:trPr>
        <w:tc>
          <w:tcPr>
            <w:tcW w:w="700" w:type="dxa"/>
            <w:shd w:val="clear" w:color="auto" w:fill="auto"/>
            <w:hideMark/>
          </w:tcPr>
          <w:p w:rsidR="002B1854" w:rsidRPr="002B1854" w:rsidRDefault="002B1854" w:rsidP="002B1854">
            <w:pPr>
              <w:tabs>
                <w:tab w:val="clear" w:pos="567"/>
              </w:tabs>
              <w:spacing w:after="0" w:line="240" w:lineRule="auto"/>
              <w:jc w:val="right"/>
              <w:rPr>
                <w:rFonts w:ascii="Calibri" w:eastAsia="Times New Roman" w:hAnsi="Calibri" w:cs="Times New Roman"/>
                <w:sz w:val="20"/>
                <w:szCs w:val="20"/>
                <w:lang w:eastAsia="en-AU"/>
              </w:rPr>
            </w:pPr>
            <w:r w:rsidRPr="002B1854">
              <w:rPr>
                <w:rFonts w:ascii="Calibri" w:eastAsia="Times New Roman" w:hAnsi="Calibri" w:cs="Times New Roman"/>
                <w:sz w:val="20"/>
                <w:szCs w:val="20"/>
                <w:lang w:eastAsia="en-AU"/>
              </w:rPr>
              <w:t>69</w:t>
            </w:r>
          </w:p>
        </w:tc>
        <w:tc>
          <w:tcPr>
            <w:tcW w:w="540" w:type="dxa"/>
            <w:shd w:val="clear" w:color="auto" w:fill="auto"/>
            <w:hideMark/>
          </w:tcPr>
          <w:p w:rsidR="002B1854" w:rsidRPr="002B1854" w:rsidRDefault="002B1854" w:rsidP="002B1854">
            <w:pPr>
              <w:tabs>
                <w:tab w:val="clear" w:pos="567"/>
              </w:tabs>
              <w:spacing w:after="0" w:line="240" w:lineRule="auto"/>
              <w:rPr>
                <w:rFonts w:ascii="Calibri" w:eastAsia="Times New Roman" w:hAnsi="Calibri" w:cs="Times New Roman"/>
                <w:sz w:val="20"/>
                <w:szCs w:val="20"/>
                <w:lang w:eastAsia="en-AU"/>
              </w:rPr>
            </w:pPr>
          </w:p>
        </w:tc>
        <w:tc>
          <w:tcPr>
            <w:tcW w:w="8680" w:type="dxa"/>
            <w:shd w:val="clear" w:color="auto" w:fill="auto"/>
            <w:hideMark/>
          </w:tcPr>
          <w:p w:rsidR="002B1854" w:rsidRPr="002B1854" w:rsidRDefault="002B1854" w:rsidP="002B1854">
            <w:pPr>
              <w:tabs>
                <w:tab w:val="clear" w:pos="567"/>
              </w:tabs>
              <w:spacing w:after="0" w:line="240" w:lineRule="auto"/>
              <w:rPr>
                <w:rFonts w:ascii="Calibri" w:eastAsia="Times New Roman" w:hAnsi="Calibri" w:cs="Times New Roman"/>
                <w:b/>
                <w:bCs/>
                <w:sz w:val="20"/>
                <w:szCs w:val="20"/>
                <w:lang w:eastAsia="en-AU"/>
              </w:rPr>
            </w:pPr>
            <w:r w:rsidRPr="002B1854">
              <w:rPr>
                <w:rFonts w:ascii="Calibri" w:eastAsia="Times New Roman" w:hAnsi="Calibri" w:cs="Times New Roman"/>
                <w:b/>
                <w:bCs/>
                <w:sz w:val="20"/>
                <w:szCs w:val="20"/>
                <w:lang w:eastAsia="en-AU"/>
              </w:rPr>
              <w:t>Property sales.</w:t>
            </w:r>
            <w:r w:rsidRPr="002B1854">
              <w:rPr>
                <w:rFonts w:ascii="Calibri" w:eastAsia="Times New Roman" w:hAnsi="Calibri" w:cs="Times New Roman"/>
                <w:sz w:val="20"/>
                <w:szCs w:val="20"/>
                <w:lang w:eastAsia="en-AU"/>
              </w:rPr>
              <w:t xml:space="preserve"> A below average increase in South Australia’s property sales reduced its capacity to raise revenue from conveyance duty and increased its GST share.</w:t>
            </w:r>
          </w:p>
        </w:tc>
      </w:tr>
      <w:tr w:rsidR="002B1854" w:rsidRPr="002B1854" w:rsidTr="00D51D26">
        <w:trPr>
          <w:trHeight w:val="495"/>
        </w:trPr>
        <w:tc>
          <w:tcPr>
            <w:tcW w:w="700" w:type="dxa"/>
            <w:shd w:val="clear" w:color="auto" w:fill="auto"/>
            <w:hideMark/>
          </w:tcPr>
          <w:p w:rsidR="002B1854" w:rsidRPr="002B1854" w:rsidRDefault="002B1854" w:rsidP="002B1854">
            <w:pPr>
              <w:tabs>
                <w:tab w:val="clear" w:pos="567"/>
              </w:tabs>
              <w:spacing w:after="0" w:line="240" w:lineRule="auto"/>
              <w:jc w:val="right"/>
              <w:rPr>
                <w:rFonts w:ascii="Calibri" w:eastAsia="Times New Roman" w:hAnsi="Calibri" w:cs="Times New Roman"/>
                <w:sz w:val="20"/>
                <w:szCs w:val="20"/>
                <w:lang w:eastAsia="en-AU"/>
              </w:rPr>
            </w:pPr>
            <w:r w:rsidRPr="002B1854">
              <w:rPr>
                <w:rFonts w:ascii="Calibri" w:eastAsia="Times New Roman" w:hAnsi="Calibri" w:cs="Times New Roman"/>
                <w:sz w:val="20"/>
                <w:szCs w:val="20"/>
                <w:lang w:eastAsia="en-AU"/>
              </w:rPr>
              <w:t>-59</w:t>
            </w:r>
          </w:p>
        </w:tc>
        <w:tc>
          <w:tcPr>
            <w:tcW w:w="540" w:type="dxa"/>
            <w:shd w:val="clear" w:color="auto" w:fill="auto"/>
            <w:hideMark/>
          </w:tcPr>
          <w:p w:rsidR="002B1854" w:rsidRPr="002B1854" w:rsidRDefault="002B1854" w:rsidP="002B1854">
            <w:pPr>
              <w:tabs>
                <w:tab w:val="clear" w:pos="567"/>
              </w:tabs>
              <w:spacing w:after="0" w:line="240" w:lineRule="auto"/>
              <w:rPr>
                <w:rFonts w:ascii="Calibri" w:eastAsia="Times New Roman" w:hAnsi="Calibri" w:cs="Times New Roman"/>
                <w:sz w:val="20"/>
                <w:szCs w:val="20"/>
                <w:lang w:eastAsia="en-AU"/>
              </w:rPr>
            </w:pPr>
          </w:p>
        </w:tc>
        <w:tc>
          <w:tcPr>
            <w:tcW w:w="8680" w:type="dxa"/>
            <w:shd w:val="clear" w:color="auto" w:fill="auto"/>
            <w:hideMark/>
          </w:tcPr>
          <w:p w:rsidR="002B1854" w:rsidRPr="002B1854" w:rsidRDefault="002B1854" w:rsidP="002B1854">
            <w:pPr>
              <w:tabs>
                <w:tab w:val="clear" w:pos="567"/>
              </w:tabs>
              <w:spacing w:after="0" w:line="240" w:lineRule="auto"/>
              <w:rPr>
                <w:rFonts w:ascii="Calibri" w:eastAsia="Times New Roman" w:hAnsi="Calibri" w:cs="Times New Roman"/>
                <w:b/>
                <w:bCs/>
                <w:sz w:val="20"/>
                <w:szCs w:val="20"/>
                <w:lang w:eastAsia="en-AU"/>
              </w:rPr>
            </w:pPr>
            <w:r w:rsidRPr="002B1854">
              <w:rPr>
                <w:rFonts w:ascii="Calibri" w:eastAsia="Times New Roman" w:hAnsi="Calibri" w:cs="Times New Roman"/>
                <w:b/>
                <w:bCs/>
                <w:sz w:val="20"/>
                <w:szCs w:val="20"/>
                <w:lang w:eastAsia="en-AU"/>
              </w:rPr>
              <w:t>Wage costs.</w:t>
            </w:r>
            <w:r w:rsidRPr="002B1854">
              <w:rPr>
                <w:rFonts w:ascii="Calibri" w:eastAsia="Times New Roman" w:hAnsi="Calibri" w:cs="Times New Roman"/>
                <w:sz w:val="20"/>
                <w:szCs w:val="20"/>
                <w:lang w:eastAsia="en-AU"/>
              </w:rPr>
              <w:t xml:space="preserve"> Our measure of wage pressures beyond the control of State governments shows South Australia’s relative wage costs decreased between 2011</w:t>
            </w:r>
            <w:r w:rsidRPr="002B1854">
              <w:rPr>
                <w:rFonts w:ascii="Calibri" w:eastAsia="Times New Roman" w:hAnsi="Calibri" w:cs="Times New Roman"/>
                <w:sz w:val="20"/>
                <w:szCs w:val="20"/>
                <w:lang w:eastAsia="en-AU"/>
              </w:rPr>
              <w:noBreakHyphen/>
              <w:t>12 and 2014</w:t>
            </w:r>
            <w:r w:rsidRPr="002B1854">
              <w:rPr>
                <w:rFonts w:ascii="Calibri" w:eastAsia="Times New Roman" w:hAnsi="Calibri" w:cs="Times New Roman"/>
                <w:sz w:val="20"/>
                <w:szCs w:val="20"/>
                <w:lang w:eastAsia="en-AU"/>
              </w:rPr>
              <w:noBreakHyphen/>
              <w:t>15, reducing its GST share.</w:t>
            </w:r>
          </w:p>
        </w:tc>
      </w:tr>
      <w:tr w:rsidR="002B1854" w:rsidRPr="002B1854" w:rsidTr="00D51D26">
        <w:trPr>
          <w:trHeight w:val="495"/>
        </w:trPr>
        <w:tc>
          <w:tcPr>
            <w:tcW w:w="700" w:type="dxa"/>
            <w:tcBorders>
              <w:bottom w:val="single" w:sz="4" w:space="0" w:color="auto"/>
            </w:tcBorders>
            <w:shd w:val="clear" w:color="auto" w:fill="auto"/>
            <w:hideMark/>
          </w:tcPr>
          <w:p w:rsidR="002B1854" w:rsidRPr="002B1854" w:rsidRDefault="002B1854" w:rsidP="002B1854">
            <w:pPr>
              <w:tabs>
                <w:tab w:val="clear" w:pos="567"/>
              </w:tabs>
              <w:spacing w:after="0" w:line="240" w:lineRule="auto"/>
              <w:jc w:val="right"/>
              <w:rPr>
                <w:rFonts w:ascii="Calibri" w:eastAsia="Times New Roman" w:hAnsi="Calibri" w:cs="Times New Roman"/>
                <w:sz w:val="20"/>
                <w:szCs w:val="20"/>
                <w:lang w:eastAsia="en-AU"/>
              </w:rPr>
            </w:pPr>
            <w:r w:rsidRPr="002B1854">
              <w:rPr>
                <w:rFonts w:ascii="Calibri" w:eastAsia="Times New Roman" w:hAnsi="Calibri" w:cs="Times New Roman"/>
                <w:sz w:val="20"/>
                <w:szCs w:val="20"/>
                <w:lang w:eastAsia="en-AU"/>
              </w:rPr>
              <w:t>54</w:t>
            </w:r>
          </w:p>
        </w:tc>
        <w:tc>
          <w:tcPr>
            <w:tcW w:w="540" w:type="dxa"/>
            <w:tcBorders>
              <w:bottom w:val="single" w:sz="4" w:space="0" w:color="auto"/>
            </w:tcBorders>
            <w:shd w:val="clear" w:color="auto" w:fill="auto"/>
            <w:hideMark/>
          </w:tcPr>
          <w:p w:rsidR="002B1854" w:rsidRPr="002B1854" w:rsidRDefault="002B1854" w:rsidP="002B1854">
            <w:pPr>
              <w:tabs>
                <w:tab w:val="clear" w:pos="567"/>
              </w:tabs>
              <w:spacing w:after="0" w:line="240" w:lineRule="auto"/>
              <w:rPr>
                <w:rFonts w:ascii="Calibri" w:eastAsia="Times New Roman" w:hAnsi="Calibri" w:cs="Times New Roman"/>
                <w:sz w:val="20"/>
                <w:szCs w:val="20"/>
                <w:lang w:eastAsia="en-AU"/>
              </w:rPr>
            </w:pPr>
            <w:r w:rsidRPr="002B1854">
              <w:rPr>
                <w:rFonts w:ascii="Calibri" w:eastAsia="Times New Roman" w:hAnsi="Calibri" w:cs="Times New Roman"/>
                <w:sz w:val="20"/>
                <w:szCs w:val="20"/>
                <w:lang w:eastAsia="en-AU"/>
              </w:rPr>
              <w:t> </w:t>
            </w:r>
          </w:p>
        </w:tc>
        <w:tc>
          <w:tcPr>
            <w:tcW w:w="8680" w:type="dxa"/>
            <w:tcBorders>
              <w:bottom w:val="single" w:sz="4" w:space="0" w:color="auto"/>
            </w:tcBorders>
            <w:shd w:val="clear" w:color="auto" w:fill="auto"/>
            <w:hideMark/>
          </w:tcPr>
          <w:p w:rsidR="002B1854" w:rsidRPr="002B1854" w:rsidRDefault="002B1854" w:rsidP="002B1854">
            <w:pPr>
              <w:tabs>
                <w:tab w:val="clear" w:pos="567"/>
              </w:tabs>
              <w:spacing w:after="0" w:line="240" w:lineRule="auto"/>
              <w:rPr>
                <w:rFonts w:ascii="Calibri" w:eastAsia="Times New Roman" w:hAnsi="Calibri" w:cs="Times New Roman"/>
                <w:b/>
                <w:bCs/>
                <w:sz w:val="20"/>
                <w:szCs w:val="20"/>
                <w:lang w:eastAsia="en-AU"/>
              </w:rPr>
            </w:pPr>
            <w:r w:rsidRPr="002B1854">
              <w:rPr>
                <w:rFonts w:ascii="Calibri" w:eastAsia="Times New Roman" w:hAnsi="Calibri" w:cs="Times New Roman"/>
                <w:b/>
                <w:bCs/>
                <w:sz w:val="20"/>
                <w:szCs w:val="20"/>
                <w:lang w:eastAsia="en-AU"/>
              </w:rPr>
              <w:t>Investment including population growth.</w:t>
            </w:r>
            <w:r w:rsidRPr="002B1854">
              <w:rPr>
                <w:rFonts w:ascii="Calibri" w:eastAsia="Times New Roman" w:hAnsi="Calibri" w:cs="Times New Roman"/>
                <w:sz w:val="20"/>
                <w:szCs w:val="20"/>
                <w:lang w:eastAsia="en-AU"/>
              </w:rPr>
              <w:t xml:space="preserve"> South Australia’s share of national population growth increased between 2011</w:t>
            </w:r>
            <w:r w:rsidRPr="002B1854">
              <w:rPr>
                <w:rFonts w:ascii="Calibri" w:eastAsia="Times New Roman" w:hAnsi="Calibri" w:cs="Times New Roman"/>
                <w:sz w:val="20"/>
                <w:szCs w:val="20"/>
                <w:lang w:eastAsia="en-AU"/>
              </w:rPr>
              <w:noBreakHyphen/>
              <w:t>12 and 2014</w:t>
            </w:r>
            <w:r w:rsidRPr="002B1854">
              <w:rPr>
                <w:rFonts w:ascii="Calibri" w:eastAsia="Times New Roman" w:hAnsi="Calibri" w:cs="Times New Roman"/>
                <w:sz w:val="20"/>
                <w:szCs w:val="20"/>
                <w:lang w:eastAsia="en-AU"/>
              </w:rPr>
              <w:noBreakHyphen/>
              <w:t xml:space="preserve">15 and this increased its assessed investment and GST share. </w:t>
            </w:r>
          </w:p>
        </w:tc>
      </w:tr>
    </w:tbl>
    <w:p w:rsidR="006A3E53" w:rsidRDefault="006A3E53" w:rsidP="006A3E53">
      <w:pPr>
        <w:sectPr w:rsidR="006A3E53" w:rsidSect="0055307A">
          <w:type w:val="continuous"/>
          <w:pgSz w:w="11899" w:h="16838" w:code="9"/>
          <w:pgMar w:top="1440" w:right="1080" w:bottom="1440" w:left="1080" w:header="709" w:footer="709" w:gutter="0"/>
          <w:cols w:space="1"/>
          <w:titlePg/>
          <w:docGrid w:linePitch="326"/>
        </w:sectPr>
      </w:pPr>
    </w:p>
    <w:p w:rsidR="006A3E53" w:rsidRDefault="006A3E53" w:rsidP="008556E1">
      <w:pPr>
        <w:spacing w:before="240"/>
        <w:rPr>
          <w:noProof/>
          <w:lang w:eastAsia="en-AU"/>
        </w:rPr>
      </w:pPr>
      <w:proofErr w:type="gramStart"/>
      <w:r w:rsidRPr="00EB0261">
        <w:rPr>
          <w:rStyle w:val="Heading6Char"/>
        </w:rPr>
        <w:lastRenderedPageBreak/>
        <w:t xml:space="preserve">Fiscal </w:t>
      </w:r>
      <w:r>
        <w:rPr>
          <w:rStyle w:val="Heading6Char"/>
        </w:rPr>
        <w:t>capacity</w:t>
      </w:r>
      <w:r w:rsidRPr="00EB0261">
        <w:rPr>
          <w:rStyle w:val="Heading6Char"/>
        </w:rPr>
        <w:t>.</w:t>
      </w:r>
      <w:proofErr w:type="gramEnd"/>
      <w:r w:rsidRPr="00EB0261">
        <w:t xml:space="preserve"> </w:t>
      </w:r>
      <w:r>
        <w:t>South Australia’s below average assessed capacity is</w:t>
      </w:r>
      <w:r w:rsidRPr="00EC79CF">
        <w:t xml:space="preserve"> mainly </w:t>
      </w:r>
      <w:r>
        <w:t>due</w:t>
      </w:r>
      <w:r w:rsidRPr="00EC79CF">
        <w:t xml:space="preserve"> </w:t>
      </w:r>
      <w:r w:rsidR="00384737">
        <w:t xml:space="preserve">to </w:t>
      </w:r>
      <w:r w:rsidRPr="00EC79CF">
        <w:t xml:space="preserve">its below average revenue raising capacity in mining </w:t>
      </w:r>
      <w:r w:rsidR="006460E5" w:rsidRPr="00EC79CF">
        <w:t>r</w:t>
      </w:r>
      <w:r w:rsidR="006460E5">
        <w:t>oyalties</w:t>
      </w:r>
      <w:r w:rsidRPr="00EC79CF">
        <w:t xml:space="preserve">, payroll tax, </w:t>
      </w:r>
      <w:r>
        <w:t xml:space="preserve">stamp duty and land tax. </w:t>
      </w:r>
      <w:r>
        <w:rPr>
          <w:noProof/>
          <w:lang w:eastAsia="en-AU"/>
        </w:rPr>
        <w:t xml:space="preserve">It also receives below average revenue from Commonwealth payments. </w:t>
      </w:r>
    </w:p>
    <w:p w:rsidR="006A3E53" w:rsidRPr="00EC79CF" w:rsidRDefault="006A3E53" w:rsidP="006A3E53">
      <w:r w:rsidRPr="00EC79CF">
        <w:t>Those effects are reinforced by its above average assessed expenses, which reflect its above average shares of older</w:t>
      </w:r>
      <w:r>
        <w:t xml:space="preserve"> people and people of low socio</w:t>
      </w:r>
      <w:r>
        <w:noBreakHyphen/>
      </w:r>
      <w:r w:rsidRPr="00EC79CF">
        <w:t>economic status, offset partial</w:t>
      </w:r>
      <w:r>
        <w:t xml:space="preserve">ly by below average wage expenses and assessed </w:t>
      </w:r>
      <w:r w:rsidRPr="00EC79CF">
        <w:t>transport costs</w:t>
      </w:r>
      <w:r>
        <w:t>.</w:t>
      </w:r>
    </w:p>
    <w:p w:rsidR="006A3E53" w:rsidRDefault="006A3E53" w:rsidP="006A3E53">
      <w:pPr>
        <w:rPr>
          <w:szCs w:val="24"/>
        </w:rPr>
      </w:pPr>
      <w:r w:rsidRPr="00EC79CF">
        <w:t xml:space="preserve">Its above average requirement for GST is </w:t>
      </w:r>
      <w:r>
        <w:t>partially offset</w:t>
      </w:r>
      <w:r w:rsidRPr="00EC79CF">
        <w:t xml:space="preserve"> by its below average population growth, leading to below average </w:t>
      </w:r>
      <w:r>
        <w:t>assessed investment.</w:t>
      </w:r>
    </w:p>
    <w:p w:rsidR="006A3E53" w:rsidRDefault="006A3E53" w:rsidP="0001171D">
      <w:pPr>
        <w:pStyle w:val="CGCTableHeading"/>
        <w:spacing w:after="80" w:line="320" w:lineRule="atLeast"/>
      </w:pPr>
      <w:r>
        <w:rPr>
          <w:szCs w:val="24"/>
        </w:rPr>
        <w:br w:type="column"/>
      </w:r>
      <w:r>
        <w:lastRenderedPageBreak/>
        <w:t xml:space="preserve">Table </w:t>
      </w:r>
      <w:r w:rsidR="0014378B">
        <w:fldChar w:fldCharType="begin"/>
      </w:r>
      <w:r w:rsidR="0014378B">
        <w:instrText xml:space="preserve"> SEQ Table \* ARABIC </w:instrText>
      </w:r>
      <w:r w:rsidR="0014378B">
        <w:fldChar w:fldCharType="separate"/>
      </w:r>
      <w:r w:rsidR="007A6AF0">
        <w:rPr>
          <w:noProof/>
        </w:rPr>
        <w:t>19</w:t>
      </w:r>
      <w:r w:rsidR="0014378B">
        <w:rPr>
          <w:noProof/>
        </w:rPr>
        <w:fldChar w:fldCharType="end"/>
      </w:r>
      <w:r w:rsidRPr="00EC79CF">
        <w:tab/>
        <w:t>Assessed GST, 201</w:t>
      </w:r>
      <w:r>
        <w:t>6</w:t>
      </w:r>
      <w:r>
        <w:noBreakHyphen/>
        <w:t>17</w:t>
      </w:r>
    </w:p>
    <w:tbl>
      <w:tblPr>
        <w:tblW w:w="4240" w:type="dxa"/>
        <w:tblInd w:w="93" w:type="dxa"/>
        <w:tblLook w:val="04A0" w:firstRow="1" w:lastRow="0" w:firstColumn="1" w:lastColumn="0" w:noHBand="0" w:noVBand="1"/>
      </w:tblPr>
      <w:tblGrid>
        <w:gridCol w:w="2700"/>
        <w:gridCol w:w="820"/>
        <w:gridCol w:w="720"/>
      </w:tblGrid>
      <w:tr w:rsidR="0064743F" w:rsidRPr="0064743F" w:rsidTr="0064743F">
        <w:trPr>
          <w:trHeight w:val="375"/>
        </w:trPr>
        <w:tc>
          <w:tcPr>
            <w:tcW w:w="270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$pc</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Equal per capita share</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4 299</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2 496</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Effect of assessed:</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Expenses</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300</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174</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Investment</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-284</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-165</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Net borrowing</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32</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18</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Revenue</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1 626</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944</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Commonwealth payments</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137</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80</w:t>
            </w:r>
          </w:p>
        </w:tc>
      </w:tr>
      <w:tr w:rsidR="0064743F" w:rsidRPr="0064743F" w:rsidTr="0064743F">
        <w:trPr>
          <w:trHeight w:val="315"/>
        </w:trPr>
        <w:tc>
          <w:tcPr>
            <w:tcW w:w="270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Assessed GST</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6 110</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3 547</w:t>
            </w:r>
          </w:p>
        </w:tc>
      </w:tr>
    </w:tbl>
    <w:p w:rsidR="006A3E53" w:rsidRDefault="006A3E53" w:rsidP="006A3E53">
      <w:pPr>
        <w:pStyle w:val="CGCTableFootnote"/>
        <w:sectPr w:rsidR="006A3E53" w:rsidSect="0055307A">
          <w:type w:val="continuous"/>
          <w:pgSz w:w="11899" w:h="16838" w:code="9"/>
          <w:pgMar w:top="1440" w:right="1080" w:bottom="1440" w:left="1080" w:header="709" w:footer="709" w:gutter="0"/>
          <w:cols w:num="2" w:space="157" w:equalWidth="0">
            <w:col w:w="5500" w:space="157"/>
            <w:col w:w="4082"/>
          </w:cols>
          <w:titlePg/>
          <w:docGrid w:linePitch="326"/>
        </w:sectPr>
      </w:pPr>
      <w:r>
        <w:t>Note: Table may not add due to rounding.</w:t>
      </w:r>
    </w:p>
    <w:p w:rsidR="006A3E53" w:rsidRDefault="006A3E53" w:rsidP="006A3E53">
      <w:pPr>
        <w:pStyle w:val="Heading4"/>
        <w:spacing w:before="0"/>
        <w:sectPr w:rsidR="006A3E53" w:rsidSect="0055307A">
          <w:footerReference w:type="default" r:id="rId40"/>
          <w:footerReference w:type="first" r:id="rId41"/>
          <w:pgSz w:w="11899" w:h="16838" w:code="9"/>
          <w:pgMar w:top="1440" w:right="1080" w:bottom="1440" w:left="1080" w:header="709" w:footer="709" w:gutter="0"/>
          <w:cols w:space="708"/>
          <w:titlePg/>
          <w:docGrid w:linePitch="326"/>
        </w:sectPr>
      </w:pPr>
      <w:bookmarkStart w:id="335" w:name="_Toc442191913"/>
      <w:bookmarkStart w:id="336" w:name="_Toc442192165"/>
      <w:bookmarkStart w:id="337" w:name="_Toc442192230"/>
      <w:bookmarkStart w:id="338" w:name="_Toc442772816"/>
      <w:bookmarkStart w:id="339" w:name="_Toc442773043"/>
      <w:bookmarkStart w:id="340" w:name="_Toc442773215"/>
      <w:bookmarkStart w:id="341" w:name="_Toc442883280"/>
      <w:bookmarkStart w:id="342" w:name="_Toc442949133"/>
      <w:r>
        <w:lastRenderedPageBreak/>
        <w:t>Tasmania</w:t>
      </w:r>
      <w:bookmarkEnd w:id="335"/>
      <w:bookmarkEnd w:id="336"/>
      <w:bookmarkEnd w:id="337"/>
      <w:bookmarkEnd w:id="338"/>
      <w:bookmarkEnd w:id="339"/>
      <w:bookmarkEnd w:id="340"/>
      <w:bookmarkEnd w:id="341"/>
      <w:bookmarkEnd w:id="342"/>
    </w:p>
    <w:p w:rsidR="006A3E53" w:rsidRPr="0001171D" w:rsidRDefault="006A3E53" w:rsidP="0001171D">
      <w:pPr>
        <w:spacing w:before="120"/>
        <w:rPr>
          <w:rStyle w:val="CGCTableHeadingChar"/>
        </w:rPr>
      </w:pPr>
      <w:proofErr w:type="gramStart"/>
      <w:r>
        <w:rPr>
          <w:rStyle w:val="Heading6Char"/>
        </w:rPr>
        <w:lastRenderedPageBreak/>
        <w:t>Changes in this update.</w:t>
      </w:r>
      <w:proofErr w:type="gramEnd"/>
      <w:r>
        <w:rPr>
          <w:rStyle w:val="Heading6Char"/>
        </w:rPr>
        <w:t xml:space="preserve"> </w:t>
      </w:r>
      <w:r w:rsidRPr="00051B16">
        <w:t xml:space="preserve">There was </w:t>
      </w:r>
      <w:r>
        <w:t>little change</w:t>
      </w:r>
      <w:r w:rsidRPr="00051B16">
        <w:t xml:space="preserve"> in Tasmania’s </w:t>
      </w:r>
      <w:r>
        <w:t xml:space="preserve">fiscal capacity and it remains the State with the second lowest fiscal capacity. There was a decline in Tasmania’s service delivery costs due to a fall in its relative wages costs and a decline in the number of </w:t>
      </w:r>
      <w:r w:rsidR="0006237E">
        <w:t xml:space="preserve">government </w:t>
      </w:r>
      <w:r>
        <w:t xml:space="preserve">school enrolments. A below average increase in Tasmania’s property sales reduced its capacity to raise revenue from conveyance duty but this was partially offset by a fall </w:t>
      </w:r>
      <w:r w:rsidRPr="00F070DB">
        <w:rPr>
          <w:rFonts w:cs="Arial"/>
        </w:rPr>
        <w:t xml:space="preserve">in </w:t>
      </w:r>
      <w:r w:rsidR="002131EC">
        <w:rPr>
          <w:rFonts w:cs="Arial"/>
        </w:rPr>
        <w:t xml:space="preserve">the </w:t>
      </w:r>
      <w:r w:rsidRPr="00F070DB">
        <w:rPr>
          <w:rFonts w:cs="Arial"/>
        </w:rPr>
        <w:t xml:space="preserve">value of mining production </w:t>
      </w:r>
      <w:r w:rsidR="001B6C71">
        <w:rPr>
          <w:rFonts w:cs="Arial"/>
        </w:rPr>
        <w:t xml:space="preserve">in other States </w:t>
      </w:r>
      <w:r>
        <w:rPr>
          <w:rFonts w:cs="Arial"/>
        </w:rPr>
        <w:t>which shift</w:t>
      </w:r>
      <w:r w:rsidR="008E24BC">
        <w:rPr>
          <w:rFonts w:cs="Arial"/>
        </w:rPr>
        <w:t>ed</w:t>
      </w:r>
      <w:r>
        <w:rPr>
          <w:rFonts w:cs="Arial"/>
        </w:rPr>
        <w:t xml:space="preserve"> GST away from Tasmania. </w:t>
      </w:r>
      <w:r w:rsidR="00392FBA">
        <w:rPr>
          <w:rFonts w:cs="Arial"/>
        </w:rPr>
        <w:t xml:space="preserve">While Tasmania’s increased fiscal capacity will see its GST share fall from </w:t>
      </w:r>
      <w:r w:rsidR="00392FBA">
        <w:t>3.9</w:t>
      </w:r>
      <w:r w:rsidR="00392FBA" w:rsidRPr="00673E42">
        <w:t xml:space="preserve">% to </w:t>
      </w:r>
      <w:r w:rsidR="00392FBA">
        <w:t xml:space="preserve">3.8%, </w:t>
      </w:r>
      <w:r w:rsidR="003D7B67">
        <w:t>its</w:t>
      </w:r>
      <w:r w:rsidRPr="00673E42">
        <w:t xml:space="preserve"> GST </w:t>
      </w:r>
      <w:r w:rsidR="00392FBA">
        <w:t xml:space="preserve">entitlement will </w:t>
      </w:r>
      <w:r w:rsidRPr="00673E42">
        <w:t>rise by $</w:t>
      </w:r>
      <w:r>
        <w:t>50</w:t>
      </w:r>
      <w:r w:rsidRPr="00673E42">
        <w:t xml:space="preserve"> million or </w:t>
      </w:r>
      <w:r>
        <w:t xml:space="preserve">2.2%, </w:t>
      </w:r>
      <w:r w:rsidR="00392FBA">
        <w:t xml:space="preserve">due to growth in </w:t>
      </w:r>
      <w:r w:rsidR="008556E1">
        <w:t xml:space="preserve">the </w:t>
      </w:r>
      <w:r w:rsidR="006460E5">
        <w:t>pool</w:t>
      </w:r>
      <w:r w:rsidR="00392FBA">
        <w:t>.</w:t>
      </w:r>
      <w:r>
        <w:br w:type="column"/>
      </w:r>
      <w:r w:rsidRPr="0001171D">
        <w:rPr>
          <w:rStyle w:val="CGCTableHeadingChar"/>
        </w:rPr>
        <w:lastRenderedPageBreak/>
        <w:t xml:space="preserve">Table </w:t>
      </w:r>
      <w:r w:rsidR="005F0051" w:rsidRPr="0001171D">
        <w:rPr>
          <w:rStyle w:val="CGCTableHeadingChar"/>
        </w:rPr>
        <w:fldChar w:fldCharType="begin"/>
      </w:r>
      <w:r w:rsidR="005F0051" w:rsidRPr="0001171D">
        <w:rPr>
          <w:rStyle w:val="CGCTableHeadingChar"/>
        </w:rPr>
        <w:instrText xml:space="preserve"> SEQ Table \* ARABIC </w:instrText>
      </w:r>
      <w:r w:rsidR="005F0051" w:rsidRPr="0001171D">
        <w:rPr>
          <w:rStyle w:val="CGCTableHeadingChar"/>
        </w:rPr>
        <w:fldChar w:fldCharType="separate"/>
      </w:r>
      <w:r w:rsidR="007A6AF0">
        <w:rPr>
          <w:rStyle w:val="CGCTableHeadingChar"/>
          <w:noProof/>
        </w:rPr>
        <w:t>20</w:t>
      </w:r>
      <w:r w:rsidR="005F0051" w:rsidRPr="0001171D">
        <w:rPr>
          <w:rStyle w:val="CGCTableHeadingChar"/>
        </w:rPr>
        <w:fldChar w:fldCharType="end"/>
      </w:r>
      <w:r w:rsidR="00D92EEC">
        <w:rPr>
          <w:rStyle w:val="CGCTableHeadingChar"/>
        </w:rPr>
        <w:tab/>
        <w:t>Change</w:t>
      </w:r>
      <w:r w:rsidRPr="0001171D">
        <w:rPr>
          <w:rStyle w:val="CGCTableHeadingChar"/>
        </w:rPr>
        <w:t xml:space="preserve"> in GST</w:t>
      </w:r>
    </w:p>
    <w:tbl>
      <w:tblPr>
        <w:tblW w:w="4240" w:type="dxa"/>
        <w:tblInd w:w="93" w:type="dxa"/>
        <w:tblLook w:val="04A0" w:firstRow="1" w:lastRow="0" w:firstColumn="1" w:lastColumn="0" w:noHBand="0" w:noVBand="1"/>
      </w:tblPr>
      <w:tblGrid>
        <w:gridCol w:w="2700"/>
        <w:gridCol w:w="820"/>
        <w:gridCol w:w="720"/>
      </w:tblGrid>
      <w:tr w:rsidR="0064743F" w:rsidRPr="0064743F" w:rsidTr="0064743F">
        <w:trPr>
          <w:trHeight w:val="375"/>
        </w:trPr>
        <w:tc>
          <w:tcPr>
            <w:tcW w:w="270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$pc</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Change due to</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New population</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-28</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-53</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Growth in GST available</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135</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260</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New relativities</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-57</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-110</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200" w:firstLine="4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Data revisions</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-9</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-18</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200" w:firstLine="4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Change in circumstances</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-48</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-92</w:t>
            </w:r>
          </w:p>
        </w:tc>
      </w:tr>
      <w:tr w:rsidR="0064743F" w:rsidRPr="0064743F" w:rsidTr="0064743F">
        <w:trPr>
          <w:trHeight w:val="315"/>
        </w:trPr>
        <w:tc>
          <w:tcPr>
            <w:tcW w:w="270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Total change</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50</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97</w:t>
            </w:r>
          </w:p>
        </w:tc>
      </w:tr>
    </w:tbl>
    <w:p w:rsidR="006A3E53" w:rsidRDefault="006A3E53" w:rsidP="006A3E53">
      <w:pPr>
        <w:pStyle w:val="CGCTableFootnote"/>
        <w:sectPr w:rsidR="006A3E53" w:rsidSect="0055307A">
          <w:type w:val="continuous"/>
          <w:pgSz w:w="11899" w:h="16838" w:code="9"/>
          <w:pgMar w:top="1440" w:right="1080" w:bottom="1440" w:left="1080" w:header="709" w:footer="709" w:gutter="0"/>
          <w:cols w:num="2" w:space="145" w:equalWidth="0">
            <w:col w:w="5500" w:space="145"/>
            <w:col w:w="4094"/>
          </w:cols>
          <w:titlePg/>
          <w:docGrid w:linePitch="326"/>
        </w:sectPr>
      </w:pPr>
      <w:r>
        <w:t>Note: Table may not add due to rounding.</w:t>
      </w:r>
    </w:p>
    <w:p w:rsidR="006A3E53" w:rsidRDefault="006A3E53" w:rsidP="00153AC5">
      <w:pPr>
        <w:pStyle w:val="CGCTableHeading"/>
        <w:spacing w:after="80" w:line="320" w:lineRule="atLeast"/>
      </w:pPr>
      <w:r>
        <w:lastRenderedPageBreak/>
        <w:t xml:space="preserve">Table </w:t>
      </w:r>
      <w:r w:rsidR="0014378B">
        <w:fldChar w:fldCharType="begin"/>
      </w:r>
      <w:r w:rsidR="0014378B">
        <w:instrText xml:space="preserve"> SEQ Table \* ARABIC </w:instrText>
      </w:r>
      <w:r w:rsidR="0014378B">
        <w:fldChar w:fldCharType="separate"/>
      </w:r>
      <w:r w:rsidR="007A6AF0">
        <w:rPr>
          <w:noProof/>
        </w:rPr>
        <w:t>21</w:t>
      </w:r>
      <w:r w:rsidR="0014378B">
        <w:rPr>
          <w:noProof/>
        </w:rPr>
        <w:fldChar w:fldCharType="end"/>
      </w:r>
      <w:r w:rsidRPr="00153AC5">
        <w:tab/>
      </w:r>
      <w:r>
        <w:t>Main causes of change for Tasmania</w:t>
      </w:r>
    </w:p>
    <w:tbl>
      <w:tblPr>
        <w:tblW w:w="9920" w:type="dxa"/>
        <w:tblInd w:w="93" w:type="dxa"/>
        <w:tblBorders>
          <w:top w:val="single" w:sz="4" w:space="0" w:color="auto"/>
          <w:bottom w:val="single" w:sz="4" w:space="0" w:color="auto"/>
        </w:tblBorders>
        <w:tblLook w:val="04A0" w:firstRow="1" w:lastRow="0" w:firstColumn="1" w:lastColumn="0" w:noHBand="0" w:noVBand="1"/>
      </w:tblPr>
      <w:tblGrid>
        <w:gridCol w:w="700"/>
        <w:gridCol w:w="540"/>
        <w:gridCol w:w="8680"/>
      </w:tblGrid>
      <w:tr w:rsidR="00980877" w:rsidRPr="00980877" w:rsidTr="00D51D26">
        <w:trPr>
          <w:trHeight w:val="360"/>
        </w:trPr>
        <w:tc>
          <w:tcPr>
            <w:tcW w:w="1240" w:type="dxa"/>
            <w:gridSpan w:val="2"/>
            <w:tcBorders>
              <w:top w:val="single" w:sz="4" w:space="0" w:color="auto"/>
              <w:bottom w:val="single" w:sz="4" w:space="0" w:color="auto"/>
            </w:tcBorders>
            <w:shd w:val="clear" w:color="auto" w:fill="auto"/>
            <w:vAlign w:val="center"/>
            <w:hideMark/>
          </w:tcPr>
          <w:p w:rsidR="00980877" w:rsidRPr="00980877" w:rsidRDefault="00980877" w:rsidP="00980877">
            <w:pPr>
              <w:tabs>
                <w:tab w:val="clear" w:pos="567"/>
              </w:tabs>
              <w:spacing w:after="0" w:line="240" w:lineRule="auto"/>
              <w:ind w:hanging="93"/>
              <w:rPr>
                <w:rFonts w:ascii="Calibri" w:eastAsia="Times New Roman" w:hAnsi="Calibri" w:cs="Times New Roman"/>
                <w:sz w:val="20"/>
                <w:szCs w:val="20"/>
                <w:lang w:eastAsia="en-AU"/>
              </w:rPr>
            </w:pPr>
            <w:r w:rsidRPr="00980877">
              <w:rPr>
                <w:rFonts w:ascii="Calibri" w:eastAsia="Times New Roman" w:hAnsi="Calibri" w:cs="Times New Roman"/>
                <w:sz w:val="20"/>
                <w:szCs w:val="20"/>
                <w:lang w:eastAsia="en-AU"/>
              </w:rPr>
              <w:t>Change ($m)</w:t>
            </w:r>
          </w:p>
        </w:tc>
        <w:tc>
          <w:tcPr>
            <w:tcW w:w="8680" w:type="dxa"/>
            <w:tcBorders>
              <w:top w:val="single" w:sz="4" w:space="0" w:color="auto"/>
              <w:bottom w:val="single" w:sz="4" w:space="0" w:color="auto"/>
            </w:tcBorders>
            <w:shd w:val="clear" w:color="auto" w:fill="auto"/>
            <w:vAlign w:val="center"/>
            <w:hideMark/>
          </w:tcPr>
          <w:p w:rsidR="00980877" w:rsidRPr="00980877" w:rsidRDefault="00980877" w:rsidP="00980877">
            <w:pPr>
              <w:tabs>
                <w:tab w:val="clear" w:pos="567"/>
              </w:tabs>
              <w:spacing w:after="0" w:line="240" w:lineRule="auto"/>
              <w:rPr>
                <w:rFonts w:ascii="Calibri" w:eastAsia="Times New Roman" w:hAnsi="Calibri" w:cs="Times New Roman"/>
                <w:sz w:val="20"/>
                <w:szCs w:val="20"/>
                <w:lang w:eastAsia="en-AU"/>
              </w:rPr>
            </w:pPr>
            <w:r w:rsidRPr="00980877">
              <w:rPr>
                <w:rFonts w:ascii="Calibri" w:eastAsia="Times New Roman" w:hAnsi="Calibri" w:cs="Times New Roman"/>
                <w:sz w:val="20"/>
                <w:szCs w:val="20"/>
                <w:lang w:eastAsia="en-AU"/>
              </w:rPr>
              <w:t>Reason for change</w:t>
            </w:r>
          </w:p>
        </w:tc>
      </w:tr>
      <w:tr w:rsidR="00980877" w:rsidRPr="00980877" w:rsidTr="00D51D26">
        <w:trPr>
          <w:trHeight w:val="360"/>
        </w:trPr>
        <w:tc>
          <w:tcPr>
            <w:tcW w:w="9920" w:type="dxa"/>
            <w:gridSpan w:val="3"/>
            <w:tcBorders>
              <w:top w:val="single" w:sz="4" w:space="0" w:color="auto"/>
            </w:tcBorders>
            <w:shd w:val="clear" w:color="auto" w:fill="auto"/>
            <w:vAlign w:val="center"/>
            <w:hideMark/>
          </w:tcPr>
          <w:p w:rsidR="00980877" w:rsidRPr="00980877" w:rsidRDefault="00980877" w:rsidP="00980877">
            <w:pPr>
              <w:tabs>
                <w:tab w:val="clear" w:pos="567"/>
              </w:tabs>
              <w:spacing w:after="0" w:line="240" w:lineRule="auto"/>
              <w:ind w:hanging="93"/>
              <w:rPr>
                <w:rFonts w:ascii="Calibri" w:eastAsia="Times New Roman" w:hAnsi="Calibri" w:cs="Times New Roman"/>
                <w:b/>
                <w:bCs/>
                <w:sz w:val="20"/>
                <w:szCs w:val="20"/>
                <w:lang w:eastAsia="en-AU"/>
              </w:rPr>
            </w:pPr>
            <w:r w:rsidRPr="00980877">
              <w:rPr>
                <w:rFonts w:ascii="Calibri" w:eastAsia="Times New Roman" w:hAnsi="Calibri" w:cs="Times New Roman"/>
                <w:b/>
                <w:bCs/>
                <w:sz w:val="20"/>
                <w:szCs w:val="20"/>
                <w:lang w:eastAsia="en-AU"/>
              </w:rPr>
              <w:t>Changes in circumstances</w:t>
            </w:r>
          </w:p>
        </w:tc>
      </w:tr>
      <w:tr w:rsidR="00980877" w:rsidRPr="00980877" w:rsidTr="00D51D26">
        <w:trPr>
          <w:trHeight w:val="495"/>
        </w:trPr>
        <w:tc>
          <w:tcPr>
            <w:tcW w:w="700" w:type="dxa"/>
            <w:shd w:val="clear" w:color="auto" w:fill="auto"/>
            <w:hideMark/>
          </w:tcPr>
          <w:p w:rsidR="00980877" w:rsidRPr="00980877" w:rsidRDefault="00980877" w:rsidP="00980877">
            <w:pPr>
              <w:tabs>
                <w:tab w:val="clear" w:pos="567"/>
              </w:tabs>
              <w:spacing w:after="0" w:line="240" w:lineRule="auto"/>
              <w:jc w:val="right"/>
              <w:rPr>
                <w:rFonts w:ascii="Calibri" w:eastAsia="Times New Roman" w:hAnsi="Calibri" w:cs="Times New Roman"/>
                <w:sz w:val="20"/>
                <w:szCs w:val="20"/>
                <w:lang w:eastAsia="en-AU"/>
              </w:rPr>
            </w:pPr>
            <w:r w:rsidRPr="00980877">
              <w:rPr>
                <w:rFonts w:ascii="Calibri" w:eastAsia="Times New Roman" w:hAnsi="Calibri" w:cs="Times New Roman"/>
                <w:sz w:val="20"/>
                <w:szCs w:val="20"/>
                <w:lang w:eastAsia="en-AU"/>
              </w:rPr>
              <w:t>-31</w:t>
            </w:r>
          </w:p>
        </w:tc>
        <w:tc>
          <w:tcPr>
            <w:tcW w:w="540" w:type="dxa"/>
            <w:shd w:val="clear" w:color="auto" w:fill="auto"/>
            <w:hideMark/>
          </w:tcPr>
          <w:p w:rsidR="00980877" w:rsidRPr="00980877" w:rsidRDefault="00980877" w:rsidP="00980877">
            <w:pPr>
              <w:tabs>
                <w:tab w:val="clear" w:pos="567"/>
              </w:tabs>
              <w:spacing w:after="0" w:line="240" w:lineRule="auto"/>
              <w:rPr>
                <w:rFonts w:ascii="Calibri" w:eastAsia="Times New Roman" w:hAnsi="Calibri" w:cs="Times New Roman"/>
                <w:sz w:val="20"/>
                <w:szCs w:val="20"/>
                <w:lang w:eastAsia="en-AU"/>
              </w:rPr>
            </w:pPr>
          </w:p>
        </w:tc>
        <w:tc>
          <w:tcPr>
            <w:tcW w:w="8680" w:type="dxa"/>
            <w:shd w:val="clear" w:color="auto" w:fill="auto"/>
            <w:hideMark/>
          </w:tcPr>
          <w:p w:rsidR="00980877" w:rsidRPr="00980877" w:rsidRDefault="00980877" w:rsidP="00980877">
            <w:pPr>
              <w:tabs>
                <w:tab w:val="clear" w:pos="567"/>
              </w:tabs>
              <w:spacing w:after="0" w:line="240" w:lineRule="auto"/>
              <w:rPr>
                <w:rFonts w:ascii="Calibri" w:eastAsia="Times New Roman" w:hAnsi="Calibri" w:cs="Times New Roman"/>
                <w:b/>
                <w:bCs/>
                <w:sz w:val="20"/>
                <w:szCs w:val="20"/>
                <w:lang w:eastAsia="en-AU"/>
              </w:rPr>
            </w:pPr>
            <w:r w:rsidRPr="00980877">
              <w:rPr>
                <w:rFonts w:ascii="Calibri" w:eastAsia="Times New Roman" w:hAnsi="Calibri" w:cs="Times New Roman"/>
                <w:b/>
                <w:bCs/>
                <w:sz w:val="20"/>
                <w:szCs w:val="20"/>
                <w:lang w:eastAsia="en-AU"/>
              </w:rPr>
              <w:t>Wage costs.</w:t>
            </w:r>
            <w:r w:rsidRPr="00980877">
              <w:rPr>
                <w:rFonts w:ascii="Calibri" w:eastAsia="Times New Roman" w:hAnsi="Calibri" w:cs="Times New Roman"/>
                <w:sz w:val="20"/>
                <w:szCs w:val="20"/>
                <w:lang w:eastAsia="en-AU"/>
              </w:rPr>
              <w:t xml:space="preserve"> Our measure of wage pressures beyond the control of State governments shows Tasmania’s relative wage costs decreased between 2011</w:t>
            </w:r>
            <w:r w:rsidRPr="00980877">
              <w:rPr>
                <w:rFonts w:ascii="Calibri" w:eastAsia="Times New Roman" w:hAnsi="Calibri" w:cs="Times New Roman"/>
                <w:sz w:val="20"/>
                <w:szCs w:val="20"/>
                <w:lang w:eastAsia="en-AU"/>
              </w:rPr>
              <w:noBreakHyphen/>
              <w:t>12 and 2014</w:t>
            </w:r>
            <w:r w:rsidRPr="00980877">
              <w:rPr>
                <w:rFonts w:ascii="Calibri" w:eastAsia="Times New Roman" w:hAnsi="Calibri" w:cs="Times New Roman"/>
                <w:sz w:val="20"/>
                <w:szCs w:val="20"/>
                <w:lang w:eastAsia="en-AU"/>
              </w:rPr>
              <w:noBreakHyphen/>
              <w:t>15</w:t>
            </w:r>
            <w:r w:rsidR="00892DA0">
              <w:rPr>
                <w:rFonts w:ascii="Calibri" w:eastAsia="Times New Roman" w:hAnsi="Calibri" w:cs="Times New Roman"/>
                <w:sz w:val="20"/>
                <w:szCs w:val="20"/>
                <w:lang w:eastAsia="en-AU"/>
              </w:rPr>
              <w:t>,</w:t>
            </w:r>
            <w:r w:rsidRPr="00980877">
              <w:rPr>
                <w:rFonts w:ascii="Calibri" w:eastAsia="Times New Roman" w:hAnsi="Calibri" w:cs="Times New Roman"/>
                <w:sz w:val="20"/>
                <w:szCs w:val="20"/>
                <w:lang w:eastAsia="en-AU"/>
              </w:rPr>
              <w:t xml:space="preserve"> reducing its GST share.</w:t>
            </w:r>
          </w:p>
        </w:tc>
      </w:tr>
      <w:tr w:rsidR="00980877" w:rsidRPr="00980877" w:rsidTr="00D51D26">
        <w:trPr>
          <w:trHeight w:val="495"/>
        </w:trPr>
        <w:tc>
          <w:tcPr>
            <w:tcW w:w="700" w:type="dxa"/>
            <w:shd w:val="clear" w:color="auto" w:fill="auto"/>
            <w:hideMark/>
          </w:tcPr>
          <w:p w:rsidR="00980877" w:rsidRPr="00980877" w:rsidRDefault="00980877" w:rsidP="00980877">
            <w:pPr>
              <w:tabs>
                <w:tab w:val="clear" w:pos="567"/>
              </w:tabs>
              <w:spacing w:after="0" w:line="240" w:lineRule="auto"/>
              <w:jc w:val="right"/>
              <w:rPr>
                <w:rFonts w:ascii="Calibri" w:eastAsia="Times New Roman" w:hAnsi="Calibri" w:cs="Times New Roman"/>
                <w:sz w:val="20"/>
                <w:szCs w:val="20"/>
                <w:lang w:eastAsia="en-AU"/>
              </w:rPr>
            </w:pPr>
            <w:r w:rsidRPr="00980877">
              <w:rPr>
                <w:rFonts w:ascii="Calibri" w:eastAsia="Times New Roman" w:hAnsi="Calibri" w:cs="Times New Roman"/>
                <w:sz w:val="20"/>
                <w:szCs w:val="20"/>
                <w:lang w:eastAsia="en-AU"/>
              </w:rPr>
              <w:t>21</w:t>
            </w:r>
          </w:p>
        </w:tc>
        <w:tc>
          <w:tcPr>
            <w:tcW w:w="540" w:type="dxa"/>
            <w:shd w:val="clear" w:color="auto" w:fill="auto"/>
            <w:hideMark/>
          </w:tcPr>
          <w:p w:rsidR="00980877" w:rsidRPr="00980877" w:rsidRDefault="00980877" w:rsidP="00980877">
            <w:pPr>
              <w:tabs>
                <w:tab w:val="clear" w:pos="567"/>
              </w:tabs>
              <w:spacing w:after="0" w:line="240" w:lineRule="auto"/>
              <w:rPr>
                <w:rFonts w:ascii="Calibri" w:eastAsia="Times New Roman" w:hAnsi="Calibri" w:cs="Times New Roman"/>
                <w:sz w:val="20"/>
                <w:szCs w:val="20"/>
                <w:lang w:eastAsia="en-AU"/>
              </w:rPr>
            </w:pPr>
          </w:p>
        </w:tc>
        <w:tc>
          <w:tcPr>
            <w:tcW w:w="8680" w:type="dxa"/>
            <w:shd w:val="clear" w:color="auto" w:fill="auto"/>
            <w:hideMark/>
          </w:tcPr>
          <w:p w:rsidR="00980877" w:rsidRPr="00980877" w:rsidRDefault="00980877" w:rsidP="00980877">
            <w:pPr>
              <w:tabs>
                <w:tab w:val="clear" w:pos="567"/>
              </w:tabs>
              <w:spacing w:after="0" w:line="240" w:lineRule="auto"/>
              <w:rPr>
                <w:rFonts w:ascii="Calibri" w:eastAsia="Times New Roman" w:hAnsi="Calibri" w:cs="Times New Roman"/>
                <w:b/>
                <w:bCs/>
                <w:sz w:val="20"/>
                <w:szCs w:val="20"/>
                <w:lang w:eastAsia="en-AU"/>
              </w:rPr>
            </w:pPr>
            <w:r w:rsidRPr="00980877">
              <w:rPr>
                <w:rFonts w:ascii="Calibri" w:eastAsia="Times New Roman" w:hAnsi="Calibri" w:cs="Times New Roman"/>
                <w:b/>
                <w:bCs/>
                <w:sz w:val="20"/>
                <w:szCs w:val="20"/>
                <w:lang w:eastAsia="en-AU"/>
              </w:rPr>
              <w:t>Property sales.</w:t>
            </w:r>
            <w:r w:rsidRPr="00980877">
              <w:rPr>
                <w:rFonts w:ascii="Calibri" w:eastAsia="Times New Roman" w:hAnsi="Calibri" w:cs="Times New Roman"/>
                <w:sz w:val="20"/>
                <w:szCs w:val="20"/>
                <w:lang w:eastAsia="en-AU"/>
              </w:rPr>
              <w:t xml:space="preserve"> A below average increase in Tasmania’s property sales reduced its capacity to raise revenue from conveyance duty and increased its GST share.</w:t>
            </w:r>
          </w:p>
        </w:tc>
      </w:tr>
      <w:tr w:rsidR="00980877" w:rsidRPr="00980877" w:rsidTr="00D51D26">
        <w:trPr>
          <w:trHeight w:val="530"/>
        </w:trPr>
        <w:tc>
          <w:tcPr>
            <w:tcW w:w="700" w:type="dxa"/>
            <w:shd w:val="clear" w:color="auto" w:fill="auto"/>
            <w:hideMark/>
          </w:tcPr>
          <w:p w:rsidR="00980877" w:rsidRPr="00980877" w:rsidRDefault="00980877" w:rsidP="00980877">
            <w:pPr>
              <w:tabs>
                <w:tab w:val="clear" w:pos="567"/>
              </w:tabs>
              <w:spacing w:after="0" w:line="240" w:lineRule="auto"/>
              <w:jc w:val="right"/>
              <w:rPr>
                <w:rFonts w:ascii="Calibri" w:eastAsia="Times New Roman" w:hAnsi="Calibri" w:cs="Times New Roman"/>
                <w:sz w:val="20"/>
                <w:szCs w:val="20"/>
                <w:lang w:eastAsia="en-AU"/>
              </w:rPr>
            </w:pPr>
            <w:r w:rsidRPr="00980877">
              <w:rPr>
                <w:rFonts w:ascii="Calibri" w:eastAsia="Times New Roman" w:hAnsi="Calibri" w:cs="Times New Roman"/>
                <w:sz w:val="20"/>
                <w:szCs w:val="20"/>
                <w:lang w:eastAsia="en-AU"/>
              </w:rPr>
              <w:t>-17</w:t>
            </w:r>
          </w:p>
        </w:tc>
        <w:tc>
          <w:tcPr>
            <w:tcW w:w="540" w:type="dxa"/>
            <w:shd w:val="clear" w:color="auto" w:fill="auto"/>
            <w:hideMark/>
          </w:tcPr>
          <w:p w:rsidR="00980877" w:rsidRPr="00980877" w:rsidRDefault="00980877" w:rsidP="00980877">
            <w:pPr>
              <w:tabs>
                <w:tab w:val="clear" w:pos="567"/>
              </w:tabs>
              <w:spacing w:after="0" w:line="240" w:lineRule="auto"/>
              <w:rPr>
                <w:rFonts w:ascii="Calibri" w:eastAsia="Times New Roman" w:hAnsi="Calibri" w:cs="Times New Roman"/>
                <w:sz w:val="20"/>
                <w:szCs w:val="20"/>
                <w:lang w:eastAsia="en-AU"/>
              </w:rPr>
            </w:pPr>
          </w:p>
        </w:tc>
        <w:tc>
          <w:tcPr>
            <w:tcW w:w="8680" w:type="dxa"/>
            <w:shd w:val="clear" w:color="auto" w:fill="auto"/>
            <w:hideMark/>
          </w:tcPr>
          <w:p w:rsidR="00980877" w:rsidRPr="00980877" w:rsidRDefault="00980877" w:rsidP="00FC3EDE">
            <w:pPr>
              <w:tabs>
                <w:tab w:val="clear" w:pos="567"/>
              </w:tabs>
              <w:spacing w:after="0" w:line="240" w:lineRule="auto"/>
              <w:rPr>
                <w:rFonts w:ascii="Calibri" w:eastAsia="Times New Roman" w:hAnsi="Calibri" w:cs="Times New Roman"/>
                <w:b/>
                <w:bCs/>
                <w:sz w:val="20"/>
                <w:szCs w:val="20"/>
                <w:lang w:eastAsia="en-AU"/>
              </w:rPr>
            </w:pPr>
            <w:r w:rsidRPr="00980877">
              <w:rPr>
                <w:rFonts w:ascii="Calibri" w:eastAsia="Times New Roman" w:hAnsi="Calibri" w:cs="Times New Roman"/>
                <w:b/>
                <w:bCs/>
                <w:sz w:val="20"/>
                <w:szCs w:val="20"/>
                <w:lang w:eastAsia="en-AU"/>
              </w:rPr>
              <w:t>Schools.</w:t>
            </w:r>
            <w:r w:rsidRPr="00980877">
              <w:rPr>
                <w:rFonts w:ascii="Calibri" w:eastAsia="Times New Roman" w:hAnsi="Calibri" w:cs="Times New Roman"/>
                <w:sz w:val="20"/>
                <w:szCs w:val="20"/>
                <w:lang w:eastAsia="en-AU"/>
              </w:rPr>
              <w:t xml:space="preserve"> </w:t>
            </w:r>
            <w:r w:rsidR="00FC3EDE" w:rsidRPr="00FC3EDE">
              <w:rPr>
                <w:rFonts w:ascii="Calibri" w:eastAsia="Times New Roman" w:hAnsi="Calibri" w:cs="Times New Roman"/>
                <w:sz w:val="20"/>
                <w:szCs w:val="20"/>
                <w:lang w:eastAsia="en-AU"/>
              </w:rPr>
              <w:t xml:space="preserve"> A decline in government student enrolments between 2011</w:t>
            </w:r>
            <w:r w:rsidR="00FC3EDE" w:rsidRPr="00FC3EDE">
              <w:rPr>
                <w:rFonts w:ascii="Calibri" w:eastAsia="Times New Roman" w:hAnsi="Calibri" w:cs="Times New Roman"/>
                <w:sz w:val="20"/>
                <w:szCs w:val="20"/>
                <w:lang w:eastAsia="en-AU"/>
              </w:rPr>
              <w:noBreakHyphen/>
              <w:t>12 and 2014</w:t>
            </w:r>
            <w:r w:rsidR="00FC3EDE" w:rsidRPr="00FC3EDE">
              <w:rPr>
                <w:rFonts w:ascii="Calibri" w:eastAsia="Times New Roman" w:hAnsi="Calibri" w:cs="Times New Roman"/>
                <w:sz w:val="20"/>
                <w:szCs w:val="20"/>
                <w:lang w:eastAsia="en-AU"/>
              </w:rPr>
              <w:noBreakHyphen/>
              <w:t xml:space="preserve">15 and lower relative wage costs reduced its assessed school expenses and </w:t>
            </w:r>
            <w:r w:rsidR="00FC3EDE" w:rsidRPr="00980877">
              <w:rPr>
                <w:rFonts w:ascii="Calibri" w:eastAsia="Times New Roman" w:hAnsi="Calibri" w:cs="Times New Roman"/>
                <w:sz w:val="20"/>
                <w:szCs w:val="20"/>
                <w:lang w:eastAsia="en-AU"/>
              </w:rPr>
              <w:t>its GST share.</w:t>
            </w:r>
          </w:p>
        </w:tc>
      </w:tr>
      <w:tr w:rsidR="00980877" w:rsidRPr="00980877" w:rsidTr="00D51D26">
        <w:trPr>
          <w:trHeight w:val="495"/>
        </w:trPr>
        <w:tc>
          <w:tcPr>
            <w:tcW w:w="700" w:type="dxa"/>
            <w:shd w:val="clear" w:color="auto" w:fill="auto"/>
            <w:hideMark/>
          </w:tcPr>
          <w:p w:rsidR="00980877" w:rsidRPr="00980877" w:rsidRDefault="00980877" w:rsidP="00980877">
            <w:pPr>
              <w:tabs>
                <w:tab w:val="clear" w:pos="567"/>
              </w:tabs>
              <w:spacing w:after="0" w:line="240" w:lineRule="auto"/>
              <w:jc w:val="right"/>
              <w:rPr>
                <w:rFonts w:ascii="Calibri" w:eastAsia="Times New Roman" w:hAnsi="Calibri" w:cs="Times New Roman"/>
                <w:sz w:val="20"/>
                <w:szCs w:val="20"/>
                <w:lang w:eastAsia="en-AU"/>
              </w:rPr>
            </w:pPr>
            <w:r w:rsidRPr="00980877">
              <w:rPr>
                <w:rFonts w:ascii="Calibri" w:eastAsia="Times New Roman" w:hAnsi="Calibri" w:cs="Times New Roman"/>
                <w:sz w:val="20"/>
                <w:szCs w:val="20"/>
                <w:lang w:eastAsia="en-AU"/>
              </w:rPr>
              <w:t>-14</w:t>
            </w:r>
          </w:p>
        </w:tc>
        <w:tc>
          <w:tcPr>
            <w:tcW w:w="540" w:type="dxa"/>
            <w:shd w:val="clear" w:color="auto" w:fill="auto"/>
            <w:hideMark/>
          </w:tcPr>
          <w:p w:rsidR="00980877" w:rsidRPr="00980877" w:rsidRDefault="00980877" w:rsidP="00980877">
            <w:pPr>
              <w:tabs>
                <w:tab w:val="clear" w:pos="567"/>
              </w:tabs>
              <w:spacing w:after="0" w:line="240" w:lineRule="auto"/>
              <w:rPr>
                <w:rFonts w:ascii="Calibri" w:eastAsia="Times New Roman" w:hAnsi="Calibri" w:cs="Times New Roman"/>
                <w:sz w:val="20"/>
                <w:szCs w:val="20"/>
                <w:lang w:eastAsia="en-AU"/>
              </w:rPr>
            </w:pPr>
            <w:r w:rsidRPr="00980877">
              <w:rPr>
                <w:rFonts w:ascii="Calibri" w:eastAsia="Times New Roman" w:hAnsi="Calibri" w:cs="Times New Roman"/>
                <w:sz w:val="20"/>
                <w:szCs w:val="20"/>
                <w:lang w:eastAsia="en-AU"/>
              </w:rPr>
              <w:t> </w:t>
            </w:r>
          </w:p>
        </w:tc>
        <w:tc>
          <w:tcPr>
            <w:tcW w:w="8680" w:type="dxa"/>
            <w:shd w:val="clear" w:color="auto" w:fill="auto"/>
            <w:hideMark/>
          </w:tcPr>
          <w:p w:rsidR="00980877" w:rsidRPr="00980877" w:rsidRDefault="00980877" w:rsidP="00980877">
            <w:pPr>
              <w:tabs>
                <w:tab w:val="clear" w:pos="567"/>
              </w:tabs>
              <w:spacing w:after="0" w:line="240" w:lineRule="auto"/>
              <w:rPr>
                <w:rFonts w:ascii="Calibri" w:eastAsia="Times New Roman" w:hAnsi="Calibri" w:cs="Times New Roman"/>
                <w:b/>
                <w:bCs/>
                <w:sz w:val="20"/>
                <w:szCs w:val="20"/>
                <w:lang w:eastAsia="en-AU"/>
              </w:rPr>
            </w:pPr>
            <w:r w:rsidRPr="00980877">
              <w:rPr>
                <w:rFonts w:ascii="Calibri" w:eastAsia="Times New Roman" w:hAnsi="Calibri" w:cs="Times New Roman"/>
                <w:b/>
                <w:bCs/>
                <w:sz w:val="20"/>
                <w:szCs w:val="20"/>
                <w:lang w:eastAsia="en-AU"/>
              </w:rPr>
              <w:t>Mining production</w:t>
            </w:r>
            <w:r w:rsidRPr="00980877">
              <w:rPr>
                <w:rFonts w:ascii="Calibri" w:eastAsia="Times New Roman" w:hAnsi="Calibri" w:cs="Times New Roman"/>
                <w:sz w:val="20"/>
                <w:szCs w:val="20"/>
                <w:lang w:eastAsia="en-AU"/>
              </w:rPr>
              <w:t>. A fall in the value of mining production reduced the revenue raising capacity of the major mining States. This shifted GST away from Tasmania.</w:t>
            </w:r>
          </w:p>
        </w:tc>
      </w:tr>
    </w:tbl>
    <w:p w:rsidR="006A3E53" w:rsidRDefault="006A3E53" w:rsidP="006A3E53">
      <w:pPr>
        <w:sectPr w:rsidR="006A3E53" w:rsidSect="0055307A">
          <w:type w:val="continuous"/>
          <w:pgSz w:w="11899" w:h="16838" w:code="9"/>
          <w:pgMar w:top="1440" w:right="1080" w:bottom="1440" w:left="1080" w:header="709" w:footer="709" w:gutter="0"/>
          <w:cols w:space="1"/>
          <w:titlePg/>
          <w:docGrid w:linePitch="326"/>
        </w:sectPr>
      </w:pPr>
    </w:p>
    <w:p w:rsidR="006A3E53" w:rsidRPr="00EC79CF" w:rsidRDefault="006A3E53" w:rsidP="0001171D">
      <w:pPr>
        <w:spacing w:before="240"/>
      </w:pPr>
      <w:proofErr w:type="gramStart"/>
      <w:r w:rsidRPr="00EB0261">
        <w:rPr>
          <w:rStyle w:val="Heading6Char"/>
        </w:rPr>
        <w:lastRenderedPageBreak/>
        <w:t xml:space="preserve">Fiscal </w:t>
      </w:r>
      <w:r>
        <w:rPr>
          <w:rStyle w:val="Heading6Char"/>
        </w:rPr>
        <w:t>capacity</w:t>
      </w:r>
      <w:r w:rsidRPr="00EB0261">
        <w:rPr>
          <w:rStyle w:val="Heading6Char"/>
        </w:rPr>
        <w:t>.</w:t>
      </w:r>
      <w:proofErr w:type="gramEnd"/>
      <w:r w:rsidRPr="00EB0261">
        <w:t xml:space="preserve"> </w:t>
      </w:r>
      <w:r w:rsidRPr="00EC79CF">
        <w:t>Tasmania has the weakest revenue capacity in most tax bases, with well below average capacity for mining revenue. In addition, it has the</w:t>
      </w:r>
      <w:r>
        <w:t xml:space="preserve"> second</w:t>
      </w:r>
      <w:r w:rsidRPr="00EC79CF">
        <w:t xml:space="preserve"> highest per capita assessed expenses for </w:t>
      </w:r>
      <w:r>
        <w:t>s</w:t>
      </w:r>
      <w:r w:rsidRPr="00EC79CF">
        <w:t>chool</w:t>
      </w:r>
      <w:r>
        <w:t>s</w:t>
      </w:r>
      <w:r w:rsidRPr="00EC79CF">
        <w:t xml:space="preserve"> education, </w:t>
      </w:r>
      <w:r>
        <w:t>health and</w:t>
      </w:r>
      <w:r w:rsidRPr="00EC79CF">
        <w:t xml:space="preserve"> </w:t>
      </w:r>
      <w:r>
        <w:t>w</w:t>
      </w:r>
      <w:r w:rsidRPr="00EC79CF">
        <w:t xml:space="preserve">elfare. </w:t>
      </w:r>
    </w:p>
    <w:p w:rsidR="006A3E53" w:rsidRPr="00EC79CF" w:rsidRDefault="006A3E53" w:rsidP="006A3E53">
      <w:r w:rsidRPr="00EC79CF">
        <w:t>The</w:t>
      </w:r>
      <w:r>
        <w:t>se</w:t>
      </w:r>
      <w:r w:rsidRPr="00EC79CF">
        <w:t xml:space="preserve"> high service delivery costs reflect the State’s above average shares of people of low socio-economic status, older people and government school students, compounded by diseconomies of small scale in administration.</w:t>
      </w:r>
    </w:p>
    <w:p w:rsidR="006A3E53" w:rsidRDefault="006A3E53" w:rsidP="006A3E53">
      <w:pPr>
        <w:rPr>
          <w:szCs w:val="24"/>
        </w:rPr>
      </w:pPr>
      <w:r w:rsidRPr="00EC79CF">
        <w:t xml:space="preserve">This is </w:t>
      </w:r>
      <w:r>
        <w:t xml:space="preserve">partly </w:t>
      </w:r>
      <w:r w:rsidRPr="00EC79CF">
        <w:t xml:space="preserve">offset by </w:t>
      </w:r>
      <w:r>
        <w:t xml:space="preserve">its below average population growth, leading to below average investment needs, and by </w:t>
      </w:r>
      <w:r w:rsidRPr="00EC79CF">
        <w:t>above average revenue from Commonwealth payments.</w:t>
      </w:r>
    </w:p>
    <w:p w:rsidR="006A3E53" w:rsidRDefault="006A3E53" w:rsidP="0001171D">
      <w:pPr>
        <w:pStyle w:val="CGCTableHeading"/>
        <w:keepNext w:val="0"/>
        <w:keepLines w:val="0"/>
        <w:spacing w:after="80" w:line="320" w:lineRule="atLeast"/>
        <w:ind w:left="0" w:firstLine="0"/>
      </w:pPr>
      <w:r>
        <w:rPr>
          <w:szCs w:val="24"/>
        </w:rPr>
        <w:br w:type="column"/>
      </w:r>
      <w:r>
        <w:lastRenderedPageBreak/>
        <w:t xml:space="preserve">Table </w:t>
      </w:r>
      <w:r w:rsidR="0014378B">
        <w:fldChar w:fldCharType="begin"/>
      </w:r>
      <w:r w:rsidR="0014378B">
        <w:instrText xml:space="preserve"> SEQ Table \* ARABIC </w:instrText>
      </w:r>
      <w:r w:rsidR="0014378B">
        <w:fldChar w:fldCharType="separate"/>
      </w:r>
      <w:r w:rsidR="007A6AF0">
        <w:rPr>
          <w:noProof/>
        </w:rPr>
        <w:t>22</w:t>
      </w:r>
      <w:r w:rsidR="0014378B">
        <w:rPr>
          <w:noProof/>
        </w:rPr>
        <w:fldChar w:fldCharType="end"/>
      </w:r>
      <w:r w:rsidRPr="00EC79CF">
        <w:tab/>
        <w:t>Assessed GST, 201</w:t>
      </w:r>
      <w:r>
        <w:t>6</w:t>
      </w:r>
      <w:r>
        <w:noBreakHyphen/>
        <w:t>17</w:t>
      </w:r>
    </w:p>
    <w:tbl>
      <w:tblPr>
        <w:tblW w:w="4240" w:type="dxa"/>
        <w:tblInd w:w="93" w:type="dxa"/>
        <w:tblLook w:val="04A0" w:firstRow="1" w:lastRow="0" w:firstColumn="1" w:lastColumn="0" w:noHBand="0" w:noVBand="1"/>
      </w:tblPr>
      <w:tblGrid>
        <w:gridCol w:w="2700"/>
        <w:gridCol w:w="820"/>
        <w:gridCol w:w="720"/>
      </w:tblGrid>
      <w:tr w:rsidR="0064743F" w:rsidRPr="0064743F" w:rsidTr="0064743F">
        <w:trPr>
          <w:trHeight w:val="375"/>
        </w:trPr>
        <w:tc>
          <w:tcPr>
            <w:tcW w:w="270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$pc</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Equal per capita share</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1 290</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2 496</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Effect of assessed:</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Expenses</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491</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949</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Investment</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-193</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-372</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Net borrowing</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19</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36</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Revenue</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734</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1 420</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Commonwealth payments</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-42</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-80</w:t>
            </w:r>
          </w:p>
        </w:tc>
      </w:tr>
      <w:tr w:rsidR="0064743F" w:rsidRPr="0064743F" w:rsidTr="0064743F">
        <w:trPr>
          <w:trHeight w:val="315"/>
        </w:trPr>
        <w:tc>
          <w:tcPr>
            <w:tcW w:w="270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Assessed GST</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2 299</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4 448</w:t>
            </w:r>
          </w:p>
        </w:tc>
      </w:tr>
    </w:tbl>
    <w:p w:rsidR="006A3E53" w:rsidRDefault="006A3E53" w:rsidP="006A3E53">
      <w:pPr>
        <w:pStyle w:val="CGCTableFootnote"/>
        <w:sectPr w:rsidR="006A3E53" w:rsidSect="0055307A">
          <w:type w:val="continuous"/>
          <w:pgSz w:w="11899" w:h="16838" w:code="9"/>
          <w:pgMar w:top="1440" w:right="1080" w:bottom="1440" w:left="1080" w:header="709" w:footer="709" w:gutter="0"/>
          <w:cols w:num="2" w:space="157" w:equalWidth="0">
            <w:col w:w="5500" w:space="157"/>
            <w:col w:w="4082"/>
          </w:cols>
          <w:titlePg/>
          <w:docGrid w:linePitch="326"/>
        </w:sectPr>
      </w:pPr>
      <w:r>
        <w:t>Note: Table may not add due to rounding.</w:t>
      </w:r>
    </w:p>
    <w:p w:rsidR="006A3E53" w:rsidRPr="007F176A" w:rsidRDefault="006A3E53" w:rsidP="006A3E53">
      <w:pPr>
        <w:pStyle w:val="Heading4"/>
        <w:spacing w:before="0"/>
      </w:pPr>
      <w:bookmarkStart w:id="343" w:name="_Toc428803225"/>
      <w:bookmarkStart w:id="344" w:name="_Toc433353482"/>
      <w:bookmarkStart w:id="345" w:name="_Toc441241588"/>
      <w:bookmarkStart w:id="346" w:name="_Toc441499258"/>
      <w:bookmarkStart w:id="347" w:name="_Toc442191914"/>
      <w:bookmarkStart w:id="348" w:name="_Toc442192166"/>
      <w:bookmarkStart w:id="349" w:name="_Toc442192231"/>
      <w:bookmarkStart w:id="350" w:name="_Toc442772817"/>
      <w:bookmarkStart w:id="351" w:name="_Toc442773044"/>
      <w:bookmarkStart w:id="352" w:name="_Toc442773216"/>
      <w:bookmarkStart w:id="353" w:name="_Toc442883281"/>
      <w:bookmarkStart w:id="354" w:name="_Toc442949134"/>
      <w:r w:rsidRPr="007F176A">
        <w:lastRenderedPageBreak/>
        <w:t>Australian Capital Territory</w:t>
      </w:r>
      <w:bookmarkEnd w:id="343"/>
      <w:bookmarkEnd w:id="344"/>
      <w:bookmarkEnd w:id="345"/>
      <w:bookmarkEnd w:id="346"/>
      <w:bookmarkEnd w:id="347"/>
      <w:bookmarkEnd w:id="348"/>
      <w:bookmarkEnd w:id="349"/>
      <w:bookmarkEnd w:id="350"/>
      <w:bookmarkEnd w:id="351"/>
      <w:bookmarkEnd w:id="352"/>
      <w:bookmarkEnd w:id="353"/>
      <w:bookmarkEnd w:id="354"/>
    </w:p>
    <w:p w:rsidR="006A3E53" w:rsidRDefault="006A3E53" w:rsidP="006A3E53">
      <w:pPr>
        <w:pStyle w:val="Heading4"/>
        <w:spacing w:before="0"/>
        <w:sectPr w:rsidR="006A3E53" w:rsidSect="0055307A">
          <w:footerReference w:type="default" r:id="rId42"/>
          <w:footerReference w:type="first" r:id="rId43"/>
          <w:pgSz w:w="11899" w:h="16838" w:code="9"/>
          <w:pgMar w:top="1440" w:right="1080" w:bottom="1440" w:left="1080" w:header="709" w:footer="709" w:gutter="0"/>
          <w:cols w:space="708"/>
          <w:titlePg/>
          <w:docGrid w:linePitch="326"/>
        </w:sectPr>
      </w:pPr>
    </w:p>
    <w:p w:rsidR="006A3E53" w:rsidRPr="0001171D" w:rsidRDefault="006A3E53" w:rsidP="0001171D">
      <w:pPr>
        <w:spacing w:before="120"/>
        <w:rPr>
          <w:rStyle w:val="CGCTableHeadingChar"/>
        </w:rPr>
      </w:pPr>
      <w:proofErr w:type="gramStart"/>
      <w:r>
        <w:rPr>
          <w:rStyle w:val="Heading6Char"/>
        </w:rPr>
        <w:lastRenderedPageBreak/>
        <w:t>Changes in this update.</w:t>
      </w:r>
      <w:proofErr w:type="gramEnd"/>
      <w:r>
        <w:rPr>
          <w:rStyle w:val="Heading6Char"/>
        </w:rPr>
        <w:t xml:space="preserve"> </w:t>
      </w:r>
      <w:r w:rsidR="000469FA" w:rsidRPr="000469FA">
        <w:t xml:space="preserve">While the </w:t>
      </w:r>
      <w:r w:rsidRPr="000469FA">
        <w:t>ACT</w:t>
      </w:r>
      <w:r w:rsidR="000469FA" w:rsidRPr="000469FA">
        <w:t>’s</w:t>
      </w:r>
      <w:r>
        <w:t xml:space="preserve"> </w:t>
      </w:r>
      <w:r w:rsidR="001F013C">
        <w:t xml:space="preserve">fiscal capacity has declined, it </w:t>
      </w:r>
      <w:r w:rsidR="00392FBA">
        <w:t xml:space="preserve">has </w:t>
      </w:r>
      <w:r>
        <w:t>become the State with the fourth strongest fiscal capacity</w:t>
      </w:r>
      <w:r w:rsidR="00392FBA">
        <w:t xml:space="preserve"> mainly due to the deterioration in Queensland’s </w:t>
      </w:r>
      <w:r w:rsidR="00BA76F8">
        <w:t>position</w:t>
      </w:r>
      <w:r>
        <w:t xml:space="preserve">. The main source of change </w:t>
      </w:r>
      <w:r w:rsidR="008A7726">
        <w:t xml:space="preserve">for the ACT </w:t>
      </w:r>
      <w:r>
        <w:t xml:space="preserve">was a downward revision to </w:t>
      </w:r>
      <w:r>
        <w:rPr>
          <w:rFonts w:cs="Arial"/>
        </w:rPr>
        <w:t xml:space="preserve">its payroll tax base which reduced its revenue raising capacity. Very weak growth in property sales and </w:t>
      </w:r>
      <w:r w:rsidRPr="00B00702">
        <w:rPr>
          <w:rFonts w:cs="Arial"/>
        </w:rPr>
        <w:t xml:space="preserve">taxable private sector payrolls </w:t>
      </w:r>
      <w:r w:rsidR="008A7726">
        <w:rPr>
          <w:rFonts w:cs="Arial"/>
        </w:rPr>
        <w:t xml:space="preserve">also </w:t>
      </w:r>
      <w:r>
        <w:rPr>
          <w:rFonts w:cs="Arial"/>
        </w:rPr>
        <w:t xml:space="preserve">reduced </w:t>
      </w:r>
      <w:r w:rsidR="008A7726">
        <w:rPr>
          <w:rFonts w:cs="Arial"/>
        </w:rPr>
        <w:t>its</w:t>
      </w:r>
      <w:r>
        <w:rPr>
          <w:rFonts w:cs="Arial"/>
        </w:rPr>
        <w:t xml:space="preserve"> revenue raising capacity. This was partially offset by a reduction in relative wage costs which reduced its service </w:t>
      </w:r>
      <w:r w:rsidRPr="00692724">
        <w:rPr>
          <w:rFonts w:cs="Arial"/>
        </w:rPr>
        <w:t xml:space="preserve">delivery costs. </w:t>
      </w:r>
      <w:r w:rsidRPr="00692724">
        <w:t>Compared with 2015</w:t>
      </w:r>
      <w:r w:rsidR="006460E5" w:rsidRPr="00692724">
        <w:noBreakHyphen/>
      </w:r>
      <w:r w:rsidRPr="00692724">
        <w:t xml:space="preserve">16, the </w:t>
      </w:r>
      <w:r w:rsidR="003D7B67">
        <w:t>ACT</w:t>
      </w:r>
      <w:r w:rsidR="003D7B67" w:rsidRPr="00692724">
        <w:t xml:space="preserve">’s </w:t>
      </w:r>
      <w:r w:rsidR="006460E5" w:rsidRPr="00692724">
        <w:t>share of GST will increase from 1.8% to 1.9%</w:t>
      </w:r>
      <w:r w:rsidR="001F013C">
        <w:t>, and</w:t>
      </w:r>
      <w:r w:rsidR="004F4C74">
        <w:t>,</w:t>
      </w:r>
      <w:r w:rsidR="001F013C">
        <w:t xml:space="preserve"> combined with </w:t>
      </w:r>
      <w:r w:rsidR="004F4C74">
        <w:t xml:space="preserve">pool </w:t>
      </w:r>
      <w:r w:rsidR="001F013C">
        <w:t>growth, i</w:t>
      </w:r>
      <w:r w:rsidR="006460E5" w:rsidRPr="00692724">
        <w:t xml:space="preserve">ts </w:t>
      </w:r>
      <w:r w:rsidRPr="00692724">
        <w:t xml:space="preserve">GST </w:t>
      </w:r>
      <w:r w:rsidR="00692724" w:rsidRPr="00692724">
        <w:t xml:space="preserve">entitlement </w:t>
      </w:r>
      <w:r w:rsidR="006A4C8D">
        <w:t>will rise by $119 </w:t>
      </w:r>
      <w:r w:rsidRPr="00692724">
        <w:t xml:space="preserve">million or 11.5%, </w:t>
      </w:r>
      <w:r>
        <w:br w:type="column"/>
      </w:r>
      <w:r w:rsidRPr="0001171D">
        <w:rPr>
          <w:rStyle w:val="CGCTableHeadingChar"/>
        </w:rPr>
        <w:lastRenderedPageBreak/>
        <w:t xml:space="preserve">Table </w:t>
      </w:r>
      <w:r w:rsidR="005F0051" w:rsidRPr="0001171D">
        <w:rPr>
          <w:rStyle w:val="CGCTableHeadingChar"/>
        </w:rPr>
        <w:fldChar w:fldCharType="begin"/>
      </w:r>
      <w:r w:rsidR="005F0051" w:rsidRPr="0001171D">
        <w:rPr>
          <w:rStyle w:val="CGCTableHeadingChar"/>
        </w:rPr>
        <w:instrText xml:space="preserve"> SEQ Table \* ARABIC </w:instrText>
      </w:r>
      <w:r w:rsidR="005F0051" w:rsidRPr="0001171D">
        <w:rPr>
          <w:rStyle w:val="CGCTableHeadingChar"/>
        </w:rPr>
        <w:fldChar w:fldCharType="separate"/>
      </w:r>
      <w:r w:rsidR="007A6AF0">
        <w:rPr>
          <w:rStyle w:val="CGCTableHeadingChar"/>
          <w:noProof/>
        </w:rPr>
        <w:t>23</w:t>
      </w:r>
      <w:r w:rsidR="005F0051" w:rsidRPr="0001171D">
        <w:rPr>
          <w:rStyle w:val="CGCTableHeadingChar"/>
        </w:rPr>
        <w:fldChar w:fldCharType="end"/>
      </w:r>
      <w:r w:rsidRPr="0001171D">
        <w:rPr>
          <w:rStyle w:val="CGCTableHeadingChar"/>
        </w:rPr>
        <w:tab/>
        <w:t>Change in GST</w:t>
      </w:r>
    </w:p>
    <w:tbl>
      <w:tblPr>
        <w:tblW w:w="4240" w:type="dxa"/>
        <w:tblInd w:w="93" w:type="dxa"/>
        <w:tblLook w:val="04A0" w:firstRow="1" w:lastRow="0" w:firstColumn="1" w:lastColumn="0" w:noHBand="0" w:noVBand="1"/>
      </w:tblPr>
      <w:tblGrid>
        <w:gridCol w:w="2700"/>
        <w:gridCol w:w="820"/>
        <w:gridCol w:w="720"/>
      </w:tblGrid>
      <w:tr w:rsidR="0064743F" w:rsidRPr="0064743F" w:rsidTr="0064743F">
        <w:trPr>
          <w:trHeight w:val="375"/>
        </w:trPr>
        <w:tc>
          <w:tcPr>
            <w:tcW w:w="270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$pc</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Change due to</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New population</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Growth in GST available</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63</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158</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New relativities</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55</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138</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200" w:firstLine="4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Data revisions</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50</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124</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200" w:firstLine="4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Change in circumstances</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6</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14</w:t>
            </w:r>
          </w:p>
        </w:tc>
      </w:tr>
      <w:tr w:rsidR="0064743F" w:rsidRPr="0064743F" w:rsidTr="0064743F">
        <w:trPr>
          <w:trHeight w:val="315"/>
        </w:trPr>
        <w:tc>
          <w:tcPr>
            <w:tcW w:w="270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Total change</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119</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298</w:t>
            </w:r>
          </w:p>
        </w:tc>
      </w:tr>
    </w:tbl>
    <w:p w:rsidR="006A3E53" w:rsidRDefault="006A3E53" w:rsidP="006A3E53">
      <w:pPr>
        <w:pStyle w:val="CGCTableFootnote"/>
        <w:sectPr w:rsidR="006A3E53" w:rsidSect="0055307A">
          <w:type w:val="continuous"/>
          <w:pgSz w:w="11899" w:h="16838" w:code="9"/>
          <w:pgMar w:top="1440" w:right="1080" w:bottom="1440" w:left="1080" w:header="709" w:footer="709" w:gutter="0"/>
          <w:cols w:num="2" w:space="145" w:equalWidth="0">
            <w:col w:w="5500" w:space="145"/>
            <w:col w:w="4094"/>
          </w:cols>
          <w:titlePg/>
          <w:docGrid w:linePitch="326"/>
        </w:sectPr>
      </w:pPr>
      <w:r>
        <w:t>Note: Table may not add due to rounding.</w:t>
      </w:r>
    </w:p>
    <w:p w:rsidR="006A3E53" w:rsidRDefault="006A3E53" w:rsidP="00153AC5">
      <w:pPr>
        <w:pStyle w:val="CGCTableHeading"/>
        <w:spacing w:after="80" w:line="320" w:lineRule="atLeast"/>
      </w:pPr>
      <w:r>
        <w:lastRenderedPageBreak/>
        <w:t xml:space="preserve">Table </w:t>
      </w:r>
      <w:r w:rsidR="0014378B">
        <w:fldChar w:fldCharType="begin"/>
      </w:r>
      <w:r w:rsidR="0014378B">
        <w:instrText xml:space="preserve"> SEQ Table \* ARABIC </w:instrText>
      </w:r>
      <w:r w:rsidR="0014378B">
        <w:fldChar w:fldCharType="separate"/>
      </w:r>
      <w:r w:rsidR="007A6AF0">
        <w:rPr>
          <w:noProof/>
        </w:rPr>
        <w:t>24</w:t>
      </w:r>
      <w:r w:rsidR="0014378B">
        <w:rPr>
          <w:noProof/>
        </w:rPr>
        <w:fldChar w:fldCharType="end"/>
      </w:r>
      <w:r w:rsidRPr="00EC79CF">
        <w:rPr>
          <w:bCs/>
        </w:rPr>
        <w:tab/>
      </w:r>
      <w:r>
        <w:t xml:space="preserve">Main causes of change for the </w:t>
      </w:r>
      <w:r w:rsidR="006A4C8D">
        <w:t>ACT</w:t>
      </w:r>
    </w:p>
    <w:tbl>
      <w:tblPr>
        <w:tblW w:w="9920" w:type="dxa"/>
        <w:tblInd w:w="93" w:type="dxa"/>
        <w:tblBorders>
          <w:top w:val="single" w:sz="4" w:space="0" w:color="auto"/>
          <w:bottom w:val="single" w:sz="4" w:space="0" w:color="auto"/>
        </w:tblBorders>
        <w:tblLook w:val="04A0" w:firstRow="1" w:lastRow="0" w:firstColumn="1" w:lastColumn="0" w:noHBand="0" w:noVBand="1"/>
      </w:tblPr>
      <w:tblGrid>
        <w:gridCol w:w="700"/>
        <w:gridCol w:w="540"/>
        <w:gridCol w:w="8680"/>
      </w:tblGrid>
      <w:tr w:rsidR="00980877" w:rsidRPr="00980877" w:rsidTr="00D51D26">
        <w:trPr>
          <w:trHeight w:val="360"/>
        </w:trPr>
        <w:tc>
          <w:tcPr>
            <w:tcW w:w="1240" w:type="dxa"/>
            <w:gridSpan w:val="2"/>
            <w:tcBorders>
              <w:top w:val="single" w:sz="4" w:space="0" w:color="auto"/>
              <w:bottom w:val="single" w:sz="4" w:space="0" w:color="auto"/>
            </w:tcBorders>
            <w:shd w:val="clear" w:color="auto" w:fill="auto"/>
            <w:vAlign w:val="center"/>
            <w:hideMark/>
          </w:tcPr>
          <w:p w:rsidR="00980877" w:rsidRPr="00980877" w:rsidRDefault="00980877" w:rsidP="00980877">
            <w:pPr>
              <w:tabs>
                <w:tab w:val="clear" w:pos="567"/>
              </w:tabs>
              <w:spacing w:after="0" w:line="240" w:lineRule="auto"/>
              <w:ind w:hanging="93"/>
              <w:rPr>
                <w:rFonts w:ascii="Calibri" w:eastAsia="Times New Roman" w:hAnsi="Calibri" w:cs="Times New Roman"/>
                <w:sz w:val="20"/>
                <w:szCs w:val="20"/>
                <w:lang w:eastAsia="en-AU"/>
              </w:rPr>
            </w:pPr>
            <w:r w:rsidRPr="00980877">
              <w:rPr>
                <w:rFonts w:ascii="Calibri" w:eastAsia="Times New Roman" w:hAnsi="Calibri" w:cs="Times New Roman"/>
                <w:sz w:val="20"/>
                <w:szCs w:val="20"/>
                <w:lang w:eastAsia="en-AU"/>
              </w:rPr>
              <w:t>Change ($m)</w:t>
            </w:r>
          </w:p>
        </w:tc>
        <w:tc>
          <w:tcPr>
            <w:tcW w:w="8680" w:type="dxa"/>
            <w:tcBorders>
              <w:top w:val="single" w:sz="4" w:space="0" w:color="auto"/>
              <w:bottom w:val="single" w:sz="4" w:space="0" w:color="auto"/>
            </w:tcBorders>
            <w:shd w:val="clear" w:color="auto" w:fill="auto"/>
            <w:vAlign w:val="center"/>
            <w:hideMark/>
          </w:tcPr>
          <w:p w:rsidR="00980877" w:rsidRPr="00980877" w:rsidRDefault="00980877" w:rsidP="00980877">
            <w:pPr>
              <w:tabs>
                <w:tab w:val="clear" w:pos="567"/>
              </w:tabs>
              <w:spacing w:after="0" w:line="240" w:lineRule="auto"/>
              <w:rPr>
                <w:rFonts w:ascii="Calibri" w:eastAsia="Times New Roman" w:hAnsi="Calibri" w:cs="Times New Roman"/>
                <w:sz w:val="20"/>
                <w:szCs w:val="20"/>
                <w:lang w:eastAsia="en-AU"/>
              </w:rPr>
            </w:pPr>
            <w:r w:rsidRPr="00980877">
              <w:rPr>
                <w:rFonts w:ascii="Calibri" w:eastAsia="Times New Roman" w:hAnsi="Calibri" w:cs="Times New Roman"/>
                <w:sz w:val="20"/>
                <w:szCs w:val="20"/>
                <w:lang w:eastAsia="en-AU"/>
              </w:rPr>
              <w:t>Reason for change</w:t>
            </w:r>
          </w:p>
        </w:tc>
      </w:tr>
      <w:tr w:rsidR="00980877" w:rsidRPr="00980877" w:rsidTr="00D51D26">
        <w:trPr>
          <w:trHeight w:val="390"/>
        </w:trPr>
        <w:tc>
          <w:tcPr>
            <w:tcW w:w="9920" w:type="dxa"/>
            <w:gridSpan w:val="3"/>
            <w:tcBorders>
              <w:top w:val="single" w:sz="4" w:space="0" w:color="auto"/>
            </w:tcBorders>
            <w:shd w:val="clear" w:color="auto" w:fill="auto"/>
            <w:vAlign w:val="center"/>
            <w:hideMark/>
          </w:tcPr>
          <w:p w:rsidR="00980877" w:rsidRPr="00980877" w:rsidRDefault="00980877" w:rsidP="00D7249C">
            <w:pPr>
              <w:tabs>
                <w:tab w:val="clear" w:pos="567"/>
              </w:tabs>
              <w:spacing w:after="0" w:line="240" w:lineRule="auto"/>
              <w:ind w:hanging="93"/>
              <w:rPr>
                <w:rFonts w:ascii="Calibri" w:eastAsia="Times New Roman" w:hAnsi="Calibri" w:cs="Times New Roman"/>
                <w:b/>
                <w:bCs/>
                <w:sz w:val="20"/>
                <w:szCs w:val="20"/>
                <w:lang w:eastAsia="en-AU"/>
              </w:rPr>
            </w:pPr>
            <w:r w:rsidRPr="00980877">
              <w:rPr>
                <w:rFonts w:ascii="Calibri" w:eastAsia="Times New Roman" w:hAnsi="Calibri" w:cs="Times New Roman"/>
                <w:b/>
                <w:bCs/>
                <w:sz w:val="20"/>
                <w:szCs w:val="20"/>
                <w:lang w:eastAsia="en-AU"/>
              </w:rPr>
              <w:t>Data revisions</w:t>
            </w:r>
          </w:p>
        </w:tc>
      </w:tr>
      <w:tr w:rsidR="00980877" w:rsidRPr="00980877" w:rsidTr="00D51D26">
        <w:trPr>
          <w:trHeight w:val="495"/>
        </w:trPr>
        <w:tc>
          <w:tcPr>
            <w:tcW w:w="700" w:type="dxa"/>
            <w:shd w:val="clear" w:color="auto" w:fill="auto"/>
            <w:hideMark/>
          </w:tcPr>
          <w:p w:rsidR="00980877" w:rsidRPr="00980877" w:rsidRDefault="00980877" w:rsidP="00980877">
            <w:pPr>
              <w:tabs>
                <w:tab w:val="clear" w:pos="567"/>
              </w:tabs>
              <w:spacing w:after="0" w:line="240" w:lineRule="auto"/>
              <w:jc w:val="right"/>
              <w:rPr>
                <w:rFonts w:ascii="Calibri" w:eastAsia="Times New Roman" w:hAnsi="Calibri" w:cs="Times New Roman"/>
                <w:sz w:val="20"/>
                <w:szCs w:val="20"/>
                <w:lang w:eastAsia="en-AU"/>
              </w:rPr>
            </w:pPr>
            <w:r w:rsidRPr="00980877">
              <w:rPr>
                <w:rFonts w:ascii="Calibri" w:eastAsia="Times New Roman" w:hAnsi="Calibri" w:cs="Times New Roman"/>
                <w:sz w:val="20"/>
                <w:szCs w:val="20"/>
                <w:lang w:eastAsia="en-AU"/>
              </w:rPr>
              <w:t>36</w:t>
            </w:r>
          </w:p>
        </w:tc>
        <w:tc>
          <w:tcPr>
            <w:tcW w:w="540" w:type="dxa"/>
            <w:shd w:val="clear" w:color="auto" w:fill="auto"/>
            <w:hideMark/>
          </w:tcPr>
          <w:p w:rsidR="00980877" w:rsidRPr="00980877" w:rsidRDefault="00980877" w:rsidP="00980877">
            <w:pPr>
              <w:tabs>
                <w:tab w:val="clear" w:pos="567"/>
              </w:tabs>
              <w:spacing w:after="0" w:line="240" w:lineRule="auto"/>
              <w:rPr>
                <w:rFonts w:ascii="Calibri" w:eastAsia="Times New Roman" w:hAnsi="Calibri" w:cs="Times New Roman"/>
                <w:sz w:val="20"/>
                <w:szCs w:val="20"/>
                <w:lang w:eastAsia="en-AU"/>
              </w:rPr>
            </w:pPr>
          </w:p>
        </w:tc>
        <w:tc>
          <w:tcPr>
            <w:tcW w:w="8680" w:type="dxa"/>
            <w:shd w:val="clear" w:color="auto" w:fill="auto"/>
            <w:hideMark/>
          </w:tcPr>
          <w:p w:rsidR="00980877" w:rsidRPr="00980877" w:rsidRDefault="00980877" w:rsidP="00980877">
            <w:pPr>
              <w:tabs>
                <w:tab w:val="clear" w:pos="567"/>
              </w:tabs>
              <w:spacing w:after="0" w:line="240" w:lineRule="auto"/>
              <w:rPr>
                <w:rFonts w:ascii="Calibri" w:eastAsia="Times New Roman" w:hAnsi="Calibri" w:cs="Times New Roman"/>
                <w:b/>
                <w:bCs/>
                <w:sz w:val="20"/>
                <w:szCs w:val="20"/>
                <w:lang w:eastAsia="en-AU"/>
              </w:rPr>
            </w:pPr>
            <w:r w:rsidRPr="00980877">
              <w:rPr>
                <w:rFonts w:ascii="Calibri" w:eastAsia="Times New Roman" w:hAnsi="Calibri" w:cs="Times New Roman"/>
                <w:b/>
                <w:bCs/>
                <w:sz w:val="20"/>
                <w:szCs w:val="20"/>
                <w:lang w:eastAsia="en-AU"/>
              </w:rPr>
              <w:t>Taxable payrolls.</w:t>
            </w:r>
            <w:r w:rsidRPr="00980877">
              <w:rPr>
                <w:rFonts w:ascii="Calibri" w:eastAsia="Times New Roman" w:hAnsi="Calibri" w:cs="Times New Roman"/>
                <w:sz w:val="20"/>
                <w:szCs w:val="20"/>
                <w:lang w:eastAsia="en-AU"/>
              </w:rPr>
              <w:t xml:space="preserve"> Downward revisions to ABS CoE data for the ACT used to measure the payroll tax base reduced its revenue raising capacity and increased its GST share.</w:t>
            </w:r>
          </w:p>
        </w:tc>
      </w:tr>
      <w:tr w:rsidR="00980877" w:rsidRPr="00980877" w:rsidTr="00D51D26">
        <w:trPr>
          <w:trHeight w:val="360"/>
        </w:trPr>
        <w:tc>
          <w:tcPr>
            <w:tcW w:w="9920" w:type="dxa"/>
            <w:gridSpan w:val="3"/>
            <w:shd w:val="clear" w:color="auto" w:fill="auto"/>
            <w:vAlign w:val="center"/>
            <w:hideMark/>
          </w:tcPr>
          <w:p w:rsidR="00980877" w:rsidRPr="00980877" w:rsidRDefault="00980877" w:rsidP="00D7249C">
            <w:pPr>
              <w:tabs>
                <w:tab w:val="clear" w:pos="567"/>
              </w:tabs>
              <w:spacing w:after="0" w:line="240" w:lineRule="auto"/>
              <w:ind w:hanging="93"/>
              <w:rPr>
                <w:rFonts w:ascii="Calibri" w:eastAsia="Times New Roman" w:hAnsi="Calibri" w:cs="Times New Roman"/>
                <w:b/>
                <w:bCs/>
                <w:sz w:val="20"/>
                <w:szCs w:val="20"/>
                <w:lang w:eastAsia="en-AU"/>
              </w:rPr>
            </w:pPr>
            <w:r w:rsidRPr="00980877">
              <w:rPr>
                <w:rFonts w:ascii="Calibri" w:eastAsia="Times New Roman" w:hAnsi="Calibri" w:cs="Times New Roman"/>
                <w:b/>
                <w:bCs/>
                <w:sz w:val="20"/>
                <w:szCs w:val="20"/>
                <w:lang w:eastAsia="en-AU"/>
              </w:rPr>
              <w:t>Changes in circumstances</w:t>
            </w:r>
          </w:p>
        </w:tc>
      </w:tr>
      <w:tr w:rsidR="00980877" w:rsidRPr="00980877" w:rsidTr="00D51D26">
        <w:trPr>
          <w:trHeight w:val="495"/>
        </w:trPr>
        <w:tc>
          <w:tcPr>
            <w:tcW w:w="700" w:type="dxa"/>
            <w:shd w:val="clear" w:color="auto" w:fill="auto"/>
            <w:hideMark/>
          </w:tcPr>
          <w:p w:rsidR="00980877" w:rsidRPr="00980877" w:rsidRDefault="00980877" w:rsidP="00980877">
            <w:pPr>
              <w:tabs>
                <w:tab w:val="clear" w:pos="567"/>
              </w:tabs>
              <w:spacing w:after="0" w:line="240" w:lineRule="auto"/>
              <w:jc w:val="right"/>
              <w:rPr>
                <w:rFonts w:ascii="Calibri" w:eastAsia="Times New Roman" w:hAnsi="Calibri" w:cs="Times New Roman"/>
                <w:sz w:val="20"/>
                <w:szCs w:val="20"/>
                <w:lang w:eastAsia="en-AU"/>
              </w:rPr>
            </w:pPr>
            <w:r w:rsidRPr="00980877">
              <w:rPr>
                <w:rFonts w:ascii="Calibri" w:eastAsia="Times New Roman" w:hAnsi="Calibri" w:cs="Times New Roman"/>
                <w:sz w:val="20"/>
                <w:szCs w:val="20"/>
                <w:lang w:eastAsia="en-AU"/>
              </w:rPr>
              <w:t>28</w:t>
            </w:r>
          </w:p>
        </w:tc>
        <w:tc>
          <w:tcPr>
            <w:tcW w:w="540" w:type="dxa"/>
            <w:shd w:val="clear" w:color="auto" w:fill="auto"/>
            <w:hideMark/>
          </w:tcPr>
          <w:p w:rsidR="00980877" w:rsidRPr="00980877" w:rsidRDefault="00980877" w:rsidP="00980877">
            <w:pPr>
              <w:tabs>
                <w:tab w:val="clear" w:pos="567"/>
              </w:tabs>
              <w:spacing w:after="0" w:line="240" w:lineRule="auto"/>
              <w:rPr>
                <w:rFonts w:ascii="Calibri" w:eastAsia="Times New Roman" w:hAnsi="Calibri" w:cs="Times New Roman"/>
                <w:sz w:val="20"/>
                <w:szCs w:val="20"/>
                <w:lang w:eastAsia="en-AU"/>
              </w:rPr>
            </w:pPr>
          </w:p>
        </w:tc>
        <w:tc>
          <w:tcPr>
            <w:tcW w:w="8680" w:type="dxa"/>
            <w:shd w:val="clear" w:color="auto" w:fill="auto"/>
            <w:hideMark/>
          </w:tcPr>
          <w:p w:rsidR="00980877" w:rsidRPr="00980877" w:rsidRDefault="00980877" w:rsidP="00980877">
            <w:pPr>
              <w:tabs>
                <w:tab w:val="clear" w:pos="567"/>
              </w:tabs>
              <w:spacing w:after="0" w:line="240" w:lineRule="auto"/>
              <w:rPr>
                <w:rFonts w:ascii="Calibri" w:eastAsia="Times New Roman" w:hAnsi="Calibri" w:cs="Times New Roman"/>
                <w:b/>
                <w:bCs/>
                <w:sz w:val="20"/>
                <w:szCs w:val="20"/>
                <w:lang w:eastAsia="en-AU"/>
              </w:rPr>
            </w:pPr>
            <w:r w:rsidRPr="00980877">
              <w:rPr>
                <w:rFonts w:ascii="Calibri" w:eastAsia="Times New Roman" w:hAnsi="Calibri" w:cs="Times New Roman"/>
                <w:b/>
                <w:bCs/>
                <w:sz w:val="20"/>
                <w:szCs w:val="20"/>
                <w:lang w:eastAsia="en-AU"/>
              </w:rPr>
              <w:t>Property sales.</w:t>
            </w:r>
            <w:r w:rsidRPr="00980877">
              <w:rPr>
                <w:rFonts w:ascii="Calibri" w:eastAsia="Times New Roman" w:hAnsi="Calibri" w:cs="Times New Roman"/>
                <w:sz w:val="20"/>
                <w:szCs w:val="20"/>
                <w:lang w:eastAsia="en-AU"/>
              </w:rPr>
              <w:t xml:space="preserve"> A well below average increase in the ACT’s property sales reduced its capacity to raise revenue from conveyance duty and increased its GST share.</w:t>
            </w:r>
          </w:p>
        </w:tc>
      </w:tr>
      <w:tr w:rsidR="00980877" w:rsidRPr="00980877" w:rsidTr="00D51D26">
        <w:trPr>
          <w:trHeight w:val="495"/>
        </w:trPr>
        <w:tc>
          <w:tcPr>
            <w:tcW w:w="700" w:type="dxa"/>
            <w:shd w:val="clear" w:color="auto" w:fill="auto"/>
            <w:hideMark/>
          </w:tcPr>
          <w:p w:rsidR="00980877" w:rsidRPr="00980877" w:rsidRDefault="00980877" w:rsidP="00980877">
            <w:pPr>
              <w:tabs>
                <w:tab w:val="clear" w:pos="567"/>
              </w:tabs>
              <w:spacing w:after="0" w:line="240" w:lineRule="auto"/>
              <w:jc w:val="right"/>
              <w:rPr>
                <w:rFonts w:ascii="Calibri" w:eastAsia="Times New Roman" w:hAnsi="Calibri" w:cs="Times New Roman"/>
                <w:sz w:val="20"/>
                <w:szCs w:val="20"/>
                <w:lang w:eastAsia="en-AU"/>
              </w:rPr>
            </w:pPr>
            <w:r w:rsidRPr="00980877">
              <w:rPr>
                <w:rFonts w:ascii="Calibri" w:eastAsia="Times New Roman" w:hAnsi="Calibri" w:cs="Times New Roman"/>
                <w:sz w:val="20"/>
                <w:szCs w:val="20"/>
                <w:lang w:eastAsia="en-AU"/>
              </w:rPr>
              <w:t>25</w:t>
            </w:r>
          </w:p>
        </w:tc>
        <w:tc>
          <w:tcPr>
            <w:tcW w:w="540" w:type="dxa"/>
            <w:shd w:val="clear" w:color="auto" w:fill="auto"/>
            <w:hideMark/>
          </w:tcPr>
          <w:p w:rsidR="00980877" w:rsidRPr="00980877" w:rsidRDefault="00980877" w:rsidP="00980877">
            <w:pPr>
              <w:tabs>
                <w:tab w:val="clear" w:pos="567"/>
              </w:tabs>
              <w:spacing w:after="0" w:line="240" w:lineRule="auto"/>
              <w:rPr>
                <w:rFonts w:ascii="Calibri" w:eastAsia="Times New Roman" w:hAnsi="Calibri" w:cs="Times New Roman"/>
                <w:sz w:val="20"/>
                <w:szCs w:val="20"/>
                <w:lang w:eastAsia="en-AU"/>
              </w:rPr>
            </w:pPr>
          </w:p>
        </w:tc>
        <w:tc>
          <w:tcPr>
            <w:tcW w:w="8680" w:type="dxa"/>
            <w:shd w:val="clear" w:color="auto" w:fill="auto"/>
            <w:hideMark/>
          </w:tcPr>
          <w:p w:rsidR="00980877" w:rsidRPr="00980877" w:rsidRDefault="00980877" w:rsidP="00980877">
            <w:pPr>
              <w:tabs>
                <w:tab w:val="clear" w:pos="567"/>
              </w:tabs>
              <w:spacing w:after="0" w:line="240" w:lineRule="auto"/>
              <w:rPr>
                <w:rFonts w:ascii="Calibri" w:eastAsia="Times New Roman" w:hAnsi="Calibri" w:cs="Times New Roman"/>
                <w:b/>
                <w:bCs/>
                <w:sz w:val="20"/>
                <w:szCs w:val="20"/>
                <w:lang w:eastAsia="en-AU"/>
              </w:rPr>
            </w:pPr>
            <w:r w:rsidRPr="00980877">
              <w:rPr>
                <w:rFonts w:ascii="Calibri" w:eastAsia="Times New Roman" w:hAnsi="Calibri" w:cs="Times New Roman"/>
                <w:b/>
                <w:bCs/>
                <w:sz w:val="20"/>
                <w:szCs w:val="20"/>
                <w:lang w:eastAsia="en-AU"/>
              </w:rPr>
              <w:t>Taxable payrolls.</w:t>
            </w:r>
            <w:r w:rsidRPr="00980877">
              <w:rPr>
                <w:rFonts w:ascii="Calibri" w:eastAsia="Times New Roman" w:hAnsi="Calibri" w:cs="Times New Roman"/>
                <w:sz w:val="20"/>
                <w:szCs w:val="20"/>
                <w:lang w:eastAsia="en-AU"/>
              </w:rPr>
              <w:t xml:space="preserve"> The ACT’s taxable private sector payrolls declined between 2011</w:t>
            </w:r>
            <w:r w:rsidRPr="00980877">
              <w:rPr>
                <w:rFonts w:ascii="Calibri" w:eastAsia="Times New Roman" w:hAnsi="Calibri" w:cs="Times New Roman"/>
                <w:sz w:val="20"/>
                <w:szCs w:val="20"/>
                <w:lang w:eastAsia="en-AU"/>
              </w:rPr>
              <w:noBreakHyphen/>
              <w:t>12 and 2014</w:t>
            </w:r>
            <w:r w:rsidRPr="00980877">
              <w:rPr>
                <w:rFonts w:ascii="Calibri" w:eastAsia="Times New Roman" w:hAnsi="Calibri" w:cs="Times New Roman"/>
                <w:sz w:val="20"/>
                <w:szCs w:val="20"/>
                <w:lang w:eastAsia="en-AU"/>
              </w:rPr>
              <w:noBreakHyphen/>
              <w:t>15 leading to a reduction its revenue raising capacity.</w:t>
            </w:r>
          </w:p>
        </w:tc>
      </w:tr>
      <w:tr w:rsidR="00980877" w:rsidRPr="00980877" w:rsidTr="00D51D26">
        <w:trPr>
          <w:trHeight w:val="495"/>
        </w:trPr>
        <w:tc>
          <w:tcPr>
            <w:tcW w:w="700" w:type="dxa"/>
            <w:shd w:val="clear" w:color="auto" w:fill="auto"/>
            <w:hideMark/>
          </w:tcPr>
          <w:p w:rsidR="00980877" w:rsidRPr="00980877" w:rsidRDefault="00980877" w:rsidP="00980877">
            <w:pPr>
              <w:tabs>
                <w:tab w:val="clear" w:pos="567"/>
              </w:tabs>
              <w:spacing w:after="0" w:line="240" w:lineRule="auto"/>
              <w:jc w:val="right"/>
              <w:rPr>
                <w:rFonts w:ascii="Calibri" w:eastAsia="Times New Roman" w:hAnsi="Calibri" w:cs="Times New Roman"/>
                <w:sz w:val="20"/>
                <w:szCs w:val="20"/>
                <w:lang w:eastAsia="en-AU"/>
              </w:rPr>
            </w:pPr>
            <w:r w:rsidRPr="00980877">
              <w:rPr>
                <w:rFonts w:ascii="Calibri" w:eastAsia="Times New Roman" w:hAnsi="Calibri" w:cs="Times New Roman"/>
                <w:sz w:val="20"/>
                <w:szCs w:val="20"/>
                <w:lang w:eastAsia="en-AU"/>
              </w:rPr>
              <w:t>-17</w:t>
            </w:r>
          </w:p>
        </w:tc>
        <w:tc>
          <w:tcPr>
            <w:tcW w:w="540" w:type="dxa"/>
            <w:shd w:val="clear" w:color="auto" w:fill="auto"/>
            <w:hideMark/>
          </w:tcPr>
          <w:p w:rsidR="00980877" w:rsidRPr="00980877" w:rsidRDefault="00980877" w:rsidP="00980877">
            <w:pPr>
              <w:tabs>
                <w:tab w:val="clear" w:pos="567"/>
              </w:tabs>
              <w:spacing w:after="0" w:line="240" w:lineRule="auto"/>
              <w:rPr>
                <w:rFonts w:ascii="Calibri" w:eastAsia="Times New Roman" w:hAnsi="Calibri" w:cs="Times New Roman"/>
                <w:sz w:val="20"/>
                <w:szCs w:val="20"/>
                <w:lang w:eastAsia="en-AU"/>
              </w:rPr>
            </w:pPr>
          </w:p>
        </w:tc>
        <w:tc>
          <w:tcPr>
            <w:tcW w:w="8680" w:type="dxa"/>
            <w:shd w:val="clear" w:color="auto" w:fill="auto"/>
            <w:hideMark/>
          </w:tcPr>
          <w:p w:rsidR="00980877" w:rsidRPr="00980877" w:rsidRDefault="00980877" w:rsidP="00980877">
            <w:pPr>
              <w:tabs>
                <w:tab w:val="clear" w:pos="567"/>
              </w:tabs>
              <w:spacing w:after="0" w:line="240" w:lineRule="auto"/>
              <w:rPr>
                <w:rFonts w:ascii="Calibri" w:eastAsia="Times New Roman" w:hAnsi="Calibri" w:cs="Times New Roman"/>
                <w:b/>
                <w:bCs/>
                <w:sz w:val="20"/>
                <w:szCs w:val="20"/>
                <w:lang w:eastAsia="en-AU"/>
              </w:rPr>
            </w:pPr>
            <w:r w:rsidRPr="00980877">
              <w:rPr>
                <w:rFonts w:ascii="Calibri" w:eastAsia="Times New Roman" w:hAnsi="Calibri" w:cs="Times New Roman"/>
                <w:b/>
                <w:bCs/>
                <w:sz w:val="20"/>
                <w:szCs w:val="20"/>
                <w:lang w:eastAsia="en-AU"/>
              </w:rPr>
              <w:t>Mining production</w:t>
            </w:r>
            <w:r w:rsidRPr="00980877">
              <w:rPr>
                <w:rFonts w:ascii="Calibri" w:eastAsia="Times New Roman" w:hAnsi="Calibri" w:cs="Times New Roman"/>
                <w:sz w:val="20"/>
                <w:szCs w:val="20"/>
                <w:lang w:eastAsia="en-AU"/>
              </w:rPr>
              <w:t>. A fall in the value of mining production reduced the revenue raising capacity of the major mining States. This shifted GST away from the ACT.</w:t>
            </w:r>
          </w:p>
        </w:tc>
      </w:tr>
      <w:tr w:rsidR="00980877" w:rsidRPr="00980877" w:rsidTr="00D51D26">
        <w:trPr>
          <w:trHeight w:val="495"/>
        </w:trPr>
        <w:tc>
          <w:tcPr>
            <w:tcW w:w="700" w:type="dxa"/>
            <w:shd w:val="clear" w:color="auto" w:fill="auto"/>
            <w:hideMark/>
          </w:tcPr>
          <w:p w:rsidR="00980877" w:rsidRPr="00980877" w:rsidRDefault="00980877" w:rsidP="00980877">
            <w:pPr>
              <w:tabs>
                <w:tab w:val="clear" w:pos="567"/>
              </w:tabs>
              <w:spacing w:after="0" w:line="240" w:lineRule="auto"/>
              <w:jc w:val="right"/>
              <w:rPr>
                <w:rFonts w:ascii="Calibri" w:eastAsia="Times New Roman" w:hAnsi="Calibri" w:cs="Times New Roman"/>
                <w:sz w:val="20"/>
                <w:szCs w:val="20"/>
                <w:lang w:eastAsia="en-AU"/>
              </w:rPr>
            </w:pPr>
            <w:r w:rsidRPr="00980877">
              <w:rPr>
                <w:rFonts w:ascii="Calibri" w:eastAsia="Times New Roman" w:hAnsi="Calibri" w:cs="Times New Roman"/>
                <w:sz w:val="20"/>
                <w:szCs w:val="20"/>
                <w:lang w:eastAsia="en-AU"/>
              </w:rPr>
              <w:t>-11</w:t>
            </w:r>
          </w:p>
        </w:tc>
        <w:tc>
          <w:tcPr>
            <w:tcW w:w="540" w:type="dxa"/>
            <w:shd w:val="clear" w:color="auto" w:fill="auto"/>
            <w:hideMark/>
          </w:tcPr>
          <w:p w:rsidR="00980877" w:rsidRPr="00980877" w:rsidRDefault="00980877" w:rsidP="00980877">
            <w:pPr>
              <w:tabs>
                <w:tab w:val="clear" w:pos="567"/>
              </w:tabs>
              <w:spacing w:after="0" w:line="240" w:lineRule="auto"/>
              <w:rPr>
                <w:rFonts w:ascii="Calibri" w:eastAsia="Times New Roman" w:hAnsi="Calibri" w:cs="Times New Roman"/>
                <w:sz w:val="20"/>
                <w:szCs w:val="20"/>
                <w:lang w:eastAsia="en-AU"/>
              </w:rPr>
            </w:pPr>
            <w:r w:rsidRPr="00980877">
              <w:rPr>
                <w:rFonts w:ascii="Calibri" w:eastAsia="Times New Roman" w:hAnsi="Calibri" w:cs="Times New Roman"/>
                <w:sz w:val="20"/>
                <w:szCs w:val="20"/>
                <w:lang w:eastAsia="en-AU"/>
              </w:rPr>
              <w:t> </w:t>
            </w:r>
          </w:p>
        </w:tc>
        <w:tc>
          <w:tcPr>
            <w:tcW w:w="8680" w:type="dxa"/>
            <w:shd w:val="clear" w:color="auto" w:fill="auto"/>
            <w:hideMark/>
          </w:tcPr>
          <w:p w:rsidR="00980877" w:rsidRPr="00980877" w:rsidRDefault="00980877" w:rsidP="00980877">
            <w:pPr>
              <w:tabs>
                <w:tab w:val="clear" w:pos="567"/>
              </w:tabs>
              <w:spacing w:after="0" w:line="240" w:lineRule="auto"/>
              <w:rPr>
                <w:rFonts w:ascii="Calibri" w:eastAsia="Times New Roman" w:hAnsi="Calibri" w:cs="Times New Roman"/>
                <w:b/>
                <w:bCs/>
                <w:sz w:val="20"/>
                <w:szCs w:val="20"/>
                <w:lang w:eastAsia="en-AU"/>
              </w:rPr>
            </w:pPr>
            <w:r w:rsidRPr="00980877">
              <w:rPr>
                <w:rFonts w:ascii="Calibri" w:eastAsia="Times New Roman" w:hAnsi="Calibri" w:cs="Times New Roman"/>
                <w:b/>
                <w:bCs/>
                <w:sz w:val="20"/>
                <w:szCs w:val="20"/>
                <w:lang w:eastAsia="en-AU"/>
              </w:rPr>
              <w:t>Wage costs.</w:t>
            </w:r>
            <w:r w:rsidRPr="00980877">
              <w:rPr>
                <w:rFonts w:ascii="Calibri" w:eastAsia="Times New Roman" w:hAnsi="Calibri" w:cs="Times New Roman"/>
                <w:sz w:val="20"/>
                <w:szCs w:val="20"/>
                <w:lang w:eastAsia="en-AU"/>
              </w:rPr>
              <w:t xml:space="preserve"> Our measure of relative wage pressures beyond the control of State governments shows the ACT’s wage costs decreased between 2011</w:t>
            </w:r>
            <w:r w:rsidRPr="00980877">
              <w:rPr>
                <w:rFonts w:ascii="Calibri" w:eastAsia="Times New Roman" w:hAnsi="Calibri" w:cs="Times New Roman"/>
                <w:sz w:val="20"/>
                <w:szCs w:val="20"/>
                <w:lang w:eastAsia="en-AU"/>
              </w:rPr>
              <w:noBreakHyphen/>
              <w:t>12 and 2014</w:t>
            </w:r>
            <w:r w:rsidRPr="00980877">
              <w:rPr>
                <w:rFonts w:ascii="Calibri" w:eastAsia="Times New Roman" w:hAnsi="Calibri" w:cs="Times New Roman"/>
                <w:sz w:val="20"/>
                <w:szCs w:val="20"/>
                <w:lang w:eastAsia="en-AU"/>
              </w:rPr>
              <w:noBreakHyphen/>
              <w:t>15, reducing its GST share.</w:t>
            </w:r>
          </w:p>
        </w:tc>
      </w:tr>
    </w:tbl>
    <w:p w:rsidR="006A3E53" w:rsidRDefault="006A3E53" w:rsidP="006A3E53">
      <w:pPr>
        <w:sectPr w:rsidR="006A3E53" w:rsidSect="0055307A">
          <w:type w:val="continuous"/>
          <w:pgSz w:w="11899" w:h="16838" w:code="9"/>
          <w:pgMar w:top="1440" w:right="1080" w:bottom="1440" w:left="1080" w:header="709" w:footer="709" w:gutter="0"/>
          <w:cols w:space="1"/>
          <w:titlePg/>
          <w:docGrid w:linePitch="326"/>
        </w:sectPr>
      </w:pPr>
    </w:p>
    <w:p w:rsidR="006A3E53" w:rsidRDefault="006A3E53" w:rsidP="008767BF">
      <w:pPr>
        <w:spacing w:before="240"/>
      </w:pPr>
      <w:proofErr w:type="gramStart"/>
      <w:r w:rsidRPr="00EB0261">
        <w:rPr>
          <w:rStyle w:val="Heading6Char"/>
        </w:rPr>
        <w:lastRenderedPageBreak/>
        <w:t xml:space="preserve">Fiscal </w:t>
      </w:r>
      <w:r>
        <w:rPr>
          <w:rStyle w:val="Heading6Char"/>
        </w:rPr>
        <w:t>capacity</w:t>
      </w:r>
      <w:r w:rsidRPr="00EB0261">
        <w:rPr>
          <w:rStyle w:val="Heading6Char"/>
        </w:rPr>
        <w:t>.</w:t>
      </w:r>
      <w:proofErr w:type="gramEnd"/>
      <w:r w:rsidRPr="00EB0261">
        <w:t xml:space="preserve"> </w:t>
      </w:r>
      <w:r>
        <w:t>The ACT</w:t>
      </w:r>
      <w:r w:rsidR="008A7726">
        <w:t>’</w:t>
      </w:r>
      <w:r>
        <w:t>s below average fiscal capacity is due to its</w:t>
      </w:r>
      <w:r w:rsidRPr="00F567B9">
        <w:t xml:space="preserve"> below average capacity to raise revenue across </w:t>
      </w:r>
      <w:r w:rsidR="004F4C74">
        <w:t>all</w:t>
      </w:r>
      <w:r w:rsidR="004F4C74" w:rsidRPr="00F567B9">
        <w:t xml:space="preserve"> </w:t>
      </w:r>
      <w:r w:rsidRPr="00F567B9">
        <w:t xml:space="preserve">revenue streams. It has no mining industry and very low </w:t>
      </w:r>
      <w:r>
        <w:t xml:space="preserve">land, stamp duty and payroll </w:t>
      </w:r>
      <w:r w:rsidRPr="00F567B9">
        <w:t>tax</w:t>
      </w:r>
      <w:r>
        <w:t xml:space="preserve"> capacity. It also receives below average</w:t>
      </w:r>
      <w:r w:rsidR="001B6C71">
        <w:t xml:space="preserve"> revenue from</w:t>
      </w:r>
      <w:r w:rsidRPr="00F567B9">
        <w:t xml:space="preserve"> Commonwealth payments. </w:t>
      </w:r>
    </w:p>
    <w:p w:rsidR="006A3E53" w:rsidRDefault="006A3E53" w:rsidP="006A3E53">
      <w:pPr>
        <w:rPr>
          <w:szCs w:val="24"/>
        </w:rPr>
      </w:pPr>
      <w:r>
        <w:t>The ACT</w:t>
      </w:r>
      <w:r w:rsidR="00B35D5D">
        <w:t>’</w:t>
      </w:r>
      <w:r>
        <w:t xml:space="preserve">s </w:t>
      </w:r>
      <w:r w:rsidRPr="00F567B9">
        <w:t xml:space="preserve">assessed cost of providing services </w:t>
      </w:r>
      <w:r>
        <w:t>is also below average</w:t>
      </w:r>
      <w:r w:rsidR="00BA76F8">
        <w:t xml:space="preserve"> offsetting its low revenue raising capacity</w:t>
      </w:r>
      <w:r>
        <w:t>. T</w:t>
      </w:r>
      <w:r w:rsidRPr="00F567B9">
        <w:t xml:space="preserve">he low cost of its relatively young, urbanised, higher socio-economic status population more than offsets the impact of diseconomies of scale in administration and above average wage </w:t>
      </w:r>
      <w:r>
        <w:t>costs</w:t>
      </w:r>
      <w:r w:rsidRPr="00F567B9">
        <w:t>.</w:t>
      </w:r>
    </w:p>
    <w:p w:rsidR="006A3E53" w:rsidRDefault="006A3E53" w:rsidP="008767BF">
      <w:pPr>
        <w:pStyle w:val="CGCTableHeading"/>
        <w:keepNext w:val="0"/>
        <w:keepLines w:val="0"/>
        <w:spacing w:after="80" w:line="320" w:lineRule="atLeast"/>
        <w:ind w:left="0" w:firstLine="0"/>
      </w:pPr>
      <w:r>
        <w:rPr>
          <w:szCs w:val="24"/>
        </w:rPr>
        <w:br w:type="column"/>
      </w:r>
      <w:r>
        <w:lastRenderedPageBreak/>
        <w:t xml:space="preserve">Table </w:t>
      </w:r>
      <w:r w:rsidR="0014378B">
        <w:fldChar w:fldCharType="begin"/>
      </w:r>
      <w:r w:rsidR="0014378B">
        <w:instrText xml:space="preserve"> SEQ Table \* ARABIC </w:instrText>
      </w:r>
      <w:r w:rsidR="0014378B">
        <w:fldChar w:fldCharType="separate"/>
      </w:r>
      <w:r w:rsidR="007A6AF0">
        <w:rPr>
          <w:noProof/>
        </w:rPr>
        <w:t>25</w:t>
      </w:r>
      <w:r w:rsidR="0014378B">
        <w:rPr>
          <w:noProof/>
        </w:rPr>
        <w:fldChar w:fldCharType="end"/>
      </w:r>
      <w:r w:rsidRPr="00EC79CF">
        <w:tab/>
        <w:t>Assessed GST, 201</w:t>
      </w:r>
      <w:r>
        <w:t>6</w:t>
      </w:r>
      <w:r>
        <w:noBreakHyphen/>
        <w:t>17</w:t>
      </w:r>
    </w:p>
    <w:tbl>
      <w:tblPr>
        <w:tblW w:w="4240" w:type="dxa"/>
        <w:tblInd w:w="93" w:type="dxa"/>
        <w:tblLook w:val="04A0" w:firstRow="1" w:lastRow="0" w:firstColumn="1" w:lastColumn="0" w:noHBand="0" w:noVBand="1"/>
      </w:tblPr>
      <w:tblGrid>
        <w:gridCol w:w="2700"/>
        <w:gridCol w:w="820"/>
        <w:gridCol w:w="720"/>
      </w:tblGrid>
      <w:tr w:rsidR="0064743F" w:rsidRPr="0064743F" w:rsidTr="0064743F">
        <w:trPr>
          <w:trHeight w:val="375"/>
        </w:trPr>
        <w:tc>
          <w:tcPr>
            <w:tcW w:w="270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$pc</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Equal per capita share</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996</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2 496</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Effect of assessed:</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Expenses</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-208</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-521</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Investment</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-57</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-144</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Net borrowing</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Revenue</w:t>
            </w:r>
          </w:p>
        </w:tc>
        <w:tc>
          <w:tcPr>
            <w:tcW w:w="8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369</w:t>
            </w:r>
          </w:p>
        </w:tc>
        <w:tc>
          <w:tcPr>
            <w:tcW w:w="72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926</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Commonwealth payments</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54</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134</w:t>
            </w:r>
          </w:p>
        </w:tc>
      </w:tr>
      <w:tr w:rsidR="0064743F" w:rsidRPr="0064743F" w:rsidTr="0064743F">
        <w:trPr>
          <w:trHeight w:val="315"/>
        </w:trPr>
        <w:tc>
          <w:tcPr>
            <w:tcW w:w="270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Assessed GST</w:t>
            </w:r>
          </w:p>
        </w:tc>
        <w:tc>
          <w:tcPr>
            <w:tcW w:w="8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1 155</w:t>
            </w:r>
          </w:p>
        </w:tc>
        <w:tc>
          <w:tcPr>
            <w:tcW w:w="72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2 895</w:t>
            </w:r>
          </w:p>
        </w:tc>
      </w:tr>
    </w:tbl>
    <w:p w:rsidR="006A3E53" w:rsidRDefault="006A3E53" w:rsidP="006A3E53">
      <w:pPr>
        <w:pStyle w:val="CGCTableFootnote"/>
        <w:sectPr w:rsidR="006A3E53" w:rsidSect="0055307A">
          <w:type w:val="continuous"/>
          <w:pgSz w:w="11899" w:h="16838" w:code="9"/>
          <w:pgMar w:top="1440" w:right="1080" w:bottom="1440" w:left="1080" w:header="709" w:footer="709" w:gutter="0"/>
          <w:cols w:num="2" w:space="157" w:equalWidth="0">
            <w:col w:w="5500" w:space="157"/>
            <w:col w:w="4082"/>
          </w:cols>
          <w:titlePg/>
          <w:docGrid w:linePitch="326"/>
        </w:sectPr>
      </w:pPr>
      <w:r>
        <w:t>Note: Table may not add due to rounding.</w:t>
      </w:r>
    </w:p>
    <w:p w:rsidR="006A3E53" w:rsidRDefault="006A3E53" w:rsidP="006A3E53">
      <w:pPr>
        <w:pStyle w:val="Heading4"/>
        <w:spacing w:before="0"/>
        <w:sectPr w:rsidR="006A3E53" w:rsidSect="0055307A">
          <w:footerReference w:type="default" r:id="rId44"/>
          <w:footerReference w:type="first" r:id="rId45"/>
          <w:pgSz w:w="11899" w:h="16838" w:code="9"/>
          <w:pgMar w:top="1440" w:right="1080" w:bottom="1440" w:left="1080" w:header="709" w:footer="709" w:gutter="0"/>
          <w:cols w:space="708"/>
          <w:titlePg/>
          <w:docGrid w:linePitch="326"/>
        </w:sectPr>
      </w:pPr>
      <w:bookmarkStart w:id="355" w:name="_Toc442191915"/>
      <w:bookmarkStart w:id="356" w:name="_Toc442192167"/>
      <w:bookmarkStart w:id="357" w:name="_Toc442192232"/>
      <w:bookmarkStart w:id="358" w:name="_Toc442772818"/>
      <w:bookmarkStart w:id="359" w:name="_Toc442773045"/>
      <w:bookmarkStart w:id="360" w:name="_Toc442773217"/>
      <w:bookmarkStart w:id="361" w:name="_Toc442883282"/>
      <w:bookmarkStart w:id="362" w:name="_Toc442949135"/>
      <w:r>
        <w:lastRenderedPageBreak/>
        <w:t>Northern Territory</w:t>
      </w:r>
      <w:bookmarkEnd w:id="355"/>
      <w:bookmarkEnd w:id="356"/>
      <w:bookmarkEnd w:id="357"/>
      <w:bookmarkEnd w:id="358"/>
      <w:bookmarkEnd w:id="359"/>
      <w:bookmarkEnd w:id="360"/>
      <w:bookmarkEnd w:id="361"/>
      <w:bookmarkEnd w:id="362"/>
    </w:p>
    <w:p w:rsidR="006A3E53" w:rsidRPr="00BF02C0" w:rsidRDefault="006A3E53" w:rsidP="009E7E10">
      <w:pPr>
        <w:spacing w:before="120"/>
        <w:rPr>
          <w:rStyle w:val="CGCTableHeadingChar"/>
        </w:rPr>
      </w:pPr>
      <w:proofErr w:type="gramStart"/>
      <w:r>
        <w:rPr>
          <w:rStyle w:val="Heading6Char"/>
        </w:rPr>
        <w:lastRenderedPageBreak/>
        <w:t>Changes in this update.</w:t>
      </w:r>
      <w:proofErr w:type="gramEnd"/>
      <w:r>
        <w:rPr>
          <w:rStyle w:val="Heading6Char"/>
        </w:rPr>
        <w:t xml:space="preserve"> </w:t>
      </w:r>
      <w:r w:rsidRPr="000B1E25">
        <w:t xml:space="preserve">The Northern Territory remains the State with the </w:t>
      </w:r>
      <w:r>
        <w:t>lowest</w:t>
      </w:r>
      <w:r w:rsidRPr="000B1E25">
        <w:t xml:space="preserve"> fiscal capacity</w:t>
      </w:r>
      <w:r>
        <w:t>; however, its share of GST in 2016</w:t>
      </w:r>
      <w:r>
        <w:noBreakHyphen/>
        <w:t xml:space="preserve">17 has fallen from 5.7% to 5.4%. This </w:t>
      </w:r>
      <w:r w:rsidR="009A787F">
        <w:t xml:space="preserve">is </w:t>
      </w:r>
      <w:r>
        <w:t xml:space="preserve">primarily due to a significant decline in the Territory’s share of national population growth which reduced its </w:t>
      </w:r>
      <w:r w:rsidR="009A787F">
        <w:t>need to invest in new infrastructure</w:t>
      </w:r>
      <w:r>
        <w:t>. To a lesser extent, the fall was due to an improvement in its payroll tax capacity</w:t>
      </w:r>
      <w:r>
        <w:rPr>
          <w:rFonts w:cs="Arial"/>
        </w:rPr>
        <w:t xml:space="preserve">. </w:t>
      </w:r>
      <w:r w:rsidR="00BA76F8" w:rsidRPr="00EB0261">
        <w:rPr>
          <w:szCs w:val="24"/>
        </w:rPr>
        <w:t xml:space="preserve">While </w:t>
      </w:r>
      <w:r w:rsidR="00BA76F8">
        <w:rPr>
          <w:szCs w:val="24"/>
        </w:rPr>
        <w:t>the Northern Territory’s</w:t>
      </w:r>
      <w:r w:rsidR="00BA76F8" w:rsidRPr="00EB0261">
        <w:rPr>
          <w:szCs w:val="24"/>
        </w:rPr>
        <w:t xml:space="preserve"> increased fiscal capacity will see its G</w:t>
      </w:r>
      <w:r w:rsidR="00BA76F8">
        <w:rPr>
          <w:szCs w:val="24"/>
        </w:rPr>
        <w:t>ST share fall</w:t>
      </w:r>
      <w:r w:rsidR="00BA76F8" w:rsidRPr="00EB0261">
        <w:rPr>
          <w:szCs w:val="24"/>
        </w:rPr>
        <w:t xml:space="preserve">, its GST </w:t>
      </w:r>
      <w:r w:rsidR="00BA76F8">
        <w:rPr>
          <w:szCs w:val="24"/>
        </w:rPr>
        <w:t>entitlement</w:t>
      </w:r>
      <w:r w:rsidR="00BA76F8" w:rsidRPr="00EB0261">
        <w:rPr>
          <w:szCs w:val="24"/>
        </w:rPr>
        <w:t xml:space="preserve"> in 2016-17 will rise by $</w:t>
      </w:r>
      <w:r w:rsidR="00BA76F8">
        <w:rPr>
          <w:szCs w:val="24"/>
        </w:rPr>
        <w:t>5</w:t>
      </w:r>
      <w:r w:rsidR="001318D2">
        <w:rPr>
          <w:szCs w:val="24"/>
        </w:rPr>
        <w:t> </w:t>
      </w:r>
      <w:r w:rsidR="00BA21DA">
        <w:rPr>
          <w:szCs w:val="24"/>
        </w:rPr>
        <w:t>million,</w:t>
      </w:r>
      <w:r w:rsidR="00BA76F8" w:rsidRPr="00EB0261">
        <w:rPr>
          <w:szCs w:val="24"/>
        </w:rPr>
        <w:t xml:space="preserve"> or </w:t>
      </w:r>
      <w:r w:rsidR="00BA21DA">
        <w:rPr>
          <w:szCs w:val="24"/>
        </w:rPr>
        <w:t>0.2</w:t>
      </w:r>
      <w:r w:rsidR="00BA76F8" w:rsidRPr="00EB0261">
        <w:rPr>
          <w:szCs w:val="24"/>
        </w:rPr>
        <w:t>%, due to growth in the pool.</w:t>
      </w:r>
      <w:r>
        <w:br w:type="column"/>
      </w:r>
      <w:r w:rsidRPr="00BF02C0">
        <w:rPr>
          <w:rStyle w:val="CGCTableHeadingChar"/>
        </w:rPr>
        <w:lastRenderedPageBreak/>
        <w:t xml:space="preserve">Table </w:t>
      </w:r>
      <w:r w:rsidRPr="00BF02C0">
        <w:rPr>
          <w:rStyle w:val="CGCTableHeadingChar"/>
        </w:rPr>
        <w:fldChar w:fldCharType="begin"/>
      </w:r>
      <w:r w:rsidRPr="00BF02C0">
        <w:rPr>
          <w:rStyle w:val="CGCTableHeadingChar"/>
        </w:rPr>
        <w:instrText xml:space="preserve"> SEQ Table \* ARABIC </w:instrText>
      </w:r>
      <w:r w:rsidRPr="00BF02C0">
        <w:rPr>
          <w:rStyle w:val="CGCTableHeadingChar"/>
        </w:rPr>
        <w:fldChar w:fldCharType="separate"/>
      </w:r>
      <w:r w:rsidR="007A6AF0">
        <w:rPr>
          <w:rStyle w:val="CGCTableHeadingChar"/>
          <w:noProof/>
        </w:rPr>
        <w:t>26</w:t>
      </w:r>
      <w:r w:rsidRPr="00BF02C0">
        <w:rPr>
          <w:rStyle w:val="CGCTableHeadingChar"/>
        </w:rPr>
        <w:fldChar w:fldCharType="end"/>
      </w:r>
      <w:r w:rsidRPr="00BF02C0">
        <w:rPr>
          <w:rStyle w:val="CGCTableHeadingChar"/>
        </w:rPr>
        <w:tab/>
        <w:t>Change in GST</w:t>
      </w:r>
    </w:p>
    <w:tbl>
      <w:tblPr>
        <w:tblW w:w="4260" w:type="dxa"/>
        <w:tblInd w:w="93" w:type="dxa"/>
        <w:tblLook w:val="04A0" w:firstRow="1" w:lastRow="0" w:firstColumn="1" w:lastColumn="0" w:noHBand="0" w:noVBand="1"/>
      </w:tblPr>
      <w:tblGrid>
        <w:gridCol w:w="2700"/>
        <w:gridCol w:w="760"/>
        <w:gridCol w:w="800"/>
      </w:tblGrid>
      <w:tr w:rsidR="0064743F" w:rsidRPr="0064743F" w:rsidTr="0064743F">
        <w:trPr>
          <w:trHeight w:val="375"/>
        </w:trPr>
        <w:tc>
          <w:tcPr>
            <w:tcW w:w="270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 </w:t>
            </w:r>
          </w:p>
        </w:tc>
        <w:tc>
          <w:tcPr>
            <w:tcW w:w="76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80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$pc</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Change due to</w:t>
            </w:r>
          </w:p>
        </w:tc>
        <w:tc>
          <w:tcPr>
            <w:tcW w:w="76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p>
        </w:tc>
        <w:tc>
          <w:tcPr>
            <w:tcW w:w="8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New population</w:t>
            </w:r>
          </w:p>
        </w:tc>
        <w:tc>
          <w:tcPr>
            <w:tcW w:w="76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-12</w:t>
            </w:r>
          </w:p>
        </w:tc>
        <w:tc>
          <w:tcPr>
            <w:tcW w:w="8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-47</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Growth in GST available</w:t>
            </w:r>
          </w:p>
        </w:tc>
        <w:tc>
          <w:tcPr>
            <w:tcW w:w="76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198</w:t>
            </w:r>
          </w:p>
        </w:tc>
        <w:tc>
          <w:tcPr>
            <w:tcW w:w="8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798</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New relativities</w:t>
            </w:r>
          </w:p>
        </w:tc>
        <w:tc>
          <w:tcPr>
            <w:tcW w:w="76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-182</w:t>
            </w:r>
          </w:p>
        </w:tc>
        <w:tc>
          <w:tcPr>
            <w:tcW w:w="8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-730</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200" w:firstLine="4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Data revisions</w:t>
            </w:r>
          </w:p>
        </w:tc>
        <w:tc>
          <w:tcPr>
            <w:tcW w:w="76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w:t>
            </w:r>
          </w:p>
        </w:tc>
        <w:tc>
          <w:tcPr>
            <w:tcW w:w="8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7</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200" w:firstLine="4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Change in circumstances</w:t>
            </w:r>
          </w:p>
        </w:tc>
        <w:tc>
          <w:tcPr>
            <w:tcW w:w="76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-183</w:t>
            </w:r>
          </w:p>
        </w:tc>
        <w:tc>
          <w:tcPr>
            <w:tcW w:w="80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-736</w:t>
            </w:r>
          </w:p>
        </w:tc>
      </w:tr>
      <w:tr w:rsidR="0064743F" w:rsidRPr="0064743F" w:rsidTr="0064743F">
        <w:trPr>
          <w:trHeight w:val="315"/>
        </w:trPr>
        <w:tc>
          <w:tcPr>
            <w:tcW w:w="270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Total change</w:t>
            </w:r>
          </w:p>
        </w:tc>
        <w:tc>
          <w:tcPr>
            <w:tcW w:w="76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w:t>
            </w:r>
          </w:p>
        </w:tc>
        <w:tc>
          <w:tcPr>
            <w:tcW w:w="80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21</w:t>
            </w:r>
          </w:p>
        </w:tc>
      </w:tr>
    </w:tbl>
    <w:p w:rsidR="006A3E53" w:rsidRDefault="006A3E53" w:rsidP="006A3E53">
      <w:pPr>
        <w:pStyle w:val="CGCTableFootnote"/>
        <w:sectPr w:rsidR="006A3E53" w:rsidSect="0055307A">
          <w:type w:val="continuous"/>
          <w:pgSz w:w="11899" w:h="16838" w:code="9"/>
          <w:pgMar w:top="1440" w:right="1080" w:bottom="1440" w:left="1080" w:header="709" w:footer="709" w:gutter="0"/>
          <w:cols w:num="2" w:space="145" w:equalWidth="0">
            <w:col w:w="5500" w:space="145"/>
            <w:col w:w="4094"/>
          </w:cols>
          <w:titlePg/>
          <w:docGrid w:linePitch="326"/>
        </w:sectPr>
      </w:pPr>
      <w:r>
        <w:t>Note: Table may not add due to rounding.</w:t>
      </w:r>
    </w:p>
    <w:p w:rsidR="006A3E53" w:rsidRDefault="006A3E53" w:rsidP="00153AC5">
      <w:pPr>
        <w:pStyle w:val="CGCTableHeading"/>
        <w:spacing w:after="80" w:line="320" w:lineRule="atLeast"/>
      </w:pPr>
      <w:r>
        <w:lastRenderedPageBreak/>
        <w:t xml:space="preserve">Table </w:t>
      </w:r>
      <w:r w:rsidR="0014378B">
        <w:fldChar w:fldCharType="begin"/>
      </w:r>
      <w:r w:rsidR="0014378B">
        <w:instrText xml:space="preserve"> SEQ Table \* ARABIC </w:instrText>
      </w:r>
      <w:r w:rsidR="0014378B">
        <w:fldChar w:fldCharType="separate"/>
      </w:r>
      <w:r w:rsidR="007A6AF0">
        <w:rPr>
          <w:noProof/>
        </w:rPr>
        <w:t>27</w:t>
      </w:r>
      <w:r w:rsidR="0014378B">
        <w:rPr>
          <w:noProof/>
        </w:rPr>
        <w:fldChar w:fldCharType="end"/>
      </w:r>
      <w:r w:rsidRPr="00EC79CF">
        <w:rPr>
          <w:bCs/>
        </w:rPr>
        <w:tab/>
      </w:r>
      <w:r>
        <w:t>Main causes of change for the Northern Territory</w:t>
      </w:r>
    </w:p>
    <w:tbl>
      <w:tblPr>
        <w:tblW w:w="9920" w:type="dxa"/>
        <w:tblInd w:w="93" w:type="dxa"/>
        <w:tblBorders>
          <w:top w:val="single" w:sz="4" w:space="0" w:color="auto"/>
          <w:bottom w:val="single" w:sz="4" w:space="0" w:color="auto"/>
        </w:tblBorders>
        <w:tblLook w:val="04A0" w:firstRow="1" w:lastRow="0" w:firstColumn="1" w:lastColumn="0" w:noHBand="0" w:noVBand="1"/>
      </w:tblPr>
      <w:tblGrid>
        <w:gridCol w:w="700"/>
        <w:gridCol w:w="540"/>
        <w:gridCol w:w="8680"/>
      </w:tblGrid>
      <w:tr w:rsidR="00A4284A" w:rsidRPr="00A4284A" w:rsidTr="00D51D26">
        <w:trPr>
          <w:trHeight w:val="360"/>
        </w:trPr>
        <w:tc>
          <w:tcPr>
            <w:tcW w:w="1240" w:type="dxa"/>
            <w:gridSpan w:val="2"/>
            <w:tcBorders>
              <w:top w:val="single" w:sz="4" w:space="0" w:color="auto"/>
              <w:bottom w:val="single" w:sz="4" w:space="0" w:color="auto"/>
            </w:tcBorders>
            <w:shd w:val="clear" w:color="auto" w:fill="auto"/>
            <w:vAlign w:val="center"/>
            <w:hideMark/>
          </w:tcPr>
          <w:p w:rsidR="00A4284A" w:rsidRPr="00A4284A" w:rsidRDefault="00A4284A" w:rsidP="00A4284A">
            <w:pPr>
              <w:tabs>
                <w:tab w:val="clear" w:pos="567"/>
              </w:tabs>
              <w:spacing w:after="0" w:line="240" w:lineRule="auto"/>
              <w:ind w:hanging="93"/>
              <w:rPr>
                <w:rFonts w:ascii="Calibri" w:eastAsia="Times New Roman" w:hAnsi="Calibri" w:cs="Times New Roman"/>
                <w:sz w:val="20"/>
                <w:szCs w:val="20"/>
                <w:lang w:eastAsia="en-AU"/>
              </w:rPr>
            </w:pPr>
            <w:r w:rsidRPr="00A4284A">
              <w:rPr>
                <w:rFonts w:ascii="Calibri" w:eastAsia="Times New Roman" w:hAnsi="Calibri" w:cs="Times New Roman"/>
                <w:sz w:val="20"/>
                <w:szCs w:val="20"/>
                <w:lang w:eastAsia="en-AU"/>
              </w:rPr>
              <w:t>Change ($m)</w:t>
            </w:r>
          </w:p>
        </w:tc>
        <w:tc>
          <w:tcPr>
            <w:tcW w:w="8680" w:type="dxa"/>
            <w:tcBorders>
              <w:top w:val="single" w:sz="4" w:space="0" w:color="auto"/>
              <w:bottom w:val="single" w:sz="4" w:space="0" w:color="auto"/>
            </w:tcBorders>
            <w:shd w:val="clear" w:color="auto" w:fill="auto"/>
            <w:vAlign w:val="center"/>
            <w:hideMark/>
          </w:tcPr>
          <w:p w:rsidR="00A4284A" w:rsidRPr="00A4284A" w:rsidRDefault="00A4284A" w:rsidP="00A4284A">
            <w:pPr>
              <w:tabs>
                <w:tab w:val="clear" w:pos="567"/>
              </w:tabs>
              <w:spacing w:after="0" w:line="240" w:lineRule="auto"/>
              <w:rPr>
                <w:rFonts w:ascii="Calibri" w:eastAsia="Times New Roman" w:hAnsi="Calibri" w:cs="Times New Roman"/>
                <w:sz w:val="20"/>
                <w:szCs w:val="20"/>
                <w:lang w:eastAsia="en-AU"/>
              </w:rPr>
            </w:pPr>
            <w:r w:rsidRPr="00A4284A">
              <w:rPr>
                <w:rFonts w:ascii="Calibri" w:eastAsia="Times New Roman" w:hAnsi="Calibri" w:cs="Times New Roman"/>
                <w:sz w:val="20"/>
                <w:szCs w:val="20"/>
                <w:lang w:eastAsia="en-AU"/>
              </w:rPr>
              <w:t>Reason for change</w:t>
            </w:r>
          </w:p>
        </w:tc>
      </w:tr>
      <w:tr w:rsidR="00A4284A" w:rsidRPr="00A4284A" w:rsidTr="00D51D26">
        <w:trPr>
          <w:trHeight w:val="315"/>
        </w:trPr>
        <w:tc>
          <w:tcPr>
            <w:tcW w:w="9920" w:type="dxa"/>
            <w:gridSpan w:val="3"/>
            <w:tcBorders>
              <w:top w:val="single" w:sz="4" w:space="0" w:color="auto"/>
            </w:tcBorders>
            <w:shd w:val="clear" w:color="auto" w:fill="auto"/>
            <w:vAlign w:val="center"/>
            <w:hideMark/>
          </w:tcPr>
          <w:p w:rsidR="00A4284A" w:rsidRPr="00A4284A" w:rsidRDefault="00A4284A" w:rsidP="00A4284A">
            <w:pPr>
              <w:tabs>
                <w:tab w:val="clear" w:pos="567"/>
              </w:tabs>
              <w:spacing w:after="0" w:line="240" w:lineRule="auto"/>
              <w:ind w:hanging="93"/>
              <w:rPr>
                <w:rFonts w:ascii="Calibri" w:eastAsia="Times New Roman" w:hAnsi="Calibri" w:cs="Times New Roman"/>
                <w:b/>
                <w:bCs/>
                <w:sz w:val="20"/>
                <w:szCs w:val="20"/>
                <w:lang w:eastAsia="en-AU"/>
              </w:rPr>
            </w:pPr>
            <w:r w:rsidRPr="00A4284A">
              <w:rPr>
                <w:rFonts w:ascii="Calibri" w:eastAsia="Times New Roman" w:hAnsi="Calibri" w:cs="Times New Roman"/>
                <w:b/>
                <w:bCs/>
                <w:sz w:val="20"/>
                <w:szCs w:val="20"/>
                <w:lang w:eastAsia="en-AU"/>
              </w:rPr>
              <w:t>Data revisions</w:t>
            </w:r>
          </w:p>
        </w:tc>
      </w:tr>
      <w:tr w:rsidR="00A4284A" w:rsidRPr="00A4284A" w:rsidTr="00D51D26">
        <w:trPr>
          <w:trHeight w:val="735"/>
        </w:trPr>
        <w:tc>
          <w:tcPr>
            <w:tcW w:w="700" w:type="dxa"/>
            <w:shd w:val="clear" w:color="auto" w:fill="auto"/>
            <w:hideMark/>
          </w:tcPr>
          <w:p w:rsidR="00A4284A" w:rsidRPr="00A4284A" w:rsidRDefault="00A4284A" w:rsidP="00A4284A">
            <w:pPr>
              <w:tabs>
                <w:tab w:val="clear" w:pos="567"/>
              </w:tabs>
              <w:spacing w:after="0" w:line="240" w:lineRule="auto"/>
              <w:jc w:val="right"/>
              <w:rPr>
                <w:rFonts w:ascii="Calibri" w:eastAsia="Times New Roman" w:hAnsi="Calibri" w:cs="Times New Roman"/>
                <w:sz w:val="20"/>
                <w:szCs w:val="20"/>
                <w:lang w:eastAsia="en-AU"/>
              </w:rPr>
            </w:pPr>
            <w:r w:rsidRPr="00A4284A">
              <w:rPr>
                <w:rFonts w:ascii="Calibri" w:eastAsia="Times New Roman" w:hAnsi="Calibri" w:cs="Times New Roman"/>
                <w:sz w:val="20"/>
                <w:szCs w:val="20"/>
                <w:lang w:eastAsia="en-AU"/>
              </w:rPr>
              <w:t>15</w:t>
            </w:r>
          </w:p>
        </w:tc>
        <w:tc>
          <w:tcPr>
            <w:tcW w:w="540" w:type="dxa"/>
            <w:shd w:val="clear" w:color="auto" w:fill="auto"/>
            <w:noWrap/>
            <w:vAlign w:val="bottom"/>
            <w:hideMark/>
          </w:tcPr>
          <w:p w:rsidR="00A4284A" w:rsidRPr="00A4284A" w:rsidRDefault="00A4284A" w:rsidP="00A4284A">
            <w:pPr>
              <w:tabs>
                <w:tab w:val="clear" w:pos="567"/>
              </w:tabs>
              <w:spacing w:after="0" w:line="240" w:lineRule="auto"/>
              <w:rPr>
                <w:rFonts w:ascii="Calibri" w:eastAsia="Times New Roman" w:hAnsi="Calibri" w:cs="Times New Roman"/>
                <w:sz w:val="20"/>
                <w:szCs w:val="20"/>
                <w:lang w:eastAsia="en-AU"/>
              </w:rPr>
            </w:pPr>
          </w:p>
        </w:tc>
        <w:tc>
          <w:tcPr>
            <w:tcW w:w="8680" w:type="dxa"/>
            <w:shd w:val="clear" w:color="auto" w:fill="auto"/>
            <w:hideMark/>
          </w:tcPr>
          <w:p w:rsidR="00A4284A" w:rsidRPr="00A4284A" w:rsidRDefault="00A4284A" w:rsidP="00A4284A">
            <w:pPr>
              <w:tabs>
                <w:tab w:val="clear" w:pos="567"/>
              </w:tabs>
              <w:spacing w:after="0" w:line="240" w:lineRule="auto"/>
              <w:rPr>
                <w:rFonts w:ascii="Calibri" w:eastAsia="Times New Roman" w:hAnsi="Calibri" w:cs="Times New Roman"/>
                <w:b/>
                <w:bCs/>
                <w:sz w:val="20"/>
                <w:szCs w:val="20"/>
                <w:lang w:eastAsia="en-AU"/>
              </w:rPr>
            </w:pPr>
            <w:r w:rsidRPr="00A4284A">
              <w:rPr>
                <w:rFonts w:ascii="Calibri" w:eastAsia="Times New Roman" w:hAnsi="Calibri" w:cs="Times New Roman"/>
                <w:b/>
                <w:bCs/>
                <w:sz w:val="20"/>
                <w:szCs w:val="20"/>
                <w:lang w:eastAsia="en-AU"/>
              </w:rPr>
              <w:t>Welfare.</w:t>
            </w:r>
            <w:r w:rsidRPr="00A4284A">
              <w:rPr>
                <w:rFonts w:ascii="Calibri" w:eastAsia="Times New Roman" w:hAnsi="Calibri" w:cs="Times New Roman"/>
                <w:sz w:val="20"/>
                <w:szCs w:val="20"/>
                <w:lang w:eastAsia="en-AU"/>
              </w:rPr>
              <w:t xml:space="preserve"> New child protection data resulted in upward revisions to the measured share of substantiations attributed to remote Indigenous children. The Northern Territory’s GST revenue increased due to its high proportion of remote Indigenous children.</w:t>
            </w:r>
          </w:p>
        </w:tc>
      </w:tr>
      <w:tr w:rsidR="00A4284A" w:rsidRPr="00A4284A" w:rsidTr="00D51D26">
        <w:trPr>
          <w:trHeight w:val="315"/>
        </w:trPr>
        <w:tc>
          <w:tcPr>
            <w:tcW w:w="9920" w:type="dxa"/>
            <w:gridSpan w:val="3"/>
            <w:shd w:val="clear" w:color="auto" w:fill="auto"/>
            <w:vAlign w:val="center"/>
            <w:hideMark/>
          </w:tcPr>
          <w:p w:rsidR="00A4284A" w:rsidRPr="00A4284A" w:rsidRDefault="00A4284A" w:rsidP="00A4284A">
            <w:pPr>
              <w:tabs>
                <w:tab w:val="clear" w:pos="567"/>
              </w:tabs>
              <w:spacing w:after="0" w:line="240" w:lineRule="auto"/>
              <w:ind w:hanging="93"/>
              <w:rPr>
                <w:rFonts w:ascii="Calibri" w:eastAsia="Times New Roman" w:hAnsi="Calibri" w:cs="Times New Roman"/>
                <w:b/>
                <w:bCs/>
                <w:sz w:val="20"/>
                <w:szCs w:val="20"/>
                <w:lang w:eastAsia="en-AU"/>
              </w:rPr>
            </w:pPr>
            <w:r w:rsidRPr="00A4284A">
              <w:rPr>
                <w:rFonts w:ascii="Calibri" w:eastAsia="Times New Roman" w:hAnsi="Calibri" w:cs="Times New Roman"/>
                <w:b/>
                <w:bCs/>
                <w:sz w:val="20"/>
                <w:szCs w:val="20"/>
                <w:lang w:eastAsia="en-AU"/>
              </w:rPr>
              <w:t>Changes in circumstances</w:t>
            </w:r>
          </w:p>
        </w:tc>
      </w:tr>
      <w:tr w:rsidR="00A4284A" w:rsidRPr="00A4284A" w:rsidTr="00D51D26">
        <w:trPr>
          <w:trHeight w:val="735"/>
        </w:trPr>
        <w:tc>
          <w:tcPr>
            <w:tcW w:w="700" w:type="dxa"/>
            <w:shd w:val="clear" w:color="auto" w:fill="auto"/>
            <w:hideMark/>
          </w:tcPr>
          <w:p w:rsidR="00A4284A" w:rsidRPr="00A4284A" w:rsidRDefault="00A4284A" w:rsidP="00A4284A">
            <w:pPr>
              <w:tabs>
                <w:tab w:val="clear" w:pos="567"/>
              </w:tabs>
              <w:spacing w:after="0" w:line="240" w:lineRule="auto"/>
              <w:jc w:val="right"/>
              <w:rPr>
                <w:rFonts w:ascii="Calibri" w:eastAsia="Times New Roman" w:hAnsi="Calibri" w:cs="Times New Roman"/>
                <w:sz w:val="20"/>
                <w:szCs w:val="20"/>
                <w:lang w:eastAsia="en-AU"/>
              </w:rPr>
            </w:pPr>
            <w:r w:rsidRPr="00A4284A">
              <w:rPr>
                <w:rFonts w:ascii="Calibri" w:eastAsia="Times New Roman" w:hAnsi="Calibri" w:cs="Times New Roman"/>
                <w:sz w:val="20"/>
                <w:szCs w:val="20"/>
                <w:lang w:eastAsia="en-AU"/>
              </w:rPr>
              <w:t>-105</w:t>
            </w:r>
          </w:p>
        </w:tc>
        <w:tc>
          <w:tcPr>
            <w:tcW w:w="540" w:type="dxa"/>
            <w:shd w:val="clear" w:color="auto" w:fill="auto"/>
            <w:vAlign w:val="center"/>
            <w:hideMark/>
          </w:tcPr>
          <w:p w:rsidR="00A4284A" w:rsidRPr="00A4284A" w:rsidRDefault="00A4284A" w:rsidP="00A4284A">
            <w:pPr>
              <w:tabs>
                <w:tab w:val="clear" w:pos="567"/>
              </w:tabs>
              <w:spacing w:after="0" w:line="240" w:lineRule="auto"/>
              <w:ind w:firstLineChars="100" w:firstLine="200"/>
              <w:rPr>
                <w:rFonts w:ascii="Calibri" w:eastAsia="Times New Roman" w:hAnsi="Calibri" w:cs="Times New Roman"/>
                <w:sz w:val="20"/>
                <w:szCs w:val="20"/>
                <w:lang w:eastAsia="en-AU"/>
              </w:rPr>
            </w:pPr>
          </w:p>
        </w:tc>
        <w:tc>
          <w:tcPr>
            <w:tcW w:w="8680" w:type="dxa"/>
            <w:shd w:val="clear" w:color="auto" w:fill="auto"/>
            <w:vAlign w:val="center"/>
            <w:hideMark/>
          </w:tcPr>
          <w:p w:rsidR="00A4284A" w:rsidRPr="00A4284A" w:rsidRDefault="00A4284A" w:rsidP="00A4284A">
            <w:pPr>
              <w:tabs>
                <w:tab w:val="clear" w:pos="567"/>
              </w:tabs>
              <w:spacing w:after="0" w:line="240" w:lineRule="auto"/>
              <w:rPr>
                <w:rFonts w:ascii="Calibri" w:eastAsia="Times New Roman" w:hAnsi="Calibri" w:cs="Times New Roman"/>
                <w:b/>
                <w:bCs/>
                <w:sz w:val="20"/>
                <w:szCs w:val="20"/>
                <w:lang w:eastAsia="en-AU"/>
              </w:rPr>
            </w:pPr>
            <w:r w:rsidRPr="00A4284A">
              <w:rPr>
                <w:rFonts w:ascii="Calibri" w:eastAsia="Times New Roman" w:hAnsi="Calibri" w:cs="Times New Roman"/>
                <w:b/>
                <w:bCs/>
                <w:sz w:val="20"/>
                <w:szCs w:val="20"/>
                <w:lang w:eastAsia="en-AU"/>
              </w:rPr>
              <w:t>Investment including population growth.</w:t>
            </w:r>
            <w:r w:rsidRPr="00A4284A">
              <w:rPr>
                <w:rFonts w:ascii="Calibri" w:eastAsia="Times New Roman" w:hAnsi="Calibri" w:cs="Times New Roman"/>
                <w:sz w:val="20"/>
                <w:szCs w:val="20"/>
                <w:lang w:eastAsia="en-AU"/>
              </w:rPr>
              <w:t xml:space="preserve"> The Northern Territory’s share of national population growth was much lower in 2014</w:t>
            </w:r>
            <w:r w:rsidRPr="00A4284A">
              <w:rPr>
                <w:rFonts w:ascii="Calibri" w:eastAsia="Times New Roman" w:hAnsi="Calibri" w:cs="Times New Roman"/>
                <w:sz w:val="20"/>
                <w:szCs w:val="20"/>
                <w:lang w:eastAsia="en-AU"/>
              </w:rPr>
              <w:noBreakHyphen/>
              <w:t>15 compared with 2011</w:t>
            </w:r>
            <w:r w:rsidRPr="00A4284A">
              <w:rPr>
                <w:rFonts w:ascii="Calibri" w:eastAsia="Times New Roman" w:hAnsi="Calibri" w:cs="Times New Roman"/>
                <w:sz w:val="20"/>
                <w:szCs w:val="20"/>
                <w:lang w:eastAsia="en-AU"/>
              </w:rPr>
              <w:noBreakHyphen/>
              <w:t xml:space="preserve">12 and this reduced its assessed investment and its GST share. Investment in social infrastructure (for example, schools) contributed most to the change. </w:t>
            </w:r>
          </w:p>
        </w:tc>
      </w:tr>
      <w:tr w:rsidR="00A4284A" w:rsidRPr="00A4284A" w:rsidTr="00D51D26">
        <w:trPr>
          <w:trHeight w:val="495"/>
        </w:trPr>
        <w:tc>
          <w:tcPr>
            <w:tcW w:w="700" w:type="dxa"/>
            <w:shd w:val="clear" w:color="auto" w:fill="auto"/>
            <w:hideMark/>
          </w:tcPr>
          <w:p w:rsidR="00A4284A" w:rsidRPr="00A4284A" w:rsidRDefault="00A4284A" w:rsidP="00A4284A">
            <w:pPr>
              <w:tabs>
                <w:tab w:val="clear" w:pos="567"/>
              </w:tabs>
              <w:spacing w:after="0" w:line="240" w:lineRule="auto"/>
              <w:jc w:val="right"/>
              <w:rPr>
                <w:rFonts w:ascii="Calibri" w:eastAsia="Times New Roman" w:hAnsi="Calibri" w:cs="Times New Roman"/>
                <w:sz w:val="20"/>
                <w:szCs w:val="20"/>
                <w:lang w:eastAsia="en-AU"/>
              </w:rPr>
            </w:pPr>
            <w:r w:rsidRPr="00A4284A">
              <w:rPr>
                <w:rFonts w:ascii="Calibri" w:eastAsia="Times New Roman" w:hAnsi="Calibri" w:cs="Times New Roman"/>
                <w:sz w:val="20"/>
                <w:szCs w:val="20"/>
                <w:lang w:eastAsia="en-AU"/>
              </w:rPr>
              <w:t>-25</w:t>
            </w:r>
          </w:p>
        </w:tc>
        <w:tc>
          <w:tcPr>
            <w:tcW w:w="540" w:type="dxa"/>
            <w:shd w:val="clear" w:color="auto" w:fill="auto"/>
            <w:vAlign w:val="center"/>
            <w:hideMark/>
          </w:tcPr>
          <w:p w:rsidR="00A4284A" w:rsidRPr="00A4284A" w:rsidRDefault="00A4284A" w:rsidP="00A4284A">
            <w:pPr>
              <w:tabs>
                <w:tab w:val="clear" w:pos="567"/>
              </w:tabs>
              <w:spacing w:after="0" w:line="240" w:lineRule="auto"/>
              <w:ind w:firstLineChars="100" w:firstLine="200"/>
              <w:rPr>
                <w:rFonts w:ascii="Calibri" w:eastAsia="Times New Roman" w:hAnsi="Calibri" w:cs="Times New Roman"/>
                <w:sz w:val="20"/>
                <w:szCs w:val="20"/>
                <w:lang w:eastAsia="en-AU"/>
              </w:rPr>
            </w:pPr>
          </w:p>
        </w:tc>
        <w:tc>
          <w:tcPr>
            <w:tcW w:w="8680" w:type="dxa"/>
            <w:shd w:val="clear" w:color="auto" w:fill="auto"/>
            <w:vAlign w:val="center"/>
            <w:hideMark/>
          </w:tcPr>
          <w:p w:rsidR="00A4284A" w:rsidRPr="00A4284A" w:rsidRDefault="00A4284A" w:rsidP="00A4284A">
            <w:pPr>
              <w:tabs>
                <w:tab w:val="clear" w:pos="567"/>
              </w:tabs>
              <w:spacing w:after="0" w:line="240" w:lineRule="auto"/>
              <w:rPr>
                <w:rFonts w:ascii="Calibri" w:eastAsia="Times New Roman" w:hAnsi="Calibri" w:cs="Times New Roman"/>
                <w:b/>
                <w:bCs/>
                <w:sz w:val="20"/>
                <w:szCs w:val="20"/>
                <w:lang w:eastAsia="en-AU"/>
              </w:rPr>
            </w:pPr>
            <w:r w:rsidRPr="00A4284A">
              <w:rPr>
                <w:rFonts w:ascii="Calibri" w:eastAsia="Times New Roman" w:hAnsi="Calibri" w:cs="Times New Roman"/>
                <w:b/>
                <w:bCs/>
                <w:sz w:val="20"/>
                <w:szCs w:val="20"/>
                <w:lang w:eastAsia="en-AU"/>
              </w:rPr>
              <w:t>Taxable payrolls.</w:t>
            </w:r>
            <w:r w:rsidRPr="00A4284A">
              <w:rPr>
                <w:rFonts w:ascii="Calibri" w:eastAsia="Times New Roman" w:hAnsi="Calibri" w:cs="Times New Roman"/>
                <w:sz w:val="20"/>
                <w:szCs w:val="20"/>
                <w:lang w:eastAsia="en-AU"/>
              </w:rPr>
              <w:t xml:space="preserve"> The Northern Territory’s taxable private sector payrolls had above average growth between 2011</w:t>
            </w:r>
            <w:r w:rsidRPr="00A4284A">
              <w:rPr>
                <w:rFonts w:ascii="Calibri" w:eastAsia="Times New Roman" w:hAnsi="Calibri" w:cs="Times New Roman"/>
                <w:sz w:val="20"/>
                <w:szCs w:val="20"/>
                <w:lang w:eastAsia="en-AU"/>
              </w:rPr>
              <w:noBreakHyphen/>
              <w:t>12 and 2014</w:t>
            </w:r>
            <w:r w:rsidRPr="00A4284A">
              <w:rPr>
                <w:rFonts w:ascii="Calibri" w:eastAsia="Times New Roman" w:hAnsi="Calibri" w:cs="Times New Roman"/>
                <w:sz w:val="20"/>
                <w:szCs w:val="20"/>
                <w:lang w:eastAsia="en-AU"/>
              </w:rPr>
              <w:noBreakHyphen/>
              <w:t>15 leading to an increase in its revenue capacity and a reduced GST share.</w:t>
            </w:r>
          </w:p>
        </w:tc>
      </w:tr>
      <w:tr w:rsidR="00A4284A" w:rsidRPr="00A4284A" w:rsidTr="00D51D26">
        <w:trPr>
          <w:trHeight w:val="735"/>
        </w:trPr>
        <w:tc>
          <w:tcPr>
            <w:tcW w:w="700" w:type="dxa"/>
            <w:shd w:val="clear" w:color="auto" w:fill="auto"/>
            <w:hideMark/>
          </w:tcPr>
          <w:p w:rsidR="00A4284A" w:rsidRPr="00A4284A" w:rsidRDefault="00A4284A" w:rsidP="00A4284A">
            <w:pPr>
              <w:tabs>
                <w:tab w:val="clear" w:pos="567"/>
              </w:tabs>
              <w:spacing w:after="0" w:line="240" w:lineRule="auto"/>
              <w:jc w:val="right"/>
              <w:rPr>
                <w:rFonts w:ascii="Calibri" w:eastAsia="Times New Roman" w:hAnsi="Calibri" w:cs="Times New Roman"/>
                <w:sz w:val="20"/>
                <w:szCs w:val="20"/>
                <w:lang w:eastAsia="en-AU"/>
              </w:rPr>
            </w:pPr>
            <w:r w:rsidRPr="00A4284A">
              <w:rPr>
                <w:rFonts w:ascii="Calibri" w:eastAsia="Times New Roman" w:hAnsi="Calibri" w:cs="Times New Roman"/>
                <w:sz w:val="20"/>
                <w:szCs w:val="20"/>
                <w:lang w:eastAsia="en-AU"/>
              </w:rPr>
              <w:t>-19</w:t>
            </w:r>
          </w:p>
        </w:tc>
        <w:tc>
          <w:tcPr>
            <w:tcW w:w="540" w:type="dxa"/>
            <w:shd w:val="clear" w:color="auto" w:fill="auto"/>
            <w:vAlign w:val="center"/>
            <w:hideMark/>
          </w:tcPr>
          <w:p w:rsidR="00A4284A" w:rsidRPr="00A4284A" w:rsidRDefault="00A4284A" w:rsidP="00A4284A">
            <w:pPr>
              <w:tabs>
                <w:tab w:val="clear" w:pos="567"/>
              </w:tabs>
              <w:spacing w:after="0" w:line="240" w:lineRule="auto"/>
              <w:ind w:firstLineChars="100" w:firstLine="200"/>
              <w:rPr>
                <w:rFonts w:ascii="Calibri" w:eastAsia="Times New Roman" w:hAnsi="Calibri" w:cs="Times New Roman"/>
                <w:sz w:val="20"/>
                <w:szCs w:val="20"/>
                <w:lang w:eastAsia="en-AU"/>
              </w:rPr>
            </w:pPr>
          </w:p>
        </w:tc>
        <w:tc>
          <w:tcPr>
            <w:tcW w:w="8680" w:type="dxa"/>
            <w:shd w:val="clear" w:color="auto" w:fill="auto"/>
            <w:vAlign w:val="center"/>
            <w:hideMark/>
          </w:tcPr>
          <w:p w:rsidR="00A4284A" w:rsidRPr="00A4284A" w:rsidRDefault="00A4284A" w:rsidP="002131EC">
            <w:pPr>
              <w:tabs>
                <w:tab w:val="clear" w:pos="567"/>
              </w:tabs>
              <w:spacing w:after="0" w:line="240" w:lineRule="auto"/>
              <w:rPr>
                <w:rFonts w:ascii="Calibri" w:eastAsia="Times New Roman" w:hAnsi="Calibri" w:cs="Times New Roman"/>
                <w:b/>
                <w:bCs/>
                <w:sz w:val="20"/>
                <w:szCs w:val="20"/>
                <w:lang w:eastAsia="en-AU"/>
              </w:rPr>
            </w:pPr>
            <w:r w:rsidRPr="00A4284A">
              <w:rPr>
                <w:rFonts w:ascii="Calibri" w:eastAsia="Times New Roman" w:hAnsi="Calibri" w:cs="Times New Roman"/>
                <w:b/>
                <w:bCs/>
                <w:sz w:val="20"/>
                <w:szCs w:val="20"/>
                <w:lang w:eastAsia="en-AU"/>
              </w:rPr>
              <w:t xml:space="preserve">Community health. </w:t>
            </w:r>
            <w:r w:rsidRPr="00A4284A">
              <w:rPr>
                <w:rFonts w:ascii="Calibri" w:eastAsia="Times New Roman" w:hAnsi="Calibri" w:cs="Times New Roman"/>
                <w:sz w:val="20"/>
                <w:szCs w:val="20"/>
                <w:lang w:eastAsia="en-AU"/>
              </w:rPr>
              <w:t xml:space="preserve">A decline nationally in </w:t>
            </w:r>
            <w:r w:rsidR="00FC3EDE" w:rsidRPr="00FC3EDE">
              <w:rPr>
                <w:rFonts w:ascii="Calibri" w:eastAsia="Times New Roman" w:hAnsi="Calibri" w:cs="Times New Roman"/>
                <w:sz w:val="20"/>
                <w:szCs w:val="20"/>
                <w:lang w:eastAsia="en-AU"/>
              </w:rPr>
              <w:t xml:space="preserve">outer regional and </w:t>
            </w:r>
            <w:r w:rsidRPr="00A4284A">
              <w:rPr>
                <w:rFonts w:ascii="Calibri" w:eastAsia="Times New Roman" w:hAnsi="Calibri" w:cs="Times New Roman"/>
                <w:sz w:val="20"/>
                <w:szCs w:val="20"/>
                <w:lang w:eastAsia="en-AU"/>
              </w:rPr>
              <w:t xml:space="preserve">remote service </w:t>
            </w:r>
            <w:r w:rsidRPr="00FC3EDE">
              <w:rPr>
                <w:rFonts w:ascii="Calibri" w:eastAsia="Times New Roman" w:hAnsi="Calibri" w:cs="Times New Roman"/>
                <w:sz w:val="20"/>
                <w:szCs w:val="20"/>
                <w:lang w:eastAsia="en-AU"/>
              </w:rPr>
              <w:t xml:space="preserve">use </w:t>
            </w:r>
            <w:r w:rsidR="00FC3EDE" w:rsidRPr="00FC3EDE">
              <w:rPr>
                <w:rFonts w:ascii="Calibri" w:eastAsia="Times New Roman" w:hAnsi="Calibri" w:cs="Times New Roman"/>
                <w:sz w:val="20"/>
                <w:szCs w:val="20"/>
                <w:lang w:eastAsia="en-AU"/>
              </w:rPr>
              <w:t xml:space="preserve">and an increase in non-State sector service provision </w:t>
            </w:r>
            <w:r w:rsidR="002131EC">
              <w:rPr>
                <w:rFonts w:ascii="Calibri" w:eastAsia="Times New Roman" w:hAnsi="Calibri" w:cs="Times New Roman"/>
                <w:sz w:val="20"/>
                <w:szCs w:val="20"/>
                <w:lang w:eastAsia="en-AU"/>
              </w:rPr>
              <w:t xml:space="preserve">in the Northern Territory </w:t>
            </w:r>
            <w:r w:rsidRPr="00A4284A">
              <w:rPr>
                <w:rFonts w:ascii="Calibri" w:eastAsia="Times New Roman" w:hAnsi="Calibri" w:cs="Times New Roman"/>
                <w:sz w:val="20"/>
                <w:szCs w:val="20"/>
                <w:lang w:eastAsia="en-AU"/>
              </w:rPr>
              <w:t>between 2011</w:t>
            </w:r>
            <w:r w:rsidRPr="00A4284A">
              <w:rPr>
                <w:rFonts w:ascii="Calibri" w:eastAsia="Times New Roman" w:hAnsi="Calibri" w:cs="Times New Roman"/>
                <w:sz w:val="20"/>
                <w:szCs w:val="20"/>
                <w:lang w:eastAsia="en-AU"/>
              </w:rPr>
              <w:noBreakHyphen/>
              <w:t>12 and 2014</w:t>
            </w:r>
            <w:r w:rsidRPr="00A4284A">
              <w:rPr>
                <w:rFonts w:ascii="Calibri" w:eastAsia="Times New Roman" w:hAnsi="Calibri" w:cs="Times New Roman"/>
                <w:sz w:val="20"/>
                <w:szCs w:val="20"/>
                <w:lang w:eastAsia="en-AU"/>
              </w:rPr>
              <w:noBreakHyphen/>
              <w:t>15 has reduced the Northern Territory’s assessed community health spending and its GST share.</w:t>
            </w:r>
          </w:p>
        </w:tc>
      </w:tr>
      <w:tr w:rsidR="00A4284A" w:rsidRPr="00A4284A" w:rsidTr="00D51D26">
        <w:trPr>
          <w:trHeight w:val="495"/>
        </w:trPr>
        <w:tc>
          <w:tcPr>
            <w:tcW w:w="700" w:type="dxa"/>
            <w:shd w:val="clear" w:color="auto" w:fill="auto"/>
            <w:hideMark/>
          </w:tcPr>
          <w:p w:rsidR="00A4284A" w:rsidRPr="00A4284A" w:rsidRDefault="00A4284A" w:rsidP="00A4284A">
            <w:pPr>
              <w:tabs>
                <w:tab w:val="clear" w:pos="567"/>
              </w:tabs>
              <w:spacing w:after="0" w:line="240" w:lineRule="auto"/>
              <w:jc w:val="right"/>
              <w:rPr>
                <w:rFonts w:ascii="Calibri" w:eastAsia="Times New Roman" w:hAnsi="Calibri" w:cs="Times New Roman"/>
                <w:sz w:val="20"/>
                <w:szCs w:val="20"/>
                <w:lang w:eastAsia="en-AU"/>
              </w:rPr>
            </w:pPr>
            <w:r w:rsidRPr="00A4284A">
              <w:rPr>
                <w:rFonts w:ascii="Calibri" w:eastAsia="Times New Roman" w:hAnsi="Calibri" w:cs="Times New Roman"/>
                <w:sz w:val="20"/>
                <w:szCs w:val="20"/>
                <w:lang w:eastAsia="en-AU"/>
              </w:rPr>
              <w:t>-14</w:t>
            </w:r>
          </w:p>
        </w:tc>
        <w:tc>
          <w:tcPr>
            <w:tcW w:w="540" w:type="dxa"/>
            <w:shd w:val="clear" w:color="auto" w:fill="auto"/>
            <w:vAlign w:val="center"/>
            <w:hideMark/>
          </w:tcPr>
          <w:p w:rsidR="00A4284A" w:rsidRPr="00A4284A" w:rsidRDefault="00A4284A" w:rsidP="00A4284A">
            <w:pPr>
              <w:tabs>
                <w:tab w:val="clear" w:pos="567"/>
              </w:tabs>
              <w:spacing w:after="0" w:line="240" w:lineRule="auto"/>
              <w:ind w:firstLineChars="100" w:firstLine="200"/>
              <w:rPr>
                <w:rFonts w:ascii="Calibri" w:eastAsia="Times New Roman" w:hAnsi="Calibri" w:cs="Times New Roman"/>
                <w:sz w:val="20"/>
                <w:szCs w:val="20"/>
                <w:lang w:eastAsia="en-AU"/>
              </w:rPr>
            </w:pPr>
            <w:r w:rsidRPr="00A4284A">
              <w:rPr>
                <w:rFonts w:ascii="Calibri" w:eastAsia="Times New Roman" w:hAnsi="Calibri" w:cs="Times New Roman"/>
                <w:sz w:val="20"/>
                <w:szCs w:val="20"/>
                <w:lang w:eastAsia="en-AU"/>
              </w:rPr>
              <w:t> </w:t>
            </w:r>
          </w:p>
        </w:tc>
        <w:tc>
          <w:tcPr>
            <w:tcW w:w="8680" w:type="dxa"/>
            <w:shd w:val="clear" w:color="auto" w:fill="auto"/>
            <w:vAlign w:val="center"/>
            <w:hideMark/>
          </w:tcPr>
          <w:p w:rsidR="00A4284A" w:rsidRPr="00A4284A" w:rsidRDefault="00A4284A" w:rsidP="00A4284A">
            <w:pPr>
              <w:tabs>
                <w:tab w:val="clear" w:pos="567"/>
              </w:tabs>
              <w:spacing w:after="0" w:line="240" w:lineRule="auto"/>
              <w:rPr>
                <w:rFonts w:ascii="Calibri" w:eastAsia="Times New Roman" w:hAnsi="Calibri" w:cs="Times New Roman"/>
                <w:b/>
                <w:bCs/>
                <w:sz w:val="20"/>
                <w:szCs w:val="20"/>
                <w:lang w:eastAsia="en-AU"/>
              </w:rPr>
            </w:pPr>
            <w:r w:rsidRPr="00A4284A">
              <w:rPr>
                <w:rFonts w:ascii="Calibri" w:eastAsia="Times New Roman" w:hAnsi="Calibri" w:cs="Times New Roman"/>
                <w:b/>
                <w:bCs/>
                <w:sz w:val="20"/>
                <w:szCs w:val="20"/>
                <w:lang w:eastAsia="en-AU"/>
              </w:rPr>
              <w:t>Mining production</w:t>
            </w:r>
            <w:r w:rsidRPr="00A4284A">
              <w:rPr>
                <w:rFonts w:ascii="Calibri" w:eastAsia="Times New Roman" w:hAnsi="Calibri" w:cs="Times New Roman"/>
                <w:sz w:val="20"/>
                <w:szCs w:val="20"/>
                <w:lang w:eastAsia="en-AU"/>
              </w:rPr>
              <w:t>. A fall in the value of mining production reduced the revenue raising capacity of the major mining States. This shifted GST away from the Northern Territory.</w:t>
            </w:r>
          </w:p>
        </w:tc>
      </w:tr>
    </w:tbl>
    <w:p w:rsidR="006A3E53" w:rsidRDefault="006A3E53" w:rsidP="006A3E53">
      <w:pPr>
        <w:sectPr w:rsidR="006A3E53" w:rsidSect="0055307A">
          <w:type w:val="continuous"/>
          <w:pgSz w:w="11899" w:h="16838" w:code="9"/>
          <w:pgMar w:top="1440" w:right="1080" w:bottom="1440" w:left="1080" w:header="709" w:footer="709" w:gutter="0"/>
          <w:cols w:space="1"/>
          <w:titlePg/>
          <w:docGrid w:linePitch="326"/>
        </w:sectPr>
      </w:pPr>
    </w:p>
    <w:p w:rsidR="006A3E53" w:rsidRDefault="006A3E53" w:rsidP="008556E1">
      <w:pPr>
        <w:spacing w:before="240"/>
      </w:pPr>
      <w:proofErr w:type="gramStart"/>
      <w:r w:rsidRPr="00EB0261">
        <w:rPr>
          <w:rStyle w:val="Heading6Char"/>
        </w:rPr>
        <w:lastRenderedPageBreak/>
        <w:t xml:space="preserve">Fiscal </w:t>
      </w:r>
      <w:r>
        <w:rPr>
          <w:rStyle w:val="Heading6Char"/>
        </w:rPr>
        <w:t>capacity</w:t>
      </w:r>
      <w:r w:rsidRPr="00EB0261">
        <w:rPr>
          <w:rStyle w:val="Heading6Char"/>
        </w:rPr>
        <w:t>.</w:t>
      </w:r>
      <w:proofErr w:type="gramEnd"/>
      <w:r w:rsidRPr="00EB0261">
        <w:t xml:space="preserve"> </w:t>
      </w:r>
      <w:r>
        <w:t xml:space="preserve">The Northern Territory’s below average fiscal capacity is </w:t>
      </w:r>
      <w:r w:rsidRPr="00EC79CF">
        <w:t>primarily due to its above average assessed expenses</w:t>
      </w:r>
      <w:r w:rsidR="00BA76F8">
        <w:t xml:space="preserve"> which arise from of its</w:t>
      </w:r>
      <w:r w:rsidRPr="00EC79CF">
        <w:t xml:space="preserve"> above average shares of a range of population groups, but in particular it has exceptionally high proportions of Indigenous people and people in remote areas. This is compounded by the greatest diseconomies of small scale in administration </w:t>
      </w:r>
      <w:r>
        <w:t>of</w:t>
      </w:r>
      <w:r w:rsidRPr="00EC79CF">
        <w:t xml:space="preserve"> all States.</w:t>
      </w:r>
      <w:r w:rsidRPr="00DF139F">
        <w:t xml:space="preserve"> </w:t>
      </w:r>
    </w:p>
    <w:p w:rsidR="006A3E53" w:rsidRDefault="006A3E53" w:rsidP="006A3E53">
      <w:pPr>
        <w:rPr>
          <w:szCs w:val="24"/>
        </w:rPr>
      </w:pPr>
      <w:r w:rsidRPr="00EC79CF">
        <w:t>The Northern Territory has below average revenue raising capacity for all revenue streams except mining</w:t>
      </w:r>
      <w:r>
        <w:t xml:space="preserve"> and payrolls</w:t>
      </w:r>
      <w:r w:rsidRPr="00EC79CF">
        <w:t xml:space="preserve">, resulting in below average overall revenue raising capacity. Its considerably above average need for assistance is partially met through well above average </w:t>
      </w:r>
      <w:r w:rsidR="00965B6D">
        <w:t>Commonwealth payments.</w:t>
      </w:r>
    </w:p>
    <w:p w:rsidR="006A3E53" w:rsidRDefault="006A3E53" w:rsidP="0001171D">
      <w:pPr>
        <w:pStyle w:val="CGCTableHeading"/>
        <w:spacing w:after="80" w:line="320" w:lineRule="atLeast"/>
      </w:pPr>
      <w:r>
        <w:rPr>
          <w:szCs w:val="24"/>
        </w:rPr>
        <w:br w:type="column"/>
      </w:r>
      <w:r>
        <w:lastRenderedPageBreak/>
        <w:t xml:space="preserve">Table </w:t>
      </w:r>
      <w:r w:rsidR="0014378B">
        <w:fldChar w:fldCharType="begin"/>
      </w:r>
      <w:r w:rsidR="0014378B">
        <w:instrText xml:space="preserve"> SEQ Table \* ARABIC </w:instrText>
      </w:r>
      <w:r w:rsidR="0014378B">
        <w:fldChar w:fldCharType="separate"/>
      </w:r>
      <w:r w:rsidR="007A6AF0">
        <w:rPr>
          <w:noProof/>
        </w:rPr>
        <w:t>28</w:t>
      </w:r>
      <w:r w:rsidR="0014378B">
        <w:rPr>
          <w:noProof/>
        </w:rPr>
        <w:fldChar w:fldCharType="end"/>
      </w:r>
      <w:r w:rsidRPr="00EC79CF">
        <w:tab/>
        <w:t>Assessed GST, 201</w:t>
      </w:r>
      <w:r>
        <w:t>6</w:t>
      </w:r>
      <w:r>
        <w:noBreakHyphen/>
        <w:t>17</w:t>
      </w:r>
    </w:p>
    <w:tbl>
      <w:tblPr>
        <w:tblW w:w="4260" w:type="dxa"/>
        <w:tblInd w:w="93" w:type="dxa"/>
        <w:tblLook w:val="04A0" w:firstRow="1" w:lastRow="0" w:firstColumn="1" w:lastColumn="0" w:noHBand="0" w:noVBand="1"/>
      </w:tblPr>
      <w:tblGrid>
        <w:gridCol w:w="2700"/>
        <w:gridCol w:w="760"/>
        <w:gridCol w:w="800"/>
      </w:tblGrid>
      <w:tr w:rsidR="0064743F" w:rsidRPr="0064743F" w:rsidTr="0064743F">
        <w:trPr>
          <w:trHeight w:val="375"/>
        </w:trPr>
        <w:tc>
          <w:tcPr>
            <w:tcW w:w="270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 </w:t>
            </w:r>
          </w:p>
        </w:tc>
        <w:tc>
          <w:tcPr>
            <w:tcW w:w="76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$m</w:t>
            </w:r>
          </w:p>
        </w:tc>
        <w:tc>
          <w:tcPr>
            <w:tcW w:w="800" w:type="dxa"/>
            <w:tcBorders>
              <w:top w:val="single" w:sz="4" w:space="0" w:color="auto"/>
              <w:left w:val="nil"/>
              <w:bottom w:val="single" w:sz="4" w:space="0" w:color="auto"/>
              <w:right w:val="nil"/>
            </w:tcBorders>
            <w:shd w:val="clear" w:color="auto" w:fill="auto"/>
            <w:noWrap/>
            <w:vAlign w:val="center"/>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$pc</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Equal per capita share</w:t>
            </w:r>
          </w:p>
        </w:tc>
        <w:tc>
          <w:tcPr>
            <w:tcW w:w="76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621</w:t>
            </w:r>
          </w:p>
        </w:tc>
        <w:tc>
          <w:tcPr>
            <w:tcW w:w="8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2 496</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Effect of assessed:</w:t>
            </w:r>
          </w:p>
        </w:tc>
        <w:tc>
          <w:tcPr>
            <w:tcW w:w="76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c>
          <w:tcPr>
            <w:tcW w:w="8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Expenses</w:t>
            </w:r>
          </w:p>
        </w:tc>
        <w:tc>
          <w:tcPr>
            <w:tcW w:w="76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2 836</w:t>
            </w:r>
          </w:p>
        </w:tc>
        <w:tc>
          <w:tcPr>
            <w:tcW w:w="8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11 398</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Investment</w:t>
            </w:r>
          </w:p>
        </w:tc>
        <w:tc>
          <w:tcPr>
            <w:tcW w:w="76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65</w:t>
            </w:r>
          </w:p>
        </w:tc>
        <w:tc>
          <w:tcPr>
            <w:tcW w:w="8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263</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Net borrowing</w:t>
            </w:r>
          </w:p>
        </w:tc>
        <w:tc>
          <w:tcPr>
            <w:tcW w:w="76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w:t>
            </w:r>
          </w:p>
        </w:tc>
        <w:tc>
          <w:tcPr>
            <w:tcW w:w="8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8</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Revenue</w:t>
            </w:r>
          </w:p>
        </w:tc>
        <w:tc>
          <w:tcPr>
            <w:tcW w:w="76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56</w:t>
            </w:r>
          </w:p>
        </w:tc>
        <w:tc>
          <w:tcPr>
            <w:tcW w:w="8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225</w:t>
            </w:r>
          </w:p>
        </w:tc>
      </w:tr>
      <w:tr w:rsidR="0064743F" w:rsidRPr="0064743F" w:rsidTr="0064743F">
        <w:trPr>
          <w:trHeight w:val="315"/>
        </w:trPr>
        <w:tc>
          <w:tcPr>
            <w:tcW w:w="2700" w:type="dxa"/>
            <w:tcBorders>
              <w:top w:val="nil"/>
              <w:left w:val="nil"/>
              <w:bottom w:val="nil"/>
              <w:right w:val="nil"/>
            </w:tcBorders>
            <w:shd w:val="clear" w:color="auto" w:fill="auto"/>
            <w:noWrap/>
            <w:vAlign w:val="bottom"/>
            <w:hideMark/>
          </w:tcPr>
          <w:p w:rsidR="0064743F" w:rsidRPr="0064743F" w:rsidRDefault="0064743F" w:rsidP="0064743F">
            <w:pPr>
              <w:tabs>
                <w:tab w:val="clear" w:pos="567"/>
              </w:tabs>
              <w:spacing w:after="0" w:line="240" w:lineRule="auto"/>
              <w:ind w:firstLineChars="100" w:firstLine="200"/>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Commonwealth payments</w:t>
            </w:r>
          </w:p>
        </w:tc>
        <w:tc>
          <w:tcPr>
            <w:tcW w:w="76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-289</w:t>
            </w:r>
          </w:p>
        </w:tc>
        <w:tc>
          <w:tcPr>
            <w:tcW w:w="80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-1 160</w:t>
            </w:r>
          </w:p>
        </w:tc>
      </w:tr>
      <w:tr w:rsidR="0064743F" w:rsidRPr="0064743F" w:rsidTr="0064743F">
        <w:trPr>
          <w:trHeight w:val="315"/>
        </w:trPr>
        <w:tc>
          <w:tcPr>
            <w:tcW w:w="270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Assessed GST</w:t>
            </w:r>
          </w:p>
        </w:tc>
        <w:tc>
          <w:tcPr>
            <w:tcW w:w="76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3 291</w:t>
            </w:r>
          </w:p>
        </w:tc>
        <w:tc>
          <w:tcPr>
            <w:tcW w:w="800" w:type="dxa"/>
            <w:tcBorders>
              <w:top w:val="nil"/>
              <w:left w:val="nil"/>
              <w:bottom w:val="single" w:sz="4" w:space="0" w:color="auto"/>
              <w:right w:val="nil"/>
            </w:tcBorders>
            <w:shd w:val="clear" w:color="auto" w:fill="auto"/>
            <w:noWrap/>
            <w:vAlign w:val="bottom"/>
            <w:hideMark/>
          </w:tcPr>
          <w:p w:rsidR="0064743F" w:rsidRPr="0064743F" w:rsidRDefault="0064743F" w:rsidP="0064743F">
            <w:pPr>
              <w:tabs>
                <w:tab w:val="clear" w:pos="567"/>
              </w:tabs>
              <w:spacing w:after="0" w:line="240" w:lineRule="auto"/>
              <w:jc w:val="right"/>
              <w:rPr>
                <w:rFonts w:ascii="Calibri" w:eastAsia="Times New Roman" w:hAnsi="Calibri" w:cs="Times New Roman"/>
                <w:sz w:val="20"/>
                <w:szCs w:val="20"/>
                <w:lang w:eastAsia="en-AU"/>
              </w:rPr>
            </w:pPr>
            <w:r w:rsidRPr="0064743F">
              <w:rPr>
                <w:rFonts w:ascii="Calibri" w:eastAsia="Times New Roman" w:hAnsi="Calibri" w:cs="Times New Roman"/>
                <w:sz w:val="20"/>
                <w:szCs w:val="20"/>
                <w:lang w:eastAsia="en-AU"/>
              </w:rPr>
              <w:t>13 229</w:t>
            </w:r>
          </w:p>
        </w:tc>
      </w:tr>
    </w:tbl>
    <w:p w:rsidR="006A3E53" w:rsidRDefault="006A3E53" w:rsidP="006A3E53">
      <w:pPr>
        <w:pStyle w:val="CGCTableFootnote"/>
        <w:sectPr w:rsidR="006A3E53" w:rsidSect="0055307A">
          <w:type w:val="continuous"/>
          <w:pgSz w:w="11899" w:h="16838" w:code="9"/>
          <w:pgMar w:top="1440" w:right="1080" w:bottom="1440" w:left="1080" w:header="709" w:footer="709" w:gutter="0"/>
          <w:cols w:num="2" w:space="157" w:equalWidth="0">
            <w:col w:w="5500" w:space="157"/>
            <w:col w:w="4082"/>
          </w:cols>
          <w:titlePg/>
          <w:docGrid w:linePitch="326"/>
        </w:sectPr>
      </w:pPr>
      <w:r>
        <w:t>Note: Table may not add due to rounding.</w:t>
      </w:r>
    </w:p>
    <w:p w:rsidR="00A42C46" w:rsidRPr="00EC79CF" w:rsidRDefault="00A42C46" w:rsidP="00A42C46">
      <w:pPr>
        <w:tabs>
          <w:tab w:val="clear" w:pos="567"/>
        </w:tabs>
        <w:spacing w:after="40" w:line="240" w:lineRule="auto"/>
        <w:rPr>
          <w:rFonts w:cs="Arial"/>
          <w:b/>
          <w:color w:val="0000FF"/>
        </w:rPr>
        <w:sectPr w:rsidR="00A42C46" w:rsidRPr="00EC79CF" w:rsidSect="00A42C46">
          <w:footerReference w:type="default" r:id="rId46"/>
          <w:type w:val="continuous"/>
          <w:pgSz w:w="11899" w:h="16838" w:code="9"/>
          <w:pgMar w:top="1701" w:right="1474" w:bottom="1701" w:left="1474" w:header="709" w:footer="709" w:gutter="0"/>
          <w:cols w:space="708"/>
          <w:docGrid w:linePitch="299"/>
        </w:sectPr>
      </w:pPr>
    </w:p>
    <w:p w:rsidR="00753BA4" w:rsidRDefault="00753BA4" w:rsidP="00AA331D">
      <w:pPr>
        <w:pStyle w:val="Heading1"/>
        <w:numPr>
          <w:ilvl w:val="0"/>
          <w:numId w:val="17"/>
        </w:numPr>
      </w:pPr>
      <w:bookmarkStart w:id="363" w:name="_Toc433353484"/>
      <w:bookmarkStart w:id="364" w:name="_Toc442192168"/>
      <w:bookmarkStart w:id="365" w:name="_Toc442192233"/>
      <w:bookmarkStart w:id="366" w:name="_Toc442773046"/>
      <w:bookmarkStart w:id="367" w:name="_Toc442773562"/>
      <w:bookmarkStart w:id="368" w:name="_Toc442883283"/>
      <w:bookmarkStart w:id="369" w:name="_Toc442949136"/>
      <w:bookmarkStart w:id="370" w:name="_Ref430701543"/>
      <w:bookmarkEnd w:id="363"/>
      <w:bookmarkEnd w:id="364"/>
      <w:bookmarkEnd w:id="365"/>
      <w:bookmarkEnd w:id="366"/>
      <w:bookmarkEnd w:id="367"/>
      <w:bookmarkEnd w:id="368"/>
      <w:bookmarkEnd w:id="369"/>
    </w:p>
    <w:p w:rsidR="00753BA4" w:rsidRDefault="009C67A9" w:rsidP="00753BA4">
      <w:pPr>
        <w:pStyle w:val="Heading2"/>
      </w:pPr>
      <w:bookmarkStart w:id="371" w:name="_Toc428435402"/>
      <w:bookmarkStart w:id="372" w:name="_Toc428435927"/>
      <w:bookmarkStart w:id="373" w:name="_Toc428803268"/>
      <w:bookmarkStart w:id="374" w:name="_Toc430166133"/>
      <w:bookmarkStart w:id="375" w:name="_Toc433353485"/>
      <w:bookmarkStart w:id="376" w:name="_Toc441656026"/>
      <w:bookmarkStart w:id="377" w:name="_Toc442192169"/>
      <w:bookmarkStart w:id="378" w:name="_Toc442192234"/>
      <w:bookmarkStart w:id="379" w:name="_Toc442773047"/>
      <w:bookmarkStart w:id="380" w:name="_Toc442773563"/>
      <w:bookmarkStart w:id="381" w:name="_Toc442781578"/>
      <w:bookmarkStart w:id="382" w:name="_Toc442785875"/>
      <w:bookmarkStart w:id="383" w:name="_Toc442883284"/>
      <w:bookmarkStart w:id="384" w:name="_Toc442948710"/>
      <w:bookmarkStart w:id="385" w:name="_Toc442949137"/>
      <w:bookmarkEnd w:id="370"/>
      <w:r>
        <w:t>Changes in the GST distribution</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rsidR="00330F6C" w:rsidRDefault="00330F6C" w:rsidP="007F176A">
      <w:pPr>
        <w:pStyle w:val="CGCNumberedPara"/>
        <w:numPr>
          <w:ilvl w:val="1"/>
          <w:numId w:val="13"/>
        </w:numPr>
      </w:pPr>
      <w:bookmarkStart w:id="386" w:name="_Toc411924613"/>
      <w:bookmarkStart w:id="387" w:name="_Toc428435403"/>
      <w:r>
        <w:t xml:space="preserve">This chapter explains why the GST distribution in this update differs from </w:t>
      </w:r>
      <w:r w:rsidR="00DA087B">
        <w:t xml:space="preserve">the </w:t>
      </w:r>
      <w:r>
        <w:t>2015 Review distribution.</w:t>
      </w:r>
    </w:p>
    <w:p w:rsidR="00D51CD4" w:rsidRPr="007F015C" w:rsidRDefault="00D51CD4" w:rsidP="00D51CD4">
      <w:pPr>
        <w:pStyle w:val="Heading3"/>
      </w:pPr>
      <w:bookmarkStart w:id="388" w:name="_Toc430166134"/>
      <w:bookmarkStart w:id="389" w:name="_Toc433353486"/>
      <w:bookmarkStart w:id="390" w:name="_Toc441241590"/>
      <w:bookmarkStart w:id="391" w:name="_Toc441499260"/>
      <w:bookmarkStart w:id="392" w:name="_Toc441656027"/>
      <w:bookmarkStart w:id="393" w:name="_Toc442191916"/>
      <w:bookmarkStart w:id="394" w:name="_Toc442192170"/>
      <w:bookmarkStart w:id="395" w:name="_Toc442192235"/>
      <w:bookmarkStart w:id="396" w:name="_Toc442772819"/>
      <w:bookmarkStart w:id="397" w:name="_Toc442773048"/>
      <w:bookmarkStart w:id="398" w:name="_Toc442773218"/>
      <w:bookmarkStart w:id="399" w:name="_Toc442773564"/>
      <w:bookmarkStart w:id="400" w:name="_Toc442883285"/>
      <w:bookmarkStart w:id="401" w:name="_Toc442949138"/>
      <w:r>
        <w:t>How has the GST distribution changed?</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rsidR="00D51CD4" w:rsidRPr="001729F2" w:rsidRDefault="00D51CD4" w:rsidP="007F176A">
      <w:pPr>
        <w:pStyle w:val="CGCNumberedPara"/>
        <w:numPr>
          <w:ilvl w:val="1"/>
          <w:numId w:val="13"/>
        </w:numPr>
      </w:pPr>
      <w:r>
        <w:fldChar w:fldCharType="begin"/>
      </w:r>
      <w:r>
        <w:instrText xml:space="preserve"> REF _Ref379537343 \h </w:instrText>
      </w:r>
      <w:r>
        <w:fldChar w:fldCharType="separate"/>
      </w:r>
      <w:r w:rsidR="007A6AF0" w:rsidRPr="00E11EF7">
        <w:t xml:space="preserve">Table </w:t>
      </w:r>
      <w:r w:rsidR="007A6AF0">
        <w:rPr>
          <w:noProof/>
        </w:rPr>
        <w:t>1</w:t>
      </w:r>
      <w:r w:rsidR="007A6AF0">
        <w:noBreakHyphen/>
      </w:r>
      <w:r w:rsidR="007A6AF0">
        <w:rPr>
          <w:noProof/>
        </w:rPr>
        <w:t>1</w:t>
      </w:r>
      <w:r>
        <w:fldChar w:fldCharType="end"/>
      </w:r>
      <w:r>
        <w:t xml:space="preserve"> </w:t>
      </w:r>
      <w:r w:rsidRPr="001729F2">
        <w:t xml:space="preserve">shows the differences between the estimated </w:t>
      </w:r>
      <w:r>
        <w:t>GST</w:t>
      </w:r>
      <w:r w:rsidRPr="001729F2">
        <w:t xml:space="preserve"> distribution for 201</w:t>
      </w:r>
      <w:r w:rsidR="00330F6C">
        <w:t>5</w:t>
      </w:r>
      <w:r>
        <w:noBreakHyphen/>
        <w:t>1</w:t>
      </w:r>
      <w:r w:rsidR="00330F6C">
        <w:t>6</w:t>
      </w:r>
      <w:r w:rsidRPr="001729F2">
        <w:t xml:space="preserve"> and the illustrative distribution for </w:t>
      </w:r>
      <w:r>
        <w:t>201</w:t>
      </w:r>
      <w:r w:rsidR="00330F6C">
        <w:t>6</w:t>
      </w:r>
      <w:r>
        <w:noBreakHyphen/>
        <w:t>1</w:t>
      </w:r>
      <w:r w:rsidR="00330F6C">
        <w:t>7</w:t>
      </w:r>
      <w:r w:rsidRPr="001729F2">
        <w:t>.</w:t>
      </w:r>
    </w:p>
    <w:p w:rsidR="00D51CD4" w:rsidRPr="00D8738B" w:rsidRDefault="00D51CD4" w:rsidP="00D51CD4">
      <w:pPr>
        <w:pStyle w:val="Caption"/>
      </w:pPr>
      <w:bookmarkStart w:id="402" w:name="_Ref378175415"/>
      <w:bookmarkStart w:id="403" w:name="_Ref379537343"/>
      <w:r w:rsidRPr="00E11EF7">
        <w:t xml:space="preserve">Table </w:t>
      </w:r>
      <w:bookmarkEnd w:id="402"/>
      <w:r w:rsidR="001F6199">
        <w:fldChar w:fldCharType="begin"/>
      </w:r>
      <w:r w:rsidR="001F6199">
        <w:instrText xml:space="preserve"> STYLEREF 1 \s </w:instrText>
      </w:r>
      <w:r w:rsidR="001F6199">
        <w:fldChar w:fldCharType="separate"/>
      </w:r>
      <w:r w:rsidR="007A6AF0">
        <w:rPr>
          <w:noProof/>
        </w:rPr>
        <w:t>1</w:t>
      </w:r>
      <w:r w:rsidR="001F6199">
        <w:fldChar w:fldCharType="end"/>
      </w:r>
      <w:r w:rsidR="001F6199">
        <w:noBreakHyphen/>
      </w:r>
      <w:r w:rsidR="0014378B">
        <w:fldChar w:fldCharType="begin"/>
      </w:r>
      <w:r w:rsidR="0014378B">
        <w:instrText xml:space="preserve"> SEQ Table \* ARABIC \s 1 </w:instrText>
      </w:r>
      <w:r w:rsidR="0014378B">
        <w:fldChar w:fldCharType="separate"/>
      </w:r>
      <w:r w:rsidR="007A6AF0">
        <w:rPr>
          <w:noProof/>
        </w:rPr>
        <w:t>1</w:t>
      </w:r>
      <w:r w:rsidR="0014378B">
        <w:rPr>
          <w:noProof/>
        </w:rPr>
        <w:fldChar w:fldCharType="end"/>
      </w:r>
      <w:bookmarkEnd w:id="403"/>
      <w:r w:rsidRPr="00E11EF7">
        <w:tab/>
      </w:r>
      <w:r w:rsidRPr="00D8738B">
        <w:t>Distribution of the 201</w:t>
      </w:r>
      <w:r w:rsidR="00B86AB4" w:rsidRPr="00D8738B">
        <w:t>5</w:t>
      </w:r>
      <w:r w:rsidRPr="00D8738B">
        <w:noBreakHyphen/>
        <w:t>1</w:t>
      </w:r>
      <w:r w:rsidR="00B86AB4" w:rsidRPr="00D8738B">
        <w:t>6</w:t>
      </w:r>
      <w:r w:rsidRPr="00D8738B">
        <w:t xml:space="preserve"> GST and the illustrative 201</w:t>
      </w:r>
      <w:r w:rsidR="00B86AB4" w:rsidRPr="00D8738B">
        <w:t>6</w:t>
      </w:r>
      <w:r w:rsidRPr="00D8738B">
        <w:t>-1</w:t>
      </w:r>
      <w:r w:rsidR="00B86AB4" w:rsidRPr="00D8738B">
        <w:t>7</w:t>
      </w:r>
      <w:r w:rsidRPr="00D8738B">
        <w:t xml:space="preserve"> GST </w:t>
      </w:r>
      <w:r w:rsidR="00D8738B">
        <w:t>d</w:t>
      </w:r>
      <w:r w:rsidR="00D8738B" w:rsidRPr="00D8738B">
        <w:t>istribution</w:t>
      </w:r>
    </w:p>
    <w:tbl>
      <w:tblPr>
        <w:tblW w:w="8960" w:type="dxa"/>
        <w:tblInd w:w="93" w:type="dxa"/>
        <w:tblLook w:val="04A0" w:firstRow="1" w:lastRow="0" w:firstColumn="1" w:lastColumn="0" w:noHBand="0" w:noVBand="1"/>
      </w:tblPr>
      <w:tblGrid>
        <w:gridCol w:w="2180"/>
        <w:gridCol w:w="820"/>
        <w:gridCol w:w="820"/>
        <w:gridCol w:w="820"/>
        <w:gridCol w:w="700"/>
        <w:gridCol w:w="700"/>
        <w:gridCol w:w="700"/>
        <w:gridCol w:w="700"/>
        <w:gridCol w:w="700"/>
        <w:gridCol w:w="820"/>
      </w:tblGrid>
      <w:tr w:rsidR="00355DDF" w:rsidRPr="00355DDF" w:rsidTr="00355DDF">
        <w:trPr>
          <w:trHeight w:val="379"/>
        </w:trPr>
        <w:tc>
          <w:tcPr>
            <w:tcW w:w="218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NSW</w:t>
            </w:r>
          </w:p>
        </w:tc>
        <w:tc>
          <w:tcPr>
            <w:tcW w:w="82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Vic</w:t>
            </w:r>
          </w:p>
        </w:tc>
        <w:tc>
          <w:tcPr>
            <w:tcW w:w="82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Qld</w:t>
            </w:r>
          </w:p>
        </w:tc>
        <w:tc>
          <w:tcPr>
            <w:tcW w:w="70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WA</w:t>
            </w:r>
          </w:p>
        </w:tc>
        <w:tc>
          <w:tcPr>
            <w:tcW w:w="70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SA</w:t>
            </w:r>
          </w:p>
        </w:tc>
        <w:tc>
          <w:tcPr>
            <w:tcW w:w="70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Tas</w:t>
            </w:r>
          </w:p>
        </w:tc>
        <w:tc>
          <w:tcPr>
            <w:tcW w:w="70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ACT</w:t>
            </w:r>
          </w:p>
        </w:tc>
        <w:tc>
          <w:tcPr>
            <w:tcW w:w="70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NT</w:t>
            </w:r>
          </w:p>
        </w:tc>
        <w:tc>
          <w:tcPr>
            <w:tcW w:w="82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Total</w:t>
            </w:r>
          </w:p>
        </w:tc>
      </w:tr>
      <w:tr w:rsidR="00355DDF" w:rsidRPr="00355DDF" w:rsidTr="00355DDF">
        <w:trPr>
          <w:trHeight w:val="259"/>
        </w:trPr>
        <w:tc>
          <w:tcPr>
            <w:tcW w:w="21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r>
      <w:tr w:rsidR="00355DDF" w:rsidRPr="00355DDF" w:rsidTr="00355DDF">
        <w:trPr>
          <w:trHeight w:val="315"/>
        </w:trPr>
        <w:tc>
          <w:tcPr>
            <w:tcW w:w="2180" w:type="dxa"/>
            <w:tcBorders>
              <w:top w:val="nil"/>
              <w:left w:val="nil"/>
              <w:bottom w:val="nil"/>
              <w:right w:val="nil"/>
            </w:tcBorders>
            <w:shd w:val="clear" w:color="auto" w:fill="auto"/>
            <w:vAlign w:val="bottom"/>
            <w:hideMark/>
          </w:tcPr>
          <w:p w:rsidR="00355DDF" w:rsidRPr="00355DDF" w:rsidRDefault="00355DDF" w:rsidP="00355DDF">
            <w:pPr>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Estimated 2015-16</w:t>
            </w:r>
          </w:p>
        </w:tc>
        <w:tc>
          <w:tcPr>
            <w:tcW w:w="8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17 401</w:t>
            </w:r>
          </w:p>
        </w:tc>
        <w:tc>
          <w:tcPr>
            <w:tcW w:w="8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12 807</w:t>
            </w:r>
          </w:p>
        </w:tc>
        <w:tc>
          <w:tcPr>
            <w:tcW w:w="8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13 024</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1 890</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5 556</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2 249</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1 036</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3 286</w:t>
            </w:r>
          </w:p>
        </w:tc>
        <w:tc>
          <w:tcPr>
            <w:tcW w:w="8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57 250</w:t>
            </w:r>
          </w:p>
        </w:tc>
      </w:tr>
      <w:tr w:rsidR="00355DDF" w:rsidRPr="00355DDF" w:rsidTr="00355DDF">
        <w:trPr>
          <w:trHeight w:val="315"/>
        </w:trPr>
        <w:tc>
          <w:tcPr>
            <w:tcW w:w="2180" w:type="dxa"/>
            <w:tcBorders>
              <w:top w:val="nil"/>
              <w:left w:val="nil"/>
              <w:bottom w:val="nil"/>
              <w:right w:val="nil"/>
            </w:tcBorders>
            <w:shd w:val="clear" w:color="auto" w:fill="auto"/>
            <w:vAlign w:val="bottom"/>
            <w:hideMark/>
          </w:tcPr>
          <w:p w:rsidR="00355DDF" w:rsidRPr="00355DDF" w:rsidRDefault="00355DDF" w:rsidP="00355DDF">
            <w:pPr>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Illustrative 2016-17 (a)</w:t>
            </w:r>
          </w:p>
        </w:tc>
        <w:tc>
          <w:tcPr>
            <w:tcW w:w="820" w:type="dxa"/>
            <w:tcBorders>
              <w:top w:val="nil"/>
              <w:left w:val="nil"/>
              <w:bottom w:val="nil"/>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17 598</w:t>
            </w:r>
          </w:p>
        </w:tc>
        <w:tc>
          <w:tcPr>
            <w:tcW w:w="820" w:type="dxa"/>
            <w:tcBorders>
              <w:top w:val="nil"/>
              <w:left w:val="nil"/>
              <w:bottom w:val="nil"/>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13 881</w:t>
            </w:r>
          </w:p>
        </w:tc>
        <w:tc>
          <w:tcPr>
            <w:tcW w:w="820" w:type="dxa"/>
            <w:tcBorders>
              <w:top w:val="nil"/>
              <w:left w:val="nil"/>
              <w:bottom w:val="nil"/>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14 348</w:t>
            </w:r>
          </w:p>
        </w:tc>
        <w:tc>
          <w:tcPr>
            <w:tcW w:w="700" w:type="dxa"/>
            <w:tcBorders>
              <w:top w:val="nil"/>
              <w:left w:val="nil"/>
              <w:bottom w:val="nil"/>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2 037</w:t>
            </w:r>
          </w:p>
        </w:tc>
        <w:tc>
          <w:tcPr>
            <w:tcW w:w="700" w:type="dxa"/>
            <w:tcBorders>
              <w:top w:val="nil"/>
              <w:left w:val="nil"/>
              <w:bottom w:val="nil"/>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6 110</w:t>
            </w:r>
          </w:p>
        </w:tc>
        <w:tc>
          <w:tcPr>
            <w:tcW w:w="700" w:type="dxa"/>
            <w:tcBorders>
              <w:top w:val="nil"/>
              <w:left w:val="nil"/>
              <w:bottom w:val="nil"/>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2 299</w:t>
            </w:r>
          </w:p>
        </w:tc>
        <w:tc>
          <w:tcPr>
            <w:tcW w:w="700" w:type="dxa"/>
            <w:tcBorders>
              <w:top w:val="nil"/>
              <w:left w:val="nil"/>
              <w:bottom w:val="nil"/>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1 155</w:t>
            </w:r>
          </w:p>
        </w:tc>
        <w:tc>
          <w:tcPr>
            <w:tcW w:w="700" w:type="dxa"/>
            <w:tcBorders>
              <w:top w:val="nil"/>
              <w:left w:val="nil"/>
              <w:bottom w:val="nil"/>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3 291</w:t>
            </w:r>
          </w:p>
        </w:tc>
        <w:tc>
          <w:tcPr>
            <w:tcW w:w="820" w:type="dxa"/>
            <w:tcBorders>
              <w:top w:val="nil"/>
              <w:left w:val="nil"/>
              <w:bottom w:val="nil"/>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60 720</w:t>
            </w:r>
          </w:p>
        </w:tc>
      </w:tr>
      <w:tr w:rsidR="00355DDF" w:rsidRPr="00355DDF" w:rsidTr="00355DDF">
        <w:trPr>
          <w:trHeight w:val="315"/>
        </w:trPr>
        <w:tc>
          <w:tcPr>
            <w:tcW w:w="21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Change</w:t>
            </w:r>
          </w:p>
        </w:tc>
        <w:tc>
          <w:tcPr>
            <w:tcW w:w="8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196</w:t>
            </w:r>
          </w:p>
        </w:tc>
        <w:tc>
          <w:tcPr>
            <w:tcW w:w="8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1 074</w:t>
            </w:r>
          </w:p>
        </w:tc>
        <w:tc>
          <w:tcPr>
            <w:tcW w:w="8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1 324</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148</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554</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50</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119</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w:t>
            </w:r>
          </w:p>
        </w:tc>
        <w:tc>
          <w:tcPr>
            <w:tcW w:w="8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3 470</w:t>
            </w:r>
          </w:p>
        </w:tc>
      </w:tr>
      <w:tr w:rsidR="00355DDF" w:rsidRPr="00355DDF" w:rsidTr="00355DDF">
        <w:trPr>
          <w:trHeight w:val="315"/>
        </w:trPr>
        <w:tc>
          <w:tcPr>
            <w:tcW w:w="21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Change caused by new:</w:t>
            </w:r>
          </w:p>
        </w:tc>
        <w:tc>
          <w:tcPr>
            <w:tcW w:w="8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p>
        </w:tc>
      </w:tr>
      <w:tr w:rsidR="00355DDF" w:rsidRPr="00355DDF" w:rsidTr="00355DDF">
        <w:trPr>
          <w:trHeight w:val="315"/>
        </w:trPr>
        <w:tc>
          <w:tcPr>
            <w:tcW w:w="21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ind w:firstLineChars="100" w:firstLine="200"/>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Population (b)</w:t>
            </w:r>
          </w:p>
        </w:tc>
        <w:tc>
          <w:tcPr>
            <w:tcW w:w="8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-8</w:t>
            </w:r>
          </w:p>
        </w:tc>
        <w:tc>
          <w:tcPr>
            <w:tcW w:w="8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47</w:t>
            </w:r>
          </w:p>
        </w:tc>
        <w:tc>
          <w:tcPr>
            <w:tcW w:w="8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14</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12</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-26</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-28</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-12</w:t>
            </w:r>
          </w:p>
        </w:tc>
        <w:tc>
          <w:tcPr>
            <w:tcW w:w="8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0</w:t>
            </w:r>
          </w:p>
        </w:tc>
      </w:tr>
      <w:tr w:rsidR="00355DDF" w:rsidRPr="00355DDF" w:rsidTr="00355DDF">
        <w:trPr>
          <w:trHeight w:val="315"/>
        </w:trPr>
        <w:tc>
          <w:tcPr>
            <w:tcW w:w="21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ind w:firstLineChars="100" w:firstLine="200"/>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Pool (c)</w:t>
            </w:r>
          </w:p>
        </w:tc>
        <w:tc>
          <w:tcPr>
            <w:tcW w:w="8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1 054</w:t>
            </w:r>
          </w:p>
        </w:tc>
        <w:tc>
          <w:tcPr>
            <w:tcW w:w="8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779</w:t>
            </w:r>
          </w:p>
        </w:tc>
        <w:tc>
          <w:tcPr>
            <w:tcW w:w="8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790</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115</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335</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135</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63</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198</w:t>
            </w:r>
          </w:p>
        </w:tc>
        <w:tc>
          <w:tcPr>
            <w:tcW w:w="8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3 470</w:t>
            </w:r>
          </w:p>
        </w:tc>
      </w:tr>
      <w:tr w:rsidR="00355DDF" w:rsidRPr="00355DDF" w:rsidTr="00355DDF">
        <w:trPr>
          <w:trHeight w:val="315"/>
        </w:trPr>
        <w:tc>
          <w:tcPr>
            <w:tcW w:w="2180" w:type="dxa"/>
            <w:tcBorders>
              <w:top w:val="nil"/>
              <w:left w:val="nil"/>
              <w:bottom w:val="nil"/>
              <w:right w:val="nil"/>
            </w:tcBorders>
            <w:shd w:val="clear" w:color="auto" w:fill="auto"/>
            <w:vAlign w:val="bottom"/>
            <w:hideMark/>
          </w:tcPr>
          <w:p w:rsidR="00355DDF" w:rsidRPr="00355DDF" w:rsidRDefault="00355DDF" w:rsidP="00355DDF">
            <w:pPr>
              <w:tabs>
                <w:tab w:val="clear" w:pos="567"/>
              </w:tabs>
              <w:spacing w:after="0" w:line="240" w:lineRule="auto"/>
              <w:ind w:firstLineChars="100" w:firstLine="200"/>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Fiscal capacities (d)</w:t>
            </w:r>
          </w:p>
        </w:tc>
        <w:tc>
          <w:tcPr>
            <w:tcW w:w="820" w:type="dxa"/>
            <w:tcBorders>
              <w:top w:val="nil"/>
              <w:left w:val="nil"/>
              <w:bottom w:val="nil"/>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-850</w:t>
            </w:r>
          </w:p>
        </w:tc>
        <w:tc>
          <w:tcPr>
            <w:tcW w:w="820" w:type="dxa"/>
            <w:tcBorders>
              <w:top w:val="nil"/>
              <w:left w:val="nil"/>
              <w:bottom w:val="nil"/>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248</w:t>
            </w:r>
          </w:p>
        </w:tc>
        <w:tc>
          <w:tcPr>
            <w:tcW w:w="820" w:type="dxa"/>
            <w:tcBorders>
              <w:top w:val="nil"/>
              <w:left w:val="nil"/>
              <w:bottom w:val="nil"/>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520</w:t>
            </w:r>
          </w:p>
        </w:tc>
        <w:tc>
          <w:tcPr>
            <w:tcW w:w="700" w:type="dxa"/>
            <w:tcBorders>
              <w:top w:val="nil"/>
              <w:left w:val="nil"/>
              <w:bottom w:val="nil"/>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20</w:t>
            </w:r>
          </w:p>
        </w:tc>
        <w:tc>
          <w:tcPr>
            <w:tcW w:w="700" w:type="dxa"/>
            <w:tcBorders>
              <w:top w:val="nil"/>
              <w:left w:val="nil"/>
              <w:bottom w:val="nil"/>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245</w:t>
            </w:r>
          </w:p>
        </w:tc>
        <w:tc>
          <w:tcPr>
            <w:tcW w:w="700" w:type="dxa"/>
            <w:tcBorders>
              <w:top w:val="nil"/>
              <w:left w:val="nil"/>
              <w:bottom w:val="nil"/>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-57</w:t>
            </w:r>
          </w:p>
        </w:tc>
        <w:tc>
          <w:tcPr>
            <w:tcW w:w="700" w:type="dxa"/>
            <w:tcBorders>
              <w:top w:val="nil"/>
              <w:left w:val="nil"/>
              <w:bottom w:val="nil"/>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55</w:t>
            </w:r>
          </w:p>
        </w:tc>
        <w:tc>
          <w:tcPr>
            <w:tcW w:w="700" w:type="dxa"/>
            <w:tcBorders>
              <w:top w:val="nil"/>
              <w:left w:val="nil"/>
              <w:bottom w:val="nil"/>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-182</w:t>
            </w:r>
          </w:p>
        </w:tc>
        <w:tc>
          <w:tcPr>
            <w:tcW w:w="820" w:type="dxa"/>
            <w:tcBorders>
              <w:top w:val="nil"/>
              <w:left w:val="nil"/>
              <w:bottom w:val="nil"/>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0</w:t>
            </w:r>
          </w:p>
        </w:tc>
      </w:tr>
      <w:tr w:rsidR="00355DDF" w:rsidRPr="00355DDF" w:rsidTr="00355DDF">
        <w:trPr>
          <w:trHeight w:val="315"/>
        </w:trPr>
        <w:tc>
          <w:tcPr>
            <w:tcW w:w="21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Change ($m)</w:t>
            </w:r>
          </w:p>
        </w:tc>
        <w:tc>
          <w:tcPr>
            <w:tcW w:w="820" w:type="dxa"/>
            <w:tcBorders>
              <w:top w:val="single" w:sz="4" w:space="0" w:color="auto"/>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196</w:t>
            </w:r>
          </w:p>
        </w:tc>
        <w:tc>
          <w:tcPr>
            <w:tcW w:w="820" w:type="dxa"/>
            <w:tcBorders>
              <w:top w:val="single" w:sz="4" w:space="0" w:color="auto"/>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1 074</w:t>
            </w:r>
          </w:p>
        </w:tc>
        <w:tc>
          <w:tcPr>
            <w:tcW w:w="820" w:type="dxa"/>
            <w:tcBorders>
              <w:top w:val="single" w:sz="4" w:space="0" w:color="auto"/>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1 324</w:t>
            </w:r>
          </w:p>
        </w:tc>
        <w:tc>
          <w:tcPr>
            <w:tcW w:w="700" w:type="dxa"/>
            <w:tcBorders>
              <w:top w:val="single" w:sz="4" w:space="0" w:color="auto"/>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148</w:t>
            </w:r>
          </w:p>
        </w:tc>
        <w:tc>
          <w:tcPr>
            <w:tcW w:w="700" w:type="dxa"/>
            <w:tcBorders>
              <w:top w:val="single" w:sz="4" w:space="0" w:color="auto"/>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554</w:t>
            </w:r>
          </w:p>
        </w:tc>
        <w:tc>
          <w:tcPr>
            <w:tcW w:w="700" w:type="dxa"/>
            <w:tcBorders>
              <w:top w:val="single" w:sz="4" w:space="0" w:color="auto"/>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50</w:t>
            </w:r>
          </w:p>
        </w:tc>
        <w:tc>
          <w:tcPr>
            <w:tcW w:w="700" w:type="dxa"/>
            <w:tcBorders>
              <w:top w:val="single" w:sz="4" w:space="0" w:color="auto"/>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119</w:t>
            </w:r>
          </w:p>
        </w:tc>
        <w:tc>
          <w:tcPr>
            <w:tcW w:w="700" w:type="dxa"/>
            <w:tcBorders>
              <w:top w:val="single" w:sz="4" w:space="0" w:color="auto"/>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w:t>
            </w:r>
          </w:p>
        </w:tc>
        <w:tc>
          <w:tcPr>
            <w:tcW w:w="820" w:type="dxa"/>
            <w:tcBorders>
              <w:top w:val="single" w:sz="4" w:space="0" w:color="auto"/>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3 470</w:t>
            </w:r>
          </w:p>
        </w:tc>
      </w:tr>
      <w:tr w:rsidR="00355DDF" w:rsidRPr="00355DDF" w:rsidTr="00355DDF">
        <w:trPr>
          <w:trHeight w:val="315"/>
        </w:trPr>
        <w:tc>
          <w:tcPr>
            <w:tcW w:w="2180" w:type="dxa"/>
            <w:tcBorders>
              <w:top w:val="nil"/>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Change ($pc)</w:t>
            </w:r>
          </w:p>
        </w:tc>
        <w:tc>
          <w:tcPr>
            <w:tcW w:w="820" w:type="dxa"/>
            <w:tcBorders>
              <w:top w:val="nil"/>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25</w:t>
            </w:r>
          </w:p>
        </w:tc>
        <w:tc>
          <w:tcPr>
            <w:tcW w:w="820" w:type="dxa"/>
            <w:tcBorders>
              <w:top w:val="nil"/>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176</w:t>
            </w:r>
          </w:p>
        </w:tc>
        <w:tc>
          <w:tcPr>
            <w:tcW w:w="820" w:type="dxa"/>
            <w:tcBorders>
              <w:top w:val="nil"/>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270</w:t>
            </w:r>
          </w:p>
        </w:tc>
        <w:tc>
          <w:tcPr>
            <w:tcW w:w="700" w:type="dxa"/>
            <w:tcBorders>
              <w:top w:val="nil"/>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55</w:t>
            </w:r>
          </w:p>
        </w:tc>
        <w:tc>
          <w:tcPr>
            <w:tcW w:w="700" w:type="dxa"/>
            <w:tcBorders>
              <w:top w:val="nil"/>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321</w:t>
            </w:r>
          </w:p>
        </w:tc>
        <w:tc>
          <w:tcPr>
            <w:tcW w:w="700" w:type="dxa"/>
            <w:tcBorders>
              <w:top w:val="nil"/>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97</w:t>
            </w:r>
          </w:p>
        </w:tc>
        <w:tc>
          <w:tcPr>
            <w:tcW w:w="700" w:type="dxa"/>
            <w:tcBorders>
              <w:top w:val="nil"/>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298</w:t>
            </w:r>
          </w:p>
        </w:tc>
        <w:tc>
          <w:tcPr>
            <w:tcW w:w="700" w:type="dxa"/>
            <w:tcBorders>
              <w:top w:val="nil"/>
              <w:left w:val="nil"/>
              <w:bottom w:val="single" w:sz="4" w:space="0" w:color="auto"/>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21</w:t>
            </w:r>
          </w:p>
        </w:tc>
        <w:tc>
          <w:tcPr>
            <w:tcW w:w="820" w:type="dxa"/>
            <w:tcBorders>
              <w:top w:val="nil"/>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143</w:t>
            </w:r>
          </w:p>
        </w:tc>
      </w:tr>
    </w:tbl>
    <w:p w:rsidR="00E74511" w:rsidRPr="00607162" w:rsidRDefault="00E74511" w:rsidP="00E74511">
      <w:pPr>
        <w:pStyle w:val="CGCTableFootnote"/>
        <w:keepNext/>
      </w:pPr>
      <w:r>
        <w:t>(a)</w:t>
      </w:r>
      <w:r>
        <w:tab/>
      </w:r>
      <w:r w:rsidRPr="00E11EF7">
        <w:t xml:space="preserve">Obtained by applying the </w:t>
      </w:r>
      <w:r>
        <w:t>2016 Update</w:t>
      </w:r>
      <w:r w:rsidRPr="00E11EF7">
        <w:t xml:space="preserve"> relativities to estimated State populations for December 201</w:t>
      </w:r>
      <w:r>
        <w:t>6</w:t>
      </w:r>
      <w:r w:rsidRPr="00E11EF7">
        <w:t xml:space="preserve"> and estimated GST revenue for 201</w:t>
      </w:r>
      <w:r>
        <w:t>6</w:t>
      </w:r>
      <w:r>
        <w:noBreakHyphen/>
      </w:r>
      <w:r w:rsidRPr="00E11EF7">
        <w:t>1</w:t>
      </w:r>
      <w:r>
        <w:t>7</w:t>
      </w:r>
      <w:r w:rsidRPr="00E11EF7">
        <w:t>.</w:t>
      </w:r>
    </w:p>
    <w:p w:rsidR="00E74511" w:rsidRPr="00607162" w:rsidRDefault="00E74511" w:rsidP="00E74511">
      <w:pPr>
        <w:pStyle w:val="CGCTableFootnote"/>
        <w:keepNext/>
      </w:pPr>
      <w:r w:rsidRPr="00607162">
        <w:t>(</w:t>
      </w:r>
      <w:r>
        <w:t>b</w:t>
      </w:r>
      <w:r w:rsidRPr="00607162">
        <w:t>)</w:t>
      </w:r>
      <w:r w:rsidRPr="00607162">
        <w:tab/>
        <w:t>Effect</w:t>
      </w:r>
      <w:r>
        <w:t>s on the distribution of 2015</w:t>
      </w:r>
      <w:r>
        <w:noBreakHyphen/>
        <w:t>16</w:t>
      </w:r>
      <w:r w:rsidRPr="00607162">
        <w:t xml:space="preserve"> GST revenue of using State populations for Dece</w:t>
      </w:r>
      <w:r>
        <w:t>mber </w:t>
      </w:r>
      <w:r w:rsidRPr="00607162">
        <w:t>201</w:t>
      </w:r>
      <w:r>
        <w:t>6 instead of December </w:t>
      </w:r>
      <w:r w:rsidRPr="00607162">
        <w:t>201</w:t>
      </w:r>
      <w:r>
        <w:t>5</w:t>
      </w:r>
      <w:r w:rsidRPr="00607162">
        <w:t>, with 201</w:t>
      </w:r>
      <w:r>
        <w:t>5 Review</w:t>
      </w:r>
      <w:r w:rsidRPr="00607162">
        <w:t xml:space="preserve"> relativities.</w:t>
      </w:r>
    </w:p>
    <w:p w:rsidR="00E74511" w:rsidRPr="00607162" w:rsidRDefault="00E74511" w:rsidP="00E74511">
      <w:pPr>
        <w:pStyle w:val="CGCTableFootnote"/>
        <w:keepNext/>
      </w:pPr>
      <w:r w:rsidRPr="00607162">
        <w:t>(</w:t>
      </w:r>
      <w:r>
        <w:t>c</w:t>
      </w:r>
      <w:r w:rsidRPr="00607162">
        <w:t>)</w:t>
      </w:r>
      <w:r w:rsidRPr="00607162">
        <w:tab/>
        <w:t xml:space="preserve">Effect of applying the </w:t>
      </w:r>
      <w:r>
        <w:t>2015 Review</w:t>
      </w:r>
      <w:r w:rsidRPr="00607162">
        <w:t xml:space="preserve"> relativities to the estimated growth in GST revenue for </w:t>
      </w:r>
      <w:r>
        <w:t>2016-17</w:t>
      </w:r>
      <w:r w:rsidRPr="00607162">
        <w:t xml:space="preserve">. </w:t>
      </w:r>
    </w:p>
    <w:p w:rsidR="00E74511" w:rsidRPr="00607162" w:rsidRDefault="00E74511" w:rsidP="00E74511">
      <w:pPr>
        <w:pStyle w:val="CGCTableFootnote"/>
        <w:keepNext/>
      </w:pPr>
      <w:r w:rsidRPr="00607162">
        <w:t>(</w:t>
      </w:r>
      <w:r>
        <w:t>d</w:t>
      </w:r>
      <w:r w:rsidRPr="00607162">
        <w:t>)</w:t>
      </w:r>
      <w:r w:rsidRPr="00607162">
        <w:tab/>
        <w:t xml:space="preserve">Effects on the distribution of the </w:t>
      </w:r>
      <w:r>
        <w:t>2016</w:t>
      </w:r>
      <w:r>
        <w:noBreakHyphen/>
        <w:t>17</w:t>
      </w:r>
      <w:r w:rsidRPr="00607162">
        <w:t xml:space="preserve"> GST </w:t>
      </w:r>
      <w:r>
        <w:t>revenue of using the 2016 Update</w:t>
      </w:r>
      <w:r w:rsidRPr="00607162">
        <w:t xml:space="preserve"> fiscal capacities instead of </w:t>
      </w:r>
      <w:r>
        <w:t>2015 Review</w:t>
      </w:r>
      <w:r w:rsidRPr="00607162">
        <w:t xml:space="preserve"> fiscal capacities.</w:t>
      </w:r>
    </w:p>
    <w:p w:rsidR="00E74511" w:rsidRPr="00607162" w:rsidRDefault="00E74511" w:rsidP="00E74511">
      <w:pPr>
        <w:pStyle w:val="CGCTableFootnote"/>
      </w:pPr>
      <w:r w:rsidRPr="00607162">
        <w:t>Source:</w:t>
      </w:r>
      <w:r w:rsidRPr="00607162">
        <w:tab/>
      </w:r>
      <w:r w:rsidR="002131EC">
        <w:t>2015</w:t>
      </w:r>
      <w:r w:rsidR="002131EC">
        <w:noBreakHyphen/>
        <w:t>16 GST entitlement and</w:t>
      </w:r>
      <w:r w:rsidR="005F63BB">
        <w:t xml:space="preserve"> </w:t>
      </w:r>
      <w:r>
        <w:t>2016</w:t>
      </w:r>
      <w:r>
        <w:noBreakHyphen/>
        <w:t xml:space="preserve">17 GST revenue </w:t>
      </w:r>
      <w:r w:rsidRPr="00607162">
        <w:t xml:space="preserve">are taken from the </w:t>
      </w:r>
      <w:r w:rsidRPr="007E498F">
        <w:rPr>
          <w:i/>
        </w:rPr>
        <w:t>Australian Government Budget, Mid</w:t>
      </w:r>
      <w:r w:rsidRPr="007E498F">
        <w:rPr>
          <w:i/>
        </w:rPr>
        <w:noBreakHyphen/>
        <w:t>Year E</w:t>
      </w:r>
      <w:r>
        <w:rPr>
          <w:i/>
        </w:rPr>
        <w:t>conomic and Fiscal Outlook 2015</w:t>
      </w:r>
      <w:r>
        <w:rPr>
          <w:i/>
        </w:rPr>
        <w:noBreakHyphen/>
        <w:t>16</w:t>
      </w:r>
      <w:r w:rsidRPr="00607162">
        <w:t xml:space="preserve">. </w:t>
      </w:r>
      <w:r>
        <w:t xml:space="preserve">December </w:t>
      </w:r>
      <w:r w:rsidR="002131EC">
        <w:t xml:space="preserve">2015 and </w:t>
      </w:r>
      <w:r w:rsidRPr="00607162">
        <w:t>201</w:t>
      </w:r>
      <w:r>
        <w:t>6 </w:t>
      </w:r>
      <w:r w:rsidRPr="00607162">
        <w:t>population</w:t>
      </w:r>
      <w:r w:rsidR="00B40A87">
        <w:t xml:space="preserve"> estimates</w:t>
      </w:r>
      <w:r w:rsidRPr="00607162">
        <w:t xml:space="preserve"> </w:t>
      </w:r>
      <w:r w:rsidR="00A767ED">
        <w:t xml:space="preserve">were provided by </w:t>
      </w:r>
      <w:r>
        <w:t xml:space="preserve">the </w:t>
      </w:r>
      <w:r w:rsidRPr="00607162">
        <w:t>Commonwealth Treasury.</w:t>
      </w:r>
    </w:p>
    <w:p w:rsidR="00D51CD4" w:rsidRPr="001729F2" w:rsidRDefault="00D51CD4" w:rsidP="00CA77D8">
      <w:pPr>
        <w:pStyle w:val="CGCNumberedPara"/>
        <w:numPr>
          <w:ilvl w:val="1"/>
          <w:numId w:val="2"/>
        </w:numPr>
      </w:pPr>
      <w:r w:rsidRPr="001729F2">
        <w:t xml:space="preserve">The two distributions differ </w:t>
      </w:r>
      <w:r>
        <w:t>for the following reasons</w:t>
      </w:r>
      <w:r w:rsidR="00B568F3">
        <w:t>.</w:t>
      </w:r>
    </w:p>
    <w:p w:rsidR="00D51CD4" w:rsidRPr="001729F2" w:rsidRDefault="00D51CD4" w:rsidP="00D51CD4">
      <w:pPr>
        <w:numPr>
          <w:ilvl w:val="0"/>
          <w:numId w:val="1"/>
        </w:numPr>
        <w:tabs>
          <w:tab w:val="clear" w:pos="567"/>
          <w:tab w:val="clear" w:pos="927"/>
          <w:tab w:val="left" w:pos="1134"/>
          <w:tab w:val="num" w:pos="4188"/>
        </w:tabs>
        <w:spacing w:before="80" w:line="300" w:lineRule="atLeast"/>
        <w:ind w:left="1134" w:hanging="567"/>
      </w:pPr>
      <w:r w:rsidRPr="001729F2">
        <w:t xml:space="preserve">State populations have changed — the illustrative </w:t>
      </w:r>
      <w:r>
        <w:t>201</w:t>
      </w:r>
      <w:r w:rsidR="00F512F8">
        <w:t>6</w:t>
      </w:r>
      <w:r>
        <w:noBreakHyphen/>
        <w:t>1</w:t>
      </w:r>
      <w:r w:rsidR="00F512F8">
        <w:t>7</w:t>
      </w:r>
      <w:r w:rsidRPr="001729F2">
        <w:t xml:space="preserve"> distribution is based on estimated State populations as at December 201</w:t>
      </w:r>
      <w:r w:rsidR="00F512F8">
        <w:t>6</w:t>
      </w:r>
      <w:r w:rsidRPr="001729F2">
        <w:t xml:space="preserve"> whereas the 201</w:t>
      </w:r>
      <w:r w:rsidR="00F512F8">
        <w:t>5</w:t>
      </w:r>
      <w:r w:rsidRPr="001729F2">
        <w:noBreakHyphen/>
        <w:t>1</w:t>
      </w:r>
      <w:r w:rsidR="00F512F8">
        <w:t>6</w:t>
      </w:r>
      <w:r w:rsidRPr="001729F2">
        <w:t xml:space="preserve"> distribution is based on populations for a year earlier.</w:t>
      </w:r>
      <w:r w:rsidR="00445964">
        <w:t xml:space="preserve"> State</w:t>
      </w:r>
      <w:r>
        <w:t xml:space="preserve"> shares of the total </w:t>
      </w:r>
      <w:r>
        <w:lastRenderedPageBreak/>
        <w:t>population differ slightly between these two dates and affect the total GST allocation for each State.</w:t>
      </w:r>
    </w:p>
    <w:p w:rsidR="00D51CD4" w:rsidRPr="001729F2" w:rsidRDefault="00D51CD4" w:rsidP="00D51CD4">
      <w:pPr>
        <w:numPr>
          <w:ilvl w:val="0"/>
          <w:numId w:val="1"/>
        </w:numPr>
        <w:tabs>
          <w:tab w:val="clear" w:pos="567"/>
          <w:tab w:val="clear" w:pos="927"/>
          <w:tab w:val="left" w:pos="1134"/>
          <w:tab w:val="num" w:pos="4188"/>
        </w:tabs>
        <w:spacing w:before="80" w:line="300" w:lineRule="atLeast"/>
        <w:ind w:left="1134" w:hanging="567"/>
      </w:pPr>
      <w:r>
        <w:t>The size</w:t>
      </w:r>
      <w:r w:rsidRPr="001729F2">
        <w:t xml:space="preserve"> of </w:t>
      </w:r>
      <w:r>
        <w:t>the GST pool</w:t>
      </w:r>
      <w:r w:rsidRPr="001729F2">
        <w:t xml:space="preserve"> available for distribution has changed. </w:t>
      </w:r>
      <w:r>
        <w:t xml:space="preserve">Any growth in the pool is distributed among States using their </w:t>
      </w:r>
      <w:r w:rsidR="00445964">
        <w:t>relativity weighted</w:t>
      </w:r>
      <w:r>
        <w:t xml:space="preserve"> population shares.</w:t>
      </w:r>
    </w:p>
    <w:p w:rsidR="00D51CD4" w:rsidRPr="001729F2" w:rsidRDefault="00D51CD4" w:rsidP="00D51CD4">
      <w:pPr>
        <w:numPr>
          <w:ilvl w:val="0"/>
          <w:numId w:val="1"/>
        </w:numPr>
        <w:tabs>
          <w:tab w:val="clear" w:pos="567"/>
          <w:tab w:val="clear" w:pos="927"/>
          <w:tab w:val="left" w:pos="1134"/>
          <w:tab w:val="num" w:pos="4188"/>
        </w:tabs>
        <w:spacing w:before="80" w:line="300" w:lineRule="atLeast"/>
        <w:ind w:left="1134" w:hanging="567"/>
      </w:pPr>
      <w:r w:rsidRPr="001729F2">
        <w:t xml:space="preserve">The relativities used to distribute the </w:t>
      </w:r>
      <w:r>
        <w:t>GST</w:t>
      </w:r>
      <w:r w:rsidRPr="001729F2">
        <w:t xml:space="preserve"> have changed</w:t>
      </w:r>
      <w:r>
        <w:t>, reflecting changes in our assessed fiscal capacities of States</w:t>
      </w:r>
      <w:r w:rsidRPr="001729F2">
        <w:t xml:space="preserve"> — the illustrative </w:t>
      </w:r>
      <w:r>
        <w:t>201</w:t>
      </w:r>
      <w:r w:rsidR="00F512F8">
        <w:t>6</w:t>
      </w:r>
      <w:r>
        <w:noBreakHyphen/>
        <w:t>1</w:t>
      </w:r>
      <w:r w:rsidR="00F512F8">
        <w:t>7</w:t>
      </w:r>
      <w:r w:rsidRPr="001729F2">
        <w:t xml:space="preserve"> distribution is based on the relativities recommended in this report whereas the 201</w:t>
      </w:r>
      <w:r w:rsidR="00F512F8">
        <w:t>5</w:t>
      </w:r>
      <w:r>
        <w:noBreakHyphen/>
        <w:t>1</w:t>
      </w:r>
      <w:r w:rsidR="00F512F8">
        <w:t>6</w:t>
      </w:r>
      <w:r w:rsidRPr="001729F2">
        <w:t xml:space="preserve"> distribution is based on relativities derived in the 20</w:t>
      </w:r>
      <w:r w:rsidR="00F512F8">
        <w:t>15</w:t>
      </w:r>
      <w:r w:rsidRPr="001729F2">
        <w:t> </w:t>
      </w:r>
      <w:r w:rsidR="00F512F8">
        <w:t>Review</w:t>
      </w:r>
      <w:r w:rsidR="00445964">
        <w:t xml:space="preserve"> and subsequently adopted by the Treasurer on </w:t>
      </w:r>
      <w:r w:rsidR="00A216D7">
        <w:t>6 May</w:t>
      </w:r>
      <w:r w:rsidR="00445964">
        <w:t xml:space="preserve"> 2015</w:t>
      </w:r>
      <w:r w:rsidRPr="001729F2">
        <w:t>.</w:t>
      </w:r>
      <w:r>
        <w:rPr>
          <w:rStyle w:val="FootnoteReference"/>
        </w:rPr>
        <w:footnoteReference w:id="2"/>
      </w:r>
    </w:p>
    <w:p w:rsidR="00E57C03" w:rsidRDefault="00D51CD4" w:rsidP="00F90B83">
      <w:pPr>
        <w:pStyle w:val="CGCNumberedPara"/>
        <w:numPr>
          <w:ilvl w:val="1"/>
          <w:numId w:val="2"/>
        </w:numPr>
      </w:pPr>
      <w:r w:rsidRPr="001729F2">
        <w:t xml:space="preserve">The </w:t>
      </w:r>
      <w:r>
        <w:t>C</w:t>
      </w:r>
      <w:r w:rsidRPr="001729F2">
        <w:t>ommission’s work affects only the changes in the relativities</w:t>
      </w:r>
      <w:r>
        <w:t xml:space="preserve"> which we derive from assessed State fiscal capacities</w:t>
      </w:r>
      <w:r w:rsidRPr="001729F2">
        <w:t>.</w:t>
      </w:r>
    </w:p>
    <w:p w:rsidR="00E57C03" w:rsidRDefault="00E57C03" w:rsidP="00E57C03">
      <w:pPr>
        <w:pStyle w:val="Heading4"/>
      </w:pPr>
      <w:bookmarkStart w:id="404" w:name="_Toc433353487"/>
      <w:bookmarkStart w:id="405" w:name="_Toc441241591"/>
      <w:bookmarkStart w:id="406" w:name="_Toc441499261"/>
      <w:bookmarkStart w:id="407" w:name="_Toc442191917"/>
      <w:bookmarkStart w:id="408" w:name="_Toc442192171"/>
      <w:bookmarkStart w:id="409" w:name="_Toc442192236"/>
      <w:bookmarkStart w:id="410" w:name="_Toc442772820"/>
      <w:bookmarkStart w:id="411" w:name="_Toc442773049"/>
      <w:bookmarkStart w:id="412" w:name="_Toc442773219"/>
      <w:bookmarkStart w:id="413" w:name="_Toc442883286"/>
      <w:bookmarkStart w:id="414" w:name="_Toc442949139"/>
      <w:r>
        <w:t xml:space="preserve">Why </w:t>
      </w:r>
      <w:r w:rsidR="00CF2132">
        <w:t xml:space="preserve">State </w:t>
      </w:r>
      <w:r>
        <w:t>fiscal capacities change between updates</w:t>
      </w:r>
      <w:bookmarkEnd w:id="404"/>
      <w:bookmarkEnd w:id="405"/>
      <w:bookmarkEnd w:id="406"/>
      <w:bookmarkEnd w:id="407"/>
      <w:bookmarkEnd w:id="408"/>
      <w:bookmarkEnd w:id="409"/>
      <w:bookmarkEnd w:id="410"/>
      <w:bookmarkEnd w:id="411"/>
      <w:bookmarkEnd w:id="412"/>
      <w:bookmarkEnd w:id="413"/>
      <w:bookmarkEnd w:id="414"/>
    </w:p>
    <w:p w:rsidR="00F90B83" w:rsidRDefault="00F90B83" w:rsidP="00F90B83">
      <w:pPr>
        <w:pStyle w:val="CGCNumberedPara"/>
        <w:numPr>
          <w:ilvl w:val="1"/>
          <w:numId w:val="2"/>
        </w:numPr>
      </w:pPr>
      <w:r>
        <w:t>The total change in State fiscal capacities can be attributed to changes in the assessments for individual revenues</w:t>
      </w:r>
      <w:r w:rsidR="004D282B">
        <w:t xml:space="preserve">, </w:t>
      </w:r>
      <w:r>
        <w:t xml:space="preserve">Commonwealth payments </w:t>
      </w:r>
      <w:r w:rsidR="001F013C">
        <w:t xml:space="preserve">for specific purposes </w:t>
      </w:r>
      <w:r w:rsidR="004D282B">
        <w:t xml:space="preserve">(PSPs), </w:t>
      </w:r>
      <w:r>
        <w:t>services</w:t>
      </w:r>
      <w:r w:rsidR="004D282B">
        <w:t xml:space="preserve"> and </w:t>
      </w:r>
      <w:r>
        <w:t>infrastructure. These changes can be viewed as occurring for the following reasons.</w:t>
      </w:r>
    </w:p>
    <w:p w:rsidR="00F90B83" w:rsidRDefault="00F90B83" w:rsidP="00F90B83">
      <w:pPr>
        <w:pStyle w:val="CGCBulletlist"/>
      </w:pPr>
      <w:r>
        <w:t>They reflect more recent economic and demographic circum</w:t>
      </w:r>
      <w:r w:rsidR="00117A28">
        <w:t>stances of the States. The 2016 </w:t>
      </w:r>
      <w:r>
        <w:t>Update relativities are based on an average of data for 2012</w:t>
      </w:r>
      <w:r>
        <w:noBreakHyphen/>
      </w:r>
      <w:r w:rsidR="00117A28">
        <w:t>13 to 2014</w:t>
      </w:r>
      <w:r w:rsidR="00117A28">
        <w:noBreakHyphen/>
        <w:t>15, whereas the 2015 </w:t>
      </w:r>
      <w:r>
        <w:t>Review relativities were based on data for 2011</w:t>
      </w:r>
      <w:r>
        <w:noBreakHyphen/>
        <w:t>12 to 2013</w:t>
      </w:r>
      <w:r>
        <w:noBreakHyphen/>
        <w:t>14. Differences between the year brought into the three year average (2014</w:t>
      </w:r>
      <w:r w:rsidR="00117A28">
        <w:noBreakHyphen/>
      </w:r>
      <w:r>
        <w:t>15 for this update) and the year deleted (2011</w:t>
      </w:r>
      <w:r>
        <w:noBreakHyphen/>
        <w:t xml:space="preserve">12) change the relativities. However, the three year averaging process means changes in circumstances have a gradual effect. </w:t>
      </w:r>
    </w:p>
    <w:p w:rsidR="00E57C03" w:rsidRDefault="00F90B83" w:rsidP="00E57C03">
      <w:pPr>
        <w:pStyle w:val="CGCBulletlist"/>
      </w:pPr>
      <w:r>
        <w:t xml:space="preserve">Historical data used in the assessments </w:t>
      </w:r>
      <w:r w:rsidR="00E57C03">
        <w:t>may be revised. Revisions occur because new data become available, for example</w:t>
      </w:r>
      <w:r w:rsidR="00DA087B">
        <w:t>,</w:t>
      </w:r>
      <w:r w:rsidR="00E57C03">
        <w:t xml:space="preserve"> as is the case with new </w:t>
      </w:r>
      <w:r w:rsidR="00DA087B">
        <w:t xml:space="preserve">ABS </w:t>
      </w:r>
      <w:r w:rsidR="00940834">
        <w:t>C</w:t>
      </w:r>
      <w:r w:rsidR="0099686B">
        <w:t xml:space="preserve">ompensation of </w:t>
      </w:r>
      <w:r w:rsidR="00940834">
        <w:t>E</w:t>
      </w:r>
      <w:r w:rsidR="0099686B">
        <w:t xml:space="preserve">mployee (CoE) </w:t>
      </w:r>
      <w:r w:rsidR="00E57C03">
        <w:t>data</w:t>
      </w:r>
      <w:r w:rsidR="00D41610">
        <w:t xml:space="preserve"> </w:t>
      </w:r>
      <w:r w:rsidR="001F013C">
        <w:t>for years prior to 2014</w:t>
      </w:r>
      <w:r w:rsidR="001F013C">
        <w:noBreakHyphen/>
        <w:t>15</w:t>
      </w:r>
      <w:r w:rsidR="00D41610">
        <w:t xml:space="preserve"> which </w:t>
      </w:r>
      <w:r w:rsidR="006A4C8D">
        <w:t>are</w:t>
      </w:r>
      <w:r w:rsidR="00D41610">
        <w:t xml:space="preserve"> used in the Payroll tax assessment</w:t>
      </w:r>
      <w:r w:rsidR="00E57C03">
        <w:t xml:space="preserve">. Revisions can also occur because data providers identify errors in their data or because of errors made by the Commission in previous </w:t>
      </w:r>
      <w:r w:rsidR="004D487E">
        <w:t>inquiries.</w:t>
      </w:r>
    </w:p>
    <w:p w:rsidR="00F90B83" w:rsidRDefault="00B35D5D" w:rsidP="00F90B83">
      <w:pPr>
        <w:pStyle w:val="CGCNumberedPara"/>
        <w:numPr>
          <w:ilvl w:val="1"/>
          <w:numId w:val="2"/>
        </w:numPr>
      </w:pPr>
      <w:r w:rsidRPr="00B35D5D">
        <w:t>In addition,</w:t>
      </w:r>
      <w:r>
        <w:rPr>
          <w:i/>
        </w:rPr>
        <w:t xml:space="preserve"> s</w:t>
      </w:r>
      <w:r w:rsidR="00F90B83">
        <w:t xml:space="preserve">ubject to consultation with Commonwealth and State governments, the assessment methods may be varied if considered necessary to better reflect the current financial arrangements between the </w:t>
      </w:r>
      <w:r w:rsidR="00ED5A2A">
        <w:t xml:space="preserve">Commonwealth </w:t>
      </w:r>
      <w:r w:rsidR="00F90B83">
        <w:t xml:space="preserve">and State governments, or to overcome problems in the data used previously. </w:t>
      </w:r>
      <w:r w:rsidR="00F57F83">
        <w:t>In this update w</w:t>
      </w:r>
      <w:r w:rsidR="00D15D2C">
        <w:t xml:space="preserve">e have decided that 25% </w:t>
      </w:r>
      <w:r w:rsidR="00D15D2C" w:rsidRPr="00806E24">
        <w:t xml:space="preserve">of </w:t>
      </w:r>
      <w:r w:rsidR="00D15D2C">
        <w:t xml:space="preserve">payments through the National Partnership Agreement on Remote Indigenous Housing </w:t>
      </w:r>
      <w:r w:rsidR="00DF19DA">
        <w:t xml:space="preserve">(NPARIH) </w:t>
      </w:r>
      <w:r w:rsidR="001F013C" w:rsidRPr="00806E24">
        <w:t xml:space="preserve">in </w:t>
      </w:r>
      <w:r w:rsidR="001F013C">
        <w:t xml:space="preserve">the </w:t>
      </w:r>
      <w:r w:rsidR="001F013C" w:rsidRPr="00806E24">
        <w:t xml:space="preserve">last two years of </w:t>
      </w:r>
      <w:r w:rsidR="001F013C">
        <w:t xml:space="preserve">the </w:t>
      </w:r>
      <w:r w:rsidR="001F013C" w:rsidRPr="00806E24">
        <w:t>2016 Update</w:t>
      </w:r>
      <w:r w:rsidR="001F013C">
        <w:t xml:space="preserve"> </w:t>
      </w:r>
      <w:r w:rsidR="00D15D2C">
        <w:t>will have</w:t>
      </w:r>
      <w:r w:rsidR="00D15D2C" w:rsidRPr="00806E24">
        <w:t xml:space="preserve"> no </w:t>
      </w:r>
      <w:r w:rsidR="00D15D2C" w:rsidRPr="00806E24">
        <w:lastRenderedPageBreak/>
        <w:t>impact</w:t>
      </w:r>
      <w:r w:rsidR="00ED5A2A">
        <w:t>.</w:t>
      </w:r>
      <w:r w:rsidR="00D15D2C" w:rsidRPr="00806E24">
        <w:t xml:space="preserve"> </w:t>
      </w:r>
      <w:r w:rsidR="00D15D2C">
        <w:t>(</w:t>
      </w:r>
      <w:r w:rsidR="00ED5A2A">
        <w:t xml:space="preserve">For further discussion </w:t>
      </w:r>
      <w:r w:rsidR="00160D5E">
        <w:t>s</w:t>
      </w:r>
      <w:r w:rsidR="00D15D2C">
        <w:t xml:space="preserve">ee </w:t>
      </w:r>
      <w:r w:rsidR="00D15D2C" w:rsidRPr="00D15D2C">
        <w:rPr>
          <w:i/>
        </w:rPr>
        <w:t xml:space="preserve">Chapter 2 — </w:t>
      </w:r>
      <w:proofErr w:type="gramStart"/>
      <w:r w:rsidR="00D15D2C" w:rsidRPr="00D15D2C">
        <w:rPr>
          <w:i/>
        </w:rPr>
        <w:t>New</w:t>
      </w:r>
      <w:proofErr w:type="gramEnd"/>
      <w:r w:rsidR="00D15D2C" w:rsidRPr="00D15D2C">
        <w:rPr>
          <w:i/>
        </w:rPr>
        <w:t xml:space="preserve"> Issues in this Update</w:t>
      </w:r>
      <w:r w:rsidR="00ED5A2A">
        <w:rPr>
          <w:i/>
        </w:rPr>
        <w:t>.</w:t>
      </w:r>
      <w:r w:rsidR="00D15D2C">
        <w:t>)</w:t>
      </w:r>
      <w:r w:rsidR="00ED5A2A" w:rsidDel="00ED5A2A">
        <w:t xml:space="preserve"> </w:t>
      </w:r>
      <w:r w:rsidR="00DF19DA">
        <w:t xml:space="preserve">This </w:t>
      </w:r>
      <w:r w:rsidR="004D487E">
        <w:t xml:space="preserve">change </w:t>
      </w:r>
      <w:r w:rsidR="00DF19DA">
        <w:t xml:space="preserve">is </w:t>
      </w:r>
      <w:r w:rsidR="004D487E">
        <w:t>not separately identified in the following analysis.</w:t>
      </w:r>
    </w:p>
    <w:p w:rsidR="00F90B83" w:rsidRPr="00342340" w:rsidRDefault="00F90B83" w:rsidP="00E57C03">
      <w:pPr>
        <w:pStyle w:val="CGCNumberedPara"/>
      </w:pPr>
      <w:r>
        <w:t xml:space="preserve">The </w:t>
      </w:r>
      <w:r w:rsidR="00E57C03">
        <w:t xml:space="preserve">main </w:t>
      </w:r>
      <w:r w:rsidR="00ED5A2A">
        <w:t>reasons for</w:t>
      </w:r>
      <w:r>
        <w:t xml:space="preserve"> change in the GST distribution </w:t>
      </w:r>
      <w:r w:rsidR="00ED5A2A">
        <w:t xml:space="preserve">in this update </w:t>
      </w:r>
      <w:r>
        <w:t>are s</w:t>
      </w:r>
      <w:r w:rsidR="00E57C03">
        <w:t xml:space="preserve">ummarised </w:t>
      </w:r>
      <w:r>
        <w:t xml:space="preserve">in </w:t>
      </w:r>
      <w:r>
        <w:fldChar w:fldCharType="begin"/>
      </w:r>
      <w:r>
        <w:instrText xml:space="preserve"> REF _Ref428435078 \h </w:instrText>
      </w:r>
      <w:r>
        <w:fldChar w:fldCharType="separate"/>
      </w:r>
      <w:r w:rsidR="007A6AF0">
        <w:t xml:space="preserve">Table </w:t>
      </w:r>
      <w:r w:rsidR="007A6AF0">
        <w:rPr>
          <w:noProof/>
        </w:rPr>
        <w:t>1</w:t>
      </w:r>
      <w:r w:rsidR="007A6AF0">
        <w:noBreakHyphen/>
      </w:r>
      <w:r w:rsidR="007A6AF0">
        <w:rPr>
          <w:noProof/>
        </w:rPr>
        <w:t>2</w:t>
      </w:r>
      <w:r>
        <w:fldChar w:fldCharType="end"/>
      </w:r>
      <w:r w:rsidR="00D41610">
        <w:t>.</w:t>
      </w:r>
    </w:p>
    <w:p w:rsidR="00F90B83" w:rsidRDefault="00F90B83" w:rsidP="00F90B83">
      <w:pPr>
        <w:pStyle w:val="Caption"/>
      </w:pPr>
      <w:bookmarkStart w:id="415" w:name="_Ref428435078"/>
      <w:r>
        <w:t xml:space="preserve">Table </w:t>
      </w:r>
      <w:r w:rsidR="0014378B">
        <w:fldChar w:fldCharType="begin"/>
      </w:r>
      <w:r w:rsidR="0014378B">
        <w:instrText xml:space="preserve"> STYLEREF 1 \s </w:instrText>
      </w:r>
      <w:r w:rsidR="0014378B">
        <w:fldChar w:fldCharType="separate"/>
      </w:r>
      <w:r w:rsidR="007A6AF0">
        <w:rPr>
          <w:noProof/>
        </w:rPr>
        <w:t>1</w:t>
      </w:r>
      <w:r w:rsidR="0014378B">
        <w:rPr>
          <w:noProof/>
        </w:rPr>
        <w:fldChar w:fldCharType="end"/>
      </w:r>
      <w:r>
        <w:noBreakHyphen/>
      </w:r>
      <w:r w:rsidR="0014378B">
        <w:fldChar w:fldCharType="begin"/>
      </w:r>
      <w:r w:rsidR="0014378B">
        <w:instrText xml:space="preserve"> SEQ Table</w:instrText>
      </w:r>
      <w:r w:rsidR="0014378B">
        <w:instrText xml:space="preserve"> \* ARABIC \s 1 </w:instrText>
      </w:r>
      <w:r w:rsidR="0014378B">
        <w:fldChar w:fldCharType="separate"/>
      </w:r>
      <w:r w:rsidR="007A6AF0">
        <w:rPr>
          <w:noProof/>
        </w:rPr>
        <w:t>2</w:t>
      </w:r>
      <w:r w:rsidR="0014378B">
        <w:rPr>
          <w:noProof/>
        </w:rPr>
        <w:fldChar w:fldCharType="end"/>
      </w:r>
      <w:bookmarkEnd w:id="415"/>
      <w:r>
        <w:tab/>
        <w:t>Change in GST distribution by source of change, 2016</w:t>
      </w:r>
      <w:r w:rsidR="00DA70B5">
        <w:noBreakHyphen/>
      </w:r>
      <w:r>
        <w:t>17</w:t>
      </w:r>
    </w:p>
    <w:tbl>
      <w:tblPr>
        <w:tblW w:w="8920" w:type="dxa"/>
        <w:tblInd w:w="93" w:type="dxa"/>
        <w:tblLook w:val="04A0" w:firstRow="1" w:lastRow="0" w:firstColumn="1" w:lastColumn="0" w:noHBand="0" w:noVBand="1"/>
      </w:tblPr>
      <w:tblGrid>
        <w:gridCol w:w="2580"/>
        <w:gridCol w:w="760"/>
        <w:gridCol w:w="760"/>
        <w:gridCol w:w="700"/>
        <w:gridCol w:w="700"/>
        <w:gridCol w:w="660"/>
        <w:gridCol w:w="660"/>
        <w:gridCol w:w="660"/>
        <w:gridCol w:w="700"/>
        <w:gridCol w:w="740"/>
      </w:tblGrid>
      <w:tr w:rsidR="00355DDF" w:rsidRPr="00355DDF" w:rsidTr="00355DDF">
        <w:trPr>
          <w:trHeight w:val="375"/>
        </w:trPr>
        <w:tc>
          <w:tcPr>
            <w:tcW w:w="258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 </w:t>
            </w:r>
          </w:p>
        </w:tc>
        <w:tc>
          <w:tcPr>
            <w:tcW w:w="76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NSW</w:t>
            </w:r>
          </w:p>
        </w:tc>
        <w:tc>
          <w:tcPr>
            <w:tcW w:w="76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Vic</w:t>
            </w:r>
          </w:p>
        </w:tc>
        <w:tc>
          <w:tcPr>
            <w:tcW w:w="70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Qld</w:t>
            </w:r>
          </w:p>
        </w:tc>
        <w:tc>
          <w:tcPr>
            <w:tcW w:w="70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WA</w:t>
            </w:r>
          </w:p>
        </w:tc>
        <w:tc>
          <w:tcPr>
            <w:tcW w:w="66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SA</w:t>
            </w:r>
          </w:p>
        </w:tc>
        <w:tc>
          <w:tcPr>
            <w:tcW w:w="66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Tas</w:t>
            </w:r>
          </w:p>
        </w:tc>
        <w:tc>
          <w:tcPr>
            <w:tcW w:w="66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ACT</w:t>
            </w:r>
          </w:p>
        </w:tc>
        <w:tc>
          <w:tcPr>
            <w:tcW w:w="70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NT</w:t>
            </w:r>
          </w:p>
        </w:tc>
        <w:tc>
          <w:tcPr>
            <w:tcW w:w="74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proofErr w:type="spellStart"/>
            <w:r w:rsidRPr="00355DDF">
              <w:rPr>
                <w:rFonts w:ascii="Calibri" w:eastAsia="Times New Roman" w:hAnsi="Calibri" w:cs="Times New Roman"/>
                <w:sz w:val="20"/>
                <w:szCs w:val="20"/>
                <w:lang w:eastAsia="en-AU"/>
              </w:rPr>
              <w:t>Redist</w:t>
            </w:r>
            <w:proofErr w:type="spellEnd"/>
          </w:p>
        </w:tc>
      </w:tr>
      <w:tr w:rsidR="00355DDF" w:rsidRPr="00355DDF" w:rsidTr="00355DDF">
        <w:trPr>
          <w:trHeight w:val="259"/>
        </w:trPr>
        <w:tc>
          <w:tcPr>
            <w:tcW w:w="25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p>
        </w:tc>
        <w:tc>
          <w:tcPr>
            <w:tcW w:w="76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66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66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66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r>
      <w:tr w:rsidR="00355DDF" w:rsidRPr="00355DDF" w:rsidTr="00355DDF">
        <w:trPr>
          <w:trHeight w:val="315"/>
        </w:trPr>
        <w:tc>
          <w:tcPr>
            <w:tcW w:w="25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Data revisions (a)</w:t>
            </w:r>
          </w:p>
        </w:tc>
        <w:tc>
          <w:tcPr>
            <w:tcW w:w="76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-42</w:t>
            </w:r>
          </w:p>
        </w:tc>
        <w:tc>
          <w:tcPr>
            <w:tcW w:w="76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34</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30</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-44</w:t>
            </w:r>
          </w:p>
        </w:tc>
        <w:tc>
          <w:tcPr>
            <w:tcW w:w="66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-22</w:t>
            </w:r>
          </w:p>
        </w:tc>
        <w:tc>
          <w:tcPr>
            <w:tcW w:w="66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-9</w:t>
            </w:r>
          </w:p>
        </w:tc>
        <w:tc>
          <w:tcPr>
            <w:tcW w:w="66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50</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116</w:t>
            </w:r>
          </w:p>
        </w:tc>
      </w:tr>
      <w:tr w:rsidR="00355DDF" w:rsidRPr="00355DDF" w:rsidTr="00355DDF">
        <w:trPr>
          <w:trHeight w:val="315"/>
        </w:trPr>
        <w:tc>
          <w:tcPr>
            <w:tcW w:w="25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Change in circumstances (b)</w:t>
            </w:r>
          </w:p>
        </w:tc>
        <w:tc>
          <w:tcPr>
            <w:tcW w:w="76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-808</w:t>
            </w:r>
          </w:p>
        </w:tc>
        <w:tc>
          <w:tcPr>
            <w:tcW w:w="76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213</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491</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63</w:t>
            </w:r>
          </w:p>
        </w:tc>
        <w:tc>
          <w:tcPr>
            <w:tcW w:w="66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267</w:t>
            </w:r>
          </w:p>
        </w:tc>
        <w:tc>
          <w:tcPr>
            <w:tcW w:w="66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-48</w:t>
            </w:r>
          </w:p>
        </w:tc>
        <w:tc>
          <w:tcPr>
            <w:tcW w:w="66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6</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-183</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1 039</w:t>
            </w:r>
          </w:p>
        </w:tc>
      </w:tr>
      <w:tr w:rsidR="00355DDF" w:rsidRPr="00355DDF" w:rsidTr="00355DDF">
        <w:trPr>
          <w:trHeight w:val="315"/>
        </w:trPr>
        <w:tc>
          <w:tcPr>
            <w:tcW w:w="2580" w:type="dxa"/>
            <w:tcBorders>
              <w:top w:val="nil"/>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Total</w:t>
            </w:r>
          </w:p>
        </w:tc>
        <w:tc>
          <w:tcPr>
            <w:tcW w:w="760" w:type="dxa"/>
            <w:tcBorders>
              <w:top w:val="single" w:sz="4" w:space="0" w:color="auto"/>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-850</w:t>
            </w:r>
          </w:p>
        </w:tc>
        <w:tc>
          <w:tcPr>
            <w:tcW w:w="760" w:type="dxa"/>
            <w:tcBorders>
              <w:top w:val="single" w:sz="4" w:space="0" w:color="auto"/>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248</w:t>
            </w:r>
          </w:p>
        </w:tc>
        <w:tc>
          <w:tcPr>
            <w:tcW w:w="700" w:type="dxa"/>
            <w:tcBorders>
              <w:top w:val="single" w:sz="4" w:space="0" w:color="auto"/>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520</w:t>
            </w:r>
          </w:p>
        </w:tc>
        <w:tc>
          <w:tcPr>
            <w:tcW w:w="700" w:type="dxa"/>
            <w:tcBorders>
              <w:top w:val="single" w:sz="4" w:space="0" w:color="auto"/>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20</w:t>
            </w:r>
          </w:p>
        </w:tc>
        <w:tc>
          <w:tcPr>
            <w:tcW w:w="660" w:type="dxa"/>
            <w:tcBorders>
              <w:top w:val="single" w:sz="4" w:space="0" w:color="auto"/>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245</w:t>
            </w:r>
          </w:p>
        </w:tc>
        <w:tc>
          <w:tcPr>
            <w:tcW w:w="660" w:type="dxa"/>
            <w:tcBorders>
              <w:top w:val="single" w:sz="4" w:space="0" w:color="auto"/>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-57</w:t>
            </w:r>
          </w:p>
        </w:tc>
        <w:tc>
          <w:tcPr>
            <w:tcW w:w="660" w:type="dxa"/>
            <w:tcBorders>
              <w:top w:val="single" w:sz="4" w:space="0" w:color="auto"/>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55</w:t>
            </w:r>
          </w:p>
        </w:tc>
        <w:tc>
          <w:tcPr>
            <w:tcW w:w="700" w:type="dxa"/>
            <w:tcBorders>
              <w:top w:val="single" w:sz="4" w:space="0" w:color="auto"/>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-182</w:t>
            </w:r>
          </w:p>
        </w:tc>
        <w:tc>
          <w:tcPr>
            <w:tcW w:w="740" w:type="dxa"/>
            <w:tcBorders>
              <w:top w:val="single" w:sz="4" w:space="0" w:color="auto"/>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1 088</w:t>
            </w:r>
          </w:p>
        </w:tc>
      </w:tr>
    </w:tbl>
    <w:p w:rsidR="00445964" w:rsidRDefault="00B93E84" w:rsidP="00445964">
      <w:pPr>
        <w:pStyle w:val="CGCTableFootnote"/>
        <w:keepNext/>
      </w:pPr>
      <w:r>
        <w:t>(a)</w:t>
      </w:r>
      <w:r>
        <w:tab/>
      </w:r>
      <w:r w:rsidR="00DF19DA">
        <w:t>Change due to</w:t>
      </w:r>
      <w:r w:rsidR="00445964">
        <w:t xml:space="preserve"> revising and updating data for </w:t>
      </w:r>
      <w:r w:rsidR="00160D5E">
        <w:t>years prior to 2014</w:t>
      </w:r>
      <w:r w:rsidR="00160D5E">
        <w:noBreakHyphen/>
        <w:t>15</w:t>
      </w:r>
      <w:r w:rsidR="00445964">
        <w:t>.</w:t>
      </w:r>
    </w:p>
    <w:p w:rsidR="00445964" w:rsidRDefault="00F90B83" w:rsidP="00445964">
      <w:pPr>
        <w:pStyle w:val="CGCTableFootnote"/>
        <w:keepNext/>
      </w:pPr>
      <w:r>
        <w:t>(b)</w:t>
      </w:r>
      <w:r>
        <w:tab/>
      </w:r>
      <w:r w:rsidR="00DF19DA">
        <w:t xml:space="preserve">Change due to </w:t>
      </w:r>
      <w:r w:rsidR="00445964">
        <w:t>replacing 2011</w:t>
      </w:r>
      <w:r w:rsidR="00445964">
        <w:noBreakHyphen/>
        <w:t>12 data with 2014</w:t>
      </w:r>
      <w:r w:rsidR="00445964">
        <w:noBreakHyphen/>
        <w:t>15 data.</w:t>
      </w:r>
    </w:p>
    <w:p w:rsidR="00F90B83" w:rsidRDefault="00F90B83" w:rsidP="00F90B83">
      <w:pPr>
        <w:pStyle w:val="CGCTableFootnote"/>
        <w:keepNext/>
      </w:pPr>
      <w:r>
        <w:t>Note:</w:t>
      </w:r>
      <w:r>
        <w:tab/>
        <w:t>The redistribution is calculated as the sum of the positive (or negative) items in the row.</w:t>
      </w:r>
    </w:p>
    <w:p w:rsidR="00F90B83" w:rsidRDefault="00F90B83" w:rsidP="00F90B83">
      <w:pPr>
        <w:pStyle w:val="CGCTableFootnote"/>
        <w:keepNext/>
      </w:pPr>
      <w:r>
        <w:t xml:space="preserve">Source: </w:t>
      </w:r>
      <w:r>
        <w:tab/>
        <w:t xml:space="preserve">Commission calculation. </w:t>
      </w:r>
    </w:p>
    <w:p w:rsidR="00AA28B8" w:rsidRDefault="00445964" w:rsidP="00406A7C">
      <w:pPr>
        <w:pStyle w:val="CGCNumberedPara"/>
      </w:pPr>
      <w:r>
        <w:t>While there have been some data revisions in this update, c</w:t>
      </w:r>
      <w:r w:rsidR="00406A7C">
        <w:t>hanges in State circumstances have been the major cause of the change</w:t>
      </w:r>
      <w:r w:rsidR="0074168A">
        <w:t xml:space="preserve"> in the redistribution </w:t>
      </w:r>
      <w:r w:rsidR="00CF0AA5">
        <w:t>for most States. Data revisions were the major source of change for the ACT</w:t>
      </w:r>
      <w:r w:rsidR="00A32AF1">
        <w:t>.</w:t>
      </w:r>
      <w:r w:rsidR="00D41610">
        <w:t xml:space="preserve"> </w:t>
      </w:r>
    </w:p>
    <w:p w:rsidR="009C4FDB" w:rsidRDefault="009C4FDB" w:rsidP="009C4FDB">
      <w:pPr>
        <w:pStyle w:val="CGCNumberedPara"/>
      </w:pPr>
      <w:r>
        <w:t xml:space="preserve">Detailed </w:t>
      </w:r>
      <w:r w:rsidR="00933059">
        <w:t>tables</w:t>
      </w:r>
      <w:r>
        <w:t xml:space="preserve"> on the changes caused by each of the Commission’s assessments can be found </w:t>
      </w:r>
      <w:r w:rsidRPr="00E01173">
        <w:t>in</w:t>
      </w:r>
      <w:r>
        <w:t xml:space="preserve"> the </w:t>
      </w:r>
      <w:r w:rsidR="008F00A3">
        <w:t>s</w:t>
      </w:r>
      <w:r>
        <w:t xml:space="preserve">upporting information for this update which is available on the </w:t>
      </w:r>
      <w:hyperlink r:id="rId47" w:history="1">
        <w:r w:rsidRPr="006A0171">
          <w:rPr>
            <w:rStyle w:val="Hyperlink"/>
          </w:rPr>
          <w:t>Commission’s website</w:t>
        </w:r>
      </w:hyperlink>
      <w:r w:rsidR="006A4C8D">
        <w:t xml:space="preserve"> (www.cgc.gov.au).</w:t>
      </w:r>
    </w:p>
    <w:p w:rsidR="00AA28B8" w:rsidRDefault="00AA28B8" w:rsidP="00AA28B8">
      <w:pPr>
        <w:pStyle w:val="Heading3"/>
      </w:pPr>
      <w:bookmarkStart w:id="416" w:name="_Toc441241592"/>
      <w:bookmarkStart w:id="417" w:name="_Toc441499262"/>
      <w:bookmarkStart w:id="418" w:name="_Toc441656028"/>
      <w:bookmarkStart w:id="419" w:name="_Toc442191918"/>
      <w:bookmarkStart w:id="420" w:name="_Toc442192172"/>
      <w:bookmarkStart w:id="421" w:name="_Toc442192237"/>
      <w:bookmarkStart w:id="422" w:name="_Toc442772821"/>
      <w:bookmarkStart w:id="423" w:name="_Toc442773050"/>
      <w:bookmarkStart w:id="424" w:name="_Toc442773220"/>
      <w:bookmarkStart w:id="425" w:name="_Toc442773565"/>
      <w:bookmarkStart w:id="426" w:name="_Toc442883287"/>
      <w:bookmarkStart w:id="427" w:name="_Toc442949140"/>
      <w:r>
        <w:t>Data revisions</w:t>
      </w:r>
      <w:bookmarkEnd w:id="416"/>
      <w:bookmarkEnd w:id="417"/>
      <w:bookmarkEnd w:id="418"/>
      <w:bookmarkEnd w:id="419"/>
      <w:bookmarkEnd w:id="420"/>
      <w:bookmarkEnd w:id="421"/>
      <w:bookmarkEnd w:id="422"/>
      <w:bookmarkEnd w:id="423"/>
      <w:bookmarkEnd w:id="424"/>
      <w:bookmarkEnd w:id="425"/>
      <w:bookmarkEnd w:id="426"/>
      <w:bookmarkEnd w:id="427"/>
    </w:p>
    <w:p w:rsidR="00406A7C" w:rsidRDefault="0099686B" w:rsidP="00406A7C">
      <w:pPr>
        <w:pStyle w:val="CGCNumberedPara"/>
      </w:pPr>
      <w:r>
        <w:t>Data revisions had a small effect on the change i</w:t>
      </w:r>
      <w:r w:rsidR="00933059">
        <w:t>n the GST distribution in this u</w:t>
      </w:r>
      <w:r>
        <w:t xml:space="preserve">pdate. </w:t>
      </w:r>
      <w:r w:rsidR="00406A7C">
        <w:t xml:space="preserve">The largest sources of revision </w:t>
      </w:r>
      <w:r w:rsidR="00351E01">
        <w:t xml:space="preserve">are shown </w:t>
      </w:r>
      <w:r w:rsidR="00351E01">
        <w:fldChar w:fldCharType="begin"/>
      </w:r>
      <w:r w:rsidR="00351E01">
        <w:instrText xml:space="preserve"> REF _Ref440989537 \h </w:instrText>
      </w:r>
      <w:r w:rsidR="00351E01">
        <w:fldChar w:fldCharType="separate"/>
      </w:r>
      <w:r w:rsidR="007A6AF0">
        <w:t xml:space="preserve">Table </w:t>
      </w:r>
      <w:r w:rsidR="007A6AF0">
        <w:rPr>
          <w:noProof/>
        </w:rPr>
        <w:t>1</w:t>
      </w:r>
      <w:r w:rsidR="007A6AF0">
        <w:noBreakHyphen/>
      </w:r>
      <w:r w:rsidR="007A6AF0">
        <w:rPr>
          <w:noProof/>
        </w:rPr>
        <w:t>3</w:t>
      </w:r>
      <w:r w:rsidR="00351E01">
        <w:fldChar w:fldCharType="end"/>
      </w:r>
      <w:r w:rsidR="00351E01">
        <w:t xml:space="preserve">. They relate to the </w:t>
      </w:r>
      <w:r w:rsidR="00406A7C">
        <w:t>following.</w:t>
      </w:r>
    </w:p>
    <w:p w:rsidR="00406A7C" w:rsidRDefault="0087004C" w:rsidP="00406A7C">
      <w:pPr>
        <w:pStyle w:val="CGCBulletlist"/>
      </w:pPr>
      <w:r>
        <w:t xml:space="preserve">Revisions to ABS </w:t>
      </w:r>
      <w:r w:rsidR="00DD0130">
        <w:t>population estimates</w:t>
      </w:r>
      <w:r>
        <w:t xml:space="preserve"> for December 2013 and </w:t>
      </w:r>
      <w:r w:rsidR="00A32AF1">
        <w:t xml:space="preserve">revisions to a range of data used to calculate the </w:t>
      </w:r>
      <w:r>
        <w:t xml:space="preserve">capital stock factors used </w:t>
      </w:r>
      <w:r w:rsidR="00DD0130">
        <w:t xml:space="preserve">for </w:t>
      </w:r>
      <w:r>
        <w:t>measur</w:t>
      </w:r>
      <w:r w:rsidR="00DD0130">
        <w:t>ing</w:t>
      </w:r>
      <w:r>
        <w:t xml:space="preserve"> the assessed stock of infrastructure </w:t>
      </w:r>
      <w:r w:rsidR="004B1A4A">
        <w:t xml:space="preserve">resulted in changes to the </w:t>
      </w:r>
      <w:r w:rsidR="006A0171">
        <w:t>I</w:t>
      </w:r>
      <w:r w:rsidR="004B1A4A">
        <w:t xml:space="preserve">nvestment and </w:t>
      </w:r>
      <w:r w:rsidR="006A0171">
        <w:t>N</w:t>
      </w:r>
      <w:r w:rsidR="004B1A4A">
        <w:t>et borrowing assessments</w:t>
      </w:r>
      <w:r>
        <w:t>.</w:t>
      </w:r>
    </w:p>
    <w:p w:rsidR="00A22456" w:rsidRDefault="001F375E" w:rsidP="00406A7C">
      <w:pPr>
        <w:pStyle w:val="CGCBulletlist"/>
      </w:pPr>
      <w:r>
        <w:t xml:space="preserve">The ABS revised </w:t>
      </w:r>
      <w:r w:rsidR="005571B4">
        <w:t xml:space="preserve">CoE </w:t>
      </w:r>
      <w:r>
        <w:t>data for 2011</w:t>
      </w:r>
      <w:r>
        <w:noBreakHyphen/>
        <w:t>12 to 2013</w:t>
      </w:r>
      <w:r>
        <w:noBreakHyphen/>
        <w:t xml:space="preserve">14 which is used to measure the tax base in the Payroll tax assessment. </w:t>
      </w:r>
      <w:r w:rsidR="005571B4">
        <w:t xml:space="preserve">Downward revisions to CoE data for the ACT reduced its </w:t>
      </w:r>
      <w:r w:rsidR="00794694">
        <w:t>assessed revenue raising capacity</w:t>
      </w:r>
      <w:r w:rsidR="005571B4">
        <w:t xml:space="preserve">. </w:t>
      </w:r>
    </w:p>
    <w:p w:rsidR="008556E1" w:rsidRDefault="008556E1" w:rsidP="008556E1">
      <w:pPr>
        <w:pStyle w:val="CGCBulletlist"/>
      </w:pPr>
      <w:r>
        <w:t xml:space="preserve">Revisions to ABS Government Finance Statistics (GFS) land revenue data to include South Australia’s fire and emergency services levies. The </w:t>
      </w:r>
      <w:r w:rsidR="006A0171">
        <w:t xml:space="preserve">land tax </w:t>
      </w:r>
      <w:r>
        <w:t>assessment method links States’ revenues and assessed capacities. This revision translated to an increase in South Australia’</w:t>
      </w:r>
      <w:r w:rsidR="008F00A3">
        <w:t>s</w:t>
      </w:r>
      <w:r>
        <w:t xml:space="preserve"> assessed revenue capacity. New South Wales and Victoria also revised their land tax data.</w:t>
      </w:r>
    </w:p>
    <w:p w:rsidR="000F010F" w:rsidRDefault="008556E1" w:rsidP="008556E1">
      <w:pPr>
        <w:pStyle w:val="CGCBulletlist"/>
      </w:pPr>
      <w:r>
        <w:lastRenderedPageBreak/>
        <w:t xml:space="preserve">Revisions to Victoria’s Stamp duty revenue. The </w:t>
      </w:r>
      <w:r w:rsidR="005A117D">
        <w:t>s</w:t>
      </w:r>
      <w:r w:rsidR="006A0171">
        <w:t xml:space="preserve">tamp duty </w:t>
      </w:r>
      <w:r>
        <w:t>assessment method links States’ revenues and assessed capacities. This revision translated to a decrease in Victoria’s assessed revenue capacity.</w:t>
      </w:r>
    </w:p>
    <w:p w:rsidR="00406A7C" w:rsidRDefault="009C4FDB" w:rsidP="009C4FDB">
      <w:pPr>
        <w:pStyle w:val="CGCTableHeading"/>
        <w:rPr>
          <w:noProof/>
        </w:rPr>
      </w:pPr>
      <w:bookmarkStart w:id="428" w:name="_Ref440989537"/>
      <w:r>
        <w:t xml:space="preserve">Table </w:t>
      </w:r>
      <w:r w:rsidR="0014378B">
        <w:fldChar w:fldCharType="begin"/>
      </w:r>
      <w:r w:rsidR="0014378B">
        <w:instrText xml:space="preserve"> STYLEREF 1 \s </w:instrText>
      </w:r>
      <w:r w:rsidR="0014378B">
        <w:fldChar w:fldCharType="separate"/>
      </w:r>
      <w:r w:rsidR="007A6AF0">
        <w:rPr>
          <w:noProof/>
        </w:rPr>
        <w:t>1</w:t>
      </w:r>
      <w:r w:rsidR="0014378B">
        <w:rPr>
          <w:noProof/>
        </w:rPr>
        <w:fldChar w:fldCharType="end"/>
      </w:r>
      <w:r>
        <w:noBreakHyphen/>
      </w:r>
      <w:r w:rsidR="0014378B">
        <w:fldChar w:fldCharType="begin"/>
      </w:r>
      <w:r w:rsidR="0014378B">
        <w:instrText xml:space="preserve"> SEQ Table \* ARABIC \s 1 </w:instrText>
      </w:r>
      <w:r w:rsidR="0014378B">
        <w:fldChar w:fldCharType="separate"/>
      </w:r>
      <w:r w:rsidR="007A6AF0">
        <w:rPr>
          <w:noProof/>
        </w:rPr>
        <w:t>3</w:t>
      </w:r>
      <w:r w:rsidR="0014378B">
        <w:rPr>
          <w:noProof/>
        </w:rPr>
        <w:fldChar w:fldCharType="end"/>
      </w:r>
      <w:bookmarkEnd w:id="428"/>
      <w:r>
        <w:rPr>
          <w:noProof/>
        </w:rPr>
        <w:tab/>
      </w:r>
      <w:r w:rsidR="00D01F4D">
        <w:rPr>
          <w:noProof/>
        </w:rPr>
        <w:t xml:space="preserve">Main categories affected by </w:t>
      </w:r>
      <w:r>
        <w:rPr>
          <w:noProof/>
        </w:rPr>
        <w:t>data</w:t>
      </w:r>
      <w:r w:rsidR="00D01F4D">
        <w:rPr>
          <w:noProof/>
        </w:rPr>
        <w:t xml:space="preserve"> revisions</w:t>
      </w:r>
      <w:r>
        <w:rPr>
          <w:noProof/>
        </w:rPr>
        <w:t>, 2016 Update</w:t>
      </w:r>
    </w:p>
    <w:tbl>
      <w:tblPr>
        <w:tblW w:w="9000" w:type="dxa"/>
        <w:tblInd w:w="93" w:type="dxa"/>
        <w:tblLook w:val="04A0" w:firstRow="1" w:lastRow="0" w:firstColumn="1" w:lastColumn="0" w:noHBand="0" w:noVBand="1"/>
      </w:tblPr>
      <w:tblGrid>
        <w:gridCol w:w="2860"/>
        <w:gridCol w:w="740"/>
        <w:gridCol w:w="740"/>
        <w:gridCol w:w="680"/>
        <w:gridCol w:w="680"/>
        <w:gridCol w:w="640"/>
        <w:gridCol w:w="640"/>
        <w:gridCol w:w="640"/>
        <w:gridCol w:w="680"/>
        <w:gridCol w:w="721"/>
      </w:tblGrid>
      <w:tr w:rsidR="00355DDF" w:rsidRPr="00355DDF" w:rsidTr="00355DDF">
        <w:trPr>
          <w:trHeight w:val="379"/>
        </w:trPr>
        <w:tc>
          <w:tcPr>
            <w:tcW w:w="286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 </w:t>
            </w:r>
          </w:p>
        </w:tc>
        <w:tc>
          <w:tcPr>
            <w:tcW w:w="74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NSW</w:t>
            </w:r>
          </w:p>
        </w:tc>
        <w:tc>
          <w:tcPr>
            <w:tcW w:w="74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Vic</w:t>
            </w:r>
          </w:p>
        </w:tc>
        <w:tc>
          <w:tcPr>
            <w:tcW w:w="68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Qld</w:t>
            </w:r>
          </w:p>
        </w:tc>
        <w:tc>
          <w:tcPr>
            <w:tcW w:w="68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WA</w:t>
            </w:r>
          </w:p>
        </w:tc>
        <w:tc>
          <w:tcPr>
            <w:tcW w:w="64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SA</w:t>
            </w:r>
          </w:p>
        </w:tc>
        <w:tc>
          <w:tcPr>
            <w:tcW w:w="64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Tas</w:t>
            </w:r>
          </w:p>
        </w:tc>
        <w:tc>
          <w:tcPr>
            <w:tcW w:w="64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ACT</w:t>
            </w:r>
          </w:p>
        </w:tc>
        <w:tc>
          <w:tcPr>
            <w:tcW w:w="68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NT</w:t>
            </w:r>
          </w:p>
        </w:tc>
        <w:tc>
          <w:tcPr>
            <w:tcW w:w="70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proofErr w:type="spellStart"/>
            <w:r w:rsidRPr="00355DDF">
              <w:rPr>
                <w:rFonts w:ascii="Calibri" w:eastAsia="Times New Roman" w:hAnsi="Calibri" w:cs="Times New Roman"/>
                <w:sz w:val="20"/>
                <w:szCs w:val="20"/>
                <w:lang w:eastAsia="en-AU"/>
              </w:rPr>
              <w:t>Redist</w:t>
            </w:r>
            <w:proofErr w:type="spellEnd"/>
          </w:p>
        </w:tc>
      </w:tr>
      <w:tr w:rsidR="00355DDF" w:rsidRPr="00355DDF" w:rsidTr="00355DDF">
        <w:trPr>
          <w:trHeight w:val="259"/>
        </w:trPr>
        <w:tc>
          <w:tcPr>
            <w:tcW w:w="286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r>
      <w:tr w:rsidR="00355DDF" w:rsidRPr="00355DDF" w:rsidTr="00355DDF">
        <w:trPr>
          <w:trHeight w:val="315"/>
        </w:trPr>
        <w:tc>
          <w:tcPr>
            <w:tcW w:w="2860" w:type="dxa"/>
            <w:tcBorders>
              <w:top w:val="nil"/>
              <w:left w:val="nil"/>
              <w:bottom w:val="nil"/>
              <w:right w:val="nil"/>
            </w:tcBorders>
            <w:shd w:val="clear" w:color="auto" w:fill="auto"/>
            <w:vAlign w:val="bottom"/>
            <w:hideMark/>
          </w:tcPr>
          <w:p w:rsidR="00355DDF" w:rsidRPr="00355DDF" w:rsidRDefault="00355DDF" w:rsidP="00355DDF">
            <w:pPr>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Investment and Net borrowing</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-37</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21</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35</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-26</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12</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0</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-9</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72</w:t>
            </w:r>
          </w:p>
        </w:tc>
      </w:tr>
      <w:tr w:rsidR="00355DDF" w:rsidRPr="00355DDF" w:rsidTr="00355DDF">
        <w:trPr>
          <w:trHeight w:val="315"/>
        </w:trPr>
        <w:tc>
          <w:tcPr>
            <w:tcW w:w="286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Payroll tax</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-22</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-24</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19</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-17</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36</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64</w:t>
            </w:r>
          </w:p>
        </w:tc>
      </w:tr>
      <w:tr w:rsidR="00355DDF" w:rsidRPr="00355DDF" w:rsidTr="00355DDF">
        <w:trPr>
          <w:trHeight w:val="315"/>
        </w:trPr>
        <w:tc>
          <w:tcPr>
            <w:tcW w:w="286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Land tax</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49</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-30</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0</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-23</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55</w:t>
            </w:r>
          </w:p>
        </w:tc>
      </w:tr>
      <w:tr w:rsidR="00355DDF" w:rsidRPr="00355DDF" w:rsidTr="00355DDF">
        <w:trPr>
          <w:trHeight w:val="315"/>
        </w:trPr>
        <w:tc>
          <w:tcPr>
            <w:tcW w:w="286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Stamp duty</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-16</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40</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-10</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-9</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0</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40</w:t>
            </w:r>
          </w:p>
        </w:tc>
      </w:tr>
      <w:tr w:rsidR="00355DDF" w:rsidRPr="00355DDF" w:rsidTr="00355DDF">
        <w:trPr>
          <w:trHeight w:val="315"/>
        </w:trPr>
        <w:tc>
          <w:tcPr>
            <w:tcW w:w="286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Other</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-15</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27</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-16</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8</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-8</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-16</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12</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7</w:t>
            </w:r>
          </w:p>
        </w:tc>
        <w:tc>
          <w:tcPr>
            <w:tcW w:w="70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54</w:t>
            </w:r>
          </w:p>
        </w:tc>
      </w:tr>
      <w:tr w:rsidR="00355DDF" w:rsidRPr="00355DDF" w:rsidTr="00355DDF">
        <w:trPr>
          <w:trHeight w:val="315"/>
        </w:trPr>
        <w:tc>
          <w:tcPr>
            <w:tcW w:w="2860" w:type="dxa"/>
            <w:tcBorders>
              <w:top w:val="nil"/>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Total</w:t>
            </w:r>
          </w:p>
        </w:tc>
        <w:tc>
          <w:tcPr>
            <w:tcW w:w="740" w:type="dxa"/>
            <w:tcBorders>
              <w:top w:val="single" w:sz="4" w:space="0" w:color="auto"/>
              <w:left w:val="nil"/>
              <w:bottom w:val="single" w:sz="4" w:space="0" w:color="auto"/>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-42</w:t>
            </w:r>
          </w:p>
        </w:tc>
        <w:tc>
          <w:tcPr>
            <w:tcW w:w="740" w:type="dxa"/>
            <w:tcBorders>
              <w:top w:val="single" w:sz="4" w:space="0" w:color="auto"/>
              <w:left w:val="nil"/>
              <w:bottom w:val="single" w:sz="4" w:space="0" w:color="auto"/>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34</w:t>
            </w:r>
          </w:p>
        </w:tc>
        <w:tc>
          <w:tcPr>
            <w:tcW w:w="680" w:type="dxa"/>
            <w:tcBorders>
              <w:top w:val="single" w:sz="4" w:space="0" w:color="auto"/>
              <w:left w:val="nil"/>
              <w:bottom w:val="single" w:sz="4" w:space="0" w:color="auto"/>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30</w:t>
            </w:r>
          </w:p>
        </w:tc>
        <w:tc>
          <w:tcPr>
            <w:tcW w:w="680" w:type="dxa"/>
            <w:tcBorders>
              <w:top w:val="single" w:sz="4" w:space="0" w:color="auto"/>
              <w:left w:val="nil"/>
              <w:bottom w:val="single" w:sz="4" w:space="0" w:color="auto"/>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-44</w:t>
            </w:r>
          </w:p>
        </w:tc>
        <w:tc>
          <w:tcPr>
            <w:tcW w:w="640" w:type="dxa"/>
            <w:tcBorders>
              <w:top w:val="single" w:sz="4" w:space="0" w:color="auto"/>
              <w:left w:val="nil"/>
              <w:bottom w:val="single" w:sz="4" w:space="0" w:color="auto"/>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-22</w:t>
            </w:r>
          </w:p>
        </w:tc>
        <w:tc>
          <w:tcPr>
            <w:tcW w:w="640" w:type="dxa"/>
            <w:tcBorders>
              <w:top w:val="single" w:sz="4" w:space="0" w:color="auto"/>
              <w:left w:val="nil"/>
              <w:bottom w:val="single" w:sz="4" w:space="0" w:color="auto"/>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-9</w:t>
            </w:r>
          </w:p>
        </w:tc>
        <w:tc>
          <w:tcPr>
            <w:tcW w:w="640" w:type="dxa"/>
            <w:tcBorders>
              <w:top w:val="single" w:sz="4" w:space="0" w:color="auto"/>
              <w:left w:val="nil"/>
              <w:bottom w:val="single" w:sz="4" w:space="0" w:color="auto"/>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50</w:t>
            </w:r>
          </w:p>
        </w:tc>
        <w:tc>
          <w:tcPr>
            <w:tcW w:w="680" w:type="dxa"/>
            <w:tcBorders>
              <w:top w:val="single" w:sz="4" w:space="0" w:color="auto"/>
              <w:left w:val="nil"/>
              <w:bottom w:val="single" w:sz="4" w:space="0" w:color="auto"/>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w:t>
            </w:r>
          </w:p>
        </w:tc>
        <w:tc>
          <w:tcPr>
            <w:tcW w:w="700" w:type="dxa"/>
            <w:tcBorders>
              <w:top w:val="single" w:sz="4" w:space="0" w:color="auto"/>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116</w:t>
            </w:r>
          </w:p>
        </w:tc>
      </w:tr>
    </w:tbl>
    <w:p w:rsidR="009C4FDB" w:rsidRDefault="009C4FDB" w:rsidP="007B5BCA">
      <w:pPr>
        <w:pStyle w:val="CGCTableFootnote"/>
      </w:pPr>
      <w:r>
        <w:t>Source:</w:t>
      </w:r>
      <w:r>
        <w:tab/>
      </w:r>
      <w:r w:rsidR="007E3609">
        <w:t>Commission calculation.</w:t>
      </w:r>
    </w:p>
    <w:p w:rsidR="005135E3" w:rsidRPr="00203656" w:rsidRDefault="00203656" w:rsidP="00203656">
      <w:pPr>
        <w:pStyle w:val="Heading3"/>
      </w:pPr>
      <w:bookmarkStart w:id="429" w:name="_Toc428435404"/>
      <w:bookmarkStart w:id="430" w:name="_Toc433353488"/>
      <w:bookmarkStart w:id="431" w:name="_Toc441241593"/>
      <w:bookmarkStart w:id="432" w:name="_Toc441499263"/>
      <w:bookmarkStart w:id="433" w:name="_Toc441656029"/>
      <w:bookmarkStart w:id="434" w:name="_Toc442191919"/>
      <w:bookmarkStart w:id="435" w:name="_Toc442192173"/>
      <w:bookmarkStart w:id="436" w:name="_Toc442192238"/>
      <w:bookmarkStart w:id="437" w:name="_Toc442772822"/>
      <w:bookmarkStart w:id="438" w:name="_Toc442773051"/>
      <w:bookmarkStart w:id="439" w:name="_Toc442773221"/>
      <w:bookmarkStart w:id="440" w:name="_Toc442773566"/>
      <w:bookmarkStart w:id="441" w:name="_Toc442883288"/>
      <w:bookmarkStart w:id="442" w:name="_Toc442949141"/>
      <w:r>
        <w:t>C</w:t>
      </w:r>
      <w:r w:rsidRPr="00203656">
        <w:t xml:space="preserve">hanges </w:t>
      </w:r>
      <w:bookmarkEnd w:id="429"/>
      <w:bookmarkEnd w:id="430"/>
      <w:r w:rsidR="007E3471">
        <w:t>in State circumstances since the 2015 Review</w:t>
      </w:r>
      <w:bookmarkEnd w:id="431"/>
      <w:bookmarkEnd w:id="432"/>
      <w:bookmarkEnd w:id="433"/>
      <w:bookmarkEnd w:id="434"/>
      <w:bookmarkEnd w:id="435"/>
      <w:bookmarkEnd w:id="436"/>
      <w:bookmarkEnd w:id="437"/>
      <w:bookmarkEnd w:id="438"/>
      <w:bookmarkEnd w:id="439"/>
      <w:bookmarkEnd w:id="440"/>
      <w:bookmarkEnd w:id="441"/>
      <w:bookmarkEnd w:id="442"/>
    </w:p>
    <w:p w:rsidR="005135E3" w:rsidRDefault="007E3471" w:rsidP="005135E3">
      <w:pPr>
        <w:pStyle w:val="CGCNumberedPara"/>
      </w:pPr>
      <w:r>
        <w:t xml:space="preserve">This section describes the main impacts resulting from changed circumstances since the 2015 Review. </w:t>
      </w:r>
      <w:r w:rsidR="00A27A3C">
        <w:fldChar w:fldCharType="begin"/>
      </w:r>
      <w:r w:rsidR="00A27A3C">
        <w:instrText xml:space="preserve"> REF _Ref428431454 \h </w:instrText>
      </w:r>
      <w:r w:rsidR="00A27A3C">
        <w:fldChar w:fldCharType="separate"/>
      </w:r>
      <w:r w:rsidR="007A6AF0">
        <w:t xml:space="preserve">Table </w:t>
      </w:r>
      <w:r w:rsidR="007A6AF0">
        <w:rPr>
          <w:noProof/>
        </w:rPr>
        <w:t>1</w:t>
      </w:r>
      <w:r w:rsidR="007A6AF0">
        <w:noBreakHyphen/>
      </w:r>
      <w:r w:rsidR="007A6AF0">
        <w:rPr>
          <w:noProof/>
        </w:rPr>
        <w:t>4</w:t>
      </w:r>
      <w:r w:rsidR="00A27A3C">
        <w:fldChar w:fldCharType="end"/>
      </w:r>
      <w:r>
        <w:t xml:space="preserve"> shows the effect of these changes across </w:t>
      </w:r>
      <w:r w:rsidR="00585B81">
        <w:t xml:space="preserve">the different </w:t>
      </w:r>
      <w:r>
        <w:t xml:space="preserve">areas of State </w:t>
      </w:r>
      <w:r w:rsidR="00D23635">
        <w:t>budgets.</w:t>
      </w:r>
    </w:p>
    <w:p w:rsidR="00A27A3C" w:rsidRPr="00A863CB" w:rsidRDefault="00A27A3C" w:rsidP="00A27A3C">
      <w:pPr>
        <w:pStyle w:val="Caption"/>
      </w:pPr>
      <w:bookmarkStart w:id="443" w:name="_Ref428431454"/>
      <w:r>
        <w:t xml:space="preserve">Table </w:t>
      </w:r>
      <w:r w:rsidR="0014378B">
        <w:fldChar w:fldCharType="begin"/>
      </w:r>
      <w:r w:rsidR="0014378B">
        <w:instrText xml:space="preserve"> STYLEREF 1 \s </w:instrText>
      </w:r>
      <w:r w:rsidR="0014378B">
        <w:fldChar w:fldCharType="separate"/>
      </w:r>
      <w:r w:rsidR="007A6AF0">
        <w:rPr>
          <w:noProof/>
        </w:rPr>
        <w:t>1</w:t>
      </w:r>
      <w:r w:rsidR="0014378B">
        <w:rPr>
          <w:noProof/>
        </w:rPr>
        <w:fldChar w:fldCharType="end"/>
      </w:r>
      <w:r w:rsidR="001F6199">
        <w:noBreakHyphen/>
      </w:r>
      <w:r w:rsidR="0014378B">
        <w:fldChar w:fldCharType="begin"/>
      </w:r>
      <w:r w:rsidR="0014378B">
        <w:instrText xml:space="preserve"> SEQ Table \* ARABIC \s 1 </w:instrText>
      </w:r>
      <w:r w:rsidR="0014378B">
        <w:fldChar w:fldCharType="separate"/>
      </w:r>
      <w:r w:rsidR="007A6AF0">
        <w:rPr>
          <w:noProof/>
        </w:rPr>
        <w:t>4</w:t>
      </w:r>
      <w:r w:rsidR="0014378B">
        <w:rPr>
          <w:noProof/>
        </w:rPr>
        <w:fldChar w:fldCharType="end"/>
      </w:r>
      <w:bookmarkEnd w:id="443"/>
      <w:r w:rsidR="005135E3" w:rsidRPr="005135E3">
        <w:tab/>
      </w:r>
      <w:r>
        <w:t xml:space="preserve">Composition of change in </w:t>
      </w:r>
      <w:r w:rsidR="007E3471">
        <w:t>State circumstances</w:t>
      </w:r>
      <w:r>
        <w:t xml:space="preserve"> since the 201</w:t>
      </w:r>
      <w:r w:rsidR="00DD74B9">
        <w:t>5 Review</w:t>
      </w:r>
    </w:p>
    <w:tbl>
      <w:tblPr>
        <w:tblW w:w="8960" w:type="dxa"/>
        <w:tblInd w:w="93" w:type="dxa"/>
        <w:tblLook w:val="04A0" w:firstRow="1" w:lastRow="0" w:firstColumn="1" w:lastColumn="0" w:noHBand="0" w:noVBand="1"/>
      </w:tblPr>
      <w:tblGrid>
        <w:gridCol w:w="2520"/>
        <w:gridCol w:w="740"/>
        <w:gridCol w:w="740"/>
        <w:gridCol w:w="680"/>
        <w:gridCol w:w="740"/>
        <w:gridCol w:w="680"/>
        <w:gridCol w:w="640"/>
        <w:gridCol w:w="640"/>
        <w:gridCol w:w="740"/>
        <w:gridCol w:w="840"/>
      </w:tblGrid>
      <w:tr w:rsidR="00355DDF" w:rsidRPr="00355DDF" w:rsidTr="00355DDF">
        <w:trPr>
          <w:trHeight w:val="379"/>
        </w:trPr>
        <w:tc>
          <w:tcPr>
            <w:tcW w:w="252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bookmarkStart w:id="444" w:name="RANGE!A2:J9"/>
            <w:r w:rsidRPr="00355DDF">
              <w:rPr>
                <w:rFonts w:ascii="Calibri" w:eastAsia="Times New Roman" w:hAnsi="Calibri" w:cs="Times New Roman"/>
                <w:sz w:val="20"/>
                <w:szCs w:val="20"/>
                <w:lang w:eastAsia="en-AU"/>
              </w:rPr>
              <w:t> </w:t>
            </w:r>
            <w:bookmarkEnd w:id="444"/>
          </w:p>
        </w:tc>
        <w:tc>
          <w:tcPr>
            <w:tcW w:w="74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NSW</w:t>
            </w:r>
          </w:p>
        </w:tc>
        <w:tc>
          <w:tcPr>
            <w:tcW w:w="74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Vic</w:t>
            </w:r>
          </w:p>
        </w:tc>
        <w:tc>
          <w:tcPr>
            <w:tcW w:w="68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Qld</w:t>
            </w:r>
          </w:p>
        </w:tc>
        <w:tc>
          <w:tcPr>
            <w:tcW w:w="74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WA</w:t>
            </w:r>
          </w:p>
        </w:tc>
        <w:tc>
          <w:tcPr>
            <w:tcW w:w="68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SA</w:t>
            </w:r>
          </w:p>
        </w:tc>
        <w:tc>
          <w:tcPr>
            <w:tcW w:w="64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Tas</w:t>
            </w:r>
          </w:p>
        </w:tc>
        <w:tc>
          <w:tcPr>
            <w:tcW w:w="64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ACT</w:t>
            </w:r>
          </w:p>
        </w:tc>
        <w:tc>
          <w:tcPr>
            <w:tcW w:w="74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NT</w:t>
            </w:r>
          </w:p>
        </w:tc>
        <w:tc>
          <w:tcPr>
            <w:tcW w:w="84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proofErr w:type="spellStart"/>
            <w:r w:rsidRPr="00355DDF">
              <w:rPr>
                <w:rFonts w:ascii="Calibri" w:eastAsia="Times New Roman" w:hAnsi="Calibri" w:cs="Times New Roman"/>
                <w:sz w:val="20"/>
                <w:szCs w:val="20"/>
                <w:lang w:eastAsia="en-AU"/>
              </w:rPr>
              <w:t>Redist</w:t>
            </w:r>
            <w:proofErr w:type="spellEnd"/>
          </w:p>
        </w:tc>
      </w:tr>
      <w:tr w:rsidR="00355DDF" w:rsidRPr="00355DDF" w:rsidTr="00355DDF">
        <w:trPr>
          <w:trHeight w:val="259"/>
        </w:trPr>
        <w:tc>
          <w:tcPr>
            <w:tcW w:w="25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8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r>
      <w:tr w:rsidR="00355DDF" w:rsidRPr="00355DDF" w:rsidTr="00355DDF">
        <w:trPr>
          <w:trHeight w:val="315"/>
        </w:trPr>
        <w:tc>
          <w:tcPr>
            <w:tcW w:w="25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Expense requirement</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-44</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81</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154</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-44</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-28</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-50</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-20</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-49</w:t>
            </w:r>
          </w:p>
        </w:tc>
        <w:tc>
          <w:tcPr>
            <w:tcW w:w="8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234</w:t>
            </w:r>
          </w:p>
        </w:tc>
      </w:tr>
      <w:tr w:rsidR="00355DDF" w:rsidRPr="00355DDF" w:rsidTr="00355DDF">
        <w:trPr>
          <w:trHeight w:val="315"/>
        </w:trPr>
        <w:tc>
          <w:tcPr>
            <w:tcW w:w="25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Investment requirement</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263</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248</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-69</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-387</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54</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-8</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-105</w:t>
            </w:r>
          </w:p>
        </w:tc>
        <w:tc>
          <w:tcPr>
            <w:tcW w:w="8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569</w:t>
            </w:r>
          </w:p>
        </w:tc>
      </w:tr>
      <w:tr w:rsidR="00355DDF" w:rsidRPr="00355DDF" w:rsidTr="00355DDF">
        <w:trPr>
          <w:trHeight w:val="315"/>
        </w:trPr>
        <w:tc>
          <w:tcPr>
            <w:tcW w:w="25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Net borrowing</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-34</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-22</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15</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40</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0</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w:t>
            </w:r>
          </w:p>
        </w:tc>
        <w:tc>
          <w:tcPr>
            <w:tcW w:w="8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59</w:t>
            </w:r>
          </w:p>
        </w:tc>
      </w:tr>
      <w:tr w:rsidR="00355DDF" w:rsidRPr="00355DDF" w:rsidTr="00355DDF">
        <w:trPr>
          <w:trHeight w:val="315"/>
        </w:trPr>
        <w:tc>
          <w:tcPr>
            <w:tcW w:w="25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Revenue capacity</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-681</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-113</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416</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417</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-34</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0</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31</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-35</w:t>
            </w:r>
          </w:p>
        </w:tc>
        <w:tc>
          <w:tcPr>
            <w:tcW w:w="8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864</w:t>
            </w:r>
          </w:p>
        </w:tc>
      </w:tr>
      <w:tr w:rsidR="00355DDF" w:rsidRPr="00355DDF" w:rsidTr="00355DDF">
        <w:trPr>
          <w:trHeight w:val="315"/>
        </w:trPr>
        <w:tc>
          <w:tcPr>
            <w:tcW w:w="252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Commonwealth payments</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-311</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19</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-24</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37</w:t>
            </w:r>
          </w:p>
        </w:tc>
        <w:tc>
          <w:tcPr>
            <w:tcW w:w="68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277</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w:t>
            </w:r>
          </w:p>
        </w:tc>
        <w:tc>
          <w:tcPr>
            <w:tcW w:w="6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0</w:t>
            </w:r>
          </w:p>
        </w:tc>
        <w:tc>
          <w:tcPr>
            <w:tcW w:w="7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w:t>
            </w:r>
          </w:p>
        </w:tc>
        <w:tc>
          <w:tcPr>
            <w:tcW w:w="840" w:type="dxa"/>
            <w:tcBorders>
              <w:top w:val="nil"/>
              <w:left w:val="nil"/>
              <w:bottom w:val="nil"/>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337</w:t>
            </w:r>
          </w:p>
        </w:tc>
      </w:tr>
      <w:tr w:rsidR="00355DDF" w:rsidRPr="00355DDF" w:rsidTr="00355DDF">
        <w:trPr>
          <w:trHeight w:val="315"/>
        </w:trPr>
        <w:tc>
          <w:tcPr>
            <w:tcW w:w="2520" w:type="dxa"/>
            <w:tcBorders>
              <w:top w:val="nil"/>
              <w:left w:val="nil"/>
              <w:bottom w:val="single" w:sz="4" w:space="0" w:color="auto"/>
              <w:right w:val="nil"/>
            </w:tcBorders>
            <w:shd w:val="clear" w:color="auto" w:fill="auto"/>
            <w:vAlign w:val="bottom"/>
            <w:hideMark/>
          </w:tcPr>
          <w:p w:rsidR="00355DDF" w:rsidRPr="00355DDF" w:rsidRDefault="00355DDF" w:rsidP="00355DDF">
            <w:pPr>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Total</w:t>
            </w:r>
          </w:p>
        </w:tc>
        <w:tc>
          <w:tcPr>
            <w:tcW w:w="740" w:type="dxa"/>
            <w:tcBorders>
              <w:top w:val="single" w:sz="4" w:space="0" w:color="auto"/>
              <w:left w:val="nil"/>
              <w:bottom w:val="single" w:sz="4" w:space="0" w:color="auto"/>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-808</w:t>
            </w:r>
          </w:p>
        </w:tc>
        <w:tc>
          <w:tcPr>
            <w:tcW w:w="740" w:type="dxa"/>
            <w:tcBorders>
              <w:top w:val="single" w:sz="4" w:space="0" w:color="auto"/>
              <w:left w:val="nil"/>
              <w:bottom w:val="single" w:sz="4" w:space="0" w:color="auto"/>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213</w:t>
            </w:r>
          </w:p>
        </w:tc>
        <w:tc>
          <w:tcPr>
            <w:tcW w:w="680" w:type="dxa"/>
            <w:tcBorders>
              <w:top w:val="single" w:sz="4" w:space="0" w:color="auto"/>
              <w:left w:val="nil"/>
              <w:bottom w:val="single" w:sz="4" w:space="0" w:color="auto"/>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491</w:t>
            </w:r>
          </w:p>
        </w:tc>
        <w:tc>
          <w:tcPr>
            <w:tcW w:w="740" w:type="dxa"/>
            <w:tcBorders>
              <w:top w:val="single" w:sz="4" w:space="0" w:color="auto"/>
              <w:left w:val="nil"/>
              <w:bottom w:val="single" w:sz="4" w:space="0" w:color="auto"/>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63</w:t>
            </w:r>
          </w:p>
        </w:tc>
        <w:tc>
          <w:tcPr>
            <w:tcW w:w="680" w:type="dxa"/>
            <w:tcBorders>
              <w:top w:val="single" w:sz="4" w:space="0" w:color="auto"/>
              <w:left w:val="nil"/>
              <w:bottom w:val="single" w:sz="4" w:space="0" w:color="auto"/>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267</w:t>
            </w:r>
          </w:p>
        </w:tc>
        <w:tc>
          <w:tcPr>
            <w:tcW w:w="640" w:type="dxa"/>
            <w:tcBorders>
              <w:top w:val="single" w:sz="4" w:space="0" w:color="auto"/>
              <w:left w:val="nil"/>
              <w:bottom w:val="single" w:sz="4" w:space="0" w:color="auto"/>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-48</w:t>
            </w:r>
          </w:p>
        </w:tc>
        <w:tc>
          <w:tcPr>
            <w:tcW w:w="640" w:type="dxa"/>
            <w:tcBorders>
              <w:top w:val="single" w:sz="4" w:space="0" w:color="auto"/>
              <w:left w:val="nil"/>
              <w:bottom w:val="single" w:sz="4" w:space="0" w:color="auto"/>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6</w:t>
            </w:r>
          </w:p>
        </w:tc>
        <w:tc>
          <w:tcPr>
            <w:tcW w:w="740" w:type="dxa"/>
            <w:tcBorders>
              <w:top w:val="single" w:sz="4" w:space="0" w:color="auto"/>
              <w:left w:val="nil"/>
              <w:bottom w:val="single" w:sz="4" w:space="0" w:color="auto"/>
              <w:right w:val="nil"/>
            </w:tcBorders>
            <w:shd w:val="clear" w:color="auto" w:fill="auto"/>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-183</w:t>
            </w:r>
          </w:p>
        </w:tc>
        <w:tc>
          <w:tcPr>
            <w:tcW w:w="840" w:type="dxa"/>
            <w:tcBorders>
              <w:top w:val="single" w:sz="4" w:space="0" w:color="auto"/>
              <w:left w:val="nil"/>
              <w:bottom w:val="single" w:sz="4" w:space="0" w:color="auto"/>
              <w:right w:val="nil"/>
            </w:tcBorders>
            <w:shd w:val="clear" w:color="auto" w:fill="auto"/>
            <w:noWrap/>
            <w:vAlign w:val="bottom"/>
            <w:hideMark/>
          </w:tcPr>
          <w:p w:rsidR="00355DDF" w:rsidRPr="00355DDF" w:rsidRDefault="00355DDF" w:rsidP="00355DDF">
            <w:pPr>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1 039</w:t>
            </w:r>
          </w:p>
        </w:tc>
      </w:tr>
    </w:tbl>
    <w:p w:rsidR="005135E3" w:rsidRDefault="005135E3" w:rsidP="005135E3">
      <w:pPr>
        <w:pStyle w:val="CGCTableFootnote"/>
      </w:pPr>
      <w:r>
        <w:t>Note</w:t>
      </w:r>
      <w:r w:rsidR="00F2598D">
        <w:t>s</w:t>
      </w:r>
      <w:r>
        <w:t xml:space="preserve">: </w:t>
      </w:r>
      <w:r>
        <w:tab/>
        <w:t>The redistribution is calculated as the sum of the positive (or negative) items in the row.</w:t>
      </w:r>
    </w:p>
    <w:p w:rsidR="0024340A" w:rsidRDefault="005135E3" w:rsidP="005135E3">
      <w:pPr>
        <w:pStyle w:val="CGCTableFootnote"/>
      </w:pPr>
      <w:r>
        <w:tab/>
      </w:r>
      <w:r w:rsidR="0024340A">
        <w:t xml:space="preserve">The amounts shown in this table </w:t>
      </w:r>
      <w:r w:rsidR="00B523C7">
        <w:t>are</w:t>
      </w:r>
      <w:r w:rsidR="0024340A">
        <w:t xml:space="preserve"> the change in the GST distribution from bringing in data for 2014</w:t>
      </w:r>
      <w:r w:rsidR="0024340A">
        <w:noBreakHyphen/>
        <w:t xml:space="preserve">15 for the first time. They differ from the amounts shown in </w:t>
      </w:r>
      <w:r w:rsidR="0024340A">
        <w:fldChar w:fldCharType="begin"/>
      </w:r>
      <w:r w:rsidR="0024340A">
        <w:instrText xml:space="preserve"> REF _Ref428197925 \h </w:instrText>
      </w:r>
      <w:r w:rsidR="0024340A">
        <w:fldChar w:fldCharType="separate"/>
      </w:r>
      <w:r w:rsidR="007A6AF0">
        <w:t xml:space="preserve">Table </w:t>
      </w:r>
      <w:r w:rsidR="007A6AF0">
        <w:rPr>
          <w:noProof/>
        </w:rPr>
        <w:t>3</w:t>
      </w:r>
      <w:r w:rsidR="0024340A">
        <w:fldChar w:fldCharType="end"/>
      </w:r>
      <w:r w:rsidR="0024340A">
        <w:t xml:space="preserve"> </w:t>
      </w:r>
      <w:r w:rsidR="00BD7D40">
        <w:t xml:space="preserve">in the Overview </w:t>
      </w:r>
      <w:r w:rsidR="0024340A">
        <w:t>which also include the effect of revising data.</w:t>
      </w:r>
      <w:r w:rsidR="006A0171">
        <w:t xml:space="preserve"> Totals may not add due to rounding.</w:t>
      </w:r>
    </w:p>
    <w:p w:rsidR="005135E3" w:rsidRDefault="005135E3" w:rsidP="005135E3">
      <w:pPr>
        <w:pStyle w:val="CGCTableFootnote"/>
      </w:pPr>
      <w:r>
        <w:t xml:space="preserve">Source: </w:t>
      </w:r>
      <w:r>
        <w:tab/>
        <w:t>Commission calculation.</w:t>
      </w:r>
    </w:p>
    <w:p w:rsidR="005135E3" w:rsidRDefault="005135E3" w:rsidP="005135E3">
      <w:pPr>
        <w:pStyle w:val="CGCNumberedPara"/>
      </w:pPr>
      <w:r>
        <w:t xml:space="preserve">The changes shown in </w:t>
      </w:r>
      <w:r w:rsidR="00A27A3C">
        <w:fldChar w:fldCharType="begin"/>
      </w:r>
      <w:r w:rsidR="00A27A3C">
        <w:instrText xml:space="preserve"> REF _Ref428431454 \h </w:instrText>
      </w:r>
      <w:r w:rsidR="00A27A3C">
        <w:fldChar w:fldCharType="separate"/>
      </w:r>
      <w:r w:rsidR="007A6AF0">
        <w:t xml:space="preserve">Table </w:t>
      </w:r>
      <w:r w:rsidR="007A6AF0">
        <w:rPr>
          <w:noProof/>
        </w:rPr>
        <w:t>1</w:t>
      </w:r>
      <w:r w:rsidR="007A6AF0">
        <w:noBreakHyphen/>
      </w:r>
      <w:r w:rsidR="007A6AF0">
        <w:rPr>
          <w:noProof/>
        </w:rPr>
        <w:t>4</w:t>
      </w:r>
      <w:r w:rsidR="00A27A3C">
        <w:fldChar w:fldCharType="end"/>
      </w:r>
      <w:r w:rsidR="00A27A3C">
        <w:t xml:space="preserve"> </w:t>
      </w:r>
      <w:r>
        <w:t xml:space="preserve">can be further broken down. </w:t>
      </w:r>
      <w:r w:rsidR="00F42F14">
        <w:fldChar w:fldCharType="begin"/>
      </w:r>
      <w:r w:rsidR="00F42F14">
        <w:instrText xml:space="preserve"> REF _Ref428433239 \h </w:instrText>
      </w:r>
      <w:r w:rsidR="00F42F14">
        <w:fldChar w:fldCharType="separate"/>
      </w:r>
      <w:r w:rsidR="007A6AF0">
        <w:t xml:space="preserve">Table </w:t>
      </w:r>
      <w:r w:rsidR="007A6AF0">
        <w:rPr>
          <w:noProof/>
        </w:rPr>
        <w:t>1</w:t>
      </w:r>
      <w:r w:rsidR="007A6AF0">
        <w:noBreakHyphen/>
      </w:r>
      <w:r w:rsidR="007A6AF0">
        <w:rPr>
          <w:noProof/>
        </w:rPr>
        <w:t>5</w:t>
      </w:r>
      <w:r w:rsidR="00F42F14">
        <w:fldChar w:fldCharType="end"/>
      </w:r>
      <w:r w:rsidR="00F42F14">
        <w:t xml:space="preserve"> </w:t>
      </w:r>
      <w:r>
        <w:t xml:space="preserve">shows the changes in individual drivers that made the largest contribution to the change </w:t>
      </w:r>
      <w:r w:rsidR="00585B81">
        <w:t xml:space="preserve">in State circumstances </w:t>
      </w:r>
      <w:r>
        <w:t>between the 20</w:t>
      </w:r>
      <w:r w:rsidR="002E2A51">
        <w:t>15</w:t>
      </w:r>
      <w:r>
        <w:t xml:space="preserve"> </w:t>
      </w:r>
      <w:r w:rsidR="002E2A51">
        <w:t xml:space="preserve">Review </w:t>
      </w:r>
      <w:r>
        <w:t>and 201</w:t>
      </w:r>
      <w:r w:rsidR="002E2A51">
        <w:t>6 Update</w:t>
      </w:r>
      <w:r>
        <w:t xml:space="preserve">. </w:t>
      </w:r>
    </w:p>
    <w:p w:rsidR="005135E3" w:rsidRDefault="00F42F14" w:rsidP="00F42F14">
      <w:pPr>
        <w:pStyle w:val="Caption"/>
      </w:pPr>
      <w:bookmarkStart w:id="445" w:name="_Ref428433239"/>
      <w:r>
        <w:lastRenderedPageBreak/>
        <w:t xml:space="preserve">Table </w:t>
      </w:r>
      <w:r w:rsidR="0014378B">
        <w:fldChar w:fldCharType="begin"/>
      </w:r>
      <w:r w:rsidR="0014378B">
        <w:instrText xml:space="preserve"> STYLEREF 1 \s </w:instrText>
      </w:r>
      <w:r w:rsidR="0014378B">
        <w:fldChar w:fldCharType="separate"/>
      </w:r>
      <w:r w:rsidR="007A6AF0">
        <w:rPr>
          <w:noProof/>
        </w:rPr>
        <w:t>1</w:t>
      </w:r>
      <w:r w:rsidR="0014378B">
        <w:rPr>
          <w:noProof/>
        </w:rPr>
        <w:fldChar w:fldCharType="end"/>
      </w:r>
      <w:r w:rsidR="001F6199">
        <w:noBreakHyphen/>
      </w:r>
      <w:r w:rsidR="0014378B">
        <w:fldChar w:fldCharType="begin"/>
      </w:r>
      <w:r w:rsidR="0014378B">
        <w:instrText xml:space="preserve"> SEQ Tabl</w:instrText>
      </w:r>
      <w:r w:rsidR="0014378B">
        <w:instrText xml:space="preserve">e \* ARABIC \s 1 </w:instrText>
      </w:r>
      <w:r w:rsidR="0014378B">
        <w:fldChar w:fldCharType="separate"/>
      </w:r>
      <w:r w:rsidR="007A6AF0">
        <w:rPr>
          <w:noProof/>
        </w:rPr>
        <w:t>5</w:t>
      </w:r>
      <w:r w:rsidR="0014378B">
        <w:rPr>
          <w:noProof/>
        </w:rPr>
        <w:fldChar w:fldCharType="end"/>
      </w:r>
      <w:bookmarkEnd w:id="445"/>
      <w:r w:rsidR="005135E3" w:rsidRPr="005135E3">
        <w:tab/>
        <w:t xml:space="preserve">Contribution to change in </w:t>
      </w:r>
      <w:r w:rsidR="00585B81">
        <w:t>State circumstances</w:t>
      </w:r>
      <w:r w:rsidR="005135E3" w:rsidRPr="005135E3">
        <w:t>, 201</w:t>
      </w:r>
      <w:r w:rsidR="00B86AB4">
        <w:t>6</w:t>
      </w:r>
      <w:r w:rsidR="005135E3" w:rsidRPr="005135E3">
        <w:t>-1</w:t>
      </w:r>
      <w:r w:rsidR="00B86AB4">
        <w:t>7</w:t>
      </w:r>
    </w:p>
    <w:tbl>
      <w:tblPr>
        <w:tblW w:w="9180" w:type="dxa"/>
        <w:tblInd w:w="93" w:type="dxa"/>
        <w:tblLook w:val="04A0" w:firstRow="1" w:lastRow="0" w:firstColumn="1" w:lastColumn="0" w:noHBand="0" w:noVBand="1"/>
      </w:tblPr>
      <w:tblGrid>
        <w:gridCol w:w="3380"/>
        <w:gridCol w:w="840"/>
        <w:gridCol w:w="600"/>
        <w:gridCol w:w="600"/>
        <w:gridCol w:w="600"/>
        <w:gridCol w:w="580"/>
        <w:gridCol w:w="580"/>
        <w:gridCol w:w="580"/>
        <w:gridCol w:w="600"/>
        <w:gridCol w:w="820"/>
      </w:tblGrid>
      <w:tr w:rsidR="00355DDF" w:rsidRPr="00355DDF" w:rsidTr="00355DDF">
        <w:trPr>
          <w:trHeight w:val="375"/>
        </w:trPr>
        <w:tc>
          <w:tcPr>
            <w:tcW w:w="3380" w:type="dxa"/>
            <w:tcBorders>
              <w:top w:val="single" w:sz="4" w:space="0" w:color="auto"/>
              <w:left w:val="nil"/>
              <w:bottom w:val="single" w:sz="4" w:space="0" w:color="auto"/>
              <w:right w:val="nil"/>
            </w:tcBorders>
            <w:shd w:val="clear" w:color="auto" w:fill="auto"/>
            <w:noWrap/>
            <w:vAlign w:val="bottom"/>
            <w:hideMark/>
          </w:tcPr>
          <w:p w:rsidR="00355DDF" w:rsidRPr="00355DDF" w:rsidRDefault="00355DDF" w:rsidP="00335D57">
            <w:pPr>
              <w:keepNext/>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 </w:t>
            </w:r>
          </w:p>
        </w:tc>
        <w:tc>
          <w:tcPr>
            <w:tcW w:w="84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NSW</w:t>
            </w:r>
          </w:p>
        </w:tc>
        <w:tc>
          <w:tcPr>
            <w:tcW w:w="60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Vic</w:t>
            </w:r>
          </w:p>
        </w:tc>
        <w:tc>
          <w:tcPr>
            <w:tcW w:w="60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Qld</w:t>
            </w:r>
          </w:p>
        </w:tc>
        <w:tc>
          <w:tcPr>
            <w:tcW w:w="60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WA</w:t>
            </w:r>
          </w:p>
        </w:tc>
        <w:tc>
          <w:tcPr>
            <w:tcW w:w="58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SA</w:t>
            </w:r>
          </w:p>
        </w:tc>
        <w:tc>
          <w:tcPr>
            <w:tcW w:w="58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Tas</w:t>
            </w:r>
          </w:p>
        </w:tc>
        <w:tc>
          <w:tcPr>
            <w:tcW w:w="58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ACT</w:t>
            </w:r>
          </w:p>
        </w:tc>
        <w:tc>
          <w:tcPr>
            <w:tcW w:w="60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NT</w:t>
            </w:r>
          </w:p>
        </w:tc>
        <w:tc>
          <w:tcPr>
            <w:tcW w:w="820" w:type="dxa"/>
            <w:tcBorders>
              <w:top w:val="single" w:sz="4" w:space="0" w:color="auto"/>
              <w:left w:val="nil"/>
              <w:bottom w:val="single" w:sz="4" w:space="0" w:color="auto"/>
              <w:right w:val="nil"/>
            </w:tcBorders>
            <w:shd w:val="clear" w:color="auto" w:fill="auto"/>
            <w:noWrap/>
            <w:vAlign w:val="center"/>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proofErr w:type="spellStart"/>
            <w:r w:rsidRPr="00355DDF">
              <w:rPr>
                <w:rFonts w:ascii="Calibri" w:eastAsia="Times New Roman" w:hAnsi="Calibri" w:cs="Times New Roman"/>
                <w:sz w:val="20"/>
                <w:szCs w:val="20"/>
                <w:lang w:eastAsia="en-AU"/>
              </w:rPr>
              <w:t>Redist</w:t>
            </w:r>
            <w:proofErr w:type="spellEnd"/>
          </w:p>
        </w:tc>
      </w:tr>
      <w:tr w:rsidR="00355DDF" w:rsidRPr="00355DDF" w:rsidTr="00355DDF">
        <w:trPr>
          <w:trHeight w:val="255"/>
        </w:trPr>
        <w:tc>
          <w:tcPr>
            <w:tcW w:w="3380" w:type="dxa"/>
            <w:tcBorders>
              <w:top w:val="nil"/>
              <w:left w:val="nil"/>
              <w:bottom w:val="nil"/>
              <w:right w:val="nil"/>
            </w:tcBorders>
            <w:shd w:val="clear" w:color="auto" w:fill="auto"/>
            <w:noWrap/>
            <w:vAlign w:val="bottom"/>
            <w:hideMark/>
          </w:tcPr>
          <w:p w:rsidR="00355DDF" w:rsidRPr="00355DDF" w:rsidRDefault="00355DDF" w:rsidP="00335D57">
            <w:pPr>
              <w:keepNext/>
              <w:tabs>
                <w:tab w:val="clear" w:pos="567"/>
              </w:tabs>
              <w:spacing w:after="0" w:line="240" w:lineRule="auto"/>
              <w:rPr>
                <w:rFonts w:ascii="Calibri" w:eastAsia="Times New Roman" w:hAnsi="Calibri" w:cs="Times New Roman"/>
                <w:sz w:val="20"/>
                <w:szCs w:val="20"/>
                <w:lang w:eastAsia="en-AU"/>
              </w:rPr>
            </w:pPr>
          </w:p>
        </w:tc>
        <w:tc>
          <w:tcPr>
            <w:tcW w:w="840" w:type="dxa"/>
            <w:tcBorders>
              <w:top w:val="nil"/>
              <w:left w:val="nil"/>
              <w:bottom w:val="nil"/>
              <w:right w:val="nil"/>
            </w:tcBorders>
            <w:shd w:val="clear" w:color="auto" w:fill="auto"/>
            <w:noWrap/>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600" w:type="dxa"/>
            <w:tcBorders>
              <w:top w:val="nil"/>
              <w:left w:val="nil"/>
              <w:bottom w:val="nil"/>
              <w:right w:val="nil"/>
            </w:tcBorders>
            <w:shd w:val="clear" w:color="auto" w:fill="auto"/>
            <w:noWrap/>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600" w:type="dxa"/>
            <w:tcBorders>
              <w:top w:val="nil"/>
              <w:left w:val="nil"/>
              <w:bottom w:val="nil"/>
              <w:right w:val="nil"/>
            </w:tcBorders>
            <w:shd w:val="clear" w:color="auto" w:fill="auto"/>
            <w:noWrap/>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600" w:type="dxa"/>
            <w:tcBorders>
              <w:top w:val="nil"/>
              <w:left w:val="nil"/>
              <w:bottom w:val="nil"/>
              <w:right w:val="nil"/>
            </w:tcBorders>
            <w:shd w:val="clear" w:color="auto" w:fill="auto"/>
            <w:noWrap/>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580" w:type="dxa"/>
            <w:tcBorders>
              <w:top w:val="nil"/>
              <w:left w:val="nil"/>
              <w:bottom w:val="nil"/>
              <w:right w:val="nil"/>
            </w:tcBorders>
            <w:shd w:val="clear" w:color="auto" w:fill="auto"/>
            <w:noWrap/>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580" w:type="dxa"/>
            <w:tcBorders>
              <w:top w:val="nil"/>
              <w:left w:val="nil"/>
              <w:bottom w:val="nil"/>
              <w:right w:val="nil"/>
            </w:tcBorders>
            <w:shd w:val="clear" w:color="auto" w:fill="auto"/>
            <w:noWrap/>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580" w:type="dxa"/>
            <w:tcBorders>
              <w:top w:val="nil"/>
              <w:left w:val="nil"/>
              <w:bottom w:val="nil"/>
              <w:right w:val="nil"/>
            </w:tcBorders>
            <w:shd w:val="clear" w:color="auto" w:fill="auto"/>
            <w:noWrap/>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600" w:type="dxa"/>
            <w:tcBorders>
              <w:top w:val="nil"/>
              <w:left w:val="nil"/>
              <w:bottom w:val="nil"/>
              <w:right w:val="nil"/>
            </w:tcBorders>
            <w:shd w:val="clear" w:color="auto" w:fill="auto"/>
            <w:noWrap/>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w:t>
            </w:r>
          </w:p>
        </w:tc>
      </w:tr>
      <w:tr w:rsidR="00355DDF" w:rsidRPr="00355DDF" w:rsidTr="00355DDF">
        <w:trPr>
          <w:trHeight w:val="315"/>
        </w:trPr>
        <w:tc>
          <w:tcPr>
            <w:tcW w:w="3380" w:type="dxa"/>
            <w:tcBorders>
              <w:top w:val="nil"/>
              <w:left w:val="nil"/>
              <w:bottom w:val="nil"/>
              <w:right w:val="nil"/>
            </w:tcBorders>
            <w:shd w:val="clear" w:color="auto" w:fill="auto"/>
            <w:noWrap/>
            <w:vAlign w:val="bottom"/>
            <w:hideMark/>
          </w:tcPr>
          <w:p w:rsidR="00355DDF" w:rsidRPr="00355DDF" w:rsidRDefault="00355DDF" w:rsidP="00335D57">
            <w:pPr>
              <w:keepNext/>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Mining production</w:t>
            </w:r>
          </w:p>
        </w:tc>
        <w:tc>
          <w:tcPr>
            <w:tcW w:w="84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-145</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-232</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257</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239</w:t>
            </w:r>
          </w:p>
        </w:tc>
        <w:tc>
          <w:tcPr>
            <w:tcW w:w="58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-74</w:t>
            </w:r>
          </w:p>
        </w:tc>
        <w:tc>
          <w:tcPr>
            <w:tcW w:w="58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-14</w:t>
            </w:r>
          </w:p>
        </w:tc>
        <w:tc>
          <w:tcPr>
            <w:tcW w:w="58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-17</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-14</w:t>
            </w:r>
          </w:p>
        </w:tc>
        <w:tc>
          <w:tcPr>
            <w:tcW w:w="82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497</w:t>
            </w:r>
          </w:p>
        </w:tc>
      </w:tr>
      <w:tr w:rsidR="00355DDF" w:rsidRPr="00355DDF" w:rsidTr="00355DDF">
        <w:trPr>
          <w:trHeight w:val="315"/>
        </w:trPr>
        <w:tc>
          <w:tcPr>
            <w:tcW w:w="3380" w:type="dxa"/>
            <w:tcBorders>
              <w:top w:val="nil"/>
              <w:left w:val="nil"/>
              <w:bottom w:val="nil"/>
              <w:right w:val="nil"/>
            </w:tcBorders>
            <w:shd w:val="clear" w:color="auto" w:fill="auto"/>
            <w:noWrap/>
            <w:vAlign w:val="bottom"/>
            <w:hideMark/>
          </w:tcPr>
          <w:p w:rsidR="00355DDF" w:rsidRPr="00355DDF" w:rsidRDefault="00355DDF" w:rsidP="00335D57">
            <w:pPr>
              <w:keepNext/>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Property sales</w:t>
            </w:r>
          </w:p>
        </w:tc>
        <w:tc>
          <w:tcPr>
            <w:tcW w:w="84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-457</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65</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94</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173</w:t>
            </w:r>
          </w:p>
        </w:tc>
        <w:tc>
          <w:tcPr>
            <w:tcW w:w="58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69</w:t>
            </w:r>
          </w:p>
        </w:tc>
        <w:tc>
          <w:tcPr>
            <w:tcW w:w="58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21</w:t>
            </w:r>
          </w:p>
        </w:tc>
        <w:tc>
          <w:tcPr>
            <w:tcW w:w="58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28</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8</w:t>
            </w:r>
          </w:p>
        </w:tc>
        <w:tc>
          <w:tcPr>
            <w:tcW w:w="82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457</w:t>
            </w:r>
          </w:p>
        </w:tc>
      </w:tr>
      <w:tr w:rsidR="00355DDF" w:rsidRPr="00355DDF" w:rsidTr="00355DDF">
        <w:trPr>
          <w:trHeight w:val="315"/>
        </w:trPr>
        <w:tc>
          <w:tcPr>
            <w:tcW w:w="3380" w:type="dxa"/>
            <w:tcBorders>
              <w:top w:val="nil"/>
              <w:left w:val="nil"/>
              <w:bottom w:val="nil"/>
              <w:right w:val="nil"/>
            </w:tcBorders>
            <w:shd w:val="clear" w:color="auto" w:fill="auto"/>
            <w:noWrap/>
            <w:vAlign w:val="bottom"/>
            <w:hideMark/>
          </w:tcPr>
          <w:p w:rsidR="00355DDF" w:rsidRPr="00355DDF" w:rsidRDefault="00355DDF" w:rsidP="00335D57">
            <w:pPr>
              <w:keepNext/>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Population growth</w:t>
            </w:r>
            <w:r>
              <w:rPr>
                <w:rFonts w:ascii="Calibri" w:eastAsia="Times New Roman" w:hAnsi="Calibri" w:cs="Times New Roman"/>
                <w:sz w:val="20"/>
                <w:szCs w:val="20"/>
                <w:lang w:eastAsia="en-AU"/>
              </w:rPr>
              <w:t xml:space="preserve"> (a)</w:t>
            </w:r>
          </w:p>
        </w:tc>
        <w:tc>
          <w:tcPr>
            <w:tcW w:w="84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167</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97</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-70</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-191</w:t>
            </w:r>
          </w:p>
        </w:tc>
        <w:tc>
          <w:tcPr>
            <w:tcW w:w="58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16</w:t>
            </w:r>
          </w:p>
        </w:tc>
        <w:tc>
          <w:tcPr>
            <w:tcW w:w="58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w:t>
            </w:r>
          </w:p>
        </w:tc>
        <w:tc>
          <w:tcPr>
            <w:tcW w:w="58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-8</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-14</w:t>
            </w:r>
          </w:p>
        </w:tc>
        <w:tc>
          <w:tcPr>
            <w:tcW w:w="82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283</w:t>
            </w:r>
          </w:p>
        </w:tc>
      </w:tr>
      <w:tr w:rsidR="00355DDF" w:rsidRPr="00355DDF" w:rsidTr="00355DDF">
        <w:trPr>
          <w:trHeight w:val="315"/>
        </w:trPr>
        <w:tc>
          <w:tcPr>
            <w:tcW w:w="3380" w:type="dxa"/>
            <w:tcBorders>
              <w:top w:val="nil"/>
              <w:left w:val="nil"/>
              <w:bottom w:val="nil"/>
              <w:right w:val="nil"/>
            </w:tcBorders>
            <w:shd w:val="clear" w:color="auto" w:fill="auto"/>
            <w:noWrap/>
            <w:vAlign w:val="bottom"/>
            <w:hideMark/>
          </w:tcPr>
          <w:p w:rsidR="00355DDF" w:rsidRPr="00355DDF" w:rsidRDefault="00355DDF" w:rsidP="00335D57">
            <w:pPr>
              <w:keepNext/>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Commonwealth payments</w:t>
            </w:r>
          </w:p>
        </w:tc>
        <w:tc>
          <w:tcPr>
            <w:tcW w:w="84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-311</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19</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-24</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37</w:t>
            </w:r>
          </w:p>
        </w:tc>
        <w:tc>
          <w:tcPr>
            <w:tcW w:w="58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277</w:t>
            </w:r>
          </w:p>
        </w:tc>
        <w:tc>
          <w:tcPr>
            <w:tcW w:w="58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w:t>
            </w:r>
          </w:p>
        </w:tc>
        <w:tc>
          <w:tcPr>
            <w:tcW w:w="58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0</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w:t>
            </w:r>
          </w:p>
        </w:tc>
        <w:tc>
          <w:tcPr>
            <w:tcW w:w="82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337</w:t>
            </w:r>
          </w:p>
        </w:tc>
      </w:tr>
      <w:tr w:rsidR="00355DDF" w:rsidRPr="00355DDF" w:rsidTr="00355DDF">
        <w:trPr>
          <w:trHeight w:val="315"/>
        </w:trPr>
        <w:tc>
          <w:tcPr>
            <w:tcW w:w="3380" w:type="dxa"/>
            <w:tcBorders>
              <w:top w:val="nil"/>
              <w:left w:val="nil"/>
              <w:bottom w:val="nil"/>
              <w:right w:val="nil"/>
            </w:tcBorders>
            <w:shd w:val="clear" w:color="auto" w:fill="auto"/>
            <w:noWrap/>
            <w:vAlign w:val="bottom"/>
            <w:hideMark/>
          </w:tcPr>
          <w:p w:rsidR="00355DDF" w:rsidRPr="00355DDF" w:rsidRDefault="00355DDF" w:rsidP="00335D57">
            <w:pPr>
              <w:keepNext/>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Natural disaster relief</w:t>
            </w:r>
          </w:p>
        </w:tc>
        <w:tc>
          <w:tcPr>
            <w:tcW w:w="84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-96</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-76</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151</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w:t>
            </w:r>
          </w:p>
        </w:tc>
        <w:tc>
          <w:tcPr>
            <w:tcW w:w="58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8</w:t>
            </w:r>
          </w:p>
        </w:tc>
        <w:tc>
          <w:tcPr>
            <w:tcW w:w="58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w:t>
            </w:r>
          </w:p>
        </w:tc>
        <w:tc>
          <w:tcPr>
            <w:tcW w:w="58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9</w:t>
            </w:r>
          </w:p>
        </w:tc>
        <w:tc>
          <w:tcPr>
            <w:tcW w:w="82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175</w:t>
            </w:r>
          </w:p>
        </w:tc>
      </w:tr>
      <w:tr w:rsidR="00355DDF" w:rsidRPr="00355DDF" w:rsidTr="00355DDF">
        <w:trPr>
          <w:trHeight w:val="315"/>
        </w:trPr>
        <w:tc>
          <w:tcPr>
            <w:tcW w:w="3380" w:type="dxa"/>
            <w:tcBorders>
              <w:top w:val="nil"/>
              <w:left w:val="nil"/>
              <w:bottom w:val="nil"/>
              <w:right w:val="nil"/>
            </w:tcBorders>
            <w:shd w:val="clear" w:color="auto" w:fill="auto"/>
            <w:noWrap/>
            <w:vAlign w:val="bottom"/>
            <w:hideMark/>
          </w:tcPr>
          <w:p w:rsidR="00355DDF" w:rsidRPr="00355DDF" w:rsidRDefault="00355DDF" w:rsidP="00335D57">
            <w:pPr>
              <w:keepNext/>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Wage costs</w:t>
            </w:r>
            <w:r>
              <w:rPr>
                <w:rFonts w:ascii="Calibri" w:eastAsia="Times New Roman" w:hAnsi="Calibri" w:cs="Times New Roman"/>
                <w:sz w:val="20"/>
                <w:szCs w:val="20"/>
                <w:lang w:eastAsia="en-AU"/>
              </w:rPr>
              <w:t xml:space="preserve"> (b)</w:t>
            </w:r>
          </w:p>
        </w:tc>
        <w:tc>
          <w:tcPr>
            <w:tcW w:w="84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-48</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88</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23</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35</w:t>
            </w:r>
          </w:p>
        </w:tc>
        <w:tc>
          <w:tcPr>
            <w:tcW w:w="58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-59</w:t>
            </w:r>
          </w:p>
        </w:tc>
        <w:tc>
          <w:tcPr>
            <w:tcW w:w="58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-31</w:t>
            </w:r>
          </w:p>
        </w:tc>
        <w:tc>
          <w:tcPr>
            <w:tcW w:w="58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-11</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w:t>
            </w:r>
          </w:p>
        </w:tc>
        <w:tc>
          <w:tcPr>
            <w:tcW w:w="82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149</w:t>
            </w:r>
          </w:p>
        </w:tc>
      </w:tr>
      <w:tr w:rsidR="00355DDF" w:rsidRPr="00355DDF" w:rsidTr="00355DDF">
        <w:trPr>
          <w:trHeight w:val="315"/>
        </w:trPr>
        <w:tc>
          <w:tcPr>
            <w:tcW w:w="3380" w:type="dxa"/>
            <w:tcBorders>
              <w:top w:val="nil"/>
              <w:left w:val="nil"/>
              <w:bottom w:val="nil"/>
              <w:right w:val="nil"/>
            </w:tcBorders>
            <w:shd w:val="clear" w:color="auto" w:fill="auto"/>
            <w:noWrap/>
            <w:vAlign w:val="bottom"/>
            <w:hideMark/>
          </w:tcPr>
          <w:p w:rsidR="00355DDF" w:rsidRPr="00355DDF" w:rsidRDefault="00355DDF" w:rsidP="00335D57">
            <w:pPr>
              <w:keepNext/>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Taxable payrolls</w:t>
            </w:r>
          </w:p>
        </w:tc>
        <w:tc>
          <w:tcPr>
            <w:tcW w:w="84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-30</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48</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47</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-40</w:t>
            </w:r>
          </w:p>
        </w:tc>
        <w:tc>
          <w:tcPr>
            <w:tcW w:w="58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-24</w:t>
            </w:r>
          </w:p>
        </w:tc>
        <w:tc>
          <w:tcPr>
            <w:tcW w:w="58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25</w:t>
            </w:r>
          </w:p>
        </w:tc>
        <w:tc>
          <w:tcPr>
            <w:tcW w:w="60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-25</w:t>
            </w:r>
          </w:p>
        </w:tc>
        <w:tc>
          <w:tcPr>
            <w:tcW w:w="820" w:type="dxa"/>
            <w:tcBorders>
              <w:top w:val="nil"/>
              <w:left w:val="nil"/>
              <w:bottom w:val="nil"/>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119</w:t>
            </w:r>
          </w:p>
        </w:tc>
      </w:tr>
      <w:tr w:rsidR="00355DDF" w:rsidRPr="00355DDF" w:rsidTr="00355DDF">
        <w:trPr>
          <w:trHeight w:val="315"/>
        </w:trPr>
        <w:tc>
          <w:tcPr>
            <w:tcW w:w="3380" w:type="dxa"/>
            <w:tcBorders>
              <w:top w:val="nil"/>
              <w:left w:val="nil"/>
              <w:bottom w:val="nil"/>
              <w:right w:val="nil"/>
            </w:tcBorders>
            <w:shd w:val="clear" w:color="auto" w:fill="auto"/>
            <w:noWrap/>
            <w:vAlign w:val="bottom"/>
            <w:hideMark/>
          </w:tcPr>
          <w:p w:rsidR="00355DDF" w:rsidRPr="00355DDF" w:rsidRDefault="00355DDF" w:rsidP="00335D57">
            <w:pPr>
              <w:keepNext/>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Other causes of change</w:t>
            </w:r>
          </w:p>
        </w:tc>
        <w:tc>
          <w:tcPr>
            <w:tcW w:w="840" w:type="dxa"/>
            <w:tcBorders>
              <w:top w:val="nil"/>
              <w:left w:val="nil"/>
              <w:bottom w:val="single" w:sz="4" w:space="0" w:color="auto"/>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113</w:t>
            </w:r>
          </w:p>
        </w:tc>
        <w:tc>
          <w:tcPr>
            <w:tcW w:w="600" w:type="dxa"/>
            <w:tcBorders>
              <w:top w:val="nil"/>
              <w:left w:val="nil"/>
              <w:bottom w:val="single" w:sz="4" w:space="0" w:color="auto"/>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205</w:t>
            </w:r>
          </w:p>
        </w:tc>
        <w:tc>
          <w:tcPr>
            <w:tcW w:w="600" w:type="dxa"/>
            <w:tcBorders>
              <w:top w:val="nil"/>
              <w:left w:val="nil"/>
              <w:bottom w:val="single" w:sz="4" w:space="0" w:color="auto"/>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13</w:t>
            </w:r>
          </w:p>
        </w:tc>
        <w:tc>
          <w:tcPr>
            <w:tcW w:w="600" w:type="dxa"/>
            <w:tcBorders>
              <w:top w:val="nil"/>
              <w:left w:val="nil"/>
              <w:bottom w:val="single" w:sz="4" w:space="0" w:color="auto"/>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-187</w:t>
            </w:r>
          </w:p>
        </w:tc>
        <w:tc>
          <w:tcPr>
            <w:tcW w:w="580" w:type="dxa"/>
            <w:tcBorders>
              <w:top w:val="nil"/>
              <w:left w:val="nil"/>
              <w:bottom w:val="single" w:sz="4" w:space="0" w:color="auto"/>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53</w:t>
            </w:r>
          </w:p>
        </w:tc>
        <w:tc>
          <w:tcPr>
            <w:tcW w:w="580" w:type="dxa"/>
            <w:tcBorders>
              <w:top w:val="nil"/>
              <w:left w:val="nil"/>
              <w:bottom w:val="single" w:sz="4" w:space="0" w:color="auto"/>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-30</w:t>
            </w:r>
          </w:p>
        </w:tc>
        <w:tc>
          <w:tcPr>
            <w:tcW w:w="580" w:type="dxa"/>
            <w:tcBorders>
              <w:top w:val="nil"/>
              <w:left w:val="nil"/>
              <w:bottom w:val="single" w:sz="4" w:space="0" w:color="auto"/>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-12</w:t>
            </w:r>
          </w:p>
        </w:tc>
        <w:tc>
          <w:tcPr>
            <w:tcW w:w="600" w:type="dxa"/>
            <w:tcBorders>
              <w:top w:val="nil"/>
              <w:left w:val="nil"/>
              <w:bottom w:val="single" w:sz="4" w:space="0" w:color="auto"/>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-155</w:t>
            </w:r>
          </w:p>
        </w:tc>
        <w:tc>
          <w:tcPr>
            <w:tcW w:w="820" w:type="dxa"/>
            <w:tcBorders>
              <w:top w:val="nil"/>
              <w:left w:val="nil"/>
              <w:bottom w:val="single" w:sz="4" w:space="0" w:color="auto"/>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383</w:t>
            </w:r>
          </w:p>
        </w:tc>
      </w:tr>
      <w:tr w:rsidR="00355DDF" w:rsidRPr="00355DDF" w:rsidTr="00355DDF">
        <w:trPr>
          <w:trHeight w:val="315"/>
        </w:trPr>
        <w:tc>
          <w:tcPr>
            <w:tcW w:w="3380" w:type="dxa"/>
            <w:tcBorders>
              <w:top w:val="nil"/>
              <w:left w:val="nil"/>
              <w:bottom w:val="single" w:sz="4" w:space="0" w:color="auto"/>
              <w:right w:val="nil"/>
            </w:tcBorders>
            <w:shd w:val="clear" w:color="auto" w:fill="auto"/>
            <w:noWrap/>
            <w:vAlign w:val="bottom"/>
            <w:hideMark/>
          </w:tcPr>
          <w:p w:rsidR="00355DDF" w:rsidRPr="00355DDF" w:rsidRDefault="00355DDF" w:rsidP="00335D57">
            <w:pPr>
              <w:keepNext/>
              <w:tabs>
                <w:tab w:val="clear" w:pos="567"/>
              </w:tabs>
              <w:spacing w:after="0" w:line="240" w:lineRule="auto"/>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Total</w:t>
            </w:r>
          </w:p>
        </w:tc>
        <w:tc>
          <w:tcPr>
            <w:tcW w:w="840" w:type="dxa"/>
            <w:tcBorders>
              <w:top w:val="nil"/>
              <w:left w:val="nil"/>
              <w:bottom w:val="single" w:sz="4" w:space="0" w:color="auto"/>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-808</w:t>
            </w:r>
          </w:p>
        </w:tc>
        <w:tc>
          <w:tcPr>
            <w:tcW w:w="600" w:type="dxa"/>
            <w:tcBorders>
              <w:top w:val="nil"/>
              <w:left w:val="nil"/>
              <w:bottom w:val="single" w:sz="4" w:space="0" w:color="auto"/>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213</w:t>
            </w:r>
          </w:p>
        </w:tc>
        <w:tc>
          <w:tcPr>
            <w:tcW w:w="600" w:type="dxa"/>
            <w:tcBorders>
              <w:top w:val="nil"/>
              <w:left w:val="nil"/>
              <w:bottom w:val="single" w:sz="4" w:space="0" w:color="auto"/>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491</w:t>
            </w:r>
          </w:p>
        </w:tc>
        <w:tc>
          <w:tcPr>
            <w:tcW w:w="600" w:type="dxa"/>
            <w:tcBorders>
              <w:top w:val="nil"/>
              <w:left w:val="nil"/>
              <w:bottom w:val="single" w:sz="4" w:space="0" w:color="auto"/>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63</w:t>
            </w:r>
          </w:p>
        </w:tc>
        <w:tc>
          <w:tcPr>
            <w:tcW w:w="580" w:type="dxa"/>
            <w:tcBorders>
              <w:top w:val="nil"/>
              <w:left w:val="nil"/>
              <w:bottom w:val="single" w:sz="4" w:space="0" w:color="auto"/>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267</w:t>
            </w:r>
          </w:p>
        </w:tc>
        <w:tc>
          <w:tcPr>
            <w:tcW w:w="580" w:type="dxa"/>
            <w:tcBorders>
              <w:top w:val="nil"/>
              <w:left w:val="nil"/>
              <w:bottom w:val="single" w:sz="4" w:space="0" w:color="auto"/>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-48</w:t>
            </w:r>
          </w:p>
        </w:tc>
        <w:tc>
          <w:tcPr>
            <w:tcW w:w="580" w:type="dxa"/>
            <w:tcBorders>
              <w:top w:val="nil"/>
              <w:left w:val="nil"/>
              <w:bottom w:val="single" w:sz="4" w:space="0" w:color="auto"/>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6</w:t>
            </w:r>
          </w:p>
        </w:tc>
        <w:tc>
          <w:tcPr>
            <w:tcW w:w="600" w:type="dxa"/>
            <w:tcBorders>
              <w:top w:val="nil"/>
              <w:left w:val="nil"/>
              <w:bottom w:val="single" w:sz="4" w:space="0" w:color="auto"/>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-183</w:t>
            </w:r>
          </w:p>
        </w:tc>
        <w:tc>
          <w:tcPr>
            <w:tcW w:w="820" w:type="dxa"/>
            <w:tcBorders>
              <w:top w:val="nil"/>
              <w:left w:val="nil"/>
              <w:bottom w:val="single" w:sz="4" w:space="0" w:color="auto"/>
              <w:right w:val="nil"/>
            </w:tcBorders>
            <w:shd w:val="clear" w:color="auto" w:fill="auto"/>
            <w:vAlign w:val="bottom"/>
            <w:hideMark/>
          </w:tcPr>
          <w:p w:rsidR="00355DDF" w:rsidRPr="00355DDF" w:rsidRDefault="00355DDF" w:rsidP="00335D57">
            <w:pPr>
              <w:keepNext/>
              <w:tabs>
                <w:tab w:val="clear" w:pos="567"/>
              </w:tabs>
              <w:spacing w:after="0" w:line="240" w:lineRule="auto"/>
              <w:jc w:val="right"/>
              <w:rPr>
                <w:rFonts w:ascii="Calibri" w:eastAsia="Times New Roman" w:hAnsi="Calibri" w:cs="Times New Roman"/>
                <w:sz w:val="20"/>
                <w:szCs w:val="20"/>
                <w:lang w:eastAsia="en-AU"/>
              </w:rPr>
            </w:pPr>
            <w:r w:rsidRPr="00355DDF">
              <w:rPr>
                <w:rFonts w:ascii="Calibri" w:eastAsia="Times New Roman" w:hAnsi="Calibri" w:cs="Times New Roman"/>
                <w:sz w:val="20"/>
                <w:szCs w:val="20"/>
                <w:lang w:eastAsia="en-AU"/>
              </w:rPr>
              <w:t>1 039</w:t>
            </w:r>
          </w:p>
        </w:tc>
      </w:tr>
    </w:tbl>
    <w:p w:rsidR="00214375" w:rsidRDefault="00214375" w:rsidP="0065036E">
      <w:pPr>
        <w:pStyle w:val="CGCTableFootnote"/>
      </w:pPr>
      <w:r>
        <w:t>(a)</w:t>
      </w:r>
      <w:r>
        <w:tab/>
        <w:t>Net borrowing contributes to this total; however, in this update the change in the impact of population growth in the net borrowing assessment</w:t>
      </w:r>
      <w:r w:rsidR="00F2598D">
        <w:t xml:space="preserve"> partially</w:t>
      </w:r>
      <w:r>
        <w:t xml:space="preserve"> offsets its impact in the investment assessment. This is because States with a smaller share of population </w:t>
      </w:r>
      <w:r w:rsidR="003B1E11">
        <w:t>growth</w:t>
      </w:r>
      <w:r>
        <w:t xml:space="preserve"> in 2014</w:t>
      </w:r>
      <w:r>
        <w:noBreakHyphen/>
        <w:t>15 compared with 2011</w:t>
      </w:r>
      <w:r>
        <w:noBreakHyphen/>
        <w:t xml:space="preserve">12 require more GST because their net liabilities are being diluted at a slower rate. </w:t>
      </w:r>
    </w:p>
    <w:p w:rsidR="0065036E" w:rsidRDefault="00214375" w:rsidP="0065036E">
      <w:pPr>
        <w:pStyle w:val="CGCTableFootnote"/>
      </w:pPr>
      <w:r>
        <w:t>(b</w:t>
      </w:r>
      <w:r w:rsidR="0065036E">
        <w:t>)</w:t>
      </w:r>
      <w:r w:rsidR="0065036E">
        <w:tab/>
      </w:r>
      <w:r>
        <w:t>E</w:t>
      </w:r>
      <w:r w:rsidR="0065036E">
        <w:t>xcludes the impacts in Investment.</w:t>
      </w:r>
    </w:p>
    <w:p w:rsidR="005135E3" w:rsidRDefault="005135E3" w:rsidP="005135E3">
      <w:pPr>
        <w:pStyle w:val="CGCTableFootnote"/>
      </w:pPr>
      <w:r>
        <w:t>Note</w:t>
      </w:r>
      <w:r w:rsidR="009324EA">
        <w:t>s</w:t>
      </w:r>
      <w:r>
        <w:t>:</w:t>
      </w:r>
      <w:r>
        <w:tab/>
        <w:t>The redistribution is calculated as the sum of the positive (or negative) items in the row.</w:t>
      </w:r>
    </w:p>
    <w:p w:rsidR="005135E3" w:rsidRDefault="00B523C7" w:rsidP="005135E3">
      <w:pPr>
        <w:pStyle w:val="CGCTableFootnote"/>
      </w:pPr>
      <w:r>
        <w:tab/>
        <w:t xml:space="preserve">The amounts shown in this table are the change in the GST distribution from </w:t>
      </w:r>
      <w:r w:rsidR="003B1E11">
        <w:t>replacing 2011</w:t>
      </w:r>
      <w:r w:rsidR="003B1E11">
        <w:noBreakHyphen/>
        <w:t xml:space="preserve">12 data with </w:t>
      </w:r>
      <w:r>
        <w:t>2014</w:t>
      </w:r>
      <w:r>
        <w:noBreakHyphen/>
        <w:t xml:space="preserve">15 </w:t>
      </w:r>
      <w:r w:rsidR="003B1E11">
        <w:t>data</w:t>
      </w:r>
      <w:r>
        <w:t xml:space="preserve">. They differ from the amounts shown in </w:t>
      </w:r>
      <w:r>
        <w:fldChar w:fldCharType="begin"/>
      </w:r>
      <w:r>
        <w:instrText xml:space="preserve"> REF _Ref428198016 \h </w:instrText>
      </w:r>
      <w:r>
        <w:fldChar w:fldCharType="separate"/>
      </w:r>
      <w:r w:rsidR="007A6AF0">
        <w:t xml:space="preserve">Table </w:t>
      </w:r>
      <w:r w:rsidR="007A6AF0">
        <w:rPr>
          <w:noProof/>
        </w:rPr>
        <w:t>4</w:t>
      </w:r>
      <w:r>
        <w:fldChar w:fldCharType="end"/>
      </w:r>
      <w:r>
        <w:t xml:space="preserve"> </w:t>
      </w:r>
      <w:r w:rsidR="003B1E11">
        <w:t xml:space="preserve">in the Overview </w:t>
      </w:r>
      <w:r>
        <w:t>which include the effect of revising data.</w:t>
      </w:r>
      <w:r w:rsidR="009324EA">
        <w:t xml:space="preserve"> </w:t>
      </w:r>
      <w:r w:rsidR="005135E3">
        <w:t>Totals may not add due to rounding.</w:t>
      </w:r>
    </w:p>
    <w:p w:rsidR="00214375" w:rsidRPr="00214375" w:rsidRDefault="00214375" w:rsidP="00214375">
      <w:pPr>
        <w:pStyle w:val="CGCTableFootnote"/>
      </w:pPr>
      <w:r>
        <w:tab/>
        <w:t xml:space="preserve">The contribution of each category to the change in the GST distribution is available in the </w:t>
      </w:r>
      <w:r w:rsidRPr="00EC00A2">
        <w:t xml:space="preserve">Supporting </w:t>
      </w:r>
      <w:r w:rsidR="006A0171">
        <w:t xml:space="preserve">information </w:t>
      </w:r>
      <w:r w:rsidR="00EC00A2">
        <w:t xml:space="preserve">for this update which can be found on the </w:t>
      </w:r>
      <w:hyperlink r:id="rId48" w:history="1">
        <w:r w:rsidR="00EC00A2" w:rsidRPr="00D05F5E">
          <w:rPr>
            <w:rStyle w:val="Hyperlink"/>
          </w:rPr>
          <w:t>Commission’s website</w:t>
        </w:r>
      </w:hyperlink>
      <w:r w:rsidR="00F2598D">
        <w:t xml:space="preserve"> (www.cgc.gov.au).</w:t>
      </w:r>
    </w:p>
    <w:p w:rsidR="005135E3" w:rsidRDefault="005135E3" w:rsidP="005135E3">
      <w:pPr>
        <w:pStyle w:val="CGCTableFootnote"/>
      </w:pPr>
      <w:r>
        <w:t>Source:</w:t>
      </w:r>
      <w:r>
        <w:tab/>
        <w:t>Commission calculation.</w:t>
      </w:r>
    </w:p>
    <w:p w:rsidR="00B706F4" w:rsidRDefault="00B706F4" w:rsidP="00B706F4">
      <w:pPr>
        <w:pStyle w:val="CGCNumberedPara"/>
      </w:pPr>
      <w:bookmarkStart w:id="446" w:name="_Toc430166136"/>
      <w:bookmarkStart w:id="447" w:name="_Toc432499622"/>
      <w:r>
        <w:t xml:space="preserve">The following sections explain the main causes of change to </w:t>
      </w:r>
      <w:r w:rsidR="00585B81">
        <w:t>State circumstances</w:t>
      </w:r>
      <w:r>
        <w:t>.</w:t>
      </w:r>
    </w:p>
    <w:p w:rsidR="00045FC2" w:rsidRDefault="00045FC2" w:rsidP="00F242F6">
      <w:pPr>
        <w:pStyle w:val="Heading4"/>
      </w:pPr>
      <w:bookmarkStart w:id="448" w:name="_Toc433353489"/>
      <w:bookmarkStart w:id="449" w:name="_Toc441241595"/>
      <w:bookmarkStart w:id="450" w:name="_Toc441499264"/>
      <w:bookmarkStart w:id="451" w:name="_Toc442191920"/>
      <w:bookmarkStart w:id="452" w:name="_Toc442192174"/>
      <w:bookmarkStart w:id="453" w:name="_Toc442192239"/>
      <w:bookmarkStart w:id="454" w:name="_Toc442772823"/>
      <w:bookmarkStart w:id="455" w:name="_Toc442773052"/>
      <w:bookmarkStart w:id="456" w:name="_Toc442773222"/>
      <w:bookmarkStart w:id="457" w:name="_Toc442883289"/>
      <w:bookmarkStart w:id="458" w:name="_Toc442949142"/>
      <w:r>
        <w:t>R</w:t>
      </w:r>
      <w:r w:rsidR="00F242F6">
        <w:t>evenue</w:t>
      </w:r>
      <w:bookmarkEnd w:id="446"/>
      <w:bookmarkEnd w:id="447"/>
      <w:bookmarkEnd w:id="448"/>
      <w:bookmarkEnd w:id="449"/>
      <w:bookmarkEnd w:id="450"/>
      <w:bookmarkEnd w:id="451"/>
      <w:bookmarkEnd w:id="452"/>
      <w:bookmarkEnd w:id="453"/>
      <w:bookmarkEnd w:id="454"/>
      <w:bookmarkEnd w:id="455"/>
      <w:bookmarkEnd w:id="456"/>
      <w:bookmarkEnd w:id="457"/>
      <w:bookmarkEnd w:id="458"/>
    </w:p>
    <w:p w:rsidR="00933059" w:rsidRDefault="00933059" w:rsidP="00933059">
      <w:pPr>
        <w:pStyle w:val="Heading5"/>
      </w:pPr>
      <w:bookmarkStart w:id="459" w:name="_Toc442949143"/>
      <w:r>
        <w:t>Mining production</w:t>
      </w:r>
      <w:bookmarkEnd w:id="459"/>
    </w:p>
    <w:p w:rsidR="00792CE2" w:rsidRPr="001A5F83" w:rsidRDefault="00792CE2" w:rsidP="00792CE2">
      <w:pPr>
        <w:pStyle w:val="CGCNumberedPara"/>
      </w:pPr>
      <w:r w:rsidRPr="001A5F83">
        <w:t xml:space="preserve">The mining revenue assessment typically produces large redistributions due to the uneven distribution of mining activity between the States and the large movements that can occur from year to year in the value of mining production. In this </w:t>
      </w:r>
      <w:r>
        <w:t>update</w:t>
      </w:r>
      <w:r w:rsidRPr="001A5F83">
        <w:t xml:space="preserve">, these have led to a </w:t>
      </w:r>
      <w:r>
        <w:t>change of $4</w:t>
      </w:r>
      <w:r w:rsidR="008608DF">
        <w:t>9</w:t>
      </w:r>
      <w:r w:rsidR="001F78FC">
        <w:t>7</w:t>
      </w:r>
      <w:r>
        <w:t> million in the amount redistributed by this assessment</w:t>
      </w:r>
      <w:r w:rsidRPr="001A5F83">
        <w:t>.</w:t>
      </w:r>
    </w:p>
    <w:p w:rsidR="00792CE2" w:rsidRDefault="00792CE2" w:rsidP="00792CE2">
      <w:pPr>
        <w:pStyle w:val="CGCNumberedPara"/>
      </w:pPr>
      <w:r>
        <w:fldChar w:fldCharType="begin"/>
      </w:r>
      <w:r>
        <w:instrText xml:space="preserve"> REF _Ref411931974 \h </w:instrText>
      </w:r>
      <w:r>
        <w:fldChar w:fldCharType="separate"/>
      </w:r>
      <w:r w:rsidR="007A6AF0">
        <w:t xml:space="preserve">Figure </w:t>
      </w:r>
      <w:r w:rsidR="007A6AF0">
        <w:rPr>
          <w:noProof/>
        </w:rPr>
        <w:t>1</w:t>
      </w:r>
      <w:r w:rsidR="007A6AF0">
        <w:noBreakHyphen/>
      </w:r>
      <w:r w:rsidR="007A6AF0">
        <w:rPr>
          <w:noProof/>
        </w:rPr>
        <w:t>1</w:t>
      </w:r>
      <w:r>
        <w:fldChar w:fldCharType="end"/>
      </w:r>
      <w:r>
        <w:t xml:space="preserve"> </w:t>
      </w:r>
      <w:r w:rsidRPr="00302A0E">
        <w:t xml:space="preserve">shows that the value of production for iron ore and coal </w:t>
      </w:r>
      <w:r>
        <w:t>decreased strongly between 2011</w:t>
      </w:r>
      <w:r>
        <w:noBreakHyphen/>
        <w:t>12 and 2014</w:t>
      </w:r>
      <w:r>
        <w:noBreakHyphen/>
      </w:r>
      <w:r w:rsidRPr="00302A0E">
        <w:t>15.</w:t>
      </w:r>
      <w:r w:rsidRPr="001263C0">
        <w:t xml:space="preserve"> </w:t>
      </w:r>
      <w:r w:rsidRPr="00302A0E">
        <w:t>While there were increases in production volumes for most commodities,</w:t>
      </w:r>
      <w:r>
        <w:t xml:space="preserve"> particularly iron ore and coal,</w:t>
      </w:r>
      <w:r w:rsidRPr="00302A0E">
        <w:t xml:space="preserve"> th</w:t>
      </w:r>
      <w:r>
        <w:t>e</w:t>
      </w:r>
      <w:r w:rsidRPr="00302A0E">
        <w:t>se increases h</w:t>
      </w:r>
      <w:r>
        <w:t>ave been more than offset by lower commodity prices</w:t>
      </w:r>
      <w:r w:rsidRPr="00302A0E">
        <w:t xml:space="preserve">. </w:t>
      </w:r>
      <w:r w:rsidRPr="00460346">
        <w:t>This has reduced the assessed capacity of the</w:t>
      </w:r>
      <w:r w:rsidRPr="00302A0E">
        <w:t xml:space="preserve"> two biggest mining States — Q</w:t>
      </w:r>
      <w:r>
        <w:t xml:space="preserve">ueensland and Western Australia </w:t>
      </w:r>
      <w:r w:rsidR="00B35D5D">
        <w:t xml:space="preserve">— </w:t>
      </w:r>
      <w:r>
        <w:t>and increased their GST share.</w:t>
      </w:r>
    </w:p>
    <w:p w:rsidR="00933059" w:rsidRDefault="00933059" w:rsidP="00933059">
      <w:pPr>
        <w:pStyle w:val="Caption"/>
      </w:pPr>
      <w:bookmarkStart w:id="460" w:name="_Ref410644360"/>
      <w:bookmarkStart w:id="461" w:name="_Ref411930889"/>
      <w:bookmarkStart w:id="462" w:name="_Ref411931974"/>
      <w:r>
        <w:lastRenderedPageBreak/>
        <w:t xml:space="preserve">Figure </w:t>
      </w:r>
      <w:bookmarkEnd w:id="460"/>
      <w:bookmarkEnd w:id="461"/>
      <w:r>
        <w:fldChar w:fldCharType="begin"/>
      </w:r>
      <w:r>
        <w:instrText xml:space="preserve"> STYLEREF 1 \s </w:instrText>
      </w:r>
      <w:r>
        <w:fldChar w:fldCharType="separate"/>
      </w:r>
      <w:r w:rsidR="007A6AF0">
        <w:rPr>
          <w:noProof/>
        </w:rPr>
        <w:t>1</w:t>
      </w:r>
      <w:r>
        <w:fldChar w:fldCharType="end"/>
      </w:r>
      <w:r>
        <w:noBreakHyphen/>
      </w:r>
      <w:r w:rsidR="0014378B">
        <w:fldChar w:fldCharType="begin"/>
      </w:r>
      <w:r w:rsidR="0014378B">
        <w:instrText xml:space="preserve"> SEQ Figure \* ARABIC \s 1 </w:instrText>
      </w:r>
      <w:r w:rsidR="0014378B">
        <w:fldChar w:fldCharType="separate"/>
      </w:r>
      <w:r w:rsidR="007A6AF0">
        <w:rPr>
          <w:noProof/>
        </w:rPr>
        <w:t>1</w:t>
      </w:r>
      <w:r w:rsidR="0014378B">
        <w:rPr>
          <w:noProof/>
        </w:rPr>
        <w:fldChar w:fldCharType="end"/>
      </w:r>
      <w:bookmarkEnd w:id="462"/>
      <w:r>
        <w:tab/>
        <w:t>Mining value of production, selected minerals, 201</w:t>
      </w:r>
      <w:r w:rsidR="00AD1A03">
        <w:t>1-12</w:t>
      </w:r>
      <w:r>
        <w:t xml:space="preserve"> and 2014-15</w:t>
      </w:r>
    </w:p>
    <w:p w:rsidR="00933059" w:rsidRDefault="0006682A" w:rsidP="00AD1A03">
      <w:r w:rsidRPr="0006682A">
        <w:rPr>
          <w:noProof/>
          <w:lang w:eastAsia="en-AU"/>
        </w:rPr>
        <w:drawing>
          <wp:inline distT="0" distB="0" distL="0" distR="0" wp14:anchorId="268E0E9B" wp14:editId="32D31AF0">
            <wp:extent cx="5655945" cy="3563620"/>
            <wp:effectExtent l="0" t="0" r="1905" b="0"/>
            <wp:docPr id="3" name="Picture 3" descr="This figure shows the value of iron ore, coal and other minerals in 2011-12 and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55945" cy="3563620"/>
                    </a:xfrm>
                    <a:prstGeom prst="rect">
                      <a:avLst/>
                    </a:prstGeom>
                    <a:noFill/>
                    <a:ln>
                      <a:noFill/>
                    </a:ln>
                  </pic:spPr>
                </pic:pic>
              </a:graphicData>
            </a:graphic>
          </wp:inline>
        </w:drawing>
      </w:r>
    </w:p>
    <w:p w:rsidR="00933059" w:rsidRDefault="00933059" w:rsidP="00933059">
      <w:pPr>
        <w:pStyle w:val="CGCTableFootnote"/>
      </w:pPr>
      <w:r>
        <w:t>Source:</w:t>
      </w:r>
      <w:r>
        <w:tab/>
        <w:t>State and ABS data.</w:t>
      </w:r>
    </w:p>
    <w:p w:rsidR="00792CE2" w:rsidRPr="00932779" w:rsidRDefault="00F53F48" w:rsidP="00792CE2">
      <w:pPr>
        <w:pStyle w:val="CGCNumberedPara"/>
      </w:pPr>
      <w:r w:rsidRPr="00F53F48">
        <w:rPr>
          <w:rStyle w:val="Heading6Char"/>
        </w:rPr>
        <w:t>Iron ore.</w:t>
      </w:r>
      <w:r>
        <w:t xml:space="preserve"> </w:t>
      </w:r>
      <w:r w:rsidR="00792CE2" w:rsidRPr="00932779">
        <w:t>Between 2011-12 and 2014-15 the value of iron ore production in Australia decreased 1</w:t>
      </w:r>
      <w:r w:rsidR="00BA21DA">
        <w:t>2</w:t>
      </w:r>
      <w:r w:rsidR="00792CE2" w:rsidRPr="00932779">
        <w:t>% to $55 billion.</w:t>
      </w:r>
      <w:r w:rsidR="00932779">
        <w:t xml:space="preserve"> Available data suggest production increased by 61% over the same period, but this was more than </w:t>
      </w:r>
      <w:r w:rsidR="007B5FC1">
        <w:t xml:space="preserve">offset by reductions in the Australian dollar price of iron ore. </w:t>
      </w:r>
      <w:r w:rsidR="00792CE2" w:rsidRPr="00932779">
        <w:t>As Western Australia accounts for around 9</w:t>
      </w:r>
      <w:r w:rsidR="00BA21DA">
        <w:t>7</w:t>
      </w:r>
      <w:r w:rsidR="00792CE2" w:rsidRPr="00932779">
        <w:t xml:space="preserve">% of </w:t>
      </w:r>
      <w:r w:rsidR="00AE3A05">
        <w:t xml:space="preserve">the value of </w:t>
      </w:r>
      <w:r w:rsidR="00792CE2" w:rsidRPr="00932779">
        <w:t>Australia’s iron ore production this fall in iron ore prices has affected it the most.</w:t>
      </w:r>
    </w:p>
    <w:p w:rsidR="00792CE2" w:rsidRPr="00932779" w:rsidRDefault="00F53F48" w:rsidP="00792CE2">
      <w:pPr>
        <w:pStyle w:val="CGCNumberedPara"/>
      </w:pPr>
      <w:r w:rsidRPr="00F53F48">
        <w:rPr>
          <w:rStyle w:val="Heading6Char"/>
        </w:rPr>
        <w:t>Coal.</w:t>
      </w:r>
      <w:r>
        <w:t xml:space="preserve"> </w:t>
      </w:r>
      <w:r w:rsidR="00792CE2" w:rsidRPr="00932779">
        <w:t>There were similar price and volume effects for coal</w:t>
      </w:r>
      <w:r w:rsidR="00792CE2" w:rsidRPr="00932779" w:rsidDel="00EF50DF">
        <w:t xml:space="preserve"> </w:t>
      </w:r>
      <w:r w:rsidR="00792CE2" w:rsidRPr="00932779">
        <w:t>from 2011-12 to 2014-15. The total value of coal production decreased 26% to $36 billion over the period despite the volume of coal production rising 27%.</w:t>
      </w:r>
      <w:r w:rsidR="00792CE2" w:rsidRPr="00932779">
        <w:rPr>
          <w:rStyle w:val="FootnoteReference"/>
        </w:rPr>
        <w:footnoteReference w:id="3"/>
      </w:r>
      <w:r w:rsidR="00792CE2" w:rsidRPr="00932779">
        <w:t xml:space="preserve"> The increase in the </w:t>
      </w:r>
      <w:r w:rsidR="00047BF1" w:rsidRPr="00932779">
        <w:t xml:space="preserve">volume </w:t>
      </w:r>
      <w:r w:rsidR="00792CE2" w:rsidRPr="00932779">
        <w:t>of coal production was more than offset by price falls with the prices for thermal and metallurgical coal decreasing 27% and 46%, respectively.</w:t>
      </w:r>
      <w:r w:rsidR="00792CE2" w:rsidRPr="00932779">
        <w:rPr>
          <w:rStyle w:val="FootnoteReference"/>
        </w:rPr>
        <w:footnoteReference w:id="4"/>
      </w:r>
      <w:r w:rsidR="00792CE2" w:rsidRPr="00932779">
        <w:t xml:space="preserve"> Since Queensland accounts for such a large proportion of total coal production the fall in coal prices has affected it the most.</w:t>
      </w:r>
    </w:p>
    <w:p w:rsidR="000D6FE1" w:rsidRDefault="00B22D54" w:rsidP="000D6FE1">
      <w:pPr>
        <w:pStyle w:val="Heading5"/>
      </w:pPr>
      <w:bookmarkStart w:id="463" w:name="_Toc442949144"/>
      <w:r w:rsidRPr="00932779">
        <w:t>Property sales</w:t>
      </w:r>
      <w:bookmarkEnd w:id="463"/>
    </w:p>
    <w:p w:rsidR="00AB4401" w:rsidRPr="00AB4401" w:rsidRDefault="00302DEF" w:rsidP="007D0EB8">
      <w:pPr>
        <w:pStyle w:val="CGCNumberedPara"/>
      </w:pPr>
      <w:r>
        <w:t>Stamp duties</w:t>
      </w:r>
      <w:r w:rsidR="007D0EB8" w:rsidRPr="007D0EB8">
        <w:t xml:space="preserve"> </w:t>
      </w:r>
      <w:r>
        <w:t xml:space="preserve">levied on the transfer of property </w:t>
      </w:r>
      <w:r w:rsidR="007D0EB8" w:rsidRPr="007D0EB8">
        <w:t>are volatile.</w:t>
      </w:r>
      <w:r w:rsidR="007D0EB8">
        <w:t xml:space="preserve"> </w:t>
      </w:r>
      <w:r w:rsidR="00AB4401" w:rsidRPr="00AB4401">
        <w:t xml:space="preserve">Cycles in property markets can lead to substantial changes from year to year and State to State, which can have marked impacts on State revenue capacities. The current update has been no exception. </w:t>
      </w:r>
    </w:p>
    <w:p w:rsidR="000D6FE1" w:rsidRDefault="00AB4401" w:rsidP="000D6FE1">
      <w:pPr>
        <w:pStyle w:val="CGCNumberedPara"/>
      </w:pPr>
      <w:r w:rsidRPr="00AB4401">
        <w:lastRenderedPageBreak/>
        <w:t>Between 2011-12 and 2014-15 most States experienced growth in t</w:t>
      </w:r>
      <w:r>
        <w:t xml:space="preserve">he value of property transferred (see </w:t>
      </w:r>
      <w:r>
        <w:fldChar w:fldCharType="begin"/>
      </w:r>
      <w:r>
        <w:instrText xml:space="preserve"> REF _Ref410651495 \h </w:instrText>
      </w:r>
      <w:r>
        <w:fldChar w:fldCharType="separate"/>
      </w:r>
      <w:r w:rsidR="007A6AF0">
        <w:t xml:space="preserve">Figure </w:t>
      </w:r>
      <w:r w:rsidR="007A6AF0">
        <w:rPr>
          <w:noProof/>
        </w:rPr>
        <w:t>1</w:t>
      </w:r>
      <w:r w:rsidR="007A6AF0">
        <w:noBreakHyphen/>
      </w:r>
      <w:r w:rsidR="007A6AF0">
        <w:rPr>
          <w:noProof/>
        </w:rPr>
        <w:t>2</w:t>
      </w:r>
      <w:r>
        <w:fldChar w:fldCharType="end"/>
      </w:r>
      <w:r>
        <w:t>)</w:t>
      </w:r>
      <w:r w:rsidRPr="00AB4401">
        <w:t xml:space="preserve">; however, </w:t>
      </w:r>
      <w:r w:rsidR="00F548A9">
        <w:t>the property boom in</w:t>
      </w:r>
      <w:r w:rsidR="00F548A9" w:rsidRPr="00AB4401">
        <w:t xml:space="preserve"> </w:t>
      </w:r>
      <w:r w:rsidRPr="00AB4401">
        <w:t xml:space="preserve">New South Wales has been substantially larger than in other States. </w:t>
      </w:r>
      <w:r w:rsidR="00DB7BF9">
        <w:t>The growth in the value of property transfers in New South Wales (66%) has been much faster than in other States, and</w:t>
      </w:r>
      <w:r w:rsidRPr="00AB4401">
        <w:t>, as a result, $</w:t>
      </w:r>
      <w:r w:rsidR="00BA21DA">
        <w:t>457</w:t>
      </w:r>
      <w:r w:rsidRPr="00AB4401">
        <w:t xml:space="preserve"> million has been redistributed from</w:t>
      </w:r>
      <w:r>
        <w:t xml:space="preserve"> New South Wales</w:t>
      </w:r>
      <w:r w:rsidRPr="00AB4401">
        <w:t xml:space="preserve"> to the other States.</w:t>
      </w:r>
    </w:p>
    <w:p w:rsidR="00684AF6" w:rsidRDefault="00684AF6" w:rsidP="00684AF6">
      <w:pPr>
        <w:pStyle w:val="CGCTableHeading"/>
      </w:pPr>
      <w:bookmarkStart w:id="464" w:name="_Ref410651495"/>
      <w:r>
        <w:t xml:space="preserve">Figure </w:t>
      </w:r>
      <w:r w:rsidR="0014378B">
        <w:fldChar w:fldCharType="begin"/>
      </w:r>
      <w:r w:rsidR="0014378B">
        <w:instrText xml:space="preserve"> STYLEREF 1 \s </w:instrText>
      </w:r>
      <w:r w:rsidR="0014378B">
        <w:fldChar w:fldCharType="separate"/>
      </w:r>
      <w:r w:rsidR="007A6AF0">
        <w:rPr>
          <w:noProof/>
        </w:rPr>
        <w:t>1</w:t>
      </w:r>
      <w:r w:rsidR="0014378B">
        <w:rPr>
          <w:noProof/>
        </w:rPr>
        <w:fldChar w:fldCharType="end"/>
      </w:r>
      <w:r>
        <w:noBreakHyphen/>
      </w:r>
      <w:r w:rsidR="0014378B">
        <w:fldChar w:fldCharType="begin"/>
      </w:r>
      <w:r w:rsidR="0014378B">
        <w:instrText xml:space="preserve"> SEQ Figure \* ARABIC \s 1 </w:instrText>
      </w:r>
      <w:r w:rsidR="0014378B">
        <w:fldChar w:fldCharType="separate"/>
      </w:r>
      <w:r w:rsidR="007A6AF0">
        <w:rPr>
          <w:noProof/>
        </w:rPr>
        <w:t>2</w:t>
      </w:r>
      <w:r w:rsidR="0014378B">
        <w:rPr>
          <w:noProof/>
        </w:rPr>
        <w:fldChar w:fldCharType="end"/>
      </w:r>
      <w:bookmarkEnd w:id="464"/>
      <w:r>
        <w:tab/>
        <w:t>Conveyance transactions, 2011</w:t>
      </w:r>
      <w:r>
        <w:noBreakHyphen/>
        <w:t>12 to 2014</w:t>
      </w:r>
      <w:r>
        <w:noBreakHyphen/>
        <w:t>15</w:t>
      </w:r>
    </w:p>
    <w:p w:rsidR="00684AF6" w:rsidRDefault="004C7FFA" w:rsidP="00684AF6">
      <w:r w:rsidRPr="004C7FFA">
        <w:rPr>
          <w:noProof/>
          <w:lang w:eastAsia="en-AU"/>
        </w:rPr>
        <w:drawing>
          <wp:inline distT="0" distB="0" distL="0" distR="0" wp14:anchorId="67BD3FBA" wp14:editId="6242BAE7">
            <wp:extent cx="5654675" cy="3562985"/>
            <wp:effectExtent l="0" t="0" r="3175" b="0"/>
            <wp:docPr id="11" name="Picture 11" descr="This figure shows conveyance transactions for each State for 2011-12 and 2014-15, most States experienced growth in the value of property transfe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54675" cy="3562985"/>
                    </a:xfrm>
                    <a:prstGeom prst="rect">
                      <a:avLst/>
                    </a:prstGeom>
                    <a:noFill/>
                    <a:ln>
                      <a:noFill/>
                    </a:ln>
                  </pic:spPr>
                </pic:pic>
              </a:graphicData>
            </a:graphic>
          </wp:inline>
        </w:drawing>
      </w:r>
    </w:p>
    <w:p w:rsidR="00684AF6" w:rsidRPr="00684AF6" w:rsidRDefault="00684AF6" w:rsidP="00684AF6">
      <w:pPr>
        <w:pStyle w:val="CGCTableFootnote"/>
        <w:ind w:left="0" w:firstLine="0"/>
      </w:pPr>
      <w:r w:rsidRPr="00684AF6">
        <w:t>Note:</w:t>
      </w:r>
      <w:r w:rsidRPr="00684AF6">
        <w:tab/>
        <w:t>Data are adjusted to account for differences</w:t>
      </w:r>
      <w:r w:rsidR="00F2598D">
        <w:t xml:space="preserve"> between States</w:t>
      </w:r>
      <w:r w:rsidRPr="00684AF6">
        <w:t xml:space="preserve"> in the scope of </w:t>
      </w:r>
      <w:r w:rsidR="00F2598D">
        <w:t>duties</w:t>
      </w:r>
      <w:r w:rsidRPr="00684AF6">
        <w:t>.</w:t>
      </w:r>
    </w:p>
    <w:p w:rsidR="00684AF6" w:rsidRDefault="00684AF6" w:rsidP="00684AF6">
      <w:pPr>
        <w:pStyle w:val="CGCTableFootnote"/>
      </w:pPr>
      <w:r w:rsidRPr="00684AF6">
        <w:t>Source:</w:t>
      </w:r>
      <w:r w:rsidRPr="00684AF6">
        <w:tab/>
        <w:t>Commission calculation.</w:t>
      </w:r>
    </w:p>
    <w:p w:rsidR="00F242F6" w:rsidRDefault="004E7ED4" w:rsidP="00F242F6">
      <w:pPr>
        <w:pStyle w:val="Heading5"/>
      </w:pPr>
      <w:bookmarkStart w:id="465" w:name="_Toc442949145"/>
      <w:r>
        <w:t>Taxable payrolls</w:t>
      </w:r>
      <w:bookmarkEnd w:id="465"/>
    </w:p>
    <w:p w:rsidR="00F242F6" w:rsidRDefault="00AB4401" w:rsidP="00872529">
      <w:pPr>
        <w:pStyle w:val="CGCNumberedPara"/>
      </w:pPr>
      <w:r w:rsidRPr="00872529">
        <w:t>Changes in State capacities to raise payroll tax redistributed $1</w:t>
      </w:r>
      <w:r w:rsidR="001968BA" w:rsidRPr="00872529">
        <w:t>19</w:t>
      </w:r>
      <w:r w:rsidRPr="00872529">
        <w:t xml:space="preserve"> million in GST revenue. The redistribution was driven by differences across States in the rate of growth of taxable private sector payrolls between 201</w:t>
      </w:r>
      <w:r w:rsidR="00D47163" w:rsidRPr="00872529">
        <w:t>1</w:t>
      </w:r>
      <w:r w:rsidRPr="00872529">
        <w:t>-1</w:t>
      </w:r>
      <w:r w:rsidR="00D47163" w:rsidRPr="00872529">
        <w:t>2 and 2014</w:t>
      </w:r>
      <w:r w:rsidRPr="00872529">
        <w:t>-1</w:t>
      </w:r>
      <w:r w:rsidR="00D47163" w:rsidRPr="00872529">
        <w:t>5</w:t>
      </w:r>
      <w:r w:rsidRPr="00872529">
        <w:t>.</w:t>
      </w:r>
      <w:r w:rsidR="00872529">
        <w:t xml:space="preserve"> These differences are shown in </w:t>
      </w:r>
      <w:r w:rsidR="00872529">
        <w:fldChar w:fldCharType="begin"/>
      </w:r>
      <w:r w:rsidR="00872529">
        <w:instrText xml:space="preserve"> REF _Ref410648403 \h </w:instrText>
      </w:r>
      <w:r w:rsidR="00872529">
        <w:fldChar w:fldCharType="separate"/>
      </w:r>
      <w:r w:rsidR="007A6AF0">
        <w:t xml:space="preserve">Figure </w:t>
      </w:r>
      <w:r w:rsidR="007A6AF0">
        <w:rPr>
          <w:noProof/>
        </w:rPr>
        <w:t>1</w:t>
      </w:r>
      <w:r w:rsidR="007A6AF0">
        <w:noBreakHyphen/>
      </w:r>
      <w:r w:rsidR="007A6AF0">
        <w:rPr>
          <w:noProof/>
        </w:rPr>
        <w:t>3</w:t>
      </w:r>
      <w:r w:rsidR="00872529">
        <w:fldChar w:fldCharType="end"/>
      </w:r>
      <w:r w:rsidR="00872529">
        <w:t>.</w:t>
      </w:r>
    </w:p>
    <w:p w:rsidR="003C70D1" w:rsidRPr="00B20E8A" w:rsidRDefault="00F2598D" w:rsidP="00872529">
      <w:pPr>
        <w:pStyle w:val="CGCNumberedPara"/>
      </w:pPr>
      <w:r>
        <w:t xml:space="preserve">Taxable private payrolls grew most strongly in the </w:t>
      </w:r>
      <w:r w:rsidR="00D47163">
        <w:t>Northern Territory</w:t>
      </w:r>
      <w:r w:rsidRPr="00F2598D">
        <w:t xml:space="preserve"> </w:t>
      </w:r>
      <w:r>
        <w:t>which</w:t>
      </w:r>
      <w:r w:rsidRPr="009C22DB">
        <w:rPr>
          <w:rFonts w:cs="Calibri"/>
        </w:rPr>
        <w:t xml:space="preserve"> increased </w:t>
      </w:r>
      <w:r>
        <w:rPr>
          <w:rFonts w:cs="Calibri"/>
        </w:rPr>
        <w:t>its</w:t>
      </w:r>
      <w:r w:rsidRPr="009C22DB">
        <w:rPr>
          <w:rFonts w:cs="Calibri"/>
        </w:rPr>
        <w:t xml:space="preserve"> ability to raise payroll tax and reduced </w:t>
      </w:r>
      <w:r>
        <w:rPr>
          <w:rFonts w:cs="Calibri"/>
        </w:rPr>
        <w:t>its</w:t>
      </w:r>
      <w:r w:rsidRPr="009C22DB">
        <w:rPr>
          <w:rFonts w:cs="Calibri"/>
        </w:rPr>
        <w:t xml:space="preserve"> GST share.</w:t>
      </w:r>
      <w:r w:rsidR="00D47163">
        <w:t xml:space="preserve"> Western Australia, South Australia and New South Wales </w:t>
      </w:r>
      <w:r>
        <w:t xml:space="preserve">also </w:t>
      </w:r>
      <w:r w:rsidR="00D47163">
        <w:t>had above average growth</w:t>
      </w:r>
      <w:r w:rsidR="003D5DA2">
        <w:t>.</w:t>
      </w:r>
      <w:r w:rsidR="00D47163">
        <w:t xml:space="preserve"> </w:t>
      </w:r>
      <w:r w:rsidR="00872529">
        <w:t>T</w:t>
      </w:r>
      <w:r w:rsidR="00D47163">
        <w:t xml:space="preserve">axable </w:t>
      </w:r>
      <w:r w:rsidR="00872529">
        <w:t xml:space="preserve">private sector </w:t>
      </w:r>
      <w:r w:rsidR="00D47163">
        <w:t>payrolls in the ACT fell between 2011</w:t>
      </w:r>
      <w:r w:rsidR="00D47163">
        <w:noBreakHyphen/>
        <w:t>12 and 2014</w:t>
      </w:r>
      <w:r w:rsidR="00D47163">
        <w:noBreakHyphen/>
        <w:t>15 which resulted in a significant reduction in its ability to raise payroll tax and</w:t>
      </w:r>
      <w:r w:rsidR="00302DEF">
        <w:t>, as a result, $</w:t>
      </w:r>
      <w:r w:rsidR="00D47163">
        <w:t xml:space="preserve">25 </w:t>
      </w:r>
      <w:r w:rsidR="00D47163" w:rsidRPr="00AB4401">
        <w:t xml:space="preserve">million has been redistributed to </w:t>
      </w:r>
      <w:r w:rsidR="00D47163">
        <w:t>the ACT.</w:t>
      </w:r>
    </w:p>
    <w:p w:rsidR="00F242F6" w:rsidRDefault="00F242F6" w:rsidP="00F242F6">
      <w:pPr>
        <w:pStyle w:val="Caption"/>
      </w:pPr>
      <w:bookmarkStart w:id="466" w:name="_Ref410648403"/>
      <w:r>
        <w:lastRenderedPageBreak/>
        <w:t xml:space="preserve">Figure </w:t>
      </w:r>
      <w:r w:rsidR="0014378B">
        <w:fldChar w:fldCharType="begin"/>
      </w:r>
      <w:r w:rsidR="0014378B">
        <w:instrText xml:space="preserve"> STYLEREF 1 \s </w:instrText>
      </w:r>
      <w:r w:rsidR="0014378B">
        <w:fldChar w:fldCharType="separate"/>
      </w:r>
      <w:r w:rsidR="007A6AF0">
        <w:rPr>
          <w:noProof/>
        </w:rPr>
        <w:t>1</w:t>
      </w:r>
      <w:r w:rsidR="0014378B">
        <w:rPr>
          <w:noProof/>
        </w:rPr>
        <w:fldChar w:fldCharType="end"/>
      </w:r>
      <w:r w:rsidR="00BD4BFE">
        <w:noBreakHyphen/>
      </w:r>
      <w:r w:rsidR="0014378B">
        <w:fldChar w:fldCharType="begin"/>
      </w:r>
      <w:r w:rsidR="0014378B">
        <w:instrText xml:space="preserve"> SEQ Figure \* ARABIC \s 1 </w:instrText>
      </w:r>
      <w:r w:rsidR="0014378B">
        <w:fldChar w:fldCharType="separate"/>
      </w:r>
      <w:r w:rsidR="007A6AF0">
        <w:rPr>
          <w:noProof/>
        </w:rPr>
        <w:t>3</w:t>
      </w:r>
      <w:r w:rsidR="0014378B">
        <w:rPr>
          <w:noProof/>
        </w:rPr>
        <w:fldChar w:fldCharType="end"/>
      </w:r>
      <w:bookmarkEnd w:id="466"/>
      <w:r>
        <w:tab/>
        <w:t>Growth in per capita taxable private sector payrolls, 201</w:t>
      </w:r>
      <w:r w:rsidR="007209C5">
        <w:t>1</w:t>
      </w:r>
      <w:r>
        <w:t>-1</w:t>
      </w:r>
      <w:r w:rsidR="007209C5">
        <w:t>2</w:t>
      </w:r>
      <w:r>
        <w:t xml:space="preserve"> to 201</w:t>
      </w:r>
      <w:r w:rsidR="007209C5">
        <w:t>4</w:t>
      </w:r>
      <w:r>
        <w:t>-1</w:t>
      </w:r>
      <w:r w:rsidR="007209C5">
        <w:t>5</w:t>
      </w:r>
    </w:p>
    <w:p w:rsidR="00F242F6" w:rsidRPr="008B2D3D" w:rsidRDefault="004C7FFA" w:rsidP="00AD1A03">
      <w:r w:rsidRPr="004C7FFA">
        <w:rPr>
          <w:noProof/>
          <w:lang w:eastAsia="en-AU"/>
        </w:rPr>
        <w:drawing>
          <wp:inline distT="0" distB="0" distL="0" distR="0" wp14:anchorId="2547BBA9" wp14:editId="4BF70501">
            <wp:extent cx="5654675" cy="3562985"/>
            <wp:effectExtent l="0" t="0" r="3175" b="0"/>
            <wp:docPr id="9" name="Picture 9" descr="This figure shows differences across States in the rate of growth of taxable private sector payrolls between 2011-12 and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54675" cy="3562985"/>
                    </a:xfrm>
                    <a:prstGeom prst="rect">
                      <a:avLst/>
                    </a:prstGeom>
                    <a:noFill/>
                    <a:ln>
                      <a:noFill/>
                    </a:ln>
                  </pic:spPr>
                </pic:pic>
              </a:graphicData>
            </a:graphic>
          </wp:inline>
        </w:drawing>
      </w:r>
    </w:p>
    <w:p w:rsidR="00F242F6" w:rsidRDefault="00F242F6" w:rsidP="00F242F6">
      <w:pPr>
        <w:pStyle w:val="CGCTableFootnote"/>
      </w:pPr>
      <w:r>
        <w:t>Source:</w:t>
      </w:r>
      <w:r>
        <w:tab/>
        <w:t>Commission calculation.</w:t>
      </w:r>
    </w:p>
    <w:p w:rsidR="00EA45D8" w:rsidRDefault="00872529" w:rsidP="00EA45D8">
      <w:pPr>
        <w:pStyle w:val="CGCNumberedPara"/>
      </w:pPr>
      <w:bookmarkStart w:id="467" w:name="_Toc428803272"/>
      <w:bookmarkStart w:id="468" w:name="_Toc441241594"/>
      <w:bookmarkStart w:id="469" w:name="_Toc441499265"/>
      <w:bookmarkStart w:id="470" w:name="_Toc442191921"/>
      <w:bookmarkStart w:id="471" w:name="_Toc442192175"/>
      <w:bookmarkStart w:id="472" w:name="_Toc442192240"/>
      <w:bookmarkStart w:id="473" w:name="_Toc348945291"/>
      <w:bookmarkStart w:id="474" w:name="_Toc348945466"/>
      <w:bookmarkStart w:id="475" w:name="_Toc348945625"/>
      <w:bookmarkStart w:id="476" w:name="_Toc348946503"/>
      <w:bookmarkStart w:id="477" w:name="_Toc348951179"/>
      <w:bookmarkStart w:id="478" w:name="_Toc348951630"/>
      <w:bookmarkStart w:id="479" w:name="_Toc348951828"/>
      <w:bookmarkStart w:id="480" w:name="_Toc348951923"/>
      <w:bookmarkStart w:id="481" w:name="_Toc348952032"/>
      <w:bookmarkStart w:id="482" w:name="_Toc348957559"/>
      <w:bookmarkStart w:id="483" w:name="_Toc348957675"/>
      <w:bookmarkStart w:id="484" w:name="_Toc380590548"/>
      <w:bookmarkStart w:id="485" w:name="_Toc380590666"/>
      <w:bookmarkStart w:id="486" w:name="_Toc430166137"/>
      <w:bookmarkStart w:id="487" w:name="_Toc432499623"/>
      <w:bookmarkStart w:id="488" w:name="_Toc433353490"/>
      <w:bookmarkStart w:id="489" w:name="_Toc441241596"/>
      <w:r>
        <w:t xml:space="preserve">The ACT’s private sector CoE, used to measure the payroll tax base, </w:t>
      </w:r>
      <w:r w:rsidR="00EA45D8">
        <w:t>peaked in 2012</w:t>
      </w:r>
      <w:r>
        <w:noBreakHyphen/>
      </w:r>
      <w:r w:rsidR="00EA45D8">
        <w:t xml:space="preserve">13 and declined thereafter. The decline meant its 2014-15 </w:t>
      </w:r>
      <w:r w:rsidR="00010C64">
        <w:t>CoE was 9% lower than the level</w:t>
      </w:r>
      <w:r w:rsidR="00EA45D8">
        <w:t xml:space="preserve"> in 2011-12. We have compared these trends with related data series. ACT private sector average weekly earnings and total employment both peaked in 2012</w:t>
      </w:r>
      <w:r>
        <w:noBreakHyphen/>
      </w:r>
      <w:r w:rsidR="00EA45D8">
        <w:t>13. However their decline thereafter was not as severe. In both cases, the 2014</w:t>
      </w:r>
      <w:r>
        <w:noBreakHyphen/>
      </w:r>
      <w:r w:rsidR="00EA45D8">
        <w:t>15 levels remain above the 2011-12 levels.</w:t>
      </w:r>
      <w:r w:rsidR="00EA45D8">
        <w:rPr>
          <w:rStyle w:val="FootnoteReference"/>
        </w:rPr>
        <w:footnoteReference w:id="5"/>
      </w:r>
    </w:p>
    <w:p w:rsidR="00BB50E2" w:rsidRDefault="00BB50E2" w:rsidP="00BB50E2">
      <w:pPr>
        <w:pStyle w:val="Heading4"/>
      </w:pPr>
      <w:bookmarkStart w:id="490" w:name="_Toc442772824"/>
      <w:bookmarkStart w:id="491" w:name="_Toc442773053"/>
      <w:bookmarkStart w:id="492" w:name="_Toc442773223"/>
      <w:bookmarkStart w:id="493" w:name="_Toc442883290"/>
      <w:bookmarkStart w:id="494" w:name="_Toc442949146"/>
      <w:r>
        <w:t>Commonwealth payments</w:t>
      </w:r>
      <w:bookmarkEnd w:id="467"/>
      <w:bookmarkEnd w:id="468"/>
      <w:bookmarkEnd w:id="469"/>
      <w:r w:rsidR="00DB7BF9">
        <w:t xml:space="preserve"> for specific purposes</w:t>
      </w:r>
      <w:bookmarkEnd w:id="470"/>
      <w:bookmarkEnd w:id="471"/>
      <w:bookmarkEnd w:id="472"/>
      <w:bookmarkEnd w:id="490"/>
      <w:bookmarkEnd w:id="491"/>
      <w:bookmarkEnd w:id="492"/>
      <w:bookmarkEnd w:id="493"/>
      <w:bookmarkEnd w:id="494"/>
    </w:p>
    <w:p w:rsidR="00BB50E2" w:rsidRDefault="00BB50E2" w:rsidP="00BB50E2">
      <w:pPr>
        <w:pStyle w:val="CGCNumberedPara"/>
      </w:pPr>
      <w:r>
        <w:t xml:space="preserve">As well as the GST, the Commonwealth makes other payments to States for specific purposes. Equalising the fiscal capacity of the States to provide services requires the Commission to take account of the total expenditure each State would incur to provide the average level of services and the revenue they have available to finance it. This includes the revenue they would collect from their own tax bases under average policies and, following its terms of reference, the revenue they receive through </w:t>
      </w:r>
      <w:r w:rsidR="002F1605">
        <w:t>PSPs</w:t>
      </w:r>
      <w:r>
        <w:t>.</w:t>
      </w:r>
      <w:r>
        <w:rPr>
          <w:rStyle w:val="FootnoteReference"/>
        </w:rPr>
        <w:footnoteReference w:id="6"/>
      </w:r>
      <w:r>
        <w:t xml:space="preserve"> To the extent that a State receives above average per capita amounts </w:t>
      </w:r>
      <w:r>
        <w:lastRenderedPageBreak/>
        <w:t xml:space="preserve">of </w:t>
      </w:r>
      <w:r w:rsidR="00302DEF">
        <w:t>PSPs</w:t>
      </w:r>
      <w:r>
        <w:t xml:space="preserve">, less GST is required to equalise its fiscal capacity. Conversely, if it receives below average amounts of </w:t>
      </w:r>
      <w:r w:rsidR="00302DEF">
        <w:t>PSPs, it requires extra GST.</w:t>
      </w:r>
    </w:p>
    <w:p w:rsidR="003B1E11" w:rsidRDefault="00BB50E2" w:rsidP="00A216D7">
      <w:pPr>
        <w:pStyle w:val="CGCNumberedPara"/>
      </w:pPr>
      <w:r>
        <w:t>Between 2011</w:t>
      </w:r>
      <w:r>
        <w:noBreakHyphen/>
        <w:t>12 and 2014</w:t>
      </w:r>
      <w:r>
        <w:noBreakHyphen/>
        <w:t xml:space="preserve">15, there were changes in the amounts paid and the interstate distribution of some </w:t>
      </w:r>
      <w:r w:rsidR="00826033">
        <w:t>PSPs</w:t>
      </w:r>
      <w:r>
        <w:t xml:space="preserve">, </w:t>
      </w:r>
      <w:r w:rsidR="00826033">
        <w:t xml:space="preserve">particularly </w:t>
      </w:r>
      <w:r>
        <w:t>payments for transport</w:t>
      </w:r>
      <w:r w:rsidR="00523F31">
        <w:t>,</w:t>
      </w:r>
      <w:r>
        <w:t xml:space="preserve"> urban water </w:t>
      </w:r>
      <w:r w:rsidR="00523F31">
        <w:t xml:space="preserve">and </w:t>
      </w:r>
      <w:r>
        <w:t xml:space="preserve">health </w:t>
      </w:r>
      <w:r w:rsidR="00523F31">
        <w:t>infrastructure</w:t>
      </w:r>
      <w:r>
        <w:t xml:space="preserve">, which had repercussions for the GST distribution. In particular, South Australia’s share of payments </w:t>
      </w:r>
      <w:r w:rsidR="00523F31">
        <w:t xml:space="preserve">was lower in </w:t>
      </w:r>
      <w:r w:rsidR="0006260D">
        <w:t>2014</w:t>
      </w:r>
      <w:r w:rsidR="0006260D">
        <w:noBreakHyphen/>
        <w:t>15</w:t>
      </w:r>
      <w:r w:rsidR="006A230D">
        <w:t xml:space="preserve"> </w:t>
      </w:r>
      <w:r w:rsidR="00380AB9">
        <w:t xml:space="preserve">because </w:t>
      </w:r>
      <w:r w:rsidR="00025E98">
        <w:t>2011</w:t>
      </w:r>
      <w:r w:rsidR="00025E98">
        <w:noBreakHyphen/>
        <w:t xml:space="preserve">12 </w:t>
      </w:r>
      <w:r w:rsidR="00380AB9">
        <w:t xml:space="preserve">included </w:t>
      </w:r>
      <w:r w:rsidR="00025E98">
        <w:t xml:space="preserve">a </w:t>
      </w:r>
      <w:r w:rsidR="00380AB9">
        <w:t xml:space="preserve">large </w:t>
      </w:r>
      <w:r w:rsidR="00025E98">
        <w:t>payment</w:t>
      </w:r>
      <w:r w:rsidR="00380AB9">
        <w:t xml:space="preserve"> </w:t>
      </w:r>
      <w:r w:rsidR="00826033">
        <w:t xml:space="preserve">through the Water for the Future program </w:t>
      </w:r>
      <w:r w:rsidR="00380AB9">
        <w:t xml:space="preserve">for the Adelaide desalination plant and a </w:t>
      </w:r>
      <w:r w:rsidR="00025E98">
        <w:t xml:space="preserve">large </w:t>
      </w:r>
      <w:r w:rsidR="00380AB9">
        <w:t xml:space="preserve">payment </w:t>
      </w:r>
      <w:r w:rsidR="005C293F">
        <w:t>from the</w:t>
      </w:r>
      <w:r w:rsidR="00380AB9">
        <w:t xml:space="preserve"> Building Australia Fund for the upgrade of a major rail junction. </w:t>
      </w:r>
      <w:r w:rsidR="0006260D">
        <w:t xml:space="preserve">This </w:t>
      </w:r>
      <w:r>
        <w:t>led to an increase in its assessed GST distribution.</w:t>
      </w:r>
      <w:r w:rsidR="0039023F">
        <w:t xml:space="preserve"> On the other hand, New South Wales</w:t>
      </w:r>
      <w:r w:rsidR="005C293F">
        <w:t>’</w:t>
      </w:r>
      <w:r w:rsidR="0039023F">
        <w:t xml:space="preserve"> share </w:t>
      </w:r>
      <w:r w:rsidR="00380AB9">
        <w:t xml:space="preserve">of payments was </w:t>
      </w:r>
      <w:r w:rsidR="0039023F">
        <w:t>high</w:t>
      </w:r>
      <w:r w:rsidR="005C293F">
        <w:t>er</w:t>
      </w:r>
      <w:r w:rsidR="0039023F">
        <w:t xml:space="preserve"> in 2014-15 due to an above average share of payments </w:t>
      </w:r>
      <w:r w:rsidR="00380AB9">
        <w:t xml:space="preserve">for </w:t>
      </w:r>
      <w:r w:rsidR="00025E98">
        <w:t xml:space="preserve">regional </w:t>
      </w:r>
      <w:r w:rsidR="00380AB9">
        <w:t xml:space="preserve">health infrastructure through the </w:t>
      </w:r>
      <w:r w:rsidR="0039023F">
        <w:t xml:space="preserve">Health and Hospital Fund </w:t>
      </w:r>
      <w:r w:rsidR="00380AB9">
        <w:t xml:space="preserve">and for </w:t>
      </w:r>
      <w:r w:rsidR="0006150A">
        <w:t xml:space="preserve">urban </w:t>
      </w:r>
      <w:r w:rsidR="00380AB9">
        <w:t>rail infrastructure through the Infrastructure Investment Program.</w:t>
      </w:r>
      <w:r w:rsidR="0039023F">
        <w:t xml:space="preserve"> </w:t>
      </w:r>
      <w:r w:rsidR="003B1E11">
        <w:t>Th</w:t>
      </w:r>
      <w:r w:rsidR="00826033">
        <w:t>us</w:t>
      </w:r>
      <w:r w:rsidR="003B1E11">
        <w:t xml:space="preserve"> volatility can occur </w:t>
      </w:r>
      <w:r w:rsidR="00826033">
        <w:t xml:space="preserve">in the Commonwealth payments assessment </w:t>
      </w:r>
      <w:r w:rsidR="003B1E11">
        <w:t>when there are large projects in particular States</w:t>
      </w:r>
      <w:r w:rsidR="00A216D7">
        <w:t xml:space="preserve"> </w:t>
      </w:r>
      <w:r w:rsidR="00A216D7" w:rsidRPr="00A216D7">
        <w:t>for which the Commonwealth provides specific funding</w:t>
      </w:r>
      <w:r w:rsidR="003B1E11">
        <w:t>, both when they are first included in our three year average relativities and when they drop out. However, over time, through the equalisation process, States should receive equal per capita shares of these payments.</w:t>
      </w:r>
    </w:p>
    <w:p w:rsidR="0006150A" w:rsidRDefault="0006150A" w:rsidP="00BB50E2">
      <w:pPr>
        <w:pStyle w:val="CGCNumberedPara"/>
        <w:numPr>
          <w:ilvl w:val="1"/>
          <w:numId w:val="2"/>
        </w:numPr>
      </w:pPr>
      <w:r>
        <w:t xml:space="preserve">The main payments causing change in the GST distribution in this update are shown in </w:t>
      </w:r>
      <w:r>
        <w:fldChar w:fldCharType="begin"/>
      </w:r>
      <w:r>
        <w:instrText xml:space="preserve"> REF _Ref441839137 \h </w:instrText>
      </w:r>
      <w:r>
        <w:fldChar w:fldCharType="separate"/>
      </w:r>
      <w:r w:rsidR="007A6AF0">
        <w:t xml:space="preserve">Table </w:t>
      </w:r>
      <w:r w:rsidR="007A6AF0">
        <w:rPr>
          <w:noProof/>
        </w:rPr>
        <w:t>1</w:t>
      </w:r>
      <w:r w:rsidR="007A6AF0">
        <w:noBreakHyphen/>
      </w:r>
      <w:r w:rsidR="007A6AF0">
        <w:rPr>
          <w:noProof/>
        </w:rPr>
        <w:t>6</w:t>
      </w:r>
      <w:r>
        <w:fldChar w:fldCharType="end"/>
      </w:r>
      <w:r>
        <w:t>.</w:t>
      </w:r>
    </w:p>
    <w:p w:rsidR="0006150A" w:rsidRDefault="0006150A" w:rsidP="009324EA">
      <w:pPr>
        <w:pStyle w:val="CGCTableHeading"/>
      </w:pPr>
      <w:bookmarkStart w:id="495" w:name="_Ref441839137"/>
      <w:r>
        <w:t xml:space="preserve">Table </w:t>
      </w:r>
      <w:r w:rsidR="0014378B">
        <w:fldChar w:fldCharType="begin"/>
      </w:r>
      <w:r w:rsidR="0014378B">
        <w:instrText xml:space="preserve"> STYLEREF 1 \s </w:instrText>
      </w:r>
      <w:r w:rsidR="0014378B">
        <w:fldChar w:fldCharType="separate"/>
      </w:r>
      <w:r w:rsidR="007A6AF0">
        <w:rPr>
          <w:noProof/>
        </w:rPr>
        <w:t>1</w:t>
      </w:r>
      <w:r w:rsidR="0014378B">
        <w:rPr>
          <w:noProof/>
        </w:rPr>
        <w:fldChar w:fldCharType="end"/>
      </w:r>
      <w:r>
        <w:noBreakHyphen/>
      </w:r>
      <w:r w:rsidR="0014378B">
        <w:fldChar w:fldCharType="begin"/>
      </w:r>
      <w:r w:rsidR="0014378B">
        <w:instrText xml:space="preserve"> SEQ Table \* ARABIC \s 1 </w:instrText>
      </w:r>
      <w:r w:rsidR="0014378B">
        <w:fldChar w:fldCharType="separate"/>
      </w:r>
      <w:r w:rsidR="007A6AF0">
        <w:rPr>
          <w:noProof/>
        </w:rPr>
        <w:t>6</w:t>
      </w:r>
      <w:r w:rsidR="0014378B">
        <w:rPr>
          <w:noProof/>
        </w:rPr>
        <w:fldChar w:fldCharType="end"/>
      </w:r>
      <w:bookmarkEnd w:id="495"/>
      <w:r>
        <w:rPr>
          <w:noProof/>
        </w:rPr>
        <w:tab/>
      </w:r>
      <w:r w:rsidR="003B1E11">
        <w:rPr>
          <w:noProof/>
        </w:rPr>
        <w:t xml:space="preserve">Changes in </w:t>
      </w:r>
      <w:r>
        <w:rPr>
          <w:noProof/>
        </w:rPr>
        <w:t>the GST distribution</w:t>
      </w:r>
      <w:r w:rsidR="003B1E11">
        <w:rPr>
          <w:noProof/>
        </w:rPr>
        <w:t xml:space="preserve"> due to changes in Commonwealth payments</w:t>
      </w:r>
      <w:r>
        <w:rPr>
          <w:noProof/>
        </w:rPr>
        <w:t>, 2016 Update</w:t>
      </w:r>
    </w:p>
    <w:tbl>
      <w:tblPr>
        <w:tblW w:w="9000" w:type="dxa"/>
        <w:tblInd w:w="93" w:type="dxa"/>
        <w:tblLook w:val="04A0" w:firstRow="1" w:lastRow="0" w:firstColumn="1" w:lastColumn="0" w:noHBand="0" w:noVBand="1"/>
      </w:tblPr>
      <w:tblGrid>
        <w:gridCol w:w="2800"/>
        <w:gridCol w:w="680"/>
        <w:gridCol w:w="680"/>
        <w:gridCol w:w="680"/>
        <w:gridCol w:w="680"/>
        <w:gridCol w:w="680"/>
        <w:gridCol w:w="680"/>
        <w:gridCol w:w="680"/>
        <w:gridCol w:w="680"/>
        <w:gridCol w:w="760"/>
      </w:tblGrid>
      <w:tr w:rsidR="005D0156" w:rsidRPr="005D0156" w:rsidTr="005D0156">
        <w:trPr>
          <w:trHeight w:val="375"/>
        </w:trPr>
        <w:tc>
          <w:tcPr>
            <w:tcW w:w="280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 </w:t>
            </w:r>
          </w:p>
        </w:tc>
        <w:tc>
          <w:tcPr>
            <w:tcW w:w="68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NSW</w:t>
            </w:r>
          </w:p>
        </w:tc>
        <w:tc>
          <w:tcPr>
            <w:tcW w:w="68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Vic</w:t>
            </w:r>
          </w:p>
        </w:tc>
        <w:tc>
          <w:tcPr>
            <w:tcW w:w="68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Qld</w:t>
            </w:r>
          </w:p>
        </w:tc>
        <w:tc>
          <w:tcPr>
            <w:tcW w:w="68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WA</w:t>
            </w:r>
          </w:p>
        </w:tc>
        <w:tc>
          <w:tcPr>
            <w:tcW w:w="68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SA</w:t>
            </w:r>
          </w:p>
        </w:tc>
        <w:tc>
          <w:tcPr>
            <w:tcW w:w="68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Tas</w:t>
            </w:r>
          </w:p>
        </w:tc>
        <w:tc>
          <w:tcPr>
            <w:tcW w:w="68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ACT</w:t>
            </w:r>
          </w:p>
        </w:tc>
        <w:tc>
          <w:tcPr>
            <w:tcW w:w="68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NT</w:t>
            </w:r>
          </w:p>
        </w:tc>
        <w:tc>
          <w:tcPr>
            <w:tcW w:w="76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proofErr w:type="spellStart"/>
            <w:r w:rsidRPr="005D0156">
              <w:rPr>
                <w:rFonts w:ascii="Calibri" w:eastAsia="Times New Roman" w:hAnsi="Calibri" w:cs="Times New Roman"/>
                <w:sz w:val="20"/>
                <w:szCs w:val="20"/>
                <w:lang w:eastAsia="en-AU"/>
              </w:rPr>
              <w:t>Redist</w:t>
            </w:r>
            <w:proofErr w:type="spellEnd"/>
          </w:p>
        </w:tc>
      </w:tr>
      <w:tr w:rsidR="005D0156" w:rsidRPr="005D0156" w:rsidTr="005D0156">
        <w:trPr>
          <w:trHeight w:val="255"/>
        </w:trPr>
        <w:tc>
          <w:tcPr>
            <w:tcW w:w="280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rPr>
                <w:rFonts w:ascii="Calibri" w:eastAsia="Times New Roman" w:hAnsi="Calibri" w:cs="Times New Roman"/>
                <w:sz w:val="20"/>
                <w:szCs w:val="20"/>
                <w:lang w:eastAsia="en-AU"/>
              </w:rPr>
            </w:pP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r>
      <w:tr w:rsidR="005D0156" w:rsidRPr="005D0156" w:rsidTr="005D0156">
        <w:trPr>
          <w:trHeight w:val="315"/>
        </w:trPr>
        <w:tc>
          <w:tcPr>
            <w:tcW w:w="280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Rail infrastructure (a)</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-73</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51</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-102</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125</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w:t>
            </w:r>
          </w:p>
        </w:tc>
        <w:tc>
          <w:tcPr>
            <w:tcW w:w="76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180</w:t>
            </w:r>
          </w:p>
        </w:tc>
      </w:tr>
      <w:tr w:rsidR="005D0156" w:rsidRPr="005D0156" w:rsidTr="005D0156">
        <w:trPr>
          <w:trHeight w:val="315"/>
        </w:trPr>
        <w:tc>
          <w:tcPr>
            <w:tcW w:w="280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Road infrastructure (a)</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42</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-35</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112</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-80</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11</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-12</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-36</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w:t>
            </w:r>
          </w:p>
        </w:tc>
        <w:tc>
          <w:tcPr>
            <w:tcW w:w="76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166</w:t>
            </w:r>
          </w:p>
        </w:tc>
      </w:tr>
      <w:tr w:rsidR="005D0156" w:rsidRPr="005D0156" w:rsidTr="005D0156">
        <w:trPr>
          <w:trHeight w:val="315"/>
        </w:trPr>
        <w:tc>
          <w:tcPr>
            <w:tcW w:w="280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 xml:space="preserve">Health and Hospitals Fund </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-93</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43</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-14</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47</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9</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w:t>
            </w:r>
          </w:p>
        </w:tc>
        <w:tc>
          <w:tcPr>
            <w:tcW w:w="76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107</w:t>
            </w:r>
          </w:p>
        </w:tc>
      </w:tr>
      <w:tr w:rsidR="005D0156" w:rsidRPr="005D0156" w:rsidTr="005D0156">
        <w:trPr>
          <w:trHeight w:val="315"/>
        </w:trPr>
        <w:tc>
          <w:tcPr>
            <w:tcW w:w="280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Water for the Future (b)</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-39</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-34</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-19</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95</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w:t>
            </w:r>
          </w:p>
        </w:tc>
        <w:tc>
          <w:tcPr>
            <w:tcW w:w="76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101</w:t>
            </w:r>
          </w:p>
        </w:tc>
      </w:tr>
      <w:tr w:rsidR="005D0156" w:rsidRPr="005D0156" w:rsidTr="005D0156">
        <w:trPr>
          <w:trHeight w:val="315"/>
        </w:trPr>
        <w:tc>
          <w:tcPr>
            <w:tcW w:w="280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Students First funding (c)</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-59</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18</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-13</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41</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15</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0</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w:t>
            </w:r>
          </w:p>
        </w:tc>
        <w:tc>
          <w:tcPr>
            <w:tcW w:w="76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74</w:t>
            </w:r>
          </w:p>
        </w:tc>
      </w:tr>
      <w:tr w:rsidR="005D0156" w:rsidRPr="005D0156" w:rsidTr="005D0156">
        <w:trPr>
          <w:trHeight w:val="315"/>
        </w:trPr>
        <w:tc>
          <w:tcPr>
            <w:tcW w:w="280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Other</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-90</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-24</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12</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37</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30</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38</w:t>
            </w:r>
          </w:p>
        </w:tc>
        <w:tc>
          <w:tcPr>
            <w:tcW w:w="6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w:t>
            </w:r>
          </w:p>
        </w:tc>
        <w:tc>
          <w:tcPr>
            <w:tcW w:w="76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120</w:t>
            </w:r>
          </w:p>
        </w:tc>
      </w:tr>
      <w:tr w:rsidR="005D0156" w:rsidRPr="005D0156" w:rsidTr="005D0156">
        <w:trPr>
          <w:trHeight w:val="315"/>
        </w:trPr>
        <w:tc>
          <w:tcPr>
            <w:tcW w:w="280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Total</w:t>
            </w:r>
          </w:p>
        </w:tc>
        <w:tc>
          <w:tcPr>
            <w:tcW w:w="680" w:type="dxa"/>
            <w:tcBorders>
              <w:top w:val="single" w:sz="4" w:space="0" w:color="auto"/>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-311</w:t>
            </w:r>
          </w:p>
        </w:tc>
        <w:tc>
          <w:tcPr>
            <w:tcW w:w="680" w:type="dxa"/>
            <w:tcBorders>
              <w:top w:val="single" w:sz="4" w:space="0" w:color="auto"/>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19</w:t>
            </w:r>
          </w:p>
        </w:tc>
        <w:tc>
          <w:tcPr>
            <w:tcW w:w="680" w:type="dxa"/>
            <w:tcBorders>
              <w:top w:val="single" w:sz="4" w:space="0" w:color="auto"/>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-24</w:t>
            </w:r>
          </w:p>
        </w:tc>
        <w:tc>
          <w:tcPr>
            <w:tcW w:w="680" w:type="dxa"/>
            <w:tcBorders>
              <w:top w:val="single" w:sz="4" w:space="0" w:color="auto"/>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37</w:t>
            </w:r>
          </w:p>
        </w:tc>
        <w:tc>
          <w:tcPr>
            <w:tcW w:w="680" w:type="dxa"/>
            <w:tcBorders>
              <w:top w:val="single" w:sz="4" w:space="0" w:color="auto"/>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277</w:t>
            </w:r>
          </w:p>
        </w:tc>
        <w:tc>
          <w:tcPr>
            <w:tcW w:w="680" w:type="dxa"/>
            <w:tcBorders>
              <w:top w:val="single" w:sz="4" w:space="0" w:color="auto"/>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w:t>
            </w:r>
          </w:p>
        </w:tc>
        <w:tc>
          <w:tcPr>
            <w:tcW w:w="680" w:type="dxa"/>
            <w:tcBorders>
              <w:top w:val="single" w:sz="4" w:space="0" w:color="auto"/>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0</w:t>
            </w:r>
          </w:p>
        </w:tc>
        <w:tc>
          <w:tcPr>
            <w:tcW w:w="680" w:type="dxa"/>
            <w:tcBorders>
              <w:top w:val="single" w:sz="4" w:space="0" w:color="auto"/>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w:t>
            </w:r>
          </w:p>
        </w:tc>
        <w:tc>
          <w:tcPr>
            <w:tcW w:w="760" w:type="dxa"/>
            <w:tcBorders>
              <w:top w:val="single" w:sz="4" w:space="0" w:color="auto"/>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337</w:t>
            </w:r>
          </w:p>
        </w:tc>
      </w:tr>
    </w:tbl>
    <w:p w:rsidR="0006150A" w:rsidRDefault="0006150A" w:rsidP="009324EA">
      <w:pPr>
        <w:pStyle w:val="CGCTableFootnote"/>
      </w:pPr>
      <w:r w:rsidRPr="0006150A">
        <w:t xml:space="preserve">(a) </w:t>
      </w:r>
      <w:r w:rsidR="00035F33">
        <w:tab/>
      </w:r>
      <w:r w:rsidRPr="0006150A">
        <w:t xml:space="preserve">The </w:t>
      </w:r>
      <w:r w:rsidR="00216133">
        <w:t xml:space="preserve">Commonwealth’s </w:t>
      </w:r>
      <w:r w:rsidR="00F2598D" w:rsidRPr="00216133">
        <w:rPr>
          <w:i/>
        </w:rPr>
        <w:t>Final Budget Outcome</w:t>
      </w:r>
      <w:r w:rsidR="00F2598D" w:rsidRPr="0006150A">
        <w:t xml:space="preserve"> </w:t>
      </w:r>
      <w:r w:rsidRPr="0006150A">
        <w:t>payment names for these programs have changed between 2011</w:t>
      </w:r>
      <w:r w:rsidR="00F2598D">
        <w:noBreakHyphen/>
      </w:r>
      <w:r w:rsidRPr="0006150A">
        <w:t>12 and 2014-15.</w:t>
      </w:r>
    </w:p>
    <w:p w:rsidR="0006150A" w:rsidRDefault="0006150A" w:rsidP="009324EA">
      <w:pPr>
        <w:pStyle w:val="CGCTableFootnote"/>
      </w:pPr>
      <w:r w:rsidRPr="0006150A">
        <w:t xml:space="preserve">(b) </w:t>
      </w:r>
      <w:r w:rsidR="00035F33">
        <w:tab/>
      </w:r>
      <w:r w:rsidRPr="0006150A">
        <w:t>National Urban Water and Desalination Plan component of this program.</w:t>
      </w:r>
    </w:p>
    <w:p w:rsidR="0006150A" w:rsidRDefault="0006150A" w:rsidP="009324EA">
      <w:pPr>
        <w:pStyle w:val="CGCTableFootnote"/>
      </w:pPr>
      <w:r w:rsidRPr="0006150A">
        <w:t xml:space="preserve">(c) </w:t>
      </w:r>
      <w:r w:rsidR="00035F33">
        <w:tab/>
      </w:r>
      <w:r w:rsidRPr="0006150A">
        <w:t>Government school</w:t>
      </w:r>
      <w:r w:rsidR="00826033">
        <w:t>s</w:t>
      </w:r>
      <w:r w:rsidRPr="0006150A">
        <w:t xml:space="preserve"> component.</w:t>
      </w:r>
    </w:p>
    <w:p w:rsidR="00BB50E2" w:rsidRDefault="0006150A" w:rsidP="009324EA">
      <w:pPr>
        <w:pStyle w:val="CGCTableFootnote"/>
      </w:pPr>
      <w:r>
        <w:t>Source:</w:t>
      </w:r>
      <w:r>
        <w:tab/>
        <w:t>Commission calculation.</w:t>
      </w:r>
    </w:p>
    <w:p w:rsidR="005449C4" w:rsidRPr="005449C4" w:rsidRDefault="00BB50E2" w:rsidP="005449C4">
      <w:pPr>
        <w:pStyle w:val="CGCNumberedPara"/>
      </w:pPr>
      <w:r>
        <w:t>More information on the changes arising from the assessment of individual C</w:t>
      </w:r>
      <w:r w:rsidR="007B5FC1">
        <w:t>ommonwealth payments is in the S</w:t>
      </w:r>
      <w:r>
        <w:t xml:space="preserve">upporting </w:t>
      </w:r>
      <w:r w:rsidR="00826033">
        <w:t xml:space="preserve">information </w:t>
      </w:r>
      <w:r>
        <w:t xml:space="preserve">for this update available on the </w:t>
      </w:r>
      <w:hyperlink r:id="rId52" w:history="1">
        <w:r w:rsidR="00826033" w:rsidRPr="00D05F5E">
          <w:rPr>
            <w:rStyle w:val="Hyperlink"/>
          </w:rPr>
          <w:t>Commission’s website</w:t>
        </w:r>
      </w:hyperlink>
      <w:r w:rsidR="00F2598D">
        <w:t xml:space="preserve"> (www.cgc.gov.au).</w:t>
      </w:r>
    </w:p>
    <w:p w:rsidR="002020EE" w:rsidRDefault="002020EE" w:rsidP="00F242F6">
      <w:pPr>
        <w:pStyle w:val="Heading4"/>
      </w:pPr>
      <w:bookmarkStart w:id="496" w:name="_Toc441499266"/>
      <w:bookmarkStart w:id="497" w:name="_Toc442191922"/>
      <w:bookmarkStart w:id="498" w:name="_Toc442192176"/>
      <w:bookmarkStart w:id="499" w:name="_Toc442192241"/>
      <w:bookmarkStart w:id="500" w:name="_Toc442772825"/>
      <w:bookmarkStart w:id="501" w:name="_Toc442773054"/>
      <w:bookmarkStart w:id="502" w:name="_Toc442773224"/>
      <w:bookmarkStart w:id="503" w:name="_Toc442883291"/>
      <w:bookmarkStart w:id="504" w:name="_Toc442949147"/>
      <w:bookmarkEnd w:id="473"/>
      <w:bookmarkEnd w:id="474"/>
      <w:bookmarkEnd w:id="475"/>
      <w:bookmarkEnd w:id="476"/>
      <w:bookmarkEnd w:id="477"/>
      <w:bookmarkEnd w:id="478"/>
      <w:bookmarkEnd w:id="479"/>
      <w:bookmarkEnd w:id="480"/>
      <w:bookmarkEnd w:id="481"/>
      <w:bookmarkEnd w:id="482"/>
      <w:bookmarkEnd w:id="483"/>
      <w:bookmarkEnd w:id="484"/>
      <w:bookmarkEnd w:id="485"/>
      <w:r>
        <w:lastRenderedPageBreak/>
        <w:t>E</w:t>
      </w:r>
      <w:r w:rsidR="00F242F6">
        <w:t>xpenses</w:t>
      </w:r>
      <w:bookmarkEnd w:id="486"/>
      <w:bookmarkEnd w:id="487"/>
      <w:bookmarkEnd w:id="488"/>
      <w:bookmarkEnd w:id="489"/>
      <w:bookmarkEnd w:id="496"/>
      <w:bookmarkEnd w:id="497"/>
      <w:bookmarkEnd w:id="498"/>
      <w:bookmarkEnd w:id="499"/>
      <w:bookmarkEnd w:id="500"/>
      <w:bookmarkEnd w:id="501"/>
      <w:bookmarkEnd w:id="502"/>
      <w:bookmarkEnd w:id="503"/>
      <w:bookmarkEnd w:id="504"/>
    </w:p>
    <w:p w:rsidR="00840B1C" w:rsidRDefault="00930D61" w:rsidP="00840B1C">
      <w:pPr>
        <w:pStyle w:val="Heading5"/>
      </w:pPr>
      <w:bookmarkStart w:id="505" w:name="_Toc442949148"/>
      <w:r>
        <w:t>P</w:t>
      </w:r>
      <w:r w:rsidR="00840B1C">
        <w:t>opulation growth</w:t>
      </w:r>
      <w:bookmarkEnd w:id="505"/>
    </w:p>
    <w:p w:rsidR="00930D61" w:rsidRDefault="00930D61" w:rsidP="00930D61">
      <w:pPr>
        <w:pStyle w:val="CGCNumberedPara"/>
      </w:pPr>
      <w:r>
        <w:t xml:space="preserve">Changes in the interstate distribution of national population growth have an impact on a wide range of assessments. In some it is a clearly identified determinant of assessed </w:t>
      </w:r>
      <w:r w:rsidR="004D487E">
        <w:t xml:space="preserve">expenses </w:t>
      </w:r>
      <w:r>
        <w:t xml:space="preserve">or investment, while in others it is less direct, for example in urban </w:t>
      </w:r>
      <w:r w:rsidR="004D487E">
        <w:t xml:space="preserve">transport </w:t>
      </w:r>
      <w:r>
        <w:t xml:space="preserve">where changes in urban population rather than total State populations are the driving influence. We have </w:t>
      </w:r>
      <w:proofErr w:type="spellStart"/>
      <w:r>
        <w:t>proxied</w:t>
      </w:r>
      <w:proofErr w:type="spellEnd"/>
      <w:r>
        <w:t xml:space="preserve"> the impact of population growth </w:t>
      </w:r>
      <w:r w:rsidR="00826033">
        <w:t xml:space="preserve">on State fiscal capacities </w:t>
      </w:r>
      <w:r>
        <w:t>by measuring the impact of changes in State population</w:t>
      </w:r>
      <w:r w:rsidR="00826033">
        <w:t xml:space="preserve"> shares</w:t>
      </w:r>
      <w:r>
        <w:t xml:space="preserve"> on urban </w:t>
      </w:r>
      <w:r w:rsidR="004D487E">
        <w:t xml:space="preserve">transport </w:t>
      </w:r>
      <w:r>
        <w:t>investment, investment in urban roads and general investment, including in financial assets, but excluding the impact of State population growth on the intrastate distribution of people, for example, growth in urban population sizes.</w:t>
      </w:r>
    </w:p>
    <w:p w:rsidR="00930D61" w:rsidRDefault="00930D61" w:rsidP="00930D61">
      <w:pPr>
        <w:pStyle w:val="CGCNumberedPara"/>
      </w:pPr>
      <w:r>
        <w:t>There has been a significant change in the distribution of national population growth among States between 2011</w:t>
      </w:r>
      <w:r>
        <w:noBreakHyphen/>
        <w:t>12 and 2014</w:t>
      </w:r>
      <w:r>
        <w:noBreakHyphen/>
        <w:t>15 and this has had a significant impact on GST revenue. In 2011</w:t>
      </w:r>
      <w:r>
        <w:noBreakHyphen/>
        <w:t>12 Western A</w:t>
      </w:r>
      <w:r w:rsidR="00F36AB4">
        <w:t xml:space="preserve">ustralia accounted for nearly </w:t>
      </w:r>
      <w:r w:rsidR="007B5FC1">
        <w:t>21</w:t>
      </w:r>
      <w:r>
        <w:t>% of the national population growth, well above its share of the national population. As a consequence it was allocated a higher share of GST revenue than its population share to facilitate the infrastructure investment its population growth warranted. In 2014</w:t>
      </w:r>
      <w:r>
        <w:noBreakHyphen/>
        <w:t>15</w:t>
      </w:r>
      <w:r w:rsidR="004D487E">
        <w:t>,</w:t>
      </w:r>
      <w:r>
        <w:t xml:space="preserve"> it accounted for 1</w:t>
      </w:r>
      <w:r w:rsidR="00F36AB4">
        <w:t>1.5</w:t>
      </w:r>
      <w:r>
        <w:t>% of national population growth, much closer to its population share</w:t>
      </w:r>
      <w:r w:rsidR="004D487E">
        <w:t>,</w:t>
      </w:r>
      <w:r>
        <w:t xml:space="preserve"> and accordingly</w:t>
      </w:r>
      <w:r w:rsidR="004D487E">
        <w:t>,</w:t>
      </w:r>
      <w:r>
        <w:t xml:space="preserve"> its GST share has been reduced. Queensland and the Northern Territory have shared a similar experience</w:t>
      </w:r>
      <w:r w:rsidR="00F2598D">
        <w:t>,</w:t>
      </w:r>
      <w:r>
        <w:t xml:space="preserve"> while </w:t>
      </w:r>
      <w:r w:rsidR="004D487E">
        <w:t xml:space="preserve">New South Wales </w:t>
      </w:r>
      <w:r>
        <w:t xml:space="preserve">and Victoria have experienced the reverse as population growth in these States has accelerated. Victoria is now the fastest growing State, accounting for </w:t>
      </w:r>
      <w:r w:rsidR="00CB5728">
        <w:t>about 31</w:t>
      </w:r>
      <w:r>
        <w:t>% of national population growth in 2014</w:t>
      </w:r>
      <w:r>
        <w:noBreakHyphen/>
        <w:t>15.</w:t>
      </w:r>
    </w:p>
    <w:p w:rsidR="00840B1C" w:rsidRDefault="00930D61" w:rsidP="00930D61">
      <w:pPr>
        <w:pStyle w:val="CGCNumberedPara"/>
      </w:pPr>
      <w:r>
        <w:fldChar w:fldCharType="begin"/>
      </w:r>
      <w:r>
        <w:instrText xml:space="preserve"> REF _Ref428434355 \h </w:instrText>
      </w:r>
      <w:r>
        <w:fldChar w:fldCharType="separate"/>
      </w:r>
      <w:r w:rsidR="007A6AF0">
        <w:t xml:space="preserve">Table </w:t>
      </w:r>
      <w:r w:rsidR="007A6AF0">
        <w:rPr>
          <w:noProof/>
        </w:rPr>
        <w:t>1</w:t>
      </w:r>
      <w:r w:rsidR="007A6AF0">
        <w:noBreakHyphen/>
      </w:r>
      <w:r w:rsidR="007A6AF0">
        <w:rPr>
          <w:noProof/>
        </w:rPr>
        <w:t>7</w:t>
      </w:r>
      <w:r>
        <w:fldChar w:fldCharType="end"/>
      </w:r>
      <w:r>
        <w:t xml:space="preserve"> shows each State</w:t>
      </w:r>
      <w:r w:rsidR="004D487E">
        <w:t>’</w:t>
      </w:r>
      <w:r>
        <w:t>s contribution to national population growth in 2011</w:t>
      </w:r>
      <w:r>
        <w:noBreakHyphen/>
        <w:t>12 and 2014</w:t>
      </w:r>
      <w:r>
        <w:noBreakHyphen/>
        <w:t>15 and their population shares for comparison.</w:t>
      </w:r>
    </w:p>
    <w:p w:rsidR="00840B1C" w:rsidRDefault="00840B1C" w:rsidP="00840B1C">
      <w:pPr>
        <w:pStyle w:val="Caption"/>
      </w:pPr>
      <w:bookmarkStart w:id="506" w:name="_Ref428434355"/>
      <w:r>
        <w:t xml:space="preserve">Table </w:t>
      </w:r>
      <w:r w:rsidR="0014378B">
        <w:fldChar w:fldCharType="begin"/>
      </w:r>
      <w:r w:rsidR="0014378B">
        <w:instrText xml:space="preserve"> STYLEREF 1 \s </w:instrText>
      </w:r>
      <w:r w:rsidR="0014378B">
        <w:fldChar w:fldCharType="separate"/>
      </w:r>
      <w:r w:rsidR="007A6AF0">
        <w:rPr>
          <w:noProof/>
        </w:rPr>
        <w:t>1</w:t>
      </w:r>
      <w:r w:rsidR="0014378B">
        <w:rPr>
          <w:noProof/>
        </w:rPr>
        <w:fldChar w:fldCharType="end"/>
      </w:r>
      <w:r>
        <w:noBreakHyphen/>
      </w:r>
      <w:r w:rsidR="0014378B">
        <w:fldChar w:fldCharType="begin"/>
      </w:r>
      <w:r w:rsidR="0014378B">
        <w:instrText xml:space="preserve"> SEQ Table \* ARABIC \s 1 </w:instrText>
      </w:r>
      <w:r w:rsidR="0014378B">
        <w:fldChar w:fldCharType="separate"/>
      </w:r>
      <w:r w:rsidR="007A6AF0">
        <w:rPr>
          <w:noProof/>
        </w:rPr>
        <w:t>7</w:t>
      </w:r>
      <w:r w:rsidR="0014378B">
        <w:rPr>
          <w:noProof/>
        </w:rPr>
        <w:fldChar w:fldCharType="end"/>
      </w:r>
      <w:bookmarkEnd w:id="506"/>
      <w:r w:rsidRPr="00E00E2D">
        <w:tab/>
      </w:r>
      <w:r w:rsidR="00AE7E93">
        <w:t>Shares of population growth</w:t>
      </w:r>
      <w:r w:rsidR="00703B2C">
        <w:t>,</w:t>
      </w:r>
      <w:r>
        <w:t xml:space="preserve"> 2011-12 and 2014-15</w:t>
      </w:r>
    </w:p>
    <w:tbl>
      <w:tblPr>
        <w:tblW w:w="8980" w:type="dxa"/>
        <w:tblInd w:w="93" w:type="dxa"/>
        <w:tblLook w:val="04A0" w:firstRow="1" w:lastRow="0" w:firstColumn="1" w:lastColumn="0" w:noHBand="0" w:noVBand="1"/>
      </w:tblPr>
      <w:tblGrid>
        <w:gridCol w:w="2640"/>
        <w:gridCol w:w="780"/>
        <w:gridCol w:w="820"/>
        <w:gridCol w:w="760"/>
        <w:gridCol w:w="700"/>
        <w:gridCol w:w="700"/>
        <w:gridCol w:w="620"/>
        <w:gridCol w:w="580"/>
        <w:gridCol w:w="580"/>
        <w:gridCol w:w="800"/>
      </w:tblGrid>
      <w:tr w:rsidR="005D0156" w:rsidRPr="005D0156" w:rsidTr="005D0156">
        <w:trPr>
          <w:trHeight w:val="375"/>
        </w:trPr>
        <w:tc>
          <w:tcPr>
            <w:tcW w:w="264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 </w:t>
            </w:r>
          </w:p>
        </w:tc>
        <w:tc>
          <w:tcPr>
            <w:tcW w:w="78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NSW</w:t>
            </w:r>
          </w:p>
        </w:tc>
        <w:tc>
          <w:tcPr>
            <w:tcW w:w="82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Vic</w:t>
            </w:r>
          </w:p>
        </w:tc>
        <w:tc>
          <w:tcPr>
            <w:tcW w:w="76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Qld</w:t>
            </w:r>
          </w:p>
        </w:tc>
        <w:tc>
          <w:tcPr>
            <w:tcW w:w="70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WA</w:t>
            </w:r>
          </w:p>
        </w:tc>
        <w:tc>
          <w:tcPr>
            <w:tcW w:w="70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SA</w:t>
            </w:r>
          </w:p>
        </w:tc>
        <w:tc>
          <w:tcPr>
            <w:tcW w:w="62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Tas</w:t>
            </w:r>
          </w:p>
        </w:tc>
        <w:tc>
          <w:tcPr>
            <w:tcW w:w="58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ACT</w:t>
            </w:r>
          </w:p>
        </w:tc>
        <w:tc>
          <w:tcPr>
            <w:tcW w:w="58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NT</w:t>
            </w:r>
          </w:p>
        </w:tc>
        <w:tc>
          <w:tcPr>
            <w:tcW w:w="80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Total</w:t>
            </w:r>
          </w:p>
        </w:tc>
      </w:tr>
      <w:tr w:rsidR="005D0156" w:rsidRPr="005D0156" w:rsidTr="005D0156">
        <w:trPr>
          <w:trHeight w:val="259"/>
        </w:trPr>
        <w:tc>
          <w:tcPr>
            <w:tcW w:w="2640" w:type="dxa"/>
            <w:tcBorders>
              <w:top w:val="nil"/>
              <w:left w:val="nil"/>
              <w:bottom w:val="nil"/>
              <w:right w:val="nil"/>
            </w:tcBorders>
            <w:shd w:val="clear" w:color="auto" w:fill="auto"/>
            <w:vAlign w:val="bottom"/>
            <w:hideMark/>
          </w:tcPr>
          <w:p w:rsidR="005D0156" w:rsidRPr="005D0156" w:rsidRDefault="005D0156" w:rsidP="005D0156">
            <w:pPr>
              <w:tabs>
                <w:tab w:val="clear" w:pos="567"/>
              </w:tabs>
              <w:spacing w:after="0" w:line="240" w:lineRule="auto"/>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Shares of population growth</w:t>
            </w:r>
          </w:p>
        </w:tc>
        <w:tc>
          <w:tcPr>
            <w:tcW w:w="7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w:t>
            </w:r>
          </w:p>
        </w:tc>
        <w:tc>
          <w:tcPr>
            <w:tcW w:w="82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w:t>
            </w:r>
          </w:p>
        </w:tc>
        <w:tc>
          <w:tcPr>
            <w:tcW w:w="76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w:t>
            </w:r>
          </w:p>
        </w:tc>
        <w:tc>
          <w:tcPr>
            <w:tcW w:w="70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w:t>
            </w:r>
          </w:p>
        </w:tc>
        <w:tc>
          <w:tcPr>
            <w:tcW w:w="70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w:t>
            </w:r>
          </w:p>
        </w:tc>
        <w:tc>
          <w:tcPr>
            <w:tcW w:w="5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w:t>
            </w:r>
          </w:p>
        </w:tc>
        <w:tc>
          <w:tcPr>
            <w:tcW w:w="5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w:t>
            </w:r>
          </w:p>
        </w:tc>
        <w:tc>
          <w:tcPr>
            <w:tcW w:w="80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w:t>
            </w:r>
          </w:p>
        </w:tc>
      </w:tr>
      <w:tr w:rsidR="005D0156" w:rsidRPr="005D0156" w:rsidTr="005D0156">
        <w:trPr>
          <w:trHeight w:val="315"/>
        </w:trPr>
        <w:tc>
          <w:tcPr>
            <w:tcW w:w="264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ind w:firstLineChars="100" w:firstLine="200"/>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2011-12</w:t>
            </w:r>
          </w:p>
        </w:tc>
        <w:tc>
          <w:tcPr>
            <w:tcW w:w="7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23.5</w:t>
            </w:r>
          </w:p>
        </w:tc>
        <w:tc>
          <w:tcPr>
            <w:tcW w:w="82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25.0</w:t>
            </w:r>
          </w:p>
        </w:tc>
        <w:tc>
          <w:tcPr>
            <w:tcW w:w="76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23.5</w:t>
            </w:r>
          </w:p>
        </w:tc>
        <w:tc>
          <w:tcPr>
            <w:tcW w:w="70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20.9</w:t>
            </w:r>
          </w:p>
        </w:tc>
        <w:tc>
          <w:tcPr>
            <w:tcW w:w="70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4.2</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0.5</w:t>
            </w:r>
          </w:p>
        </w:tc>
        <w:tc>
          <w:tcPr>
            <w:tcW w:w="5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1.8</w:t>
            </w:r>
          </w:p>
        </w:tc>
        <w:tc>
          <w:tcPr>
            <w:tcW w:w="5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0.7</w:t>
            </w:r>
          </w:p>
        </w:tc>
        <w:tc>
          <w:tcPr>
            <w:tcW w:w="80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100.0</w:t>
            </w:r>
          </w:p>
        </w:tc>
      </w:tr>
      <w:tr w:rsidR="005D0156" w:rsidRPr="005D0156" w:rsidTr="005D0156">
        <w:trPr>
          <w:trHeight w:val="315"/>
        </w:trPr>
        <w:tc>
          <w:tcPr>
            <w:tcW w:w="264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ind w:firstLineChars="100" w:firstLine="200"/>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2014-15</w:t>
            </w:r>
          </w:p>
        </w:tc>
        <w:tc>
          <w:tcPr>
            <w:tcW w:w="78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31.7</w:t>
            </w:r>
          </w:p>
        </w:tc>
        <w:tc>
          <w:tcPr>
            <w:tcW w:w="82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30.7</w:t>
            </w:r>
          </w:p>
        </w:tc>
        <w:tc>
          <w:tcPr>
            <w:tcW w:w="76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19.7</w:t>
            </w:r>
          </w:p>
        </w:tc>
        <w:tc>
          <w:tcPr>
            <w:tcW w:w="70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11.5</w:t>
            </w:r>
          </w:p>
        </w:tc>
        <w:tc>
          <w:tcPr>
            <w:tcW w:w="70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4.5</w:t>
            </w:r>
          </w:p>
        </w:tc>
        <w:tc>
          <w:tcPr>
            <w:tcW w:w="62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0.4</w:t>
            </w:r>
          </w:p>
        </w:tc>
        <w:tc>
          <w:tcPr>
            <w:tcW w:w="58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1.3</w:t>
            </w:r>
          </w:p>
        </w:tc>
        <w:tc>
          <w:tcPr>
            <w:tcW w:w="58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0.1</w:t>
            </w:r>
          </w:p>
        </w:tc>
        <w:tc>
          <w:tcPr>
            <w:tcW w:w="80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100.0</w:t>
            </w:r>
          </w:p>
        </w:tc>
      </w:tr>
      <w:tr w:rsidR="005D0156" w:rsidRPr="005D0156" w:rsidTr="005D0156">
        <w:trPr>
          <w:trHeight w:val="315"/>
        </w:trPr>
        <w:tc>
          <w:tcPr>
            <w:tcW w:w="264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Population share (2014-15)</w:t>
            </w:r>
          </w:p>
        </w:tc>
        <w:tc>
          <w:tcPr>
            <w:tcW w:w="78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32.0</w:t>
            </w:r>
          </w:p>
        </w:tc>
        <w:tc>
          <w:tcPr>
            <w:tcW w:w="82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24.9</w:t>
            </w:r>
          </w:p>
        </w:tc>
        <w:tc>
          <w:tcPr>
            <w:tcW w:w="76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20.1</w:t>
            </w:r>
          </w:p>
        </w:tc>
        <w:tc>
          <w:tcPr>
            <w:tcW w:w="70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10.9</w:t>
            </w:r>
          </w:p>
        </w:tc>
        <w:tc>
          <w:tcPr>
            <w:tcW w:w="70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7.2</w:t>
            </w:r>
          </w:p>
        </w:tc>
        <w:tc>
          <w:tcPr>
            <w:tcW w:w="62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2.2</w:t>
            </w:r>
          </w:p>
        </w:tc>
        <w:tc>
          <w:tcPr>
            <w:tcW w:w="58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1.6</w:t>
            </w:r>
          </w:p>
        </w:tc>
        <w:tc>
          <w:tcPr>
            <w:tcW w:w="58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1.0</w:t>
            </w:r>
          </w:p>
        </w:tc>
        <w:tc>
          <w:tcPr>
            <w:tcW w:w="80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100.0</w:t>
            </w:r>
          </w:p>
        </w:tc>
      </w:tr>
    </w:tbl>
    <w:p w:rsidR="00840B1C" w:rsidRPr="00E00E2D" w:rsidRDefault="0018665C" w:rsidP="00AD1A03">
      <w:pPr>
        <w:pStyle w:val="CGCTableFootnote"/>
        <w:keepNext/>
        <w:ind w:left="0" w:firstLine="0"/>
      </w:pPr>
      <w:r>
        <w:t>Note:</w:t>
      </w:r>
      <w:r w:rsidR="00840B1C" w:rsidRPr="00E00E2D">
        <w:tab/>
      </w:r>
      <w:r>
        <w:t>Estimates based on</w:t>
      </w:r>
      <w:r w:rsidR="00840B1C" w:rsidRPr="00E00E2D">
        <w:t xml:space="preserve"> State estimated resident </w:t>
      </w:r>
      <w:r w:rsidR="00840B1C" w:rsidRPr="00606C2B">
        <w:t>populations at December in each year.</w:t>
      </w:r>
    </w:p>
    <w:p w:rsidR="00840B1C" w:rsidRDefault="00840B1C" w:rsidP="00840B1C">
      <w:pPr>
        <w:pStyle w:val="CGCTableFootnote"/>
        <w:ind w:left="0" w:firstLine="0"/>
      </w:pPr>
      <w:r w:rsidRPr="00E00E2D">
        <w:t>Source:</w:t>
      </w:r>
      <w:r w:rsidRPr="00E00E2D">
        <w:tab/>
        <w:t>Commission calculation</w:t>
      </w:r>
      <w:r>
        <w:t xml:space="preserve"> based on ABS estimated resident populations</w:t>
      </w:r>
      <w:r w:rsidRPr="00E00E2D">
        <w:t>.</w:t>
      </w:r>
      <w:r>
        <w:t xml:space="preserve"> </w:t>
      </w:r>
    </w:p>
    <w:p w:rsidR="00AC6C01" w:rsidRPr="00AC6C01" w:rsidRDefault="00AC6C01" w:rsidP="00AC6C01">
      <w:pPr>
        <w:pStyle w:val="CGCNumberedPara"/>
      </w:pPr>
      <w:r w:rsidRPr="00AC6C01">
        <w:t xml:space="preserve">In this update the population growth effects in the Investment assessment were partially offset by the Net borrowing assessment. </w:t>
      </w:r>
    </w:p>
    <w:p w:rsidR="00AC6C01" w:rsidRPr="00AC6C01" w:rsidRDefault="00AC6C01" w:rsidP="00AC6C01">
      <w:pPr>
        <w:pStyle w:val="CGCNumberedPara"/>
      </w:pPr>
      <w:r w:rsidRPr="00AC6C01">
        <w:t>At present</w:t>
      </w:r>
      <w:r w:rsidR="00F2598D">
        <w:t>,</w:t>
      </w:r>
      <w:r w:rsidRPr="00AC6C01">
        <w:t xml:space="preserve"> States on average have more financial liabilities than assets. A State with a </w:t>
      </w:r>
      <w:r w:rsidR="00F2598D">
        <w:t xml:space="preserve">relatively </w:t>
      </w:r>
      <w:r w:rsidRPr="00AC6C01">
        <w:t xml:space="preserve">large share of population growth is assessed to need to spend more than average per capita on infrastructure investment and have a greater capacity to </w:t>
      </w:r>
      <w:r w:rsidRPr="00AC6C01">
        <w:lastRenderedPageBreak/>
        <w:t xml:space="preserve">borrow (because new arrivals come to the State with no debt) while holding net financial liability per capita at the national average level. The ability to borrow </w:t>
      </w:r>
      <w:r w:rsidR="00A96EE0">
        <w:t xml:space="preserve">partially </w:t>
      </w:r>
      <w:r w:rsidRPr="00AC6C01">
        <w:t>offsets the investment impact, reducing the net impact on a State</w:t>
      </w:r>
      <w:r w:rsidR="00A96EE0">
        <w:t>’</w:t>
      </w:r>
      <w:r w:rsidRPr="00AC6C01">
        <w:t xml:space="preserve">s GST share. </w:t>
      </w:r>
    </w:p>
    <w:p w:rsidR="00AC6C01" w:rsidRPr="00AC6C01" w:rsidRDefault="00AC6C01" w:rsidP="00AC6C01">
      <w:pPr>
        <w:pStyle w:val="CGCNumberedPara"/>
      </w:pPr>
      <w:r w:rsidRPr="00AC6C01">
        <w:t>Western Australia</w:t>
      </w:r>
      <w:r w:rsidR="008F00A3">
        <w:t>,</w:t>
      </w:r>
      <w:r w:rsidRPr="00AC6C01">
        <w:t xml:space="preserve"> whose population growth has fallen</w:t>
      </w:r>
      <w:r w:rsidR="008F00A3">
        <w:t>,</w:t>
      </w:r>
      <w:r w:rsidRPr="00AC6C01">
        <w:t xml:space="preserve"> is seen as needing to invest less per capita in infrastructure</w:t>
      </w:r>
      <w:r w:rsidR="008F00A3">
        <w:t>,</w:t>
      </w:r>
      <w:r w:rsidRPr="00AC6C01">
        <w:t xml:space="preserve"> which reduces its assessed GST revenue. However its ability to borrow without increasing its net financial liabilities per capita above the national average is also constrained by its slowing population growth.  The two effects offset each other. The former reduces its GST share while the latter</w:t>
      </w:r>
      <w:r w:rsidR="00892DA0">
        <w:t>,</w:t>
      </w:r>
      <w:r w:rsidRPr="00AC6C01">
        <w:t xml:space="preserve"> which can be seen as a diminution in the ability to raise finance, increases it. </w:t>
      </w:r>
    </w:p>
    <w:p w:rsidR="00DF2A58" w:rsidRPr="00AC2143" w:rsidRDefault="00DF2A58" w:rsidP="00AC2143">
      <w:pPr>
        <w:pStyle w:val="Heading5"/>
      </w:pPr>
      <w:bookmarkStart w:id="507" w:name="_Toc442949149"/>
      <w:r w:rsidRPr="00AC2143">
        <w:t>Natural disaster relief</w:t>
      </w:r>
      <w:bookmarkEnd w:id="507"/>
    </w:p>
    <w:p w:rsidR="00AC2143" w:rsidRDefault="001B10BD" w:rsidP="001A5F83">
      <w:pPr>
        <w:pStyle w:val="CGCNumberedPara"/>
      </w:pPr>
      <w:r>
        <w:t xml:space="preserve">Despite a sharp decline in </w:t>
      </w:r>
      <w:r w:rsidR="00DF2A58" w:rsidRPr="00DF774E">
        <w:t xml:space="preserve">the natural disaster relief expenses (net of Commonwealth assistance) </w:t>
      </w:r>
      <w:r w:rsidR="00DF2A58">
        <w:t>for</w:t>
      </w:r>
      <w:r w:rsidR="00DF2A58" w:rsidRPr="00DF774E">
        <w:t xml:space="preserve"> Queensland in 201</w:t>
      </w:r>
      <w:r>
        <w:t>4</w:t>
      </w:r>
      <w:r w:rsidR="00D208DA">
        <w:noBreakHyphen/>
      </w:r>
      <w:r w:rsidR="00DF2A58" w:rsidRPr="00DF774E">
        <w:t>1</w:t>
      </w:r>
      <w:r>
        <w:t>5</w:t>
      </w:r>
      <w:r w:rsidR="00DF2A58" w:rsidRPr="00DF774E">
        <w:t xml:space="preserve">, </w:t>
      </w:r>
      <w:r>
        <w:t>they have not returned to the level of 2011</w:t>
      </w:r>
      <w:r w:rsidR="00225FDD">
        <w:noBreakHyphen/>
      </w:r>
      <w:r>
        <w:t>12</w:t>
      </w:r>
      <w:r w:rsidR="00D208DA">
        <w:t>.</w:t>
      </w:r>
      <w:r w:rsidR="002F3B27">
        <w:rPr>
          <w:rStyle w:val="FootnoteReference"/>
        </w:rPr>
        <w:footnoteReference w:id="7"/>
      </w:r>
      <w:r w:rsidR="00D208DA">
        <w:t xml:space="preserve"> This contributed to the increase in Queensland’s GST share in this update. </w:t>
      </w:r>
      <w:r w:rsidR="00DF2A58" w:rsidRPr="00DF774E">
        <w:t xml:space="preserve">Its expenses principally relate to the flood and cyclone events of </w:t>
      </w:r>
      <w:r w:rsidR="001A5F83" w:rsidRPr="001A5F83">
        <w:t>2013, 2014 and 2015</w:t>
      </w:r>
      <w:r w:rsidR="00DF2A58" w:rsidRPr="00DF774E">
        <w:t xml:space="preserve">. On the other hand, New South Wales and Victoria expenses </w:t>
      </w:r>
      <w:r w:rsidR="00D208DA">
        <w:t>were much lower in</w:t>
      </w:r>
      <w:r w:rsidR="00DF2A58" w:rsidRPr="00DF774E">
        <w:t xml:space="preserve"> 20</w:t>
      </w:r>
      <w:r w:rsidR="00D208DA">
        <w:t>14</w:t>
      </w:r>
      <w:r w:rsidR="00D208DA">
        <w:noBreakHyphen/>
        <w:t>15</w:t>
      </w:r>
      <w:r w:rsidR="00DF2A58" w:rsidRPr="00DF774E">
        <w:t xml:space="preserve"> </w:t>
      </w:r>
      <w:r w:rsidR="00D208DA">
        <w:t xml:space="preserve">compared </w:t>
      </w:r>
      <w:r w:rsidR="003B1E11">
        <w:t>with</w:t>
      </w:r>
      <w:r w:rsidR="00D208DA">
        <w:t xml:space="preserve"> 2011-12</w:t>
      </w:r>
      <w:r w:rsidR="00840B1C">
        <w:t>.</w:t>
      </w:r>
    </w:p>
    <w:p w:rsidR="00AC2143" w:rsidRDefault="00AC2143" w:rsidP="00AC2143">
      <w:pPr>
        <w:pStyle w:val="Heading5"/>
      </w:pPr>
      <w:bookmarkStart w:id="508" w:name="_Toc442949150"/>
      <w:r>
        <w:t>Wages</w:t>
      </w:r>
      <w:bookmarkEnd w:id="508"/>
    </w:p>
    <w:p w:rsidR="000E71CE" w:rsidRDefault="000E71CE" w:rsidP="000E71CE">
      <w:pPr>
        <w:pStyle w:val="CGCNumberedPara"/>
      </w:pPr>
      <w:r>
        <w:t>We have updated our wage costs assessment</w:t>
      </w:r>
      <w:r w:rsidR="004D487E">
        <w:t>,</w:t>
      </w:r>
      <w:r>
        <w:t xml:space="preserve"> using data from the ABS 2014 CoES for the first time. </w:t>
      </w:r>
      <w:r>
        <w:fldChar w:fldCharType="begin"/>
      </w:r>
      <w:r>
        <w:instrText xml:space="preserve"> REF _Ref441851299 \h </w:instrText>
      </w:r>
      <w:r>
        <w:fldChar w:fldCharType="separate"/>
      </w:r>
      <w:r w:rsidR="007A6AF0">
        <w:t xml:space="preserve">Figure </w:t>
      </w:r>
      <w:r w:rsidR="007A6AF0">
        <w:rPr>
          <w:noProof/>
        </w:rPr>
        <w:t>1</w:t>
      </w:r>
      <w:r w:rsidR="007A6AF0">
        <w:noBreakHyphen/>
      </w:r>
      <w:r w:rsidR="007A6AF0">
        <w:rPr>
          <w:noProof/>
        </w:rPr>
        <w:t>4</w:t>
      </w:r>
      <w:r>
        <w:fldChar w:fldCharType="end"/>
      </w:r>
      <w:r>
        <w:t xml:space="preserve"> shows that between 2011</w:t>
      </w:r>
      <w:r>
        <w:noBreakHyphen/>
        <w:t>12 and 2014</w:t>
      </w:r>
      <w:r>
        <w:noBreakHyphen/>
        <w:t>15 relative wage levels have fallen fastest in Tasmania, South Australia and the ACT, which have therefore had large per capita falls in their GST requirements</w:t>
      </w:r>
      <w:r w:rsidR="004D487E">
        <w:t xml:space="preserve"> due to reduced service delivery costs</w:t>
      </w:r>
      <w:r>
        <w:t>. New South Wales has also experienced a fall in its relative wage level. Increases in relative wage levels increased service delivery costs in the other States</w:t>
      </w:r>
      <w:r w:rsidR="004D487E">
        <w:t>, particularly Victoria and the Northern Territory</w:t>
      </w:r>
      <w:r w:rsidR="006D612A">
        <w:t>.</w:t>
      </w:r>
    </w:p>
    <w:p w:rsidR="00037CC1" w:rsidRDefault="000E71CE" w:rsidP="000E71CE">
      <w:pPr>
        <w:pStyle w:val="CGCTableHeading"/>
      </w:pPr>
      <w:bookmarkStart w:id="509" w:name="_Ref441851299"/>
      <w:bookmarkStart w:id="510" w:name="_Toc428803275"/>
      <w:r>
        <w:lastRenderedPageBreak/>
        <w:t xml:space="preserve">Figure </w:t>
      </w:r>
      <w:r w:rsidR="0014378B">
        <w:fldChar w:fldCharType="begin"/>
      </w:r>
      <w:r w:rsidR="0014378B">
        <w:instrText xml:space="preserve"> STYLEREF 1 \s </w:instrText>
      </w:r>
      <w:r w:rsidR="0014378B">
        <w:fldChar w:fldCharType="separate"/>
      </w:r>
      <w:r w:rsidR="007A6AF0">
        <w:rPr>
          <w:noProof/>
        </w:rPr>
        <w:t>1</w:t>
      </w:r>
      <w:r w:rsidR="0014378B">
        <w:rPr>
          <w:noProof/>
        </w:rPr>
        <w:fldChar w:fldCharType="end"/>
      </w:r>
      <w:r>
        <w:noBreakHyphen/>
      </w:r>
      <w:r w:rsidR="0014378B">
        <w:fldChar w:fldCharType="begin"/>
      </w:r>
      <w:r w:rsidR="0014378B">
        <w:instrText xml:space="preserve"> SEQ Figure \* ARABIC \s 1 </w:instrText>
      </w:r>
      <w:r w:rsidR="0014378B">
        <w:fldChar w:fldCharType="separate"/>
      </w:r>
      <w:r w:rsidR="007A6AF0">
        <w:rPr>
          <w:noProof/>
        </w:rPr>
        <w:t>4</w:t>
      </w:r>
      <w:r w:rsidR="0014378B">
        <w:rPr>
          <w:noProof/>
        </w:rPr>
        <w:fldChar w:fldCharType="end"/>
      </w:r>
      <w:bookmarkEnd w:id="509"/>
      <w:r w:rsidRPr="000E71CE">
        <w:tab/>
        <w:t xml:space="preserve">Relative wage </w:t>
      </w:r>
      <w:r w:rsidR="00A96EE0">
        <w:t>costs, 2011-12 to 2014-15</w:t>
      </w:r>
    </w:p>
    <w:p w:rsidR="000E71CE" w:rsidRDefault="00A96EE0" w:rsidP="004C7FFA">
      <w:r w:rsidRPr="00A96EE0">
        <w:rPr>
          <w:noProof/>
          <w:lang w:eastAsia="en-AU"/>
        </w:rPr>
        <w:drawing>
          <wp:inline distT="0" distB="0" distL="0" distR="0" wp14:anchorId="376F2491" wp14:editId="3DDA8E6F">
            <wp:extent cx="5662295" cy="3563620"/>
            <wp:effectExtent l="0" t="0" r="0" b="0"/>
            <wp:docPr id="2" name="Picture 2" descr="This figure shows that between 2011-12 and 2014-15 relative wage levels have fallen fastest in Tasmania, South Australia and th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62295" cy="3563620"/>
                    </a:xfrm>
                    <a:prstGeom prst="rect">
                      <a:avLst/>
                    </a:prstGeom>
                    <a:noFill/>
                    <a:ln>
                      <a:noFill/>
                    </a:ln>
                  </pic:spPr>
                </pic:pic>
              </a:graphicData>
            </a:graphic>
          </wp:inline>
        </w:drawing>
      </w:r>
    </w:p>
    <w:p w:rsidR="00893818" w:rsidRPr="000E71CE" w:rsidRDefault="00893818" w:rsidP="00893818">
      <w:pPr>
        <w:pStyle w:val="CGCTableFootnote"/>
      </w:pPr>
      <w:r>
        <w:t>Source:</w:t>
      </w:r>
      <w:r>
        <w:tab/>
        <w:t>Commission calculation</w:t>
      </w:r>
    </w:p>
    <w:p w:rsidR="000E71CE" w:rsidRDefault="000E71CE" w:rsidP="000E71CE">
      <w:pPr>
        <w:pStyle w:val="CGCNumberedPara"/>
      </w:pPr>
      <w:bookmarkStart w:id="511" w:name="_Toc433353491"/>
      <w:bookmarkStart w:id="512" w:name="_Toc441241597"/>
      <w:bookmarkStart w:id="513" w:name="_Toc441499267"/>
      <w:bookmarkStart w:id="514" w:name="_Toc441656030"/>
      <w:r>
        <w:t>Ch</w:t>
      </w:r>
      <w:r w:rsidR="00FB18E3">
        <w:t>anges to the data used for the W</w:t>
      </w:r>
      <w:r>
        <w:t xml:space="preserve">age costs assessment are discussed in </w:t>
      </w:r>
      <w:r w:rsidRPr="00893818">
        <w:rPr>
          <w:i/>
        </w:rPr>
        <w:t>Chapter 3</w:t>
      </w:r>
      <w:r w:rsidR="00893818" w:rsidRPr="00893818">
        <w:rPr>
          <w:i/>
        </w:rPr>
        <w:t xml:space="preserve"> Wage costs</w:t>
      </w:r>
      <w:r w:rsidR="00893818">
        <w:t>.</w:t>
      </w:r>
    </w:p>
    <w:p w:rsidR="00893818" w:rsidRDefault="00893818" w:rsidP="00893818">
      <w:pPr>
        <w:pStyle w:val="Heading5"/>
      </w:pPr>
      <w:bookmarkStart w:id="515" w:name="_Toc442949151"/>
      <w:r>
        <w:t>Other</w:t>
      </w:r>
      <w:bookmarkEnd w:id="515"/>
    </w:p>
    <w:p w:rsidR="00893818" w:rsidRDefault="00893818" w:rsidP="00D325FE">
      <w:pPr>
        <w:pStyle w:val="CGCNumberedPara"/>
      </w:pPr>
      <w:r>
        <w:t xml:space="preserve">There were other changes in circumstances in this update which </w:t>
      </w:r>
      <w:r w:rsidR="00B111DF">
        <w:t xml:space="preserve">have resulted in major changes in GST shares </w:t>
      </w:r>
      <w:r>
        <w:t>for some States. These include:</w:t>
      </w:r>
    </w:p>
    <w:p w:rsidR="00614418" w:rsidRDefault="00614418" w:rsidP="00893818">
      <w:pPr>
        <w:pStyle w:val="CGCBulletlist"/>
      </w:pPr>
      <w:r>
        <w:t xml:space="preserve">a large drop in the level of total State investment in infrastructure to support the delivery of </w:t>
      </w:r>
      <w:r w:rsidR="004D282B">
        <w:t xml:space="preserve">other </w:t>
      </w:r>
      <w:r>
        <w:t>services</w:t>
      </w:r>
      <w:r w:rsidR="00A96EE0">
        <w:t>,</w:t>
      </w:r>
      <w:r>
        <w:t xml:space="preserve"> reduc</w:t>
      </w:r>
      <w:r w:rsidR="00B111DF">
        <w:t>ing</w:t>
      </w:r>
      <w:r>
        <w:t xml:space="preserve"> the assessed investment of States with above average capital stock requirements, </w:t>
      </w:r>
      <w:r w:rsidR="0050635A">
        <w:t>in particular</w:t>
      </w:r>
      <w:r>
        <w:t xml:space="preserve"> Queensland, Western Austr</w:t>
      </w:r>
      <w:r w:rsidR="0041641E">
        <w:t>alia and the Northern Territory</w:t>
      </w:r>
    </w:p>
    <w:p w:rsidR="00FC346E" w:rsidRDefault="00256173" w:rsidP="0041641E">
      <w:pPr>
        <w:pStyle w:val="CGCBulletlist"/>
      </w:pPr>
      <w:r>
        <w:t>t</w:t>
      </w:r>
      <w:r w:rsidR="0041641E" w:rsidRPr="0041641E">
        <w:t xml:space="preserve">he most recent reliable data from the Independent Hospital Pricing Authority (IHPA) used to proxy the use and cost of community health services indicate a decrease in </w:t>
      </w:r>
      <w:r w:rsidR="00D325FE">
        <w:t xml:space="preserve">outer regional and </w:t>
      </w:r>
      <w:r w:rsidR="0041641E" w:rsidRPr="0041641E">
        <w:t>remote service costs nationally compared with 2011-12</w:t>
      </w:r>
      <w:r w:rsidR="00FC346E">
        <w:t xml:space="preserve">, </w:t>
      </w:r>
      <w:r>
        <w:t xml:space="preserve">which </w:t>
      </w:r>
      <w:r w:rsidR="0041641E" w:rsidRPr="0041641E">
        <w:t xml:space="preserve">has decreased the GST share for States with above </w:t>
      </w:r>
      <w:r w:rsidR="003D5DA2">
        <w:t xml:space="preserve">average </w:t>
      </w:r>
      <w:r w:rsidR="0041641E" w:rsidRPr="0041641E">
        <w:t xml:space="preserve">shares of people living in </w:t>
      </w:r>
      <w:r w:rsidR="00FC346E">
        <w:t xml:space="preserve">these </w:t>
      </w:r>
      <w:r w:rsidR="0041641E" w:rsidRPr="0041641E">
        <w:t>regions, in particular the Northern Territory</w:t>
      </w:r>
    </w:p>
    <w:p w:rsidR="00FC346E" w:rsidRDefault="00FC346E" w:rsidP="0041641E">
      <w:pPr>
        <w:pStyle w:val="CGCBulletlist"/>
      </w:pPr>
      <w:r>
        <w:t>data used to measure non-State sector service provision for community health services indicate an increase in non-State sector service provision in the Northern Territory between 2011</w:t>
      </w:r>
      <w:r>
        <w:noBreakHyphen/>
        <w:t>12 and 2014</w:t>
      </w:r>
      <w:r>
        <w:noBreakHyphen/>
        <w:t>15</w:t>
      </w:r>
    </w:p>
    <w:p w:rsidR="0041641E" w:rsidRPr="00893818" w:rsidRDefault="00F920B0" w:rsidP="00FC346E">
      <w:pPr>
        <w:pStyle w:val="CGCBulletlist"/>
      </w:pPr>
      <w:r>
        <w:t xml:space="preserve">Tasmania’s </w:t>
      </w:r>
      <w:r w:rsidR="00FC346E" w:rsidRPr="00FC346E">
        <w:t>government</w:t>
      </w:r>
      <w:r w:rsidR="00FC346E" w:rsidRPr="00FC3EDE">
        <w:rPr>
          <w:lang w:eastAsia="en-AU"/>
        </w:rPr>
        <w:t xml:space="preserve"> student </w:t>
      </w:r>
      <w:r w:rsidR="00FC346E" w:rsidRPr="00FC346E">
        <w:t>enrolments</w:t>
      </w:r>
      <w:r w:rsidR="00FC346E" w:rsidRPr="00FC3EDE">
        <w:rPr>
          <w:lang w:eastAsia="en-AU"/>
        </w:rPr>
        <w:t xml:space="preserve"> </w:t>
      </w:r>
      <w:r>
        <w:rPr>
          <w:lang w:eastAsia="en-AU"/>
        </w:rPr>
        <w:t xml:space="preserve">fell </w:t>
      </w:r>
      <w:r w:rsidR="00FC346E" w:rsidRPr="00FC3EDE">
        <w:rPr>
          <w:lang w:eastAsia="en-AU"/>
        </w:rPr>
        <w:t>between 2011</w:t>
      </w:r>
      <w:r w:rsidR="00FC346E" w:rsidRPr="00FC3EDE">
        <w:rPr>
          <w:lang w:eastAsia="en-AU"/>
        </w:rPr>
        <w:noBreakHyphen/>
        <w:t>12 and 2014</w:t>
      </w:r>
      <w:r w:rsidR="00FC346E" w:rsidRPr="00FC3EDE">
        <w:rPr>
          <w:lang w:eastAsia="en-AU"/>
        </w:rPr>
        <w:noBreakHyphen/>
        <w:t xml:space="preserve">15 </w:t>
      </w:r>
      <w:r>
        <w:rPr>
          <w:lang w:eastAsia="en-AU"/>
        </w:rPr>
        <w:t xml:space="preserve">which has </w:t>
      </w:r>
      <w:r w:rsidR="00FC346E" w:rsidRPr="00FC3EDE">
        <w:rPr>
          <w:lang w:eastAsia="en-AU"/>
        </w:rPr>
        <w:t>reduced its asses</w:t>
      </w:r>
      <w:r>
        <w:rPr>
          <w:lang w:eastAsia="en-AU"/>
        </w:rPr>
        <w:t>sed school expenses.</w:t>
      </w:r>
    </w:p>
    <w:p w:rsidR="00A54916" w:rsidRDefault="00A54916" w:rsidP="00A54916">
      <w:pPr>
        <w:pStyle w:val="Heading4"/>
      </w:pPr>
      <w:bookmarkStart w:id="516" w:name="_Toc442191923"/>
      <w:bookmarkStart w:id="517" w:name="_Toc442192177"/>
      <w:bookmarkStart w:id="518" w:name="_Toc442192242"/>
      <w:bookmarkStart w:id="519" w:name="_Toc442772826"/>
      <w:bookmarkStart w:id="520" w:name="_Toc442773055"/>
      <w:bookmarkStart w:id="521" w:name="_Toc442773225"/>
      <w:bookmarkStart w:id="522" w:name="_Toc442883292"/>
      <w:bookmarkStart w:id="523" w:name="_Toc442949152"/>
      <w:r>
        <w:lastRenderedPageBreak/>
        <w:t>Interactions between drivers of change</w:t>
      </w:r>
      <w:bookmarkEnd w:id="516"/>
      <w:bookmarkEnd w:id="517"/>
      <w:bookmarkEnd w:id="518"/>
      <w:bookmarkEnd w:id="519"/>
      <w:bookmarkEnd w:id="520"/>
      <w:bookmarkEnd w:id="521"/>
      <w:bookmarkEnd w:id="522"/>
      <w:bookmarkEnd w:id="523"/>
    </w:p>
    <w:p w:rsidR="00A54916" w:rsidRDefault="00A54916" w:rsidP="00A54916">
      <w:pPr>
        <w:pStyle w:val="CGCNumberedPara"/>
      </w:pPr>
      <w:r>
        <w:t>The preceding sections described the changes to State GST shares due to movements in individual drivers. This section describes the interaction of these drivers for selected States.</w:t>
      </w:r>
    </w:p>
    <w:p w:rsidR="00A54916" w:rsidRDefault="00A54916" w:rsidP="00A54916">
      <w:pPr>
        <w:pStyle w:val="CGCNumberedPara"/>
      </w:pPr>
      <w:r>
        <w:t xml:space="preserve">Drivers of change related to the </w:t>
      </w:r>
      <w:r w:rsidR="008416A6">
        <w:t>socio</w:t>
      </w:r>
      <w:r w:rsidR="008416A6">
        <w:noBreakHyphen/>
        <w:t xml:space="preserve">demographic </w:t>
      </w:r>
      <w:r>
        <w:t xml:space="preserve">composition of State populations tend to remain relatively stable over time, as these </w:t>
      </w:r>
      <w:r w:rsidR="008416A6">
        <w:t>socio</w:t>
      </w:r>
      <w:r w:rsidR="008416A6">
        <w:noBreakHyphen/>
      </w:r>
      <w:r>
        <w:t>demographic patterns evolve over longer periods. However</w:t>
      </w:r>
      <w:r w:rsidR="00FB18E3">
        <w:t>,</w:t>
      </w:r>
      <w:r>
        <w:t xml:space="preserve"> drivers of change related to economic activity, such as mineral exports and property transactions, can be much more volatile, often moving in cycles. These drivers can have large impacts on the GST distribution year on year.</w:t>
      </w:r>
    </w:p>
    <w:p w:rsidR="000B28B0" w:rsidRDefault="00A54916" w:rsidP="00A54916">
      <w:pPr>
        <w:pStyle w:val="CGCNumberedPara"/>
      </w:pPr>
      <w:r>
        <w:rPr>
          <w:highlight w:val="yellow"/>
        </w:rPr>
        <w:fldChar w:fldCharType="begin"/>
      </w:r>
      <w:r>
        <w:instrText xml:space="preserve"> REF _Ref441851954 \h </w:instrText>
      </w:r>
      <w:r>
        <w:rPr>
          <w:highlight w:val="yellow"/>
        </w:rPr>
      </w:r>
      <w:r>
        <w:rPr>
          <w:highlight w:val="yellow"/>
        </w:rPr>
        <w:fldChar w:fldCharType="separate"/>
      </w:r>
      <w:r w:rsidR="007A6AF0">
        <w:t xml:space="preserve">Figure </w:t>
      </w:r>
      <w:r w:rsidR="007A6AF0">
        <w:rPr>
          <w:noProof/>
        </w:rPr>
        <w:t>1</w:t>
      </w:r>
      <w:r w:rsidR="007A6AF0">
        <w:noBreakHyphen/>
      </w:r>
      <w:r w:rsidR="007A6AF0">
        <w:rPr>
          <w:noProof/>
        </w:rPr>
        <w:t>5</w:t>
      </w:r>
      <w:r>
        <w:rPr>
          <w:highlight w:val="yellow"/>
        </w:rPr>
        <w:fldChar w:fldCharType="end"/>
      </w:r>
      <w:r>
        <w:t xml:space="preserve"> </w:t>
      </w:r>
      <w:r w:rsidR="000B28B0">
        <w:rPr>
          <w:rFonts w:ascii="Calibri" w:hAnsi="Calibri"/>
          <w:color w:val="000000"/>
        </w:rPr>
        <w:t xml:space="preserve">shows that the increasing measured strength of the </w:t>
      </w:r>
      <w:r w:rsidR="000B28B0" w:rsidRPr="000B28B0">
        <w:rPr>
          <w:rFonts w:ascii="Calibri" w:hAnsi="Calibri"/>
          <w:color w:val="000000"/>
        </w:rPr>
        <w:t>New South Wales</w:t>
      </w:r>
      <w:r w:rsidR="000B28B0">
        <w:rPr>
          <w:rFonts w:ascii="Calibri" w:hAnsi="Calibri"/>
          <w:color w:val="000000"/>
        </w:rPr>
        <w:t xml:space="preserve"> property market has</w:t>
      </w:r>
      <w:r w:rsidR="00DB4CAD">
        <w:rPr>
          <w:rFonts w:ascii="Calibri" w:hAnsi="Calibri"/>
          <w:color w:val="000000"/>
        </w:rPr>
        <w:t>,</w:t>
      </w:r>
      <w:r w:rsidR="000B28B0">
        <w:rPr>
          <w:rFonts w:ascii="Calibri" w:hAnsi="Calibri"/>
          <w:color w:val="000000"/>
        </w:rPr>
        <w:t xml:space="preserve"> since the 2011 Update</w:t>
      </w:r>
      <w:r w:rsidR="00DB4CAD">
        <w:rPr>
          <w:rFonts w:ascii="Calibri" w:hAnsi="Calibri"/>
          <w:color w:val="000000"/>
        </w:rPr>
        <w:t>,</w:t>
      </w:r>
      <w:r w:rsidR="000B28B0">
        <w:rPr>
          <w:rFonts w:ascii="Calibri" w:hAnsi="Calibri"/>
          <w:color w:val="000000"/>
        </w:rPr>
        <w:t xml:space="preserve"> acted to reduce </w:t>
      </w:r>
      <w:r w:rsidR="000B28B0" w:rsidRPr="000B28B0">
        <w:rPr>
          <w:rFonts w:ascii="Calibri" w:hAnsi="Calibri"/>
          <w:color w:val="000000"/>
        </w:rPr>
        <w:t>New South Wales</w:t>
      </w:r>
      <w:r w:rsidR="000B28B0">
        <w:rPr>
          <w:rFonts w:ascii="Calibri" w:hAnsi="Calibri"/>
          <w:color w:val="000000"/>
        </w:rPr>
        <w:t xml:space="preserve">’ GST share. However the effect of the mining boom, concentrated in other States, has acted to increase the GST share for </w:t>
      </w:r>
      <w:r w:rsidR="000B28B0" w:rsidRPr="000B28B0">
        <w:rPr>
          <w:rFonts w:ascii="Calibri" w:hAnsi="Calibri"/>
          <w:color w:val="000000"/>
        </w:rPr>
        <w:t>New South Wales</w:t>
      </w:r>
      <w:r w:rsidR="000B28B0">
        <w:rPr>
          <w:rFonts w:ascii="Calibri" w:hAnsi="Calibri"/>
          <w:color w:val="000000"/>
        </w:rPr>
        <w:t xml:space="preserve"> over these same years.</w:t>
      </w:r>
    </w:p>
    <w:p w:rsidR="00A54916" w:rsidRDefault="00A54916" w:rsidP="00A54916">
      <w:pPr>
        <w:pStyle w:val="CGCTableHeading"/>
      </w:pPr>
      <w:bookmarkStart w:id="524" w:name="_Ref441851954"/>
      <w:r>
        <w:t xml:space="preserve">Figure </w:t>
      </w:r>
      <w:r w:rsidR="0014378B">
        <w:fldChar w:fldCharType="begin"/>
      </w:r>
      <w:r w:rsidR="0014378B">
        <w:instrText xml:space="preserve"> STYLEREF 1 \s </w:instrText>
      </w:r>
      <w:r w:rsidR="0014378B">
        <w:fldChar w:fldCharType="separate"/>
      </w:r>
      <w:r w:rsidR="007A6AF0">
        <w:rPr>
          <w:noProof/>
        </w:rPr>
        <w:t>1</w:t>
      </w:r>
      <w:r w:rsidR="0014378B">
        <w:rPr>
          <w:noProof/>
        </w:rPr>
        <w:fldChar w:fldCharType="end"/>
      </w:r>
      <w:r>
        <w:noBreakHyphen/>
      </w:r>
      <w:r w:rsidR="0014378B">
        <w:fldChar w:fldCharType="begin"/>
      </w:r>
      <w:r w:rsidR="0014378B">
        <w:instrText xml:space="preserve"> SEQ Figure \* ARABIC \s 1 </w:instrText>
      </w:r>
      <w:r w:rsidR="0014378B">
        <w:fldChar w:fldCharType="separate"/>
      </w:r>
      <w:r w:rsidR="007A6AF0">
        <w:rPr>
          <w:noProof/>
        </w:rPr>
        <w:t>5</w:t>
      </w:r>
      <w:r w:rsidR="0014378B">
        <w:rPr>
          <w:noProof/>
        </w:rPr>
        <w:fldChar w:fldCharType="end"/>
      </w:r>
      <w:bookmarkEnd w:id="524"/>
      <w:r w:rsidRPr="00A54916">
        <w:tab/>
        <w:t>Major economic drivers of the GST distribution, New South Wales</w:t>
      </w:r>
    </w:p>
    <w:p w:rsidR="00A54916" w:rsidRDefault="005465A8" w:rsidP="00A54916">
      <w:r w:rsidRPr="005465A8">
        <w:rPr>
          <w:noProof/>
          <w:lang w:eastAsia="en-AU"/>
        </w:rPr>
        <w:drawing>
          <wp:inline distT="0" distB="0" distL="0" distR="0" wp14:anchorId="0497152A" wp14:editId="3313A1C2">
            <wp:extent cx="5654675" cy="3562985"/>
            <wp:effectExtent l="0" t="0" r="3175" b="0"/>
            <wp:docPr id="21" name="Picture 21" descr="This figure shows the impact on New South Wales' GST share since the 2010 Review due to major economic drivers; Property, Mining, Natural disasters, Investment and PS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54675" cy="3562985"/>
                    </a:xfrm>
                    <a:prstGeom prst="rect">
                      <a:avLst/>
                    </a:prstGeom>
                    <a:noFill/>
                    <a:ln>
                      <a:noFill/>
                    </a:ln>
                  </pic:spPr>
                </pic:pic>
              </a:graphicData>
            </a:graphic>
          </wp:inline>
        </w:drawing>
      </w:r>
    </w:p>
    <w:p w:rsidR="00A54916" w:rsidRPr="00CE72E6" w:rsidRDefault="00A54916" w:rsidP="00A54916">
      <w:pPr>
        <w:pStyle w:val="CGCTableFootnote"/>
      </w:pPr>
      <w:r>
        <w:t>Source:</w:t>
      </w:r>
      <w:r>
        <w:tab/>
        <w:t>Commission calculation.</w:t>
      </w:r>
    </w:p>
    <w:p w:rsidR="00A54916" w:rsidRDefault="00A54916" w:rsidP="00A54916">
      <w:pPr>
        <w:pStyle w:val="CGCNumberedPara"/>
      </w:pPr>
      <w:r>
        <w:t xml:space="preserve">The New South Wales results </w:t>
      </w:r>
      <w:r w:rsidR="00A96EE0">
        <w:t xml:space="preserve">chiefly </w:t>
      </w:r>
      <w:r>
        <w:t xml:space="preserve">reflect the highly concentrated nature of certain mineral deposits within particular States, the relatively more evenly distributed nature of housing markets across States and New South Wales’ position as the most populous State. </w:t>
      </w:r>
    </w:p>
    <w:p w:rsidR="00A54916" w:rsidRDefault="00A54916" w:rsidP="00A54916">
      <w:pPr>
        <w:pStyle w:val="CGCNumberedPara"/>
      </w:pPr>
      <w:r>
        <w:lastRenderedPageBreak/>
        <w:fldChar w:fldCharType="begin"/>
      </w:r>
      <w:r>
        <w:instrText xml:space="preserve"> REF _Ref441851954 \h </w:instrText>
      </w:r>
      <w:r>
        <w:fldChar w:fldCharType="separate"/>
      </w:r>
      <w:r w:rsidR="007A6AF0">
        <w:t xml:space="preserve">Figure </w:t>
      </w:r>
      <w:r w:rsidR="007A6AF0">
        <w:rPr>
          <w:noProof/>
        </w:rPr>
        <w:t>1</w:t>
      </w:r>
      <w:r w:rsidR="007A6AF0">
        <w:noBreakHyphen/>
      </w:r>
      <w:r w:rsidR="007A6AF0">
        <w:rPr>
          <w:noProof/>
        </w:rPr>
        <w:t>5</w:t>
      </w:r>
      <w:r>
        <w:fldChar w:fldCharType="end"/>
      </w:r>
      <w:r>
        <w:t xml:space="preserve"> also indicates that New South Wales’ share of </w:t>
      </w:r>
      <w:r w:rsidR="008416A6">
        <w:t>PSPs</w:t>
      </w:r>
      <w:r>
        <w:t xml:space="preserve"> has been increasing in recent years, which has acted to reduce its GST share. Its share of population growth has been relatively more stable over the period, </w:t>
      </w:r>
      <w:r w:rsidR="00892DA0">
        <w:t xml:space="preserve">but </w:t>
      </w:r>
      <w:r>
        <w:t>recent stronger population growth has increased New South Wales’ need to invest in infrastructure and consequently</w:t>
      </w:r>
      <w:r w:rsidR="00262F97">
        <w:t xml:space="preserve"> acted to</w:t>
      </w:r>
      <w:r>
        <w:t xml:space="preserve"> increase its GST share.</w:t>
      </w:r>
    </w:p>
    <w:p w:rsidR="00A54916" w:rsidRDefault="00A54916" w:rsidP="00262F97">
      <w:pPr>
        <w:pStyle w:val="CGCNumberedPara"/>
      </w:pPr>
      <w:r>
        <w:fldChar w:fldCharType="begin"/>
      </w:r>
      <w:r>
        <w:instrText xml:space="preserve"> REF _Ref441852222 \h </w:instrText>
      </w:r>
      <w:r>
        <w:fldChar w:fldCharType="separate"/>
      </w:r>
      <w:r w:rsidR="007A6AF0">
        <w:t xml:space="preserve">Figure </w:t>
      </w:r>
      <w:r w:rsidR="007A6AF0">
        <w:rPr>
          <w:noProof/>
        </w:rPr>
        <w:t>1</w:t>
      </w:r>
      <w:r w:rsidR="007A6AF0">
        <w:noBreakHyphen/>
      </w:r>
      <w:r w:rsidR="007A6AF0">
        <w:rPr>
          <w:noProof/>
        </w:rPr>
        <w:t>6</w:t>
      </w:r>
      <w:r>
        <w:fldChar w:fldCharType="end"/>
      </w:r>
      <w:r>
        <w:t xml:space="preserve"> shows that Queensland has been experiencing a number of concurrent trends since the beginning of this decade. From this time Queensland’s property transactions steadily declined, increasing its share of GST.</w:t>
      </w:r>
      <w:r w:rsidR="00262F97">
        <w:t xml:space="preserve"> </w:t>
      </w:r>
      <w:r w:rsidR="00262F97" w:rsidRPr="00262F97">
        <w:t>More recently</w:t>
      </w:r>
      <w:r w:rsidR="00262F97">
        <w:t>,</w:t>
      </w:r>
      <w:r w:rsidR="00262F97" w:rsidRPr="00262F97">
        <w:t xml:space="preserve"> Queensland’s property markets have stabilised. However, at much the same time, its capacity to raise mining revenue has fallen</w:t>
      </w:r>
      <w:r w:rsidR="008416A6">
        <w:t>,</w:t>
      </w:r>
      <w:r w:rsidR="00262F97" w:rsidRPr="00262F97">
        <w:t xml:space="preserve"> and there have been </w:t>
      </w:r>
      <w:r>
        <w:t xml:space="preserve">declines in Queensland’s share of </w:t>
      </w:r>
      <w:r w:rsidR="000667BC">
        <w:t xml:space="preserve">national </w:t>
      </w:r>
      <w:r>
        <w:t xml:space="preserve">population growth and in its share of </w:t>
      </w:r>
      <w:r w:rsidR="008416A6">
        <w:t>PSPs</w:t>
      </w:r>
      <w:r>
        <w:t xml:space="preserve">. Queensland’s </w:t>
      </w:r>
      <w:r w:rsidR="000667BC">
        <w:t>historically high natural disaster expenses have persisted throughout the period, contributing to the increase in its GST share.</w:t>
      </w:r>
    </w:p>
    <w:p w:rsidR="00A54916" w:rsidRDefault="00A54916" w:rsidP="00A54916">
      <w:pPr>
        <w:pStyle w:val="CGCTableHeading"/>
      </w:pPr>
      <w:bookmarkStart w:id="525" w:name="_Ref441852222"/>
      <w:r>
        <w:t xml:space="preserve">Figure </w:t>
      </w:r>
      <w:r w:rsidR="0014378B">
        <w:fldChar w:fldCharType="begin"/>
      </w:r>
      <w:r w:rsidR="0014378B">
        <w:instrText xml:space="preserve"> STY</w:instrText>
      </w:r>
      <w:r w:rsidR="0014378B">
        <w:instrText xml:space="preserve">LEREF 1 \s </w:instrText>
      </w:r>
      <w:r w:rsidR="0014378B">
        <w:fldChar w:fldCharType="separate"/>
      </w:r>
      <w:r w:rsidR="007A6AF0">
        <w:rPr>
          <w:noProof/>
        </w:rPr>
        <w:t>1</w:t>
      </w:r>
      <w:r w:rsidR="0014378B">
        <w:rPr>
          <w:noProof/>
        </w:rPr>
        <w:fldChar w:fldCharType="end"/>
      </w:r>
      <w:r>
        <w:noBreakHyphen/>
      </w:r>
      <w:r w:rsidR="0014378B">
        <w:fldChar w:fldCharType="begin"/>
      </w:r>
      <w:r w:rsidR="0014378B">
        <w:instrText xml:space="preserve"> SEQ Figure \* ARABIC \s 1 </w:instrText>
      </w:r>
      <w:r w:rsidR="0014378B">
        <w:fldChar w:fldCharType="separate"/>
      </w:r>
      <w:r w:rsidR="007A6AF0">
        <w:rPr>
          <w:noProof/>
        </w:rPr>
        <w:t>6</w:t>
      </w:r>
      <w:r w:rsidR="0014378B">
        <w:rPr>
          <w:noProof/>
        </w:rPr>
        <w:fldChar w:fldCharType="end"/>
      </w:r>
      <w:bookmarkEnd w:id="525"/>
      <w:r w:rsidRPr="00A54916">
        <w:tab/>
        <w:t>Major economic drivers of the GST distribution, Queensland</w:t>
      </w:r>
    </w:p>
    <w:p w:rsidR="00A54916" w:rsidRPr="00A54916" w:rsidRDefault="00A74B9C" w:rsidP="00A54916">
      <w:r w:rsidRPr="00A74B9C">
        <w:rPr>
          <w:noProof/>
          <w:lang w:eastAsia="en-AU"/>
        </w:rPr>
        <w:drawing>
          <wp:inline distT="0" distB="0" distL="0" distR="0" wp14:anchorId="13315D7B" wp14:editId="67DBEE87">
            <wp:extent cx="5654675" cy="3562985"/>
            <wp:effectExtent l="0" t="0" r="3175" b="0"/>
            <wp:docPr id="19" name="Picture 19" descr="This figure shows the impact on Queensland's GST share since the 2010 Review due to major economic drivers; Property, Mining, Natural disasters, Investment and PS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54675" cy="3562985"/>
                    </a:xfrm>
                    <a:prstGeom prst="rect">
                      <a:avLst/>
                    </a:prstGeom>
                    <a:noFill/>
                    <a:ln>
                      <a:noFill/>
                    </a:ln>
                  </pic:spPr>
                </pic:pic>
              </a:graphicData>
            </a:graphic>
          </wp:inline>
        </w:drawing>
      </w:r>
    </w:p>
    <w:p w:rsidR="00A54916" w:rsidRDefault="00A54916" w:rsidP="00A54916">
      <w:pPr>
        <w:pStyle w:val="CGCTableFootnote"/>
      </w:pPr>
      <w:r>
        <w:t>Source:</w:t>
      </w:r>
      <w:r>
        <w:tab/>
        <w:t>Commission calculation.</w:t>
      </w:r>
    </w:p>
    <w:p w:rsidR="00A54916" w:rsidRDefault="00A54916" w:rsidP="00A54916">
      <w:pPr>
        <w:pStyle w:val="CGCNumberedPara"/>
      </w:pPr>
      <w:r>
        <w:t xml:space="preserve">For Western Australia, its GST share over recent years has been driven by the direct and indirect effects of the expansion of its mining industry. </w:t>
      </w:r>
      <w:r>
        <w:fldChar w:fldCharType="begin"/>
      </w:r>
      <w:r>
        <w:instrText xml:space="preserve"> REF _Ref441852242 \h </w:instrText>
      </w:r>
      <w:r>
        <w:fldChar w:fldCharType="separate"/>
      </w:r>
      <w:r w:rsidR="007A6AF0">
        <w:t xml:space="preserve">Figure </w:t>
      </w:r>
      <w:r w:rsidR="007A6AF0">
        <w:rPr>
          <w:noProof/>
        </w:rPr>
        <w:t>1</w:t>
      </w:r>
      <w:r w:rsidR="007A6AF0">
        <w:noBreakHyphen/>
      </w:r>
      <w:r w:rsidR="007A6AF0">
        <w:rPr>
          <w:noProof/>
        </w:rPr>
        <w:t>7</w:t>
      </w:r>
      <w:r>
        <w:fldChar w:fldCharType="end"/>
      </w:r>
      <w:r>
        <w:t xml:space="preserve"> shows that two main </w:t>
      </w:r>
      <w:r w:rsidR="008D790A">
        <w:t>factors</w:t>
      </w:r>
      <w:r>
        <w:t xml:space="preserve"> have combined to affect its share of the GST. These have been Western Australia’s substantial capacity to raise mining revenue and its share of population growth, </w:t>
      </w:r>
      <w:r w:rsidR="008D790A">
        <w:t>which contributes</w:t>
      </w:r>
      <w:r>
        <w:t xml:space="preserve"> to its infrastructure needs. During this time, the effects due to property transactions, </w:t>
      </w:r>
      <w:r w:rsidR="008416A6">
        <w:t>PSPs</w:t>
      </w:r>
      <w:r>
        <w:t xml:space="preserve"> and natural disasters have been much more muted.</w:t>
      </w:r>
    </w:p>
    <w:p w:rsidR="00DB7BF9" w:rsidRDefault="00DB7BF9" w:rsidP="00DB7BF9">
      <w:pPr>
        <w:pStyle w:val="CGCNumberedPara"/>
      </w:pPr>
      <w:r>
        <w:lastRenderedPageBreak/>
        <w:t xml:space="preserve">The expansion of mining activity has seen Western Australia’s capacity to raise mining revenues </w:t>
      </w:r>
      <w:r w:rsidR="00B21249">
        <w:t>increase</w:t>
      </w:r>
      <w:r>
        <w:t>, until the most recent year when price falls have reduced that capacity. This has driven falls in GST revenue until the last year when the turnaround in capacity acted to increase its GST share.</w:t>
      </w:r>
    </w:p>
    <w:p w:rsidR="00DB7BF9" w:rsidRDefault="00DB7BF9" w:rsidP="00A54916">
      <w:pPr>
        <w:pStyle w:val="CGCNumberedPara"/>
      </w:pPr>
      <w:r>
        <w:t>When the expansion of mining activity was accompanied by rapid growth in Western Australia’s population, the equalisation system recognised its need to invest in new infrastructure and shifted GST revenue to Western Australia to allow that to occur. With the rate of population growth in Western Australia falling to slightly above average, that redirection of GST revenue has also fallen.</w:t>
      </w:r>
    </w:p>
    <w:p w:rsidR="00A54916" w:rsidRDefault="00A54916" w:rsidP="00A54916">
      <w:pPr>
        <w:pStyle w:val="CGCTableHeading"/>
      </w:pPr>
      <w:bookmarkStart w:id="526" w:name="_Ref441852242"/>
      <w:r>
        <w:t xml:space="preserve">Figure </w:t>
      </w:r>
      <w:r w:rsidR="0014378B">
        <w:fldChar w:fldCharType="begin"/>
      </w:r>
      <w:r w:rsidR="0014378B">
        <w:instrText xml:space="preserve"> STYLEREF 1 \s </w:instrText>
      </w:r>
      <w:r w:rsidR="0014378B">
        <w:fldChar w:fldCharType="separate"/>
      </w:r>
      <w:r w:rsidR="007A6AF0">
        <w:rPr>
          <w:noProof/>
        </w:rPr>
        <w:t>1</w:t>
      </w:r>
      <w:r w:rsidR="0014378B">
        <w:rPr>
          <w:noProof/>
        </w:rPr>
        <w:fldChar w:fldCharType="end"/>
      </w:r>
      <w:r>
        <w:noBreakHyphen/>
      </w:r>
      <w:r w:rsidR="0014378B">
        <w:fldChar w:fldCharType="begin"/>
      </w:r>
      <w:r w:rsidR="0014378B">
        <w:instrText xml:space="preserve"> SEQ Figure \* ARABIC \s 1 </w:instrText>
      </w:r>
      <w:r w:rsidR="0014378B">
        <w:fldChar w:fldCharType="separate"/>
      </w:r>
      <w:r w:rsidR="007A6AF0">
        <w:rPr>
          <w:noProof/>
        </w:rPr>
        <w:t>7</w:t>
      </w:r>
      <w:r w:rsidR="0014378B">
        <w:rPr>
          <w:noProof/>
        </w:rPr>
        <w:fldChar w:fldCharType="end"/>
      </w:r>
      <w:bookmarkEnd w:id="526"/>
      <w:r w:rsidRPr="00A54916">
        <w:tab/>
        <w:t>Major economic drivers of the GST distribution, Western Australia</w:t>
      </w:r>
    </w:p>
    <w:p w:rsidR="00A54916" w:rsidRDefault="00A74B9C" w:rsidP="00A54916">
      <w:r w:rsidRPr="00A74B9C">
        <w:rPr>
          <w:noProof/>
          <w:lang w:eastAsia="en-AU"/>
        </w:rPr>
        <w:drawing>
          <wp:inline distT="0" distB="0" distL="0" distR="0" wp14:anchorId="7B5AAFBE" wp14:editId="61151225">
            <wp:extent cx="5654675" cy="3562985"/>
            <wp:effectExtent l="0" t="0" r="3175" b="0"/>
            <wp:docPr id="14" name="Picture 14" descr="This figure shows the impact on Western Australia's GST share since the 2010 Review due to major economic drivers; Property, Mining, Natural disasters, Investment and PS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54675" cy="3562985"/>
                    </a:xfrm>
                    <a:prstGeom prst="rect">
                      <a:avLst/>
                    </a:prstGeom>
                    <a:noFill/>
                    <a:ln>
                      <a:noFill/>
                    </a:ln>
                  </pic:spPr>
                </pic:pic>
              </a:graphicData>
            </a:graphic>
          </wp:inline>
        </w:drawing>
      </w:r>
    </w:p>
    <w:p w:rsidR="00A54916" w:rsidRDefault="00A54916" w:rsidP="00A54916">
      <w:pPr>
        <w:pStyle w:val="CGCTableFootnote"/>
      </w:pPr>
      <w:r>
        <w:t>Source:</w:t>
      </w:r>
      <w:r>
        <w:tab/>
        <w:t>Commission calculation.</w:t>
      </w:r>
    </w:p>
    <w:p w:rsidR="00DB7BF9" w:rsidRDefault="00DB7BF9" w:rsidP="00DB7BF9">
      <w:pPr>
        <w:pStyle w:val="CGCNumberedPara"/>
      </w:pPr>
      <w:r>
        <w:t>While the revenue effect was much larger, reflecting in part the pre-eminence of Western Australia’s capacity in this area, the investment effect acted to moderate GST reductions brought about by mining expansion. This year we observe that the scale and timing of the slowdown in Western Australia’s population growth is such that the GST decrease due to the investment effect more than offsets the GST increase due to the revenue capacity effect.</w:t>
      </w:r>
    </w:p>
    <w:p w:rsidR="00EC00A2" w:rsidRDefault="00684191" w:rsidP="00684191">
      <w:pPr>
        <w:pStyle w:val="CGCNumberedPara"/>
      </w:pPr>
      <w:r>
        <w:t xml:space="preserve">Similar charts for other States are available in the </w:t>
      </w:r>
      <w:r w:rsidR="00FB18E3">
        <w:t>s</w:t>
      </w:r>
      <w:r>
        <w:t xml:space="preserve">upporting </w:t>
      </w:r>
      <w:r w:rsidR="008416A6">
        <w:t xml:space="preserve">information </w:t>
      </w:r>
      <w:r>
        <w:t xml:space="preserve">for this update available on the </w:t>
      </w:r>
      <w:hyperlink r:id="rId57" w:history="1">
        <w:r w:rsidRPr="00AD42B4">
          <w:rPr>
            <w:rStyle w:val="Hyperlink"/>
          </w:rPr>
          <w:t>Commission’s website</w:t>
        </w:r>
      </w:hyperlink>
      <w:r w:rsidR="00AD42B4">
        <w:t xml:space="preserve"> (www.cgc.gov.au)</w:t>
      </w:r>
      <w:r>
        <w:t>.</w:t>
      </w:r>
    </w:p>
    <w:p w:rsidR="00AA331D" w:rsidRDefault="00B706F4" w:rsidP="00BD7D40">
      <w:pPr>
        <w:pStyle w:val="Heading3"/>
      </w:pPr>
      <w:bookmarkStart w:id="527" w:name="_Toc442191924"/>
      <w:bookmarkStart w:id="528" w:name="_Toc442192178"/>
      <w:bookmarkStart w:id="529" w:name="_Toc442192243"/>
      <w:bookmarkStart w:id="530" w:name="_Toc442772827"/>
      <w:bookmarkStart w:id="531" w:name="_Toc442773056"/>
      <w:bookmarkStart w:id="532" w:name="_Toc442773226"/>
      <w:bookmarkStart w:id="533" w:name="_Toc442773567"/>
      <w:bookmarkStart w:id="534" w:name="_Toc442883293"/>
      <w:bookmarkStart w:id="535" w:name="_Toc442949153"/>
      <w:r>
        <w:lastRenderedPageBreak/>
        <w:t xml:space="preserve">Why State </w:t>
      </w:r>
      <w:r w:rsidR="00790290">
        <w:t>f</w:t>
      </w:r>
      <w:r>
        <w:t xml:space="preserve">iscal </w:t>
      </w:r>
      <w:r w:rsidR="00790290">
        <w:t xml:space="preserve">capacities </w:t>
      </w:r>
      <w:bookmarkEnd w:id="511"/>
      <w:bookmarkEnd w:id="512"/>
      <w:bookmarkEnd w:id="513"/>
      <w:bookmarkEnd w:id="514"/>
      <w:bookmarkEnd w:id="527"/>
      <w:bookmarkEnd w:id="528"/>
      <w:bookmarkEnd w:id="529"/>
      <w:r w:rsidR="00790290">
        <w:t>differ</w:t>
      </w:r>
      <w:bookmarkEnd w:id="530"/>
      <w:bookmarkEnd w:id="531"/>
      <w:bookmarkEnd w:id="532"/>
      <w:bookmarkEnd w:id="533"/>
      <w:bookmarkEnd w:id="534"/>
      <w:bookmarkEnd w:id="535"/>
    </w:p>
    <w:p w:rsidR="00AA331D" w:rsidRDefault="00AA331D" w:rsidP="00AA331D">
      <w:pPr>
        <w:pStyle w:val="CGCNumberedPara"/>
        <w:numPr>
          <w:ilvl w:val="1"/>
          <w:numId w:val="2"/>
        </w:numPr>
      </w:pPr>
      <w:r>
        <w:t xml:space="preserve">Differences among the States in </w:t>
      </w:r>
      <w:r w:rsidRPr="00EC79CF">
        <w:t>economic, social and demographic characteristics</w:t>
      </w:r>
      <w:r>
        <w:t xml:space="preserve"> affect their expenditures and revenues and contribute to differences in the GST distributions</w:t>
      </w:r>
      <w:r w:rsidRPr="00EC79CF">
        <w:t xml:space="preserve">. </w:t>
      </w:r>
      <w:r w:rsidR="00B706F4">
        <w:fldChar w:fldCharType="begin"/>
      </w:r>
      <w:r w:rsidR="00B706F4">
        <w:instrText xml:space="preserve"> REF _Ref432500901 \h </w:instrText>
      </w:r>
      <w:r w:rsidR="00B706F4">
        <w:fldChar w:fldCharType="separate"/>
      </w:r>
      <w:r w:rsidR="007A6AF0">
        <w:t xml:space="preserve">Table </w:t>
      </w:r>
      <w:r w:rsidR="007A6AF0">
        <w:rPr>
          <w:noProof/>
        </w:rPr>
        <w:t>1</w:t>
      </w:r>
      <w:r w:rsidR="007A6AF0">
        <w:noBreakHyphen/>
      </w:r>
      <w:r w:rsidR="007A6AF0">
        <w:rPr>
          <w:noProof/>
        </w:rPr>
        <w:t>8</w:t>
      </w:r>
      <w:r w:rsidR="00B706F4">
        <w:fldChar w:fldCharType="end"/>
      </w:r>
      <w:r w:rsidR="00B706F4">
        <w:t xml:space="preserve"> </w:t>
      </w:r>
      <w:r>
        <w:t xml:space="preserve">shows how these differences contribute to differences in the recommended GST distribution. </w:t>
      </w:r>
    </w:p>
    <w:p w:rsidR="00AA331D" w:rsidRDefault="00AA331D" w:rsidP="00AA331D">
      <w:pPr>
        <w:pStyle w:val="CGCTableHeading"/>
      </w:pPr>
      <w:bookmarkStart w:id="536" w:name="_Ref432500901"/>
      <w:r>
        <w:t xml:space="preserve">Table </w:t>
      </w:r>
      <w:r w:rsidR="0014378B">
        <w:fldChar w:fldCharType="begin"/>
      </w:r>
      <w:r w:rsidR="0014378B">
        <w:instrText xml:space="preserve"> STYLEREF 1 \s </w:instrText>
      </w:r>
      <w:r w:rsidR="0014378B">
        <w:fldChar w:fldCharType="separate"/>
      </w:r>
      <w:r w:rsidR="007A6AF0">
        <w:rPr>
          <w:noProof/>
        </w:rPr>
        <w:t>1</w:t>
      </w:r>
      <w:r w:rsidR="0014378B">
        <w:rPr>
          <w:noProof/>
        </w:rPr>
        <w:fldChar w:fldCharType="end"/>
      </w:r>
      <w:r>
        <w:noBreakHyphen/>
      </w:r>
      <w:r w:rsidR="0014378B">
        <w:fldChar w:fldCharType="begin"/>
      </w:r>
      <w:r w:rsidR="0014378B">
        <w:instrText xml:space="preserve"> SEQ Table \* ARABIC \s 1 </w:instrText>
      </w:r>
      <w:r w:rsidR="0014378B">
        <w:fldChar w:fldCharType="separate"/>
      </w:r>
      <w:r w:rsidR="007A6AF0">
        <w:rPr>
          <w:noProof/>
        </w:rPr>
        <w:t>8</w:t>
      </w:r>
      <w:r w:rsidR="0014378B">
        <w:rPr>
          <w:noProof/>
        </w:rPr>
        <w:fldChar w:fldCharType="end"/>
      </w:r>
      <w:bookmarkEnd w:id="536"/>
      <w:r>
        <w:tab/>
        <w:t>Difference from an equal per capita distribution of GST, 2016-17</w:t>
      </w:r>
    </w:p>
    <w:tbl>
      <w:tblPr>
        <w:tblW w:w="8921" w:type="dxa"/>
        <w:tblLayout w:type="fixed"/>
        <w:tblCellMar>
          <w:left w:w="0" w:type="dxa"/>
          <w:right w:w="0" w:type="dxa"/>
        </w:tblCellMar>
        <w:tblLook w:val="04A0" w:firstRow="1" w:lastRow="0" w:firstColumn="1" w:lastColumn="0" w:noHBand="0" w:noVBand="1"/>
      </w:tblPr>
      <w:tblGrid>
        <w:gridCol w:w="2460"/>
        <w:gridCol w:w="760"/>
        <w:gridCol w:w="760"/>
        <w:gridCol w:w="700"/>
        <w:gridCol w:w="760"/>
        <w:gridCol w:w="700"/>
        <w:gridCol w:w="700"/>
        <w:gridCol w:w="660"/>
        <w:gridCol w:w="700"/>
        <w:gridCol w:w="721"/>
      </w:tblGrid>
      <w:tr w:rsidR="005D0156" w:rsidRPr="005D0156" w:rsidTr="005D0156">
        <w:trPr>
          <w:trHeight w:val="379"/>
        </w:trPr>
        <w:tc>
          <w:tcPr>
            <w:tcW w:w="246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bookmarkStart w:id="537" w:name="RANGE!A4:J11"/>
            <w:r w:rsidRPr="005D0156">
              <w:rPr>
                <w:rFonts w:ascii="Calibri" w:eastAsia="Times New Roman" w:hAnsi="Calibri" w:cs="Times New Roman"/>
                <w:sz w:val="20"/>
                <w:szCs w:val="20"/>
                <w:lang w:eastAsia="en-AU"/>
              </w:rPr>
              <w:t> </w:t>
            </w:r>
            <w:bookmarkEnd w:id="537"/>
          </w:p>
        </w:tc>
        <w:tc>
          <w:tcPr>
            <w:tcW w:w="76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NSW</w:t>
            </w:r>
          </w:p>
        </w:tc>
        <w:tc>
          <w:tcPr>
            <w:tcW w:w="76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Vic</w:t>
            </w:r>
          </w:p>
        </w:tc>
        <w:tc>
          <w:tcPr>
            <w:tcW w:w="70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Qld</w:t>
            </w:r>
          </w:p>
        </w:tc>
        <w:tc>
          <w:tcPr>
            <w:tcW w:w="76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WA</w:t>
            </w:r>
          </w:p>
        </w:tc>
        <w:tc>
          <w:tcPr>
            <w:tcW w:w="70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SA</w:t>
            </w:r>
          </w:p>
        </w:tc>
        <w:tc>
          <w:tcPr>
            <w:tcW w:w="70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Tas</w:t>
            </w:r>
          </w:p>
        </w:tc>
        <w:tc>
          <w:tcPr>
            <w:tcW w:w="66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ACT</w:t>
            </w:r>
          </w:p>
        </w:tc>
        <w:tc>
          <w:tcPr>
            <w:tcW w:w="70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NT</w:t>
            </w:r>
          </w:p>
        </w:tc>
        <w:tc>
          <w:tcPr>
            <w:tcW w:w="721"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5D0156">
              <w:rPr>
                <w:rFonts w:ascii="Calibri" w:eastAsia="Times New Roman" w:hAnsi="Calibri" w:cs="Times New Roman"/>
                <w:sz w:val="20"/>
                <w:szCs w:val="20"/>
                <w:lang w:eastAsia="en-AU"/>
              </w:rPr>
              <w:t>Redist</w:t>
            </w:r>
            <w:proofErr w:type="spellEnd"/>
          </w:p>
        </w:tc>
      </w:tr>
      <w:tr w:rsidR="005D0156" w:rsidRPr="005D0156" w:rsidTr="005D0156">
        <w:trPr>
          <w:trHeight w:val="259"/>
        </w:trPr>
        <w:tc>
          <w:tcPr>
            <w:tcW w:w="246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p>
        </w:tc>
        <w:tc>
          <w:tcPr>
            <w:tcW w:w="76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c>
          <w:tcPr>
            <w:tcW w:w="66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c>
          <w:tcPr>
            <w:tcW w:w="721"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r>
      <w:tr w:rsidR="005D0156" w:rsidRPr="005D0156" w:rsidTr="005D0156">
        <w:trPr>
          <w:trHeight w:val="315"/>
        </w:trPr>
        <w:tc>
          <w:tcPr>
            <w:tcW w:w="246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Expense requirement</w:t>
            </w:r>
          </w:p>
        </w:tc>
        <w:tc>
          <w:tcPr>
            <w:tcW w:w="76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-2 690</w:t>
            </w:r>
          </w:p>
        </w:tc>
        <w:tc>
          <w:tcPr>
            <w:tcW w:w="76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-5 012</w:t>
            </w:r>
          </w:p>
        </w:tc>
        <w:tc>
          <w:tcPr>
            <w:tcW w:w="70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1 872</w:t>
            </w:r>
          </w:p>
        </w:tc>
        <w:tc>
          <w:tcPr>
            <w:tcW w:w="76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2 412</w:t>
            </w:r>
          </w:p>
        </w:tc>
        <w:tc>
          <w:tcPr>
            <w:tcW w:w="70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300</w:t>
            </w:r>
          </w:p>
        </w:tc>
        <w:tc>
          <w:tcPr>
            <w:tcW w:w="70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491</w:t>
            </w:r>
          </w:p>
        </w:tc>
        <w:tc>
          <w:tcPr>
            <w:tcW w:w="66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-208</w:t>
            </w:r>
          </w:p>
        </w:tc>
        <w:tc>
          <w:tcPr>
            <w:tcW w:w="70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2 836</w:t>
            </w:r>
          </w:p>
        </w:tc>
        <w:tc>
          <w:tcPr>
            <w:tcW w:w="721"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7 911</w:t>
            </w:r>
          </w:p>
        </w:tc>
      </w:tr>
      <w:tr w:rsidR="005D0156" w:rsidRPr="005D0156" w:rsidTr="005D0156">
        <w:trPr>
          <w:trHeight w:val="315"/>
        </w:trPr>
        <w:tc>
          <w:tcPr>
            <w:tcW w:w="246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Investment requirement</w:t>
            </w:r>
          </w:p>
        </w:tc>
        <w:tc>
          <w:tcPr>
            <w:tcW w:w="76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-325</w:t>
            </w:r>
          </w:p>
        </w:tc>
        <w:tc>
          <w:tcPr>
            <w:tcW w:w="76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202</w:t>
            </w:r>
          </w:p>
        </w:tc>
        <w:tc>
          <w:tcPr>
            <w:tcW w:w="70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-56</w:t>
            </w:r>
          </w:p>
        </w:tc>
        <w:tc>
          <w:tcPr>
            <w:tcW w:w="76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648</w:t>
            </w:r>
          </w:p>
        </w:tc>
        <w:tc>
          <w:tcPr>
            <w:tcW w:w="70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-284</w:t>
            </w:r>
          </w:p>
        </w:tc>
        <w:tc>
          <w:tcPr>
            <w:tcW w:w="70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-193</w:t>
            </w:r>
          </w:p>
        </w:tc>
        <w:tc>
          <w:tcPr>
            <w:tcW w:w="66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-57</w:t>
            </w:r>
          </w:p>
        </w:tc>
        <w:tc>
          <w:tcPr>
            <w:tcW w:w="70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65</w:t>
            </w:r>
          </w:p>
        </w:tc>
        <w:tc>
          <w:tcPr>
            <w:tcW w:w="721"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915</w:t>
            </w:r>
          </w:p>
        </w:tc>
      </w:tr>
      <w:tr w:rsidR="005D0156" w:rsidRPr="005D0156" w:rsidTr="005D0156">
        <w:trPr>
          <w:trHeight w:val="315"/>
        </w:trPr>
        <w:tc>
          <w:tcPr>
            <w:tcW w:w="246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Net borrowing</w:t>
            </w:r>
          </w:p>
        </w:tc>
        <w:tc>
          <w:tcPr>
            <w:tcW w:w="76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40</w:t>
            </w:r>
          </w:p>
        </w:tc>
        <w:tc>
          <w:tcPr>
            <w:tcW w:w="76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-35</w:t>
            </w:r>
          </w:p>
        </w:tc>
        <w:tc>
          <w:tcPr>
            <w:tcW w:w="70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w:t>
            </w:r>
          </w:p>
        </w:tc>
        <w:tc>
          <w:tcPr>
            <w:tcW w:w="76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-52</w:t>
            </w:r>
          </w:p>
        </w:tc>
        <w:tc>
          <w:tcPr>
            <w:tcW w:w="70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32</w:t>
            </w:r>
          </w:p>
        </w:tc>
        <w:tc>
          <w:tcPr>
            <w:tcW w:w="70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19</w:t>
            </w:r>
          </w:p>
        </w:tc>
        <w:tc>
          <w:tcPr>
            <w:tcW w:w="66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w:t>
            </w:r>
          </w:p>
        </w:tc>
        <w:tc>
          <w:tcPr>
            <w:tcW w:w="70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w:t>
            </w:r>
          </w:p>
        </w:tc>
        <w:tc>
          <w:tcPr>
            <w:tcW w:w="721"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95</w:t>
            </w:r>
          </w:p>
        </w:tc>
      </w:tr>
      <w:tr w:rsidR="005D0156" w:rsidRPr="005D0156" w:rsidTr="005D0156">
        <w:trPr>
          <w:trHeight w:val="315"/>
        </w:trPr>
        <w:tc>
          <w:tcPr>
            <w:tcW w:w="246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Revenue raising capacity</w:t>
            </w:r>
          </w:p>
        </w:tc>
        <w:tc>
          <w:tcPr>
            <w:tcW w:w="76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1 029</w:t>
            </w:r>
          </w:p>
        </w:tc>
        <w:tc>
          <w:tcPr>
            <w:tcW w:w="76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3 434</w:t>
            </w:r>
          </w:p>
        </w:tc>
        <w:tc>
          <w:tcPr>
            <w:tcW w:w="70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431</w:t>
            </w:r>
          </w:p>
        </w:tc>
        <w:tc>
          <w:tcPr>
            <w:tcW w:w="76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-7 679</w:t>
            </w:r>
          </w:p>
        </w:tc>
        <w:tc>
          <w:tcPr>
            <w:tcW w:w="70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1 626</w:t>
            </w:r>
          </w:p>
        </w:tc>
        <w:tc>
          <w:tcPr>
            <w:tcW w:w="70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734</w:t>
            </w:r>
          </w:p>
        </w:tc>
        <w:tc>
          <w:tcPr>
            <w:tcW w:w="66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369</w:t>
            </w:r>
          </w:p>
        </w:tc>
        <w:tc>
          <w:tcPr>
            <w:tcW w:w="70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56</w:t>
            </w:r>
          </w:p>
        </w:tc>
        <w:tc>
          <w:tcPr>
            <w:tcW w:w="721"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7 679</w:t>
            </w:r>
          </w:p>
        </w:tc>
      </w:tr>
      <w:tr w:rsidR="005D0156" w:rsidRPr="005D0156" w:rsidTr="005D0156">
        <w:trPr>
          <w:trHeight w:val="315"/>
        </w:trPr>
        <w:tc>
          <w:tcPr>
            <w:tcW w:w="246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Commonwealth payments (a)</w:t>
            </w:r>
          </w:p>
        </w:tc>
        <w:tc>
          <w:tcPr>
            <w:tcW w:w="76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152</w:t>
            </w:r>
          </w:p>
        </w:tc>
        <w:tc>
          <w:tcPr>
            <w:tcW w:w="76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79</w:t>
            </w:r>
          </w:p>
        </w:tc>
        <w:tc>
          <w:tcPr>
            <w:tcW w:w="70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-105</w:t>
            </w:r>
          </w:p>
        </w:tc>
        <w:tc>
          <w:tcPr>
            <w:tcW w:w="76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13</w:t>
            </w:r>
          </w:p>
        </w:tc>
        <w:tc>
          <w:tcPr>
            <w:tcW w:w="70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137</w:t>
            </w:r>
          </w:p>
        </w:tc>
        <w:tc>
          <w:tcPr>
            <w:tcW w:w="70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-42</w:t>
            </w:r>
          </w:p>
        </w:tc>
        <w:tc>
          <w:tcPr>
            <w:tcW w:w="66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54</w:t>
            </w:r>
          </w:p>
        </w:tc>
        <w:tc>
          <w:tcPr>
            <w:tcW w:w="70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-289</w:t>
            </w:r>
          </w:p>
        </w:tc>
        <w:tc>
          <w:tcPr>
            <w:tcW w:w="721"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435</w:t>
            </w:r>
          </w:p>
        </w:tc>
      </w:tr>
      <w:tr w:rsidR="005D0156" w:rsidRPr="005D0156" w:rsidTr="005D0156">
        <w:trPr>
          <w:trHeight w:val="315"/>
        </w:trPr>
        <w:tc>
          <w:tcPr>
            <w:tcW w:w="2460" w:type="dxa"/>
            <w:tcBorders>
              <w:top w:val="nil"/>
              <w:left w:val="nil"/>
              <w:bottom w:val="single" w:sz="4" w:space="0" w:color="auto"/>
              <w:right w:val="nil"/>
            </w:tcBorders>
            <w:shd w:val="clear" w:color="auto" w:fill="auto"/>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Total</w:t>
            </w:r>
          </w:p>
        </w:tc>
        <w:tc>
          <w:tcPr>
            <w:tcW w:w="760" w:type="dxa"/>
            <w:tcBorders>
              <w:top w:val="single" w:sz="4" w:space="0" w:color="auto"/>
              <w:left w:val="nil"/>
              <w:bottom w:val="single" w:sz="4" w:space="0" w:color="auto"/>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-1 795</w:t>
            </w:r>
          </w:p>
        </w:tc>
        <w:tc>
          <w:tcPr>
            <w:tcW w:w="760" w:type="dxa"/>
            <w:tcBorders>
              <w:top w:val="single" w:sz="4" w:space="0" w:color="auto"/>
              <w:left w:val="nil"/>
              <w:bottom w:val="single" w:sz="4" w:space="0" w:color="auto"/>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-1 331</w:t>
            </w:r>
          </w:p>
        </w:tc>
        <w:tc>
          <w:tcPr>
            <w:tcW w:w="700" w:type="dxa"/>
            <w:tcBorders>
              <w:top w:val="single" w:sz="4" w:space="0" w:color="auto"/>
              <w:left w:val="nil"/>
              <w:bottom w:val="single" w:sz="4" w:space="0" w:color="auto"/>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2 134</w:t>
            </w:r>
          </w:p>
        </w:tc>
        <w:tc>
          <w:tcPr>
            <w:tcW w:w="760" w:type="dxa"/>
            <w:tcBorders>
              <w:top w:val="single" w:sz="4" w:space="0" w:color="auto"/>
              <w:left w:val="nil"/>
              <w:bottom w:val="single" w:sz="4" w:space="0" w:color="auto"/>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-4 659</w:t>
            </w:r>
          </w:p>
        </w:tc>
        <w:tc>
          <w:tcPr>
            <w:tcW w:w="700" w:type="dxa"/>
            <w:tcBorders>
              <w:top w:val="single" w:sz="4" w:space="0" w:color="auto"/>
              <w:left w:val="nil"/>
              <w:bottom w:val="single" w:sz="4" w:space="0" w:color="auto"/>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1 811</w:t>
            </w:r>
          </w:p>
        </w:tc>
        <w:tc>
          <w:tcPr>
            <w:tcW w:w="700" w:type="dxa"/>
            <w:tcBorders>
              <w:top w:val="single" w:sz="4" w:space="0" w:color="auto"/>
              <w:left w:val="nil"/>
              <w:bottom w:val="single" w:sz="4" w:space="0" w:color="auto"/>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1 009</w:t>
            </w:r>
          </w:p>
        </w:tc>
        <w:tc>
          <w:tcPr>
            <w:tcW w:w="660" w:type="dxa"/>
            <w:tcBorders>
              <w:top w:val="single" w:sz="4" w:space="0" w:color="auto"/>
              <w:left w:val="nil"/>
              <w:bottom w:val="single" w:sz="4" w:space="0" w:color="auto"/>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159</w:t>
            </w:r>
          </w:p>
        </w:tc>
        <w:tc>
          <w:tcPr>
            <w:tcW w:w="700" w:type="dxa"/>
            <w:tcBorders>
              <w:top w:val="single" w:sz="4" w:space="0" w:color="auto"/>
              <w:left w:val="nil"/>
              <w:bottom w:val="single" w:sz="4" w:space="0" w:color="auto"/>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2 670</w:t>
            </w:r>
          </w:p>
        </w:tc>
        <w:tc>
          <w:tcPr>
            <w:tcW w:w="721" w:type="dxa"/>
            <w:tcBorders>
              <w:top w:val="single" w:sz="4" w:space="0" w:color="auto"/>
              <w:left w:val="nil"/>
              <w:bottom w:val="single" w:sz="4" w:space="0" w:color="auto"/>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7 785</w:t>
            </w:r>
          </w:p>
        </w:tc>
      </w:tr>
    </w:tbl>
    <w:p w:rsidR="00AA331D" w:rsidRPr="00986F01" w:rsidRDefault="00AA331D" w:rsidP="00B706F4">
      <w:pPr>
        <w:pStyle w:val="CGCTableFootnote"/>
        <w:keepNext/>
      </w:pPr>
      <w:r w:rsidRPr="00986F01">
        <w:t>(a)</w:t>
      </w:r>
      <w:r w:rsidRPr="00986F01">
        <w:tab/>
        <w:t>Includes the impact on the revenue side only. The impact on the expense side is incorporated in the expense requirement line.</w:t>
      </w:r>
    </w:p>
    <w:p w:rsidR="00AA331D" w:rsidRPr="00986F01" w:rsidRDefault="00AA331D" w:rsidP="00B706F4">
      <w:pPr>
        <w:pStyle w:val="CGCTableFootnote"/>
        <w:keepNext/>
      </w:pPr>
      <w:r w:rsidRPr="00986F01">
        <w:t>Note:</w:t>
      </w:r>
      <w:r w:rsidRPr="00986F01">
        <w:tab/>
        <w:t>The redistribution is the total movement from the equal per capita distribution. It is the sum of positive (or negative) items in the row.</w:t>
      </w:r>
    </w:p>
    <w:p w:rsidR="00AA331D" w:rsidRPr="00986F01" w:rsidRDefault="00AA331D" w:rsidP="00AA331D">
      <w:pPr>
        <w:pStyle w:val="CGCTableFootnote"/>
      </w:pPr>
      <w:r w:rsidRPr="00986F01">
        <w:t>Source:</w:t>
      </w:r>
      <w:r w:rsidRPr="00986F01">
        <w:tab/>
        <w:t>Commission calculation.</w:t>
      </w:r>
    </w:p>
    <w:p w:rsidR="00AA331D" w:rsidRDefault="00AA331D" w:rsidP="00AA331D">
      <w:pPr>
        <w:pStyle w:val="CGCNumberedPara"/>
      </w:pPr>
      <w:r>
        <w:t xml:space="preserve">Western Australia’s above average revenue raising capacity drives its fiscal strength, </w:t>
      </w:r>
      <w:r w:rsidR="00262F97">
        <w:t>despite</w:t>
      </w:r>
      <w:r>
        <w:t xml:space="preserve"> </w:t>
      </w:r>
      <w:proofErr w:type="gramStart"/>
      <w:r>
        <w:t>its</w:t>
      </w:r>
      <w:proofErr w:type="gramEnd"/>
      <w:r>
        <w:t xml:space="preserve"> higher than average costs of </w:t>
      </w:r>
      <w:r w:rsidR="001556E7">
        <w:t>providing</w:t>
      </w:r>
      <w:r>
        <w:t xml:space="preserve"> services</w:t>
      </w:r>
      <w:r w:rsidR="001556E7">
        <w:t xml:space="preserve"> and infrastructure</w:t>
      </w:r>
      <w:r>
        <w:t xml:space="preserve">, leading it to need considerably less than an average share of GST. The below average cost of providing services </w:t>
      </w:r>
      <w:r w:rsidR="00604C11">
        <w:t>for</w:t>
      </w:r>
      <w:r>
        <w:t xml:space="preserve"> New South Wales </w:t>
      </w:r>
      <w:r w:rsidR="00604C11">
        <w:t>and Victoria is</w:t>
      </w:r>
      <w:r>
        <w:t xml:space="preserve"> </w:t>
      </w:r>
      <w:r w:rsidR="0006682A">
        <w:t>the reason</w:t>
      </w:r>
      <w:r>
        <w:t xml:space="preserve"> for </w:t>
      </w:r>
      <w:r w:rsidR="00604C11">
        <w:t>their</w:t>
      </w:r>
      <w:r>
        <w:t xml:space="preserve"> fiscal strength, although this is mitigated somewhat by </w:t>
      </w:r>
      <w:r w:rsidR="00604C11">
        <w:t>their</w:t>
      </w:r>
      <w:r>
        <w:t xml:space="preserve"> below average strength in revenue raising. The relatively low fisca</w:t>
      </w:r>
      <w:r w:rsidR="00604C11">
        <w:t>l capacities of South Australia,</w:t>
      </w:r>
      <w:r>
        <w:t xml:space="preserve"> Tasmania </w:t>
      </w:r>
      <w:r w:rsidR="00604C11">
        <w:t xml:space="preserve">and the ACT </w:t>
      </w:r>
      <w:r>
        <w:t>stem mostly from below average capacities to raise revenue while Queensland and the Northern Territory face very high costs of providing services.</w:t>
      </w:r>
      <w:r w:rsidR="00604C11">
        <w:t xml:space="preserve"> </w:t>
      </w:r>
    </w:p>
    <w:p w:rsidR="001577E2" w:rsidRDefault="001577E2" w:rsidP="001577E2">
      <w:pPr>
        <w:pStyle w:val="CGCNumberedPara"/>
      </w:pPr>
      <w:r>
        <w:fldChar w:fldCharType="begin"/>
      </w:r>
      <w:r>
        <w:instrText xml:space="preserve"> REF _Ref432500996 \h </w:instrText>
      </w:r>
      <w:r>
        <w:fldChar w:fldCharType="separate"/>
      </w:r>
      <w:r w:rsidR="007A6AF0">
        <w:t xml:space="preserve">Figure </w:t>
      </w:r>
      <w:r w:rsidR="007A6AF0">
        <w:rPr>
          <w:noProof/>
        </w:rPr>
        <w:t>1</w:t>
      </w:r>
      <w:r w:rsidR="007A6AF0">
        <w:noBreakHyphen/>
      </w:r>
      <w:r w:rsidR="007A6AF0">
        <w:rPr>
          <w:noProof/>
        </w:rPr>
        <w:t>8</w:t>
      </w:r>
      <w:r>
        <w:fldChar w:fldCharType="end"/>
      </w:r>
      <w:r>
        <w:t xml:space="preserve"> shows this from a slightly different perspective.</w:t>
      </w:r>
      <w:r>
        <w:rPr>
          <w:rStyle w:val="FootnoteReference"/>
        </w:rPr>
        <w:footnoteReference w:id="8"/>
      </w:r>
      <w:r>
        <w:t xml:space="preserve"> While Western Australia has the second highest assessed expenditure per capita, this is almost covered by its very</w:t>
      </w:r>
      <w:r w:rsidR="001E64A8">
        <w:t xml:space="preserve"> high capacity to raise revenue</w:t>
      </w:r>
      <w:r>
        <w:t xml:space="preserve">. This leaves a relatively small requirement for GST revenue to give it the capacity to deliver an average standard of service. </w:t>
      </w:r>
    </w:p>
    <w:p w:rsidR="001577E2" w:rsidRPr="001577E2" w:rsidRDefault="001577E2" w:rsidP="001577E2">
      <w:pPr>
        <w:pStyle w:val="CGCNumberedPara"/>
      </w:pPr>
      <w:r w:rsidRPr="001577E2">
        <w:t xml:space="preserve">The Northern Territory has such a high cost of delivering services that even with its significantly higher than average share of Commonwealth payments and only slightly below average capacity to raise </w:t>
      </w:r>
      <w:proofErr w:type="gramStart"/>
      <w:r w:rsidRPr="001577E2">
        <w:t>revenue,</w:t>
      </w:r>
      <w:proofErr w:type="gramEnd"/>
      <w:r w:rsidRPr="001577E2">
        <w:t xml:space="preserve"> it still requires a very large share of the GST to be in a position to deliver an average standard of service. </w:t>
      </w:r>
    </w:p>
    <w:p w:rsidR="001577E2" w:rsidRDefault="001577E2" w:rsidP="001577E2">
      <w:pPr>
        <w:pStyle w:val="CGCTableHeading"/>
      </w:pPr>
      <w:r w:rsidRPr="00BE17BA">
        <w:lastRenderedPageBreak/>
        <w:t xml:space="preserve"> </w:t>
      </w:r>
      <w:bookmarkStart w:id="538" w:name="_Ref432500996"/>
      <w:r>
        <w:t xml:space="preserve">Figure </w:t>
      </w:r>
      <w:r w:rsidR="0014378B">
        <w:fldChar w:fldCharType="begin"/>
      </w:r>
      <w:r w:rsidR="0014378B">
        <w:instrText xml:space="preserve"> STYLEREF 1 \s </w:instrText>
      </w:r>
      <w:r w:rsidR="0014378B">
        <w:fldChar w:fldCharType="separate"/>
      </w:r>
      <w:r w:rsidR="007A6AF0">
        <w:rPr>
          <w:noProof/>
        </w:rPr>
        <w:t>1</w:t>
      </w:r>
      <w:r w:rsidR="0014378B">
        <w:rPr>
          <w:noProof/>
        </w:rPr>
        <w:fldChar w:fldCharType="end"/>
      </w:r>
      <w:r>
        <w:noBreakHyphen/>
      </w:r>
      <w:r w:rsidR="0014378B">
        <w:fldChar w:fldCharType="begin"/>
      </w:r>
      <w:r w:rsidR="0014378B">
        <w:instrText xml:space="preserve"> SEQ Figure \* ARABIC \s 1 </w:instrText>
      </w:r>
      <w:r w:rsidR="0014378B">
        <w:fldChar w:fldCharType="separate"/>
      </w:r>
      <w:r w:rsidR="007A6AF0">
        <w:rPr>
          <w:noProof/>
        </w:rPr>
        <w:t>8</w:t>
      </w:r>
      <w:r w:rsidR="0014378B">
        <w:rPr>
          <w:noProof/>
        </w:rPr>
        <w:fldChar w:fldCharType="end"/>
      </w:r>
      <w:bookmarkEnd w:id="538"/>
      <w:r>
        <w:tab/>
        <w:t>Illustrative assessed budgets per capita, 201</w:t>
      </w:r>
      <w:r w:rsidR="007921A1">
        <w:t>6</w:t>
      </w:r>
      <w:r>
        <w:t>-1</w:t>
      </w:r>
      <w:r w:rsidR="007921A1">
        <w:t>7</w:t>
      </w:r>
    </w:p>
    <w:p w:rsidR="001577E2" w:rsidRDefault="001968BA" w:rsidP="00AD1A03">
      <w:r w:rsidRPr="001968BA">
        <w:rPr>
          <w:noProof/>
          <w:lang w:eastAsia="en-AU"/>
        </w:rPr>
        <w:drawing>
          <wp:inline distT="0" distB="0" distL="0" distR="0" wp14:anchorId="0065F4AE" wp14:editId="62686584">
            <wp:extent cx="5657850" cy="3562350"/>
            <wp:effectExtent l="0" t="0" r="0" b="0"/>
            <wp:docPr id="1" name="Picture 1" descr="This figure shows the per capita GST requirement for each State as the difference between a State's total assessed expenditure and the sum of its assessed own source revenue, net borrowing and Commonwealth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57850" cy="3562350"/>
                    </a:xfrm>
                    <a:prstGeom prst="rect">
                      <a:avLst/>
                    </a:prstGeom>
                    <a:noFill/>
                    <a:ln>
                      <a:noFill/>
                    </a:ln>
                  </pic:spPr>
                </pic:pic>
              </a:graphicData>
            </a:graphic>
          </wp:inline>
        </w:drawing>
      </w:r>
    </w:p>
    <w:p w:rsidR="001E64A8" w:rsidRDefault="001E64A8" w:rsidP="001577E2">
      <w:pPr>
        <w:pStyle w:val="CGCTableFootnote"/>
      </w:pPr>
      <w:r>
        <w:t>(a)</w:t>
      </w:r>
      <w:r>
        <w:tab/>
        <w:t>Includes expenses and investment.</w:t>
      </w:r>
    </w:p>
    <w:p w:rsidR="001577E2" w:rsidRDefault="001577E2" w:rsidP="001577E2">
      <w:pPr>
        <w:pStyle w:val="CGCTableFootnote"/>
      </w:pPr>
      <w:r>
        <w:t xml:space="preserve">Source: </w:t>
      </w:r>
      <w:r>
        <w:tab/>
        <w:t>Commission calculation.</w:t>
      </w:r>
    </w:p>
    <w:p w:rsidR="00C47DB6" w:rsidRDefault="00C47DB6" w:rsidP="00C47DB6">
      <w:pPr>
        <w:pStyle w:val="CGCNumberedPara"/>
      </w:pPr>
      <w:r>
        <w:t xml:space="preserve">The </w:t>
      </w:r>
      <w:r w:rsidRPr="003B466B">
        <w:t xml:space="preserve">main economic and demographic factors causing the differences in State capacities are shown in </w:t>
      </w:r>
      <w:r w:rsidRPr="003B466B">
        <w:fldChar w:fldCharType="begin"/>
      </w:r>
      <w:r w:rsidRPr="003B466B">
        <w:instrText xml:space="preserve"> REF _Ref432501931 \h </w:instrText>
      </w:r>
      <w:r w:rsidR="003B466B">
        <w:instrText xml:space="preserve"> \* MERGEFORMAT </w:instrText>
      </w:r>
      <w:r w:rsidRPr="003B466B">
        <w:fldChar w:fldCharType="separate"/>
      </w:r>
      <w:r w:rsidR="007A6AF0">
        <w:t xml:space="preserve">Table </w:t>
      </w:r>
      <w:r w:rsidR="007A6AF0">
        <w:rPr>
          <w:noProof/>
        </w:rPr>
        <w:t>1</w:t>
      </w:r>
      <w:r w:rsidR="007A6AF0">
        <w:rPr>
          <w:noProof/>
        </w:rPr>
        <w:noBreakHyphen/>
        <w:t>9</w:t>
      </w:r>
      <w:r w:rsidRPr="003B466B">
        <w:fldChar w:fldCharType="end"/>
      </w:r>
      <w:r w:rsidRPr="003B466B">
        <w:t>. It shows, for example, that Victoria needs an additional $</w:t>
      </w:r>
      <w:r w:rsidR="003B466B" w:rsidRPr="003B466B">
        <w:t>2 9</w:t>
      </w:r>
      <w:r w:rsidR="00BA21DA">
        <w:t>3</w:t>
      </w:r>
      <w:r w:rsidR="0006682A">
        <w:t>6</w:t>
      </w:r>
      <w:r w:rsidRPr="003B466B">
        <w:t xml:space="preserve"> million in GST above an equal per capita (EPC) share to recognise its below average capacity to raise revenue from mining</w:t>
      </w:r>
      <w:r w:rsidR="001F375E" w:rsidRPr="003B466B">
        <w:t xml:space="preserve"> </w:t>
      </w:r>
      <w:r w:rsidR="00A96EE0">
        <w:t>while</w:t>
      </w:r>
      <w:r w:rsidR="00A96EE0" w:rsidRPr="003B466B">
        <w:t xml:space="preserve"> </w:t>
      </w:r>
      <w:r w:rsidR="001F375E" w:rsidRPr="003B466B">
        <w:t>Western Australia needs $</w:t>
      </w:r>
      <w:r w:rsidR="003B466B" w:rsidRPr="003B466B">
        <w:t>5 9</w:t>
      </w:r>
      <w:r w:rsidR="00BA21DA">
        <w:t>46</w:t>
      </w:r>
      <w:r w:rsidRPr="003B466B">
        <w:t xml:space="preserve"> million less than its EPC share because of its high capacity.</w:t>
      </w:r>
    </w:p>
    <w:p w:rsidR="00A96EE0" w:rsidRDefault="00A96EE0" w:rsidP="00A96EE0">
      <w:pPr>
        <w:pStyle w:val="CGCNumberedPara"/>
      </w:pPr>
      <w:r w:rsidRPr="00EC79CF">
        <w:t xml:space="preserve">In this </w:t>
      </w:r>
      <w:r>
        <w:t xml:space="preserve">update we again observe </w:t>
      </w:r>
      <w:r w:rsidRPr="00EC79CF">
        <w:t>significant differences in the innate fiscal capacities of States which warrant a distribution of GST revenue which differs significantly from one based on State population shares.</w:t>
      </w:r>
      <w:r>
        <w:t xml:space="preserve"> Further information on why State fiscal capacities </w:t>
      </w:r>
      <w:r w:rsidRPr="00AE4CEC">
        <w:t xml:space="preserve">differ is in </w:t>
      </w:r>
      <w:r w:rsidR="00FB18E3">
        <w:t>Chapter 3,</w:t>
      </w:r>
      <w:r>
        <w:t xml:space="preserve"> Volume 1 of the 2015 Review Report. </w:t>
      </w:r>
    </w:p>
    <w:p w:rsidR="00C47DB6" w:rsidRDefault="00C47DB6" w:rsidP="00C47DB6">
      <w:pPr>
        <w:pStyle w:val="CGCTableHeading"/>
        <w:ind w:left="0" w:firstLine="0"/>
      </w:pPr>
      <w:bookmarkStart w:id="539" w:name="_Ref432501931"/>
      <w:r>
        <w:lastRenderedPageBreak/>
        <w:t xml:space="preserve">Table </w:t>
      </w:r>
      <w:r w:rsidR="0014378B">
        <w:fldChar w:fldCharType="begin"/>
      </w:r>
      <w:r w:rsidR="0014378B">
        <w:instrText xml:space="preserve"> STYLEREF 1 \s </w:instrText>
      </w:r>
      <w:r w:rsidR="0014378B">
        <w:fldChar w:fldCharType="separate"/>
      </w:r>
      <w:r w:rsidR="007A6AF0">
        <w:rPr>
          <w:noProof/>
        </w:rPr>
        <w:t>1</w:t>
      </w:r>
      <w:r w:rsidR="0014378B">
        <w:rPr>
          <w:noProof/>
        </w:rPr>
        <w:fldChar w:fldCharType="end"/>
      </w:r>
      <w:r>
        <w:noBreakHyphen/>
      </w:r>
      <w:r w:rsidR="0014378B">
        <w:fldChar w:fldCharType="begin"/>
      </w:r>
      <w:r w:rsidR="0014378B">
        <w:instrText xml:space="preserve"> SEQ Table \* ARABIC \s 1 </w:instrText>
      </w:r>
      <w:r w:rsidR="0014378B">
        <w:fldChar w:fldCharType="separate"/>
      </w:r>
      <w:r w:rsidR="007A6AF0">
        <w:rPr>
          <w:noProof/>
        </w:rPr>
        <w:t>9</w:t>
      </w:r>
      <w:r w:rsidR="0014378B">
        <w:rPr>
          <w:noProof/>
        </w:rPr>
        <w:fldChar w:fldCharType="end"/>
      </w:r>
      <w:bookmarkEnd w:id="539"/>
      <w:r w:rsidRPr="00BE17BA">
        <w:tab/>
      </w:r>
      <w:r>
        <w:t>GST effects of</w:t>
      </w:r>
      <w:r w:rsidRPr="00EC79CF">
        <w:t xml:space="preserve"> difference</w:t>
      </w:r>
      <w:r>
        <w:t>s</w:t>
      </w:r>
      <w:r w:rsidRPr="00EC79CF">
        <w:t xml:space="preserve"> in innate fiscal capacities, 201</w:t>
      </w:r>
      <w:r w:rsidR="007E792C">
        <w:t>6</w:t>
      </w:r>
      <w:r w:rsidRPr="00EC79CF">
        <w:t>-1</w:t>
      </w:r>
      <w:r w:rsidR="007E792C">
        <w:t>7</w:t>
      </w:r>
    </w:p>
    <w:tbl>
      <w:tblPr>
        <w:tblW w:w="9001" w:type="dxa"/>
        <w:tblLayout w:type="fixed"/>
        <w:tblCellMar>
          <w:left w:w="0" w:type="dxa"/>
          <w:right w:w="0" w:type="dxa"/>
        </w:tblCellMar>
        <w:tblLook w:val="04A0" w:firstRow="1" w:lastRow="0" w:firstColumn="1" w:lastColumn="0" w:noHBand="0" w:noVBand="1"/>
      </w:tblPr>
      <w:tblGrid>
        <w:gridCol w:w="3220"/>
        <w:gridCol w:w="640"/>
        <w:gridCol w:w="640"/>
        <w:gridCol w:w="640"/>
        <w:gridCol w:w="640"/>
        <w:gridCol w:w="640"/>
        <w:gridCol w:w="620"/>
        <w:gridCol w:w="620"/>
        <w:gridCol w:w="620"/>
        <w:gridCol w:w="721"/>
      </w:tblGrid>
      <w:tr w:rsidR="005D0156" w:rsidRPr="005D0156" w:rsidTr="005D0156">
        <w:trPr>
          <w:trHeight w:val="379"/>
        </w:trPr>
        <w:tc>
          <w:tcPr>
            <w:tcW w:w="322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bookmarkStart w:id="540" w:name="RANGE!A9:J35"/>
            <w:r w:rsidRPr="005D0156">
              <w:rPr>
                <w:rFonts w:ascii="Calibri" w:eastAsia="Times New Roman" w:hAnsi="Calibri" w:cs="Times New Roman"/>
                <w:sz w:val="20"/>
                <w:szCs w:val="20"/>
                <w:lang w:eastAsia="en-AU"/>
              </w:rPr>
              <w:t> </w:t>
            </w:r>
            <w:bookmarkEnd w:id="540"/>
          </w:p>
        </w:tc>
        <w:tc>
          <w:tcPr>
            <w:tcW w:w="64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NSW</w:t>
            </w:r>
          </w:p>
        </w:tc>
        <w:tc>
          <w:tcPr>
            <w:tcW w:w="64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Vic</w:t>
            </w:r>
          </w:p>
        </w:tc>
        <w:tc>
          <w:tcPr>
            <w:tcW w:w="64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Qld</w:t>
            </w:r>
          </w:p>
        </w:tc>
        <w:tc>
          <w:tcPr>
            <w:tcW w:w="64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WA</w:t>
            </w:r>
          </w:p>
        </w:tc>
        <w:tc>
          <w:tcPr>
            <w:tcW w:w="64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SA</w:t>
            </w:r>
          </w:p>
        </w:tc>
        <w:tc>
          <w:tcPr>
            <w:tcW w:w="62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Tas</w:t>
            </w:r>
          </w:p>
        </w:tc>
        <w:tc>
          <w:tcPr>
            <w:tcW w:w="62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ACT</w:t>
            </w:r>
          </w:p>
        </w:tc>
        <w:tc>
          <w:tcPr>
            <w:tcW w:w="62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NT</w:t>
            </w:r>
          </w:p>
        </w:tc>
        <w:tc>
          <w:tcPr>
            <w:tcW w:w="721"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5D0156">
              <w:rPr>
                <w:rFonts w:ascii="Calibri" w:eastAsia="Times New Roman" w:hAnsi="Calibri" w:cs="Times New Roman"/>
                <w:sz w:val="20"/>
                <w:szCs w:val="20"/>
                <w:lang w:eastAsia="en-AU"/>
              </w:rPr>
              <w:t>Redist</w:t>
            </w:r>
            <w:proofErr w:type="spellEnd"/>
          </w:p>
        </w:tc>
      </w:tr>
      <w:tr w:rsidR="005D0156" w:rsidRPr="005D0156" w:rsidTr="005D0156">
        <w:trPr>
          <w:trHeight w:val="259"/>
        </w:trPr>
        <w:tc>
          <w:tcPr>
            <w:tcW w:w="32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c>
          <w:tcPr>
            <w:tcW w:w="721"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w:t>
            </w:r>
          </w:p>
        </w:tc>
      </w:tr>
      <w:tr w:rsidR="005D0156" w:rsidRPr="005D0156" w:rsidTr="005D0156">
        <w:trPr>
          <w:trHeight w:val="315"/>
        </w:trPr>
        <w:tc>
          <w:tcPr>
            <w:tcW w:w="322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b/>
                <w:bCs/>
                <w:sz w:val="20"/>
                <w:szCs w:val="20"/>
                <w:lang w:eastAsia="en-AU"/>
              </w:rPr>
            </w:pPr>
            <w:r w:rsidRPr="005D0156">
              <w:rPr>
                <w:rFonts w:ascii="Calibri" w:eastAsia="Times New Roman" w:hAnsi="Calibri" w:cs="Times New Roman"/>
                <w:b/>
                <w:bCs/>
                <w:sz w:val="20"/>
                <w:szCs w:val="20"/>
                <w:lang w:eastAsia="en-AU"/>
              </w:rPr>
              <w:t>Effects of revenue raising capacity</w:t>
            </w: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2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2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2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21"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r>
      <w:tr w:rsidR="005D0156" w:rsidRPr="005D0156" w:rsidTr="005D0156">
        <w:trPr>
          <w:trHeight w:val="315"/>
        </w:trPr>
        <w:tc>
          <w:tcPr>
            <w:tcW w:w="32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Mining production</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2 227</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2 936</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-70</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-5 946</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479</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203</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198</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-27</w:t>
            </w:r>
          </w:p>
        </w:tc>
        <w:tc>
          <w:tcPr>
            <w:tcW w:w="721"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6 042</w:t>
            </w:r>
          </w:p>
        </w:tc>
      </w:tr>
      <w:tr w:rsidR="005D0156" w:rsidRPr="005D0156" w:rsidTr="005D0156">
        <w:trPr>
          <w:trHeight w:val="315"/>
        </w:trPr>
        <w:tc>
          <w:tcPr>
            <w:tcW w:w="32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Taxable payrolls</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-213</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509</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279</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-1 221</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387</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223</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41</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w:t>
            </w:r>
          </w:p>
        </w:tc>
        <w:tc>
          <w:tcPr>
            <w:tcW w:w="721"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1 440</w:t>
            </w:r>
          </w:p>
        </w:tc>
      </w:tr>
      <w:tr w:rsidR="005D0156" w:rsidRPr="005D0156" w:rsidTr="005D0156">
        <w:trPr>
          <w:trHeight w:val="315"/>
        </w:trPr>
        <w:tc>
          <w:tcPr>
            <w:tcW w:w="32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Property sales</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-1 285</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79</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346</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-17</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578</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207</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37</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54</w:t>
            </w:r>
          </w:p>
        </w:tc>
        <w:tc>
          <w:tcPr>
            <w:tcW w:w="721"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1 301</w:t>
            </w:r>
          </w:p>
        </w:tc>
      </w:tr>
      <w:tr w:rsidR="005D0156" w:rsidRPr="005D0156" w:rsidTr="005D0156">
        <w:trPr>
          <w:trHeight w:val="315"/>
        </w:trPr>
        <w:tc>
          <w:tcPr>
            <w:tcW w:w="32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Land values</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36</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-169</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-8</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-245</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221</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86</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54</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24</w:t>
            </w:r>
          </w:p>
        </w:tc>
        <w:tc>
          <w:tcPr>
            <w:tcW w:w="721"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422</w:t>
            </w:r>
          </w:p>
        </w:tc>
      </w:tr>
      <w:tr w:rsidR="005D0156" w:rsidRPr="005D0156" w:rsidTr="005D0156">
        <w:trPr>
          <w:trHeight w:val="315"/>
        </w:trPr>
        <w:tc>
          <w:tcPr>
            <w:tcW w:w="32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Other revenue effects</w:t>
            </w:r>
          </w:p>
        </w:tc>
        <w:tc>
          <w:tcPr>
            <w:tcW w:w="640" w:type="dxa"/>
            <w:tcBorders>
              <w:top w:val="nil"/>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264</w:t>
            </w:r>
          </w:p>
        </w:tc>
        <w:tc>
          <w:tcPr>
            <w:tcW w:w="640" w:type="dxa"/>
            <w:tcBorders>
              <w:top w:val="nil"/>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78</w:t>
            </w:r>
          </w:p>
        </w:tc>
        <w:tc>
          <w:tcPr>
            <w:tcW w:w="640" w:type="dxa"/>
            <w:tcBorders>
              <w:top w:val="nil"/>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-116</w:t>
            </w:r>
          </w:p>
        </w:tc>
        <w:tc>
          <w:tcPr>
            <w:tcW w:w="640" w:type="dxa"/>
            <w:tcBorders>
              <w:top w:val="nil"/>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-251</w:t>
            </w:r>
          </w:p>
        </w:tc>
        <w:tc>
          <w:tcPr>
            <w:tcW w:w="640" w:type="dxa"/>
            <w:tcBorders>
              <w:top w:val="nil"/>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-40</w:t>
            </w:r>
          </w:p>
        </w:tc>
        <w:tc>
          <w:tcPr>
            <w:tcW w:w="620" w:type="dxa"/>
            <w:tcBorders>
              <w:top w:val="nil"/>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14</w:t>
            </w:r>
          </w:p>
        </w:tc>
        <w:tc>
          <w:tcPr>
            <w:tcW w:w="620" w:type="dxa"/>
            <w:tcBorders>
              <w:top w:val="nil"/>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38</w:t>
            </w:r>
          </w:p>
        </w:tc>
        <w:tc>
          <w:tcPr>
            <w:tcW w:w="620" w:type="dxa"/>
            <w:tcBorders>
              <w:top w:val="nil"/>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12</w:t>
            </w:r>
          </w:p>
        </w:tc>
        <w:tc>
          <w:tcPr>
            <w:tcW w:w="721" w:type="dxa"/>
            <w:tcBorders>
              <w:top w:val="nil"/>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407</w:t>
            </w:r>
          </w:p>
        </w:tc>
      </w:tr>
      <w:tr w:rsidR="005D0156" w:rsidRPr="005D0156" w:rsidTr="005D0156">
        <w:trPr>
          <w:trHeight w:val="315"/>
        </w:trPr>
        <w:tc>
          <w:tcPr>
            <w:tcW w:w="32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Total revenue effects</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1 029</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3 434</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431</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-7 679</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1 626</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734</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369</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56</w:t>
            </w:r>
          </w:p>
        </w:tc>
        <w:tc>
          <w:tcPr>
            <w:tcW w:w="721"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7 679</w:t>
            </w:r>
          </w:p>
        </w:tc>
      </w:tr>
      <w:tr w:rsidR="005D0156" w:rsidRPr="005D0156" w:rsidTr="005D0156">
        <w:trPr>
          <w:trHeight w:val="315"/>
        </w:trPr>
        <w:tc>
          <w:tcPr>
            <w:tcW w:w="32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b/>
                <w:bCs/>
                <w:sz w:val="20"/>
                <w:szCs w:val="20"/>
                <w:lang w:eastAsia="en-AU"/>
              </w:rPr>
            </w:pPr>
            <w:r w:rsidRPr="005D0156">
              <w:rPr>
                <w:rFonts w:ascii="Calibri" w:eastAsia="Times New Roman" w:hAnsi="Calibri" w:cs="Times New Roman"/>
                <w:b/>
                <w:bCs/>
                <w:sz w:val="20"/>
                <w:szCs w:val="20"/>
                <w:lang w:eastAsia="en-AU"/>
              </w:rPr>
              <w:t>Effects of expenditure requirements</w:t>
            </w: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2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2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2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21"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r>
      <w:tr w:rsidR="005D0156" w:rsidRPr="005D0156" w:rsidTr="005D0156">
        <w:trPr>
          <w:trHeight w:val="315"/>
        </w:trPr>
        <w:tc>
          <w:tcPr>
            <w:tcW w:w="322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Socio-demographic characteristics</w:t>
            </w: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2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2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2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21"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p>
        </w:tc>
      </w:tr>
      <w:tr w:rsidR="005D0156" w:rsidRPr="005D0156" w:rsidTr="005D0156">
        <w:trPr>
          <w:trHeight w:val="315"/>
        </w:trPr>
        <w:tc>
          <w:tcPr>
            <w:tcW w:w="32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Remoteness and regional costs</w:t>
            </w: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-1 140</w:t>
            </w: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-929</w:t>
            </w: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660</w:t>
            </w: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388</w:t>
            </w: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81</w:t>
            </w:r>
          </w:p>
        </w:tc>
        <w:tc>
          <w:tcPr>
            <w:tcW w:w="62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352</w:t>
            </w:r>
          </w:p>
        </w:tc>
        <w:tc>
          <w:tcPr>
            <w:tcW w:w="62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-134</w:t>
            </w:r>
          </w:p>
        </w:tc>
        <w:tc>
          <w:tcPr>
            <w:tcW w:w="62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722</w:t>
            </w:r>
          </w:p>
        </w:tc>
        <w:tc>
          <w:tcPr>
            <w:tcW w:w="721"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2 203</w:t>
            </w:r>
          </w:p>
        </w:tc>
      </w:tr>
      <w:tr w:rsidR="005D0156" w:rsidRPr="005D0156" w:rsidTr="005D0156">
        <w:trPr>
          <w:trHeight w:val="315"/>
        </w:trPr>
        <w:tc>
          <w:tcPr>
            <w:tcW w:w="32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Indigenous status</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-109</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-1 371</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641</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186</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-122</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93</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-58</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740</w:t>
            </w:r>
          </w:p>
        </w:tc>
        <w:tc>
          <w:tcPr>
            <w:tcW w:w="721"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1 660</w:t>
            </w:r>
          </w:p>
        </w:tc>
      </w:tr>
      <w:tr w:rsidR="005D0156" w:rsidRPr="005D0156" w:rsidTr="005D0156">
        <w:trPr>
          <w:trHeight w:val="315"/>
        </w:trPr>
        <w:tc>
          <w:tcPr>
            <w:tcW w:w="32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Socio-economic status</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380</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-74</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-65</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-306</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328</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36</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-219</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-79</w:t>
            </w:r>
          </w:p>
        </w:tc>
        <w:tc>
          <w:tcPr>
            <w:tcW w:w="721"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744</w:t>
            </w:r>
          </w:p>
        </w:tc>
      </w:tr>
      <w:tr w:rsidR="005D0156" w:rsidRPr="005D0156" w:rsidTr="005D0156">
        <w:trPr>
          <w:trHeight w:val="315"/>
        </w:trPr>
        <w:tc>
          <w:tcPr>
            <w:tcW w:w="32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Other SDC</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-40</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-404</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344</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-113</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101</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27</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-25</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109</w:t>
            </w:r>
          </w:p>
        </w:tc>
        <w:tc>
          <w:tcPr>
            <w:tcW w:w="721"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582</w:t>
            </w:r>
          </w:p>
        </w:tc>
      </w:tr>
      <w:tr w:rsidR="005D0156" w:rsidRPr="005D0156" w:rsidTr="005D0156">
        <w:trPr>
          <w:trHeight w:val="315"/>
        </w:trPr>
        <w:tc>
          <w:tcPr>
            <w:tcW w:w="32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Total</w:t>
            </w:r>
          </w:p>
        </w:tc>
        <w:tc>
          <w:tcPr>
            <w:tcW w:w="640" w:type="dxa"/>
            <w:tcBorders>
              <w:top w:val="single" w:sz="4" w:space="0" w:color="auto"/>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-908</w:t>
            </w:r>
          </w:p>
        </w:tc>
        <w:tc>
          <w:tcPr>
            <w:tcW w:w="640" w:type="dxa"/>
            <w:tcBorders>
              <w:top w:val="single" w:sz="4" w:space="0" w:color="auto"/>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-2 779</w:t>
            </w:r>
          </w:p>
        </w:tc>
        <w:tc>
          <w:tcPr>
            <w:tcW w:w="640" w:type="dxa"/>
            <w:tcBorders>
              <w:top w:val="single" w:sz="4" w:space="0" w:color="auto"/>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1 579</w:t>
            </w:r>
          </w:p>
        </w:tc>
        <w:tc>
          <w:tcPr>
            <w:tcW w:w="640" w:type="dxa"/>
            <w:tcBorders>
              <w:top w:val="single" w:sz="4" w:space="0" w:color="auto"/>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156</w:t>
            </w:r>
          </w:p>
        </w:tc>
        <w:tc>
          <w:tcPr>
            <w:tcW w:w="640" w:type="dxa"/>
            <w:tcBorders>
              <w:top w:val="single" w:sz="4" w:space="0" w:color="auto"/>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389</w:t>
            </w:r>
          </w:p>
        </w:tc>
        <w:tc>
          <w:tcPr>
            <w:tcW w:w="620" w:type="dxa"/>
            <w:tcBorders>
              <w:top w:val="single" w:sz="4" w:space="0" w:color="auto"/>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508</w:t>
            </w:r>
          </w:p>
        </w:tc>
        <w:tc>
          <w:tcPr>
            <w:tcW w:w="620" w:type="dxa"/>
            <w:tcBorders>
              <w:top w:val="single" w:sz="4" w:space="0" w:color="auto"/>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-436</w:t>
            </w:r>
          </w:p>
        </w:tc>
        <w:tc>
          <w:tcPr>
            <w:tcW w:w="620" w:type="dxa"/>
            <w:tcBorders>
              <w:top w:val="single" w:sz="4" w:space="0" w:color="auto"/>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1 492</w:t>
            </w:r>
          </w:p>
        </w:tc>
        <w:tc>
          <w:tcPr>
            <w:tcW w:w="721" w:type="dxa"/>
            <w:tcBorders>
              <w:top w:val="single" w:sz="4" w:space="0" w:color="auto"/>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4 124</w:t>
            </w:r>
          </w:p>
        </w:tc>
      </w:tr>
      <w:tr w:rsidR="005D0156" w:rsidRPr="005D0156" w:rsidTr="005D0156">
        <w:trPr>
          <w:trHeight w:val="315"/>
        </w:trPr>
        <w:tc>
          <w:tcPr>
            <w:tcW w:w="32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Wage costs</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321</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-562</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-453</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897</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-229</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-145</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76</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95</w:t>
            </w:r>
          </w:p>
        </w:tc>
        <w:tc>
          <w:tcPr>
            <w:tcW w:w="721"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1 388</w:t>
            </w:r>
          </w:p>
        </w:tc>
      </w:tr>
      <w:tr w:rsidR="005D0156" w:rsidRPr="005D0156" w:rsidTr="005D0156">
        <w:trPr>
          <w:trHeight w:val="315"/>
        </w:trPr>
        <w:tc>
          <w:tcPr>
            <w:tcW w:w="32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Urban centre size</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337</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804</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-606</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32</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-161</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-228</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-59</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-119</w:t>
            </w:r>
          </w:p>
        </w:tc>
        <w:tc>
          <w:tcPr>
            <w:tcW w:w="721"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1 173</w:t>
            </w:r>
          </w:p>
        </w:tc>
      </w:tr>
      <w:tr w:rsidR="005D0156" w:rsidRPr="005D0156" w:rsidTr="005D0156">
        <w:trPr>
          <w:trHeight w:val="315"/>
        </w:trPr>
        <w:tc>
          <w:tcPr>
            <w:tcW w:w="32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Population growth</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-509</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31</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107</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687</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-248</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-157</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-45</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134</w:t>
            </w:r>
          </w:p>
        </w:tc>
        <w:tc>
          <w:tcPr>
            <w:tcW w:w="721"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960</w:t>
            </w:r>
          </w:p>
        </w:tc>
      </w:tr>
      <w:tr w:rsidR="005D0156" w:rsidRPr="005D0156" w:rsidTr="005D0156">
        <w:trPr>
          <w:trHeight w:val="315"/>
        </w:trPr>
        <w:tc>
          <w:tcPr>
            <w:tcW w:w="32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Administrative scale</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-449</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-286</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-174</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41</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123</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232</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241</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272</w:t>
            </w:r>
          </w:p>
        </w:tc>
        <w:tc>
          <w:tcPr>
            <w:tcW w:w="721"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909</w:t>
            </w:r>
          </w:p>
        </w:tc>
      </w:tr>
      <w:tr w:rsidR="005D0156" w:rsidRPr="005D0156" w:rsidTr="005D0156">
        <w:trPr>
          <w:trHeight w:val="315"/>
        </w:trPr>
        <w:tc>
          <w:tcPr>
            <w:tcW w:w="32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Natural disaster relief</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-328</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-323</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850</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-81</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-86</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-21</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-16</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6</w:t>
            </w:r>
          </w:p>
        </w:tc>
        <w:tc>
          <w:tcPr>
            <w:tcW w:w="721"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856</w:t>
            </w:r>
          </w:p>
        </w:tc>
      </w:tr>
      <w:tr w:rsidR="005D0156" w:rsidRPr="005D0156" w:rsidTr="005D0156">
        <w:trPr>
          <w:trHeight w:val="315"/>
        </w:trPr>
        <w:tc>
          <w:tcPr>
            <w:tcW w:w="32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Small communities</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-323</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-286</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102</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193</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68</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23</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-20</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244</w:t>
            </w:r>
          </w:p>
        </w:tc>
        <w:tc>
          <w:tcPr>
            <w:tcW w:w="721"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629</w:t>
            </w:r>
          </w:p>
        </w:tc>
      </w:tr>
      <w:tr w:rsidR="005D0156" w:rsidRPr="005D0156" w:rsidTr="005D0156">
        <w:trPr>
          <w:trHeight w:val="315"/>
        </w:trPr>
        <w:tc>
          <w:tcPr>
            <w:tcW w:w="32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Non-State sector</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-340</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-245</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26</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448</w:t>
            </w:r>
          </w:p>
        </w:tc>
        <w:tc>
          <w:tcPr>
            <w:tcW w:w="64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-25</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64</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63</w:t>
            </w:r>
          </w:p>
        </w:tc>
        <w:tc>
          <w:tcPr>
            <w:tcW w:w="6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10</w:t>
            </w:r>
          </w:p>
        </w:tc>
        <w:tc>
          <w:tcPr>
            <w:tcW w:w="721"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611</w:t>
            </w:r>
          </w:p>
        </w:tc>
      </w:tr>
      <w:tr w:rsidR="005D0156" w:rsidRPr="005D0156" w:rsidTr="005D0156">
        <w:trPr>
          <w:trHeight w:val="315"/>
        </w:trPr>
        <w:tc>
          <w:tcPr>
            <w:tcW w:w="32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Other expense effects</w:t>
            </w:r>
          </w:p>
        </w:tc>
        <w:tc>
          <w:tcPr>
            <w:tcW w:w="640" w:type="dxa"/>
            <w:tcBorders>
              <w:top w:val="nil"/>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-775</w:t>
            </w:r>
          </w:p>
        </w:tc>
        <w:tc>
          <w:tcPr>
            <w:tcW w:w="640" w:type="dxa"/>
            <w:tcBorders>
              <w:top w:val="nil"/>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-1 199</w:t>
            </w:r>
          </w:p>
        </w:tc>
        <w:tc>
          <w:tcPr>
            <w:tcW w:w="640" w:type="dxa"/>
            <w:tcBorders>
              <w:top w:val="nil"/>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377</w:t>
            </w:r>
          </w:p>
        </w:tc>
        <w:tc>
          <w:tcPr>
            <w:tcW w:w="640" w:type="dxa"/>
            <w:tcBorders>
              <w:top w:val="nil"/>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634</w:t>
            </w:r>
          </w:p>
        </w:tc>
        <w:tc>
          <w:tcPr>
            <w:tcW w:w="640" w:type="dxa"/>
            <w:tcBorders>
              <w:top w:val="nil"/>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219</w:t>
            </w:r>
          </w:p>
        </w:tc>
        <w:tc>
          <w:tcPr>
            <w:tcW w:w="620" w:type="dxa"/>
            <w:tcBorders>
              <w:top w:val="nil"/>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41</w:t>
            </w:r>
          </w:p>
        </w:tc>
        <w:tc>
          <w:tcPr>
            <w:tcW w:w="620" w:type="dxa"/>
            <w:tcBorders>
              <w:top w:val="nil"/>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-67</w:t>
            </w:r>
          </w:p>
        </w:tc>
        <w:tc>
          <w:tcPr>
            <w:tcW w:w="620" w:type="dxa"/>
            <w:tcBorders>
              <w:top w:val="nil"/>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769</w:t>
            </w:r>
          </w:p>
        </w:tc>
        <w:tc>
          <w:tcPr>
            <w:tcW w:w="721" w:type="dxa"/>
            <w:tcBorders>
              <w:top w:val="nil"/>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2 040</w:t>
            </w:r>
          </w:p>
        </w:tc>
      </w:tr>
      <w:tr w:rsidR="005D0156" w:rsidRPr="005D0156" w:rsidTr="005D0156">
        <w:trPr>
          <w:trHeight w:val="315"/>
        </w:trPr>
        <w:tc>
          <w:tcPr>
            <w:tcW w:w="322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Total expense and investment effects</w:t>
            </w: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-2 976</w:t>
            </w: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-4 845</w:t>
            </w: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1 808</w:t>
            </w: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3 007</w:t>
            </w: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48</w:t>
            </w:r>
          </w:p>
        </w:tc>
        <w:tc>
          <w:tcPr>
            <w:tcW w:w="62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317</w:t>
            </w:r>
          </w:p>
        </w:tc>
        <w:tc>
          <w:tcPr>
            <w:tcW w:w="62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-264</w:t>
            </w:r>
          </w:p>
        </w:tc>
        <w:tc>
          <w:tcPr>
            <w:tcW w:w="62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2 903</w:t>
            </w:r>
          </w:p>
        </w:tc>
        <w:tc>
          <w:tcPr>
            <w:tcW w:w="721"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8 084</w:t>
            </w:r>
          </w:p>
        </w:tc>
      </w:tr>
      <w:tr w:rsidR="005D0156" w:rsidRPr="005D0156" w:rsidTr="005D0156">
        <w:trPr>
          <w:trHeight w:val="315"/>
        </w:trPr>
        <w:tc>
          <w:tcPr>
            <w:tcW w:w="3220" w:type="dxa"/>
            <w:tcBorders>
              <w:top w:val="nil"/>
              <w:left w:val="nil"/>
              <w:bottom w:val="nil"/>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b/>
                <w:bCs/>
                <w:sz w:val="20"/>
                <w:szCs w:val="20"/>
                <w:lang w:eastAsia="en-AU"/>
              </w:rPr>
            </w:pPr>
            <w:r w:rsidRPr="005D0156">
              <w:rPr>
                <w:rFonts w:ascii="Calibri" w:eastAsia="Times New Roman" w:hAnsi="Calibri" w:cs="Times New Roman"/>
                <w:b/>
                <w:bCs/>
                <w:sz w:val="20"/>
                <w:szCs w:val="20"/>
                <w:lang w:eastAsia="en-AU"/>
              </w:rPr>
              <w:t>Effects of Commonwealth payments</w:t>
            </w: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152</w:t>
            </w: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79</w:t>
            </w: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-105</w:t>
            </w: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13</w:t>
            </w:r>
          </w:p>
        </w:tc>
        <w:tc>
          <w:tcPr>
            <w:tcW w:w="64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137</w:t>
            </w:r>
          </w:p>
        </w:tc>
        <w:tc>
          <w:tcPr>
            <w:tcW w:w="62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-42</w:t>
            </w:r>
          </w:p>
        </w:tc>
        <w:tc>
          <w:tcPr>
            <w:tcW w:w="62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54</w:t>
            </w:r>
          </w:p>
        </w:tc>
        <w:tc>
          <w:tcPr>
            <w:tcW w:w="620"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-289</w:t>
            </w:r>
          </w:p>
        </w:tc>
        <w:tc>
          <w:tcPr>
            <w:tcW w:w="721" w:type="dxa"/>
            <w:tcBorders>
              <w:top w:val="nil"/>
              <w:left w:val="nil"/>
              <w:bottom w:val="nil"/>
              <w:right w:val="nil"/>
            </w:tcBorders>
            <w:shd w:val="clear" w:color="auto" w:fill="auto"/>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435</w:t>
            </w:r>
          </w:p>
        </w:tc>
      </w:tr>
      <w:tr w:rsidR="005D0156" w:rsidRPr="005D0156" w:rsidTr="005D0156">
        <w:trPr>
          <w:trHeight w:val="315"/>
        </w:trPr>
        <w:tc>
          <w:tcPr>
            <w:tcW w:w="3220" w:type="dxa"/>
            <w:tcBorders>
              <w:top w:val="nil"/>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Total</w:t>
            </w:r>
          </w:p>
        </w:tc>
        <w:tc>
          <w:tcPr>
            <w:tcW w:w="640" w:type="dxa"/>
            <w:tcBorders>
              <w:top w:val="single" w:sz="4" w:space="0" w:color="auto"/>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-1 795</w:t>
            </w:r>
          </w:p>
        </w:tc>
        <w:tc>
          <w:tcPr>
            <w:tcW w:w="640" w:type="dxa"/>
            <w:tcBorders>
              <w:top w:val="single" w:sz="4" w:space="0" w:color="auto"/>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-1 331</w:t>
            </w:r>
          </w:p>
        </w:tc>
        <w:tc>
          <w:tcPr>
            <w:tcW w:w="640" w:type="dxa"/>
            <w:tcBorders>
              <w:top w:val="single" w:sz="4" w:space="0" w:color="auto"/>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2 134</w:t>
            </w:r>
          </w:p>
        </w:tc>
        <w:tc>
          <w:tcPr>
            <w:tcW w:w="640" w:type="dxa"/>
            <w:tcBorders>
              <w:top w:val="single" w:sz="4" w:space="0" w:color="auto"/>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-4 659</w:t>
            </w:r>
          </w:p>
        </w:tc>
        <w:tc>
          <w:tcPr>
            <w:tcW w:w="640" w:type="dxa"/>
            <w:tcBorders>
              <w:top w:val="single" w:sz="4" w:space="0" w:color="auto"/>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1 811</w:t>
            </w:r>
          </w:p>
        </w:tc>
        <w:tc>
          <w:tcPr>
            <w:tcW w:w="620" w:type="dxa"/>
            <w:tcBorders>
              <w:top w:val="single" w:sz="4" w:space="0" w:color="auto"/>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1 009</w:t>
            </w:r>
          </w:p>
        </w:tc>
        <w:tc>
          <w:tcPr>
            <w:tcW w:w="620" w:type="dxa"/>
            <w:tcBorders>
              <w:top w:val="single" w:sz="4" w:space="0" w:color="auto"/>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159</w:t>
            </w:r>
          </w:p>
        </w:tc>
        <w:tc>
          <w:tcPr>
            <w:tcW w:w="620" w:type="dxa"/>
            <w:tcBorders>
              <w:top w:val="single" w:sz="4" w:space="0" w:color="auto"/>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2 670</w:t>
            </w:r>
          </w:p>
        </w:tc>
        <w:tc>
          <w:tcPr>
            <w:tcW w:w="721" w:type="dxa"/>
            <w:tcBorders>
              <w:top w:val="single" w:sz="4" w:space="0" w:color="auto"/>
              <w:left w:val="nil"/>
              <w:bottom w:val="single" w:sz="4" w:space="0" w:color="auto"/>
              <w:right w:val="nil"/>
            </w:tcBorders>
            <w:shd w:val="clear" w:color="auto" w:fill="auto"/>
            <w:noWrap/>
            <w:vAlign w:val="bottom"/>
            <w:hideMark/>
          </w:tcPr>
          <w:p w:rsidR="005D0156" w:rsidRPr="005D0156" w:rsidRDefault="005D0156" w:rsidP="005D0156">
            <w:pPr>
              <w:keepNext/>
              <w:keepLines/>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7 785</w:t>
            </w:r>
          </w:p>
        </w:tc>
      </w:tr>
    </w:tbl>
    <w:p w:rsidR="00C47DB6" w:rsidRPr="00880D3E" w:rsidRDefault="00C47DB6" w:rsidP="00C47DB6">
      <w:pPr>
        <w:pStyle w:val="CGCTableFootnote"/>
      </w:pPr>
      <w:r w:rsidRPr="00880D3E">
        <w:t>Note:</w:t>
      </w:r>
      <w:r w:rsidRPr="00880D3E">
        <w:tab/>
        <w:t xml:space="preserve">For explanations of what each disability factor includes, see the supporting information to this report located on </w:t>
      </w:r>
      <w:r>
        <w:t xml:space="preserve">the </w:t>
      </w:r>
      <w:hyperlink r:id="rId59" w:history="1">
        <w:r w:rsidRPr="00D05F5E">
          <w:rPr>
            <w:rStyle w:val="Hyperlink"/>
          </w:rPr>
          <w:t>Commission’s website</w:t>
        </w:r>
      </w:hyperlink>
      <w:r w:rsidRPr="00880D3E">
        <w:t xml:space="preserve"> </w:t>
      </w:r>
      <w:r w:rsidR="00A96EE0">
        <w:rPr>
          <w:rStyle w:val="CGCTableStubChar"/>
          <w:szCs w:val="24"/>
        </w:rPr>
        <w:t>(</w:t>
      </w:r>
      <w:r w:rsidRPr="00D05F5E">
        <w:t>www.cgc.gov.au</w:t>
      </w:r>
      <w:r w:rsidRPr="00880D3E">
        <w:rPr>
          <w:rStyle w:val="CGCTableStubChar"/>
          <w:szCs w:val="24"/>
        </w:rPr>
        <w:t>).</w:t>
      </w:r>
    </w:p>
    <w:p w:rsidR="00C47DB6" w:rsidRDefault="00C47DB6" w:rsidP="00C47DB6">
      <w:pPr>
        <w:pStyle w:val="CGCTableFootnote"/>
      </w:pPr>
      <w:r w:rsidRPr="00880D3E">
        <w:t xml:space="preserve">Source: </w:t>
      </w:r>
      <w:r w:rsidRPr="00880D3E">
        <w:tab/>
        <w:t>Commission calculation.</w:t>
      </w:r>
    </w:p>
    <w:p w:rsidR="00DB7BF9" w:rsidRDefault="00DB7BF9">
      <w:pPr>
        <w:tabs>
          <w:tab w:val="clear" w:pos="567"/>
        </w:tabs>
        <w:spacing w:after="200" w:line="276" w:lineRule="auto"/>
        <w:rPr>
          <w:rFonts w:eastAsiaTheme="majorEastAsia" w:cstheme="majorBidi"/>
          <w:b/>
          <w:bCs/>
          <w:caps/>
          <w:color w:val="2C8558"/>
          <w:sz w:val="32"/>
        </w:rPr>
      </w:pPr>
      <w:bookmarkStart w:id="541" w:name="_Toc433353492"/>
      <w:bookmarkStart w:id="542" w:name="_Toc441241598"/>
      <w:bookmarkStart w:id="543" w:name="_Toc441499268"/>
      <w:bookmarkStart w:id="544" w:name="_Toc441656031"/>
      <w:r>
        <w:br w:type="page"/>
      </w:r>
    </w:p>
    <w:p w:rsidR="00755C30" w:rsidRDefault="009A6BBD" w:rsidP="00C47DB6">
      <w:pPr>
        <w:pStyle w:val="Heading3"/>
      </w:pPr>
      <w:bookmarkStart w:id="545" w:name="_Toc442191925"/>
      <w:bookmarkStart w:id="546" w:name="_Toc442192179"/>
      <w:bookmarkStart w:id="547" w:name="_Toc442192244"/>
      <w:bookmarkStart w:id="548" w:name="_Toc442772828"/>
      <w:bookmarkStart w:id="549" w:name="_Toc442773057"/>
      <w:bookmarkStart w:id="550" w:name="_Toc442773227"/>
      <w:bookmarkStart w:id="551" w:name="_Toc442773568"/>
      <w:bookmarkStart w:id="552" w:name="_Toc442883294"/>
      <w:bookmarkStart w:id="553" w:name="_Toc442949154"/>
      <w:r>
        <w:lastRenderedPageBreak/>
        <w:t>S</w:t>
      </w:r>
      <w:r w:rsidR="00452FAD">
        <w:t xml:space="preserve">ize of the </w:t>
      </w:r>
      <w:r w:rsidR="00C47DB6">
        <w:t>e</w:t>
      </w:r>
      <w:r w:rsidR="00755C30">
        <w:t>qualisation task</w:t>
      </w:r>
      <w:bookmarkEnd w:id="541"/>
      <w:bookmarkEnd w:id="542"/>
      <w:bookmarkEnd w:id="543"/>
      <w:bookmarkEnd w:id="544"/>
      <w:bookmarkEnd w:id="545"/>
      <w:bookmarkEnd w:id="546"/>
      <w:bookmarkEnd w:id="547"/>
      <w:bookmarkEnd w:id="548"/>
      <w:bookmarkEnd w:id="549"/>
      <w:bookmarkEnd w:id="550"/>
      <w:bookmarkEnd w:id="551"/>
      <w:bookmarkEnd w:id="552"/>
      <w:bookmarkEnd w:id="553"/>
    </w:p>
    <w:p w:rsidR="00C33BC9" w:rsidRDefault="00C33BC9" w:rsidP="00C33BC9">
      <w:pPr>
        <w:pStyle w:val="CGCNumberedPara"/>
      </w:pPr>
      <w:r>
        <w:t xml:space="preserve">States have different fiscal capacities at the beginning of the equalisation process. The distribution of GST revenue both increases and equalises those capacities. The size of the equalisation task is determined by the variation in their initial fiscal capacities. As they diverge, more GST is required to achieve equalisation. </w:t>
      </w:r>
    </w:p>
    <w:p w:rsidR="00C33BC9" w:rsidRDefault="00C33BC9" w:rsidP="00C33BC9">
      <w:pPr>
        <w:pStyle w:val="CGCNumberedPara"/>
      </w:pPr>
      <w:r>
        <w:t>The process of distributing GST revenue can be thought of in either of two ways.</w:t>
      </w:r>
    </w:p>
    <w:p w:rsidR="00C33BC9" w:rsidRDefault="00C33BC9" w:rsidP="00C33BC9">
      <w:pPr>
        <w:pStyle w:val="CGCBulletlist"/>
      </w:pPr>
      <w:r>
        <w:t xml:space="preserve">GST revenue is first distributed on a population basis, raising the fiscal capacity of all States equally. Then there is a redistribution to achieve equalisation </w:t>
      </w:r>
      <w:r w:rsidR="00FB18E3">
        <w:t>–</w:t>
      </w:r>
      <w:r>
        <w:t xml:space="preserve"> from States with above average capacity to those with below average capacity. The size of this redistribution is </w:t>
      </w:r>
      <w:r w:rsidR="00653BDC">
        <w:t>one</w:t>
      </w:r>
      <w:r>
        <w:t xml:space="preserve"> measure of the equalisation task. </w:t>
      </w:r>
    </w:p>
    <w:p w:rsidR="00C33BC9" w:rsidRDefault="00C33BC9" w:rsidP="00C33BC9">
      <w:pPr>
        <w:pStyle w:val="CGCBulletlist"/>
      </w:pPr>
      <w:r>
        <w:t>GST revenue is first distributed to bring the initial fiscal capacities of all States to that of the strongest. The remaining GST is then distributed equally among all States. The GST required to achieve the first step is a</w:t>
      </w:r>
      <w:r w:rsidR="00653BDC">
        <w:t>n alternative</w:t>
      </w:r>
      <w:r>
        <w:t xml:space="preserve"> measure of the equalisation task. </w:t>
      </w:r>
    </w:p>
    <w:p w:rsidR="00C33BC9" w:rsidRDefault="00C33BC9" w:rsidP="00C33BC9">
      <w:pPr>
        <w:pStyle w:val="CGCNumberedPara"/>
      </w:pPr>
      <w:r>
        <w:t xml:space="preserve">These two measures, which can be expressed in dollars </w:t>
      </w:r>
      <w:r w:rsidR="00212D67">
        <w:t xml:space="preserve">or </w:t>
      </w:r>
      <w:r>
        <w:t>as a</w:t>
      </w:r>
      <w:r w:rsidR="00653BDC">
        <w:t xml:space="preserve"> proportion of GST revenue, </w:t>
      </w:r>
      <w:r>
        <w:t xml:space="preserve">highlight different aspects of the equalisation task. The first identifies the aggregate transfer from </w:t>
      </w:r>
      <w:r w:rsidR="009A43DC">
        <w:t xml:space="preserve">an equal per capita distribution for </w:t>
      </w:r>
      <w:r>
        <w:t>States with above average fiscal capacities</w:t>
      </w:r>
      <w:r w:rsidR="009A43DC">
        <w:t xml:space="preserve"> to States with below average fiscal capacities.</w:t>
      </w:r>
      <w:r>
        <w:t xml:space="preserve"> The second identifies the difference between the strongest State and the average of the others. Taken together they </w:t>
      </w:r>
      <w:r w:rsidR="00653BDC">
        <w:t>illustrate</w:t>
      </w:r>
      <w:r>
        <w:t xml:space="preserve"> how the equalisation task is evolving.</w:t>
      </w:r>
    </w:p>
    <w:p w:rsidR="00DB0845" w:rsidRDefault="00653BDC" w:rsidP="00653BDC">
      <w:pPr>
        <w:pStyle w:val="CGCNumberedPara"/>
      </w:pPr>
      <w:r>
        <w:t xml:space="preserve">In relation to the first measure, </w:t>
      </w:r>
      <w:r>
        <w:fldChar w:fldCharType="begin"/>
      </w:r>
      <w:r>
        <w:instrText xml:space="preserve"> REF _Ref432579403 \h </w:instrText>
      </w:r>
      <w:r>
        <w:fldChar w:fldCharType="separate"/>
      </w:r>
      <w:r w:rsidR="007A6AF0">
        <w:t xml:space="preserve">Figure </w:t>
      </w:r>
      <w:r w:rsidR="007A6AF0">
        <w:rPr>
          <w:noProof/>
        </w:rPr>
        <w:t>1</w:t>
      </w:r>
      <w:r w:rsidR="007A6AF0">
        <w:noBreakHyphen/>
      </w:r>
      <w:r w:rsidR="007A6AF0">
        <w:rPr>
          <w:noProof/>
        </w:rPr>
        <w:t>9</w:t>
      </w:r>
      <w:r>
        <w:fldChar w:fldCharType="end"/>
      </w:r>
      <w:r>
        <w:t xml:space="preserve"> shows the proportion of GST redistributed </w:t>
      </w:r>
      <w:r w:rsidR="00212D67">
        <w:t xml:space="preserve">to the States with below average fiscal capacities has increased in recent updates. </w:t>
      </w:r>
      <w:r w:rsidR="00CE1C14">
        <w:t xml:space="preserve">This is mainly due to </w:t>
      </w:r>
      <w:r w:rsidR="00DB0845">
        <w:t>the deterioration in Queensland’s assessed fiscal capacity since 2013</w:t>
      </w:r>
      <w:r w:rsidR="00DB0845">
        <w:noBreakHyphen/>
        <w:t xml:space="preserve">14. </w:t>
      </w:r>
      <w:r w:rsidR="00CE1C14">
        <w:t xml:space="preserve">In this update, </w:t>
      </w:r>
      <w:r w:rsidR="00BE2DF6">
        <w:t>12.</w:t>
      </w:r>
      <w:r w:rsidR="00CF0C1F">
        <w:t>8</w:t>
      </w:r>
      <w:r w:rsidR="00BE2DF6">
        <w:t>%</w:t>
      </w:r>
      <w:r w:rsidR="00CE1C14">
        <w:t xml:space="preserve"> of the GST pool is redistributed </w:t>
      </w:r>
      <w:r w:rsidR="00DB0845">
        <w:t xml:space="preserve">to the four less populous States and Queensland </w:t>
      </w:r>
      <w:r w:rsidR="00CE1C14">
        <w:t>to achieve fiscal equalisation.</w:t>
      </w:r>
      <w:r w:rsidR="00DB0845">
        <w:t xml:space="preserve"> </w:t>
      </w:r>
    </w:p>
    <w:p w:rsidR="00653BDC" w:rsidRDefault="00F8212F" w:rsidP="00653BDC">
      <w:pPr>
        <w:pStyle w:val="CGCNumberedPara"/>
      </w:pPr>
      <w:r>
        <w:t>In 2016</w:t>
      </w:r>
      <w:r>
        <w:noBreakHyphen/>
        <w:t>17, t</w:t>
      </w:r>
      <w:r w:rsidR="00DB0845">
        <w:t xml:space="preserve">he redistribution to the four less populous States accounts for about three quarters of the redistribution shown in </w:t>
      </w:r>
      <w:r w:rsidR="00DB0845">
        <w:fldChar w:fldCharType="begin"/>
      </w:r>
      <w:r w:rsidR="00DB0845">
        <w:instrText xml:space="preserve"> REF _Ref432579403 \h </w:instrText>
      </w:r>
      <w:r w:rsidR="00DB0845">
        <w:fldChar w:fldCharType="separate"/>
      </w:r>
      <w:r w:rsidR="007A6AF0">
        <w:t xml:space="preserve">Figure </w:t>
      </w:r>
      <w:r w:rsidR="007A6AF0">
        <w:rPr>
          <w:noProof/>
        </w:rPr>
        <w:t>1</w:t>
      </w:r>
      <w:r w:rsidR="007A6AF0">
        <w:noBreakHyphen/>
      </w:r>
      <w:r w:rsidR="007A6AF0">
        <w:rPr>
          <w:noProof/>
        </w:rPr>
        <w:t>9</w:t>
      </w:r>
      <w:r w:rsidR="00DB0845">
        <w:fldChar w:fldCharType="end"/>
      </w:r>
      <w:r w:rsidR="00DB0845">
        <w:t xml:space="preserve">. These States have </w:t>
      </w:r>
      <w:r w:rsidR="00653BDC">
        <w:t>about 12% of Australia’s population and receive about 2</w:t>
      </w:r>
      <w:r w:rsidR="0054601A">
        <w:t>1</w:t>
      </w:r>
      <w:r w:rsidR="00653BDC">
        <w:t>% of the GST</w:t>
      </w:r>
      <w:r w:rsidR="00DB0845">
        <w:t xml:space="preserve"> which is slightly higher than the long</w:t>
      </w:r>
      <w:r>
        <w:noBreakHyphen/>
      </w:r>
      <w:r w:rsidR="00DB0845">
        <w:t>term average proportion of 2</w:t>
      </w:r>
      <w:r w:rsidR="002D28C9">
        <w:t>0</w:t>
      </w:r>
      <w:r w:rsidR="00DB0845">
        <w:t>%.</w:t>
      </w:r>
      <w:r w:rsidR="00653BDC">
        <w:t xml:space="preserve"> </w:t>
      </w:r>
      <w:r>
        <w:t xml:space="preserve">The redistribution to these States </w:t>
      </w:r>
      <w:r w:rsidR="00653BDC">
        <w:t>is mostly the</w:t>
      </w:r>
      <w:r w:rsidR="00212D67">
        <w:t xml:space="preserve"> result of weaker revenue bases</w:t>
      </w:r>
      <w:r w:rsidR="00653BDC">
        <w:t xml:space="preserve"> and higher cost of services.</w:t>
      </w:r>
      <w:r w:rsidR="00CE1C14">
        <w:t xml:space="preserve"> </w:t>
      </w:r>
    </w:p>
    <w:p w:rsidR="00AA46DC" w:rsidRDefault="007E792C" w:rsidP="00653BDC">
      <w:pPr>
        <w:pStyle w:val="CGCNumberedPara"/>
      </w:pPr>
      <w:r>
        <w:fldChar w:fldCharType="begin"/>
      </w:r>
      <w:r>
        <w:instrText xml:space="preserve"> REF _Ref441141254 \h </w:instrText>
      </w:r>
      <w:r>
        <w:fldChar w:fldCharType="separate"/>
      </w:r>
      <w:r w:rsidR="007A6AF0">
        <w:t xml:space="preserve">Figure </w:t>
      </w:r>
      <w:r w:rsidR="007A6AF0">
        <w:rPr>
          <w:noProof/>
        </w:rPr>
        <w:t>1</w:t>
      </w:r>
      <w:r w:rsidR="007A6AF0">
        <w:noBreakHyphen/>
      </w:r>
      <w:r w:rsidR="007A6AF0">
        <w:rPr>
          <w:noProof/>
        </w:rPr>
        <w:t>10</w:t>
      </w:r>
      <w:r>
        <w:fldChar w:fldCharType="end"/>
      </w:r>
      <w:r>
        <w:t xml:space="preserve"> </w:t>
      </w:r>
      <w:r w:rsidR="00AA46DC">
        <w:t xml:space="preserve">shows </w:t>
      </w:r>
      <w:r>
        <w:t xml:space="preserve">the </w:t>
      </w:r>
      <w:r w:rsidR="00C46CD1">
        <w:t xml:space="preserve">contribution of States with above average fiscal capacities to the redistribution. As Western Australia’s assessed fiscal capacity has </w:t>
      </w:r>
      <w:r>
        <w:t xml:space="preserve">strengthened, </w:t>
      </w:r>
      <w:r w:rsidR="00C46CD1">
        <w:t>the size of the redistribution</w:t>
      </w:r>
      <w:r>
        <w:t>, along with Western Australia’s contribution to it,</w:t>
      </w:r>
      <w:r w:rsidR="00C46CD1">
        <w:t xml:space="preserve"> has increased.</w:t>
      </w:r>
    </w:p>
    <w:p w:rsidR="00452FAD" w:rsidRDefault="00452FAD" w:rsidP="00452FAD">
      <w:pPr>
        <w:pStyle w:val="Caption"/>
      </w:pPr>
      <w:bookmarkStart w:id="554" w:name="_Ref432579403"/>
      <w:r>
        <w:lastRenderedPageBreak/>
        <w:t xml:space="preserve">Figure </w:t>
      </w:r>
      <w:r w:rsidR="0014378B">
        <w:fldChar w:fldCharType="begin"/>
      </w:r>
      <w:r w:rsidR="0014378B">
        <w:instrText xml:space="preserve"> STYLEREF 1 \s </w:instrText>
      </w:r>
      <w:r w:rsidR="0014378B">
        <w:fldChar w:fldCharType="separate"/>
      </w:r>
      <w:r w:rsidR="007A6AF0">
        <w:rPr>
          <w:noProof/>
        </w:rPr>
        <w:t>1</w:t>
      </w:r>
      <w:r w:rsidR="0014378B">
        <w:rPr>
          <w:noProof/>
        </w:rPr>
        <w:fldChar w:fldCharType="end"/>
      </w:r>
      <w:r>
        <w:noBreakHyphen/>
      </w:r>
      <w:r w:rsidR="0014378B">
        <w:fldChar w:fldCharType="begin"/>
      </w:r>
      <w:r w:rsidR="0014378B">
        <w:instrText xml:space="preserve"> SEQ Figure \* ARABIC \s 1 </w:instrText>
      </w:r>
      <w:r w:rsidR="0014378B">
        <w:fldChar w:fldCharType="separate"/>
      </w:r>
      <w:r w:rsidR="007A6AF0">
        <w:rPr>
          <w:noProof/>
        </w:rPr>
        <w:t>9</w:t>
      </w:r>
      <w:r w:rsidR="0014378B">
        <w:rPr>
          <w:noProof/>
        </w:rPr>
        <w:fldChar w:fldCharType="end"/>
      </w:r>
      <w:bookmarkEnd w:id="554"/>
      <w:r>
        <w:rPr>
          <w:noProof/>
        </w:rPr>
        <w:tab/>
      </w:r>
      <w:r w:rsidRPr="00452FAD">
        <w:rPr>
          <w:noProof/>
        </w:rPr>
        <w:t>Proportion of the GST redistributed to States with below average fiscal capacities, 2000</w:t>
      </w:r>
      <w:r>
        <w:rPr>
          <w:noProof/>
        </w:rPr>
        <w:noBreakHyphen/>
        <w:t>01 to 201</w:t>
      </w:r>
      <w:r w:rsidR="00EB01B0">
        <w:rPr>
          <w:noProof/>
        </w:rPr>
        <w:t>6</w:t>
      </w:r>
      <w:r>
        <w:rPr>
          <w:noProof/>
        </w:rPr>
        <w:noBreakHyphen/>
      </w:r>
      <w:r w:rsidRPr="00452FAD">
        <w:rPr>
          <w:noProof/>
        </w:rPr>
        <w:t>1</w:t>
      </w:r>
      <w:r w:rsidR="00EB01B0">
        <w:rPr>
          <w:noProof/>
        </w:rPr>
        <w:t>7</w:t>
      </w:r>
    </w:p>
    <w:p w:rsidR="00452FAD" w:rsidRDefault="00A96EE0" w:rsidP="00AD1A03">
      <w:r w:rsidRPr="00A96EE0">
        <w:rPr>
          <w:noProof/>
          <w:lang w:eastAsia="en-AU"/>
        </w:rPr>
        <w:drawing>
          <wp:inline distT="0" distB="0" distL="0" distR="0" wp14:anchorId="5A0B5C88" wp14:editId="00E9C4FF">
            <wp:extent cx="5662295" cy="3528695"/>
            <wp:effectExtent l="0" t="0" r="0" b="0"/>
            <wp:docPr id="4" name="Picture 4" descr="This fgure shows the proportion fo GST redistributed to the States with below average fiscal capacities since 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62295" cy="3528695"/>
                    </a:xfrm>
                    <a:prstGeom prst="rect">
                      <a:avLst/>
                    </a:prstGeom>
                    <a:noFill/>
                    <a:ln>
                      <a:noFill/>
                    </a:ln>
                  </pic:spPr>
                </pic:pic>
              </a:graphicData>
            </a:graphic>
          </wp:inline>
        </w:drawing>
      </w:r>
    </w:p>
    <w:p w:rsidR="00C33BC9" w:rsidRDefault="00C33BC9" w:rsidP="00C33BC9">
      <w:pPr>
        <w:pStyle w:val="CGCTableFootnote"/>
      </w:pPr>
      <w:r>
        <w:t>Source:</w:t>
      </w:r>
      <w:r>
        <w:tab/>
        <w:t>Commission calculation.</w:t>
      </w:r>
    </w:p>
    <w:p w:rsidR="00AA46DC" w:rsidRDefault="00AA46DC" w:rsidP="00C46CD1">
      <w:pPr>
        <w:pStyle w:val="Caption"/>
      </w:pPr>
      <w:bookmarkStart w:id="555" w:name="_Ref441141254"/>
      <w:r>
        <w:t xml:space="preserve">Figure </w:t>
      </w:r>
      <w:r w:rsidR="0014378B">
        <w:fldChar w:fldCharType="begin"/>
      </w:r>
      <w:r w:rsidR="0014378B">
        <w:instrText xml:space="preserve"> STYLEREF 1 \s </w:instrText>
      </w:r>
      <w:r w:rsidR="0014378B">
        <w:fldChar w:fldCharType="separate"/>
      </w:r>
      <w:r w:rsidR="007A6AF0">
        <w:rPr>
          <w:noProof/>
        </w:rPr>
        <w:t>1</w:t>
      </w:r>
      <w:r w:rsidR="0014378B">
        <w:rPr>
          <w:noProof/>
        </w:rPr>
        <w:fldChar w:fldCharType="end"/>
      </w:r>
      <w:r>
        <w:noBreakHyphen/>
      </w:r>
      <w:r w:rsidR="0014378B">
        <w:fldChar w:fldCharType="begin"/>
      </w:r>
      <w:r w:rsidR="0014378B">
        <w:instrText xml:space="preserve"> SEQ Figure \* ARABIC \s 1 </w:instrText>
      </w:r>
      <w:r w:rsidR="0014378B">
        <w:fldChar w:fldCharType="separate"/>
      </w:r>
      <w:r w:rsidR="007A6AF0">
        <w:rPr>
          <w:noProof/>
        </w:rPr>
        <w:t>10</w:t>
      </w:r>
      <w:r w:rsidR="0014378B">
        <w:rPr>
          <w:noProof/>
        </w:rPr>
        <w:fldChar w:fldCharType="end"/>
      </w:r>
      <w:bookmarkEnd w:id="555"/>
      <w:r>
        <w:tab/>
      </w:r>
      <w:r w:rsidRPr="00452FAD">
        <w:t xml:space="preserve">Proportion of the GST redistributed </w:t>
      </w:r>
      <w:r w:rsidR="00B7236A">
        <w:t>from</w:t>
      </w:r>
      <w:r w:rsidRPr="00452FAD">
        <w:t xml:space="preserve"> States with </w:t>
      </w:r>
      <w:r>
        <w:t>above</w:t>
      </w:r>
      <w:r w:rsidRPr="00452FAD">
        <w:t xml:space="preserve"> average fiscal capacities, 2000</w:t>
      </w:r>
      <w:r>
        <w:noBreakHyphen/>
        <w:t>01 to 2016</w:t>
      </w:r>
      <w:r>
        <w:noBreakHyphen/>
      </w:r>
      <w:r w:rsidRPr="00452FAD">
        <w:t>1</w:t>
      </w:r>
      <w:r>
        <w:t>7</w:t>
      </w:r>
    </w:p>
    <w:p w:rsidR="00AA46DC" w:rsidRDefault="00A96EE0" w:rsidP="00AD1A03">
      <w:pPr>
        <w:keepNext/>
      </w:pPr>
      <w:r w:rsidRPr="00A96EE0">
        <w:rPr>
          <w:noProof/>
          <w:lang w:eastAsia="en-AU"/>
        </w:rPr>
        <w:drawing>
          <wp:inline distT="0" distB="0" distL="0" distR="0" wp14:anchorId="23371A38" wp14:editId="13F596F0">
            <wp:extent cx="5662295" cy="3528695"/>
            <wp:effectExtent l="0" t="0" r="0" b="0"/>
            <wp:docPr id="5" name="Picture 5" descr="This figure shows the contribution of States with above average fiscal capacities to the redistribution since 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62295" cy="3528695"/>
                    </a:xfrm>
                    <a:prstGeom prst="rect">
                      <a:avLst/>
                    </a:prstGeom>
                    <a:noFill/>
                    <a:ln>
                      <a:noFill/>
                    </a:ln>
                  </pic:spPr>
                </pic:pic>
              </a:graphicData>
            </a:graphic>
          </wp:inline>
        </w:drawing>
      </w:r>
    </w:p>
    <w:p w:rsidR="00C46CD1" w:rsidRPr="00C46CD1" w:rsidRDefault="00C46CD1" w:rsidP="00C46CD1">
      <w:pPr>
        <w:pStyle w:val="CGCTableFootnote"/>
      </w:pPr>
      <w:r w:rsidRPr="00C46CD1">
        <w:t>Source:</w:t>
      </w:r>
      <w:r w:rsidRPr="00C46CD1">
        <w:tab/>
        <w:t>Commission calculation.</w:t>
      </w:r>
    </w:p>
    <w:p w:rsidR="00561035" w:rsidRDefault="00653BDC" w:rsidP="00653BDC">
      <w:pPr>
        <w:pStyle w:val="CGCNumberedPara"/>
      </w:pPr>
      <w:r>
        <w:lastRenderedPageBreak/>
        <w:t>Considering the second measure reveals a different aspect of the equalisation task.</w:t>
      </w:r>
      <w:r w:rsidR="00AB2DEA">
        <w:t xml:space="preserve"> </w:t>
      </w:r>
      <w:r w:rsidR="00AB2DEA">
        <w:fldChar w:fldCharType="begin"/>
      </w:r>
      <w:r w:rsidR="00AB2DEA">
        <w:instrText xml:space="preserve"> REF _Ref432584149 \h </w:instrText>
      </w:r>
      <w:r w:rsidR="00AB2DEA">
        <w:fldChar w:fldCharType="separate"/>
      </w:r>
      <w:r w:rsidR="007A6AF0">
        <w:t xml:space="preserve">Table </w:t>
      </w:r>
      <w:r w:rsidR="007A6AF0">
        <w:rPr>
          <w:noProof/>
        </w:rPr>
        <w:t>1</w:t>
      </w:r>
      <w:r w:rsidR="007A6AF0">
        <w:noBreakHyphen/>
      </w:r>
      <w:r w:rsidR="007A6AF0">
        <w:rPr>
          <w:noProof/>
        </w:rPr>
        <w:t>10</w:t>
      </w:r>
      <w:r w:rsidR="00AB2DEA">
        <w:fldChar w:fldCharType="end"/>
      </w:r>
      <w:r w:rsidR="00AB2DEA">
        <w:t xml:space="preserve"> shows the size of the equalisation </w:t>
      </w:r>
      <w:r w:rsidR="00C46CD1">
        <w:t>requirement</w:t>
      </w:r>
      <w:r w:rsidR="00AB2DEA">
        <w:t xml:space="preserve"> in 201</w:t>
      </w:r>
      <w:r w:rsidR="007B5BCA">
        <w:t>6</w:t>
      </w:r>
      <w:r w:rsidR="00AB2DEA">
        <w:t>-1</w:t>
      </w:r>
      <w:r w:rsidR="007B5BCA">
        <w:t>7</w:t>
      </w:r>
      <w:r w:rsidR="00AB2DEA">
        <w:t xml:space="preserve">. </w:t>
      </w:r>
      <w:r w:rsidR="00F8212F">
        <w:t>A</w:t>
      </w:r>
      <w:r w:rsidR="001A7C41">
        <w:t>ll States ex</w:t>
      </w:r>
      <w:r w:rsidR="00BD069F">
        <w:t>cept</w:t>
      </w:r>
      <w:r w:rsidR="001A7C41">
        <w:t xml:space="preserve"> Western Australia require different per capita amounts of GST to achieve the same fiscal capacity as Western Australia, the State with the strongest fiscal capacity. The remainder of the GST revenue is share</w:t>
      </w:r>
      <w:r w:rsidR="00AB2DEA">
        <w:t>d</w:t>
      </w:r>
      <w:r w:rsidR="001A7C41">
        <w:t xml:space="preserve"> </w:t>
      </w:r>
      <w:r w:rsidR="00AB2DEA">
        <w:t xml:space="preserve">equally </w:t>
      </w:r>
      <w:r w:rsidR="001A7C41">
        <w:t>among</w:t>
      </w:r>
      <w:r w:rsidR="00AB2DEA">
        <w:t>st</w:t>
      </w:r>
      <w:r w:rsidR="001A7C41">
        <w:t xml:space="preserve"> all States, including Western Australia</w:t>
      </w:r>
      <w:r w:rsidR="007B5BCA">
        <w:t>.</w:t>
      </w:r>
      <w:r w:rsidR="00EC209B">
        <w:t xml:space="preserve"> In 2016</w:t>
      </w:r>
      <w:r w:rsidR="00EC209B">
        <w:noBreakHyphen/>
        <w:t>17, about 70% of the GST revenue was needed for all States to achieve the same fiscal capacity as Western Australia</w:t>
      </w:r>
      <w:r w:rsidR="00B40A87">
        <w:t>.</w:t>
      </w:r>
    </w:p>
    <w:p w:rsidR="001A7C41" w:rsidRDefault="001A7C41" w:rsidP="00C178B2">
      <w:pPr>
        <w:pStyle w:val="CGCTableHeading"/>
      </w:pPr>
      <w:bookmarkStart w:id="556" w:name="_Ref432584149"/>
      <w:r>
        <w:t xml:space="preserve">Table </w:t>
      </w:r>
      <w:r w:rsidR="0014378B">
        <w:fldChar w:fldCharType="begin"/>
      </w:r>
      <w:r w:rsidR="0014378B">
        <w:instrText xml:space="preserve"> STYLEREF 1 \s </w:instrText>
      </w:r>
      <w:r w:rsidR="0014378B">
        <w:fldChar w:fldCharType="separate"/>
      </w:r>
      <w:r w:rsidR="007A6AF0">
        <w:rPr>
          <w:noProof/>
        </w:rPr>
        <w:t>1</w:t>
      </w:r>
      <w:r w:rsidR="0014378B">
        <w:rPr>
          <w:noProof/>
        </w:rPr>
        <w:fldChar w:fldCharType="end"/>
      </w:r>
      <w:r>
        <w:noBreakHyphen/>
      </w:r>
      <w:r w:rsidR="0014378B">
        <w:fldChar w:fldCharType="begin"/>
      </w:r>
      <w:r w:rsidR="0014378B">
        <w:instrText xml:space="preserve"> SEQ Table \* ARABIC \s 1 </w:instrText>
      </w:r>
      <w:r w:rsidR="0014378B">
        <w:fldChar w:fldCharType="separate"/>
      </w:r>
      <w:r w:rsidR="007A6AF0">
        <w:rPr>
          <w:noProof/>
        </w:rPr>
        <w:t>10</w:t>
      </w:r>
      <w:r w:rsidR="0014378B">
        <w:rPr>
          <w:noProof/>
        </w:rPr>
        <w:fldChar w:fldCharType="end"/>
      </w:r>
      <w:bookmarkEnd w:id="556"/>
      <w:r>
        <w:tab/>
        <w:t>Illustrative distribution of GST</w:t>
      </w:r>
      <w:r w:rsidR="00C46CD1">
        <w:t>, 2016</w:t>
      </w:r>
      <w:r w:rsidR="00C46CD1">
        <w:noBreakHyphen/>
        <w:t>17</w:t>
      </w:r>
    </w:p>
    <w:tbl>
      <w:tblPr>
        <w:tblW w:w="8940" w:type="dxa"/>
        <w:tblInd w:w="93" w:type="dxa"/>
        <w:tblLook w:val="04A0" w:firstRow="1" w:lastRow="0" w:firstColumn="1" w:lastColumn="0" w:noHBand="0" w:noVBand="1"/>
      </w:tblPr>
      <w:tblGrid>
        <w:gridCol w:w="2380"/>
        <w:gridCol w:w="720"/>
        <w:gridCol w:w="720"/>
        <w:gridCol w:w="720"/>
        <w:gridCol w:w="720"/>
        <w:gridCol w:w="720"/>
        <w:gridCol w:w="720"/>
        <w:gridCol w:w="720"/>
        <w:gridCol w:w="800"/>
        <w:gridCol w:w="720"/>
      </w:tblGrid>
      <w:tr w:rsidR="005D0156" w:rsidRPr="005D0156" w:rsidTr="005D0156">
        <w:trPr>
          <w:trHeight w:val="379"/>
        </w:trPr>
        <w:tc>
          <w:tcPr>
            <w:tcW w:w="238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 </w:t>
            </w:r>
          </w:p>
        </w:tc>
        <w:tc>
          <w:tcPr>
            <w:tcW w:w="72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NSW</w:t>
            </w:r>
          </w:p>
        </w:tc>
        <w:tc>
          <w:tcPr>
            <w:tcW w:w="72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Vic</w:t>
            </w:r>
          </w:p>
        </w:tc>
        <w:tc>
          <w:tcPr>
            <w:tcW w:w="72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Qld</w:t>
            </w:r>
          </w:p>
        </w:tc>
        <w:tc>
          <w:tcPr>
            <w:tcW w:w="72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WA</w:t>
            </w:r>
          </w:p>
        </w:tc>
        <w:tc>
          <w:tcPr>
            <w:tcW w:w="72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SA</w:t>
            </w:r>
          </w:p>
        </w:tc>
        <w:tc>
          <w:tcPr>
            <w:tcW w:w="72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Tas</w:t>
            </w:r>
          </w:p>
        </w:tc>
        <w:tc>
          <w:tcPr>
            <w:tcW w:w="72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ACT</w:t>
            </w:r>
          </w:p>
        </w:tc>
        <w:tc>
          <w:tcPr>
            <w:tcW w:w="80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NT</w:t>
            </w:r>
          </w:p>
        </w:tc>
        <w:tc>
          <w:tcPr>
            <w:tcW w:w="720" w:type="dxa"/>
            <w:tcBorders>
              <w:top w:val="single" w:sz="4" w:space="0" w:color="auto"/>
              <w:left w:val="nil"/>
              <w:bottom w:val="single" w:sz="4" w:space="0" w:color="auto"/>
              <w:right w:val="nil"/>
            </w:tcBorders>
            <w:shd w:val="clear" w:color="auto" w:fill="auto"/>
            <w:noWrap/>
            <w:vAlign w:val="center"/>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Ave</w:t>
            </w:r>
          </w:p>
        </w:tc>
      </w:tr>
      <w:tr w:rsidR="005D0156" w:rsidRPr="005D0156" w:rsidTr="005D0156">
        <w:trPr>
          <w:trHeight w:val="259"/>
        </w:trPr>
        <w:tc>
          <w:tcPr>
            <w:tcW w:w="23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$pc</w:t>
            </w:r>
          </w:p>
        </w:tc>
        <w:tc>
          <w:tcPr>
            <w:tcW w:w="72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$pc</w:t>
            </w:r>
          </w:p>
        </w:tc>
        <w:tc>
          <w:tcPr>
            <w:tcW w:w="72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$pc</w:t>
            </w:r>
          </w:p>
        </w:tc>
        <w:tc>
          <w:tcPr>
            <w:tcW w:w="72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$pc</w:t>
            </w:r>
          </w:p>
        </w:tc>
        <w:tc>
          <w:tcPr>
            <w:tcW w:w="72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$pc</w:t>
            </w:r>
          </w:p>
        </w:tc>
        <w:tc>
          <w:tcPr>
            <w:tcW w:w="72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$pc</w:t>
            </w:r>
          </w:p>
        </w:tc>
        <w:tc>
          <w:tcPr>
            <w:tcW w:w="72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$pc</w:t>
            </w:r>
          </w:p>
        </w:tc>
        <w:tc>
          <w:tcPr>
            <w:tcW w:w="80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$pc</w:t>
            </w:r>
          </w:p>
        </w:tc>
        <w:tc>
          <w:tcPr>
            <w:tcW w:w="72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$pc</w:t>
            </w:r>
          </w:p>
        </w:tc>
      </w:tr>
      <w:tr w:rsidR="005D0156" w:rsidRPr="005D0156" w:rsidTr="005D0156">
        <w:trPr>
          <w:trHeight w:val="315"/>
        </w:trPr>
        <w:tc>
          <w:tcPr>
            <w:tcW w:w="238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Equal per capita</w:t>
            </w:r>
          </w:p>
        </w:tc>
        <w:tc>
          <w:tcPr>
            <w:tcW w:w="72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759</w:t>
            </w:r>
          </w:p>
        </w:tc>
        <w:tc>
          <w:tcPr>
            <w:tcW w:w="72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759</w:t>
            </w:r>
          </w:p>
        </w:tc>
        <w:tc>
          <w:tcPr>
            <w:tcW w:w="72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759</w:t>
            </w:r>
          </w:p>
        </w:tc>
        <w:tc>
          <w:tcPr>
            <w:tcW w:w="72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759</w:t>
            </w:r>
          </w:p>
        </w:tc>
        <w:tc>
          <w:tcPr>
            <w:tcW w:w="72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759</w:t>
            </w:r>
          </w:p>
        </w:tc>
        <w:tc>
          <w:tcPr>
            <w:tcW w:w="72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759</w:t>
            </w:r>
          </w:p>
        </w:tc>
        <w:tc>
          <w:tcPr>
            <w:tcW w:w="72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759</w:t>
            </w:r>
          </w:p>
        </w:tc>
        <w:tc>
          <w:tcPr>
            <w:tcW w:w="80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759</w:t>
            </w:r>
          </w:p>
        </w:tc>
        <w:tc>
          <w:tcPr>
            <w:tcW w:w="720" w:type="dxa"/>
            <w:tcBorders>
              <w:top w:val="nil"/>
              <w:left w:val="nil"/>
              <w:bottom w:val="nil"/>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759</w:t>
            </w:r>
          </w:p>
        </w:tc>
      </w:tr>
      <w:tr w:rsidR="005D0156" w:rsidRPr="005D0156" w:rsidTr="005D0156">
        <w:trPr>
          <w:trHeight w:val="315"/>
        </w:trPr>
        <w:tc>
          <w:tcPr>
            <w:tcW w:w="2380" w:type="dxa"/>
            <w:tcBorders>
              <w:top w:val="nil"/>
              <w:left w:val="nil"/>
              <w:bottom w:val="nil"/>
              <w:right w:val="nil"/>
            </w:tcBorders>
            <w:shd w:val="clear" w:color="auto" w:fill="auto"/>
            <w:vAlign w:val="bottom"/>
            <w:hideMark/>
          </w:tcPr>
          <w:p w:rsidR="005D0156" w:rsidRPr="005D0156" w:rsidRDefault="005D0156" w:rsidP="005D0156">
            <w:pPr>
              <w:tabs>
                <w:tab w:val="clear" w:pos="567"/>
              </w:tabs>
              <w:spacing w:after="0" w:line="240" w:lineRule="auto"/>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Equalisation requirement</w:t>
            </w:r>
          </w:p>
        </w:tc>
        <w:tc>
          <w:tcPr>
            <w:tcW w:w="720" w:type="dxa"/>
            <w:tcBorders>
              <w:top w:val="nil"/>
              <w:left w:val="nil"/>
              <w:bottom w:val="nil"/>
              <w:right w:val="nil"/>
            </w:tcBorders>
            <w:shd w:val="clear" w:color="auto" w:fill="auto"/>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1 505</w:t>
            </w:r>
          </w:p>
        </w:tc>
        <w:tc>
          <w:tcPr>
            <w:tcW w:w="720" w:type="dxa"/>
            <w:tcBorders>
              <w:top w:val="nil"/>
              <w:left w:val="nil"/>
              <w:bottom w:val="nil"/>
              <w:right w:val="nil"/>
            </w:tcBorders>
            <w:shd w:val="clear" w:color="auto" w:fill="auto"/>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1 518</w:t>
            </w:r>
          </w:p>
        </w:tc>
        <w:tc>
          <w:tcPr>
            <w:tcW w:w="720" w:type="dxa"/>
            <w:tcBorders>
              <w:top w:val="nil"/>
              <w:left w:val="nil"/>
              <w:bottom w:val="nil"/>
              <w:right w:val="nil"/>
            </w:tcBorders>
            <w:shd w:val="clear" w:color="auto" w:fill="auto"/>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2 172</w:t>
            </w:r>
          </w:p>
        </w:tc>
        <w:tc>
          <w:tcPr>
            <w:tcW w:w="720" w:type="dxa"/>
            <w:tcBorders>
              <w:top w:val="nil"/>
              <w:left w:val="nil"/>
              <w:bottom w:val="nil"/>
              <w:right w:val="nil"/>
            </w:tcBorders>
            <w:shd w:val="clear" w:color="auto" w:fill="auto"/>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0</w:t>
            </w:r>
          </w:p>
        </w:tc>
        <w:tc>
          <w:tcPr>
            <w:tcW w:w="720" w:type="dxa"/>
            <w:tcBorders>
              <w:top w:val="nil"/>
              <w:left w:val="nil"/>
              <w:bottom w:val="nil"/>
              <w:right w:val="nil"/>
            </w:tcBorders>
            <w:shd w:val="clear" w:color="auto" w:fill="auto"/>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2 788</w:t>
            </w:r>
          </w:p>
        </w:tc>
        <w:tc>
          <w:tcPr>
            <w:tcW w:w="720" w:type="dxa"/>
            <w:tcBorders>
              <w:top w:val="nil"/>
              <w:left w:val="nil"/>
              <w:bottom w:val="nil"/>
              <w:right w:val="nil"/>
            </w:tcBorders>
            <w:shd w:val="clear" w:color="auto" w:fill="auto"/>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3 689</w:t>
            </w:r>
          </w:p>
        </w:tc>
        <w:tc>
          <w:tcPr>
            <w:tcW w:w="720" w:type="dxa"/>
            <w:tcBorders>
              <w:top w:val="nil"/>
              <w:left w:val="nil"/>
              <w:bottom w:val="nil"/>
              <w:right w:val="nil"/>
            </w:tcBorders>
            <w:shd w:val="clear" w:color="auto" w:fill="auto"/>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2 136</w:t>
            </w:r>
          </w:p>
        </w:tc>
        <w:tc>
          <w:tcPr>
            <w:tcW w:w="800" w:type="dxa"/>
            <w:tcBorders>
              <w:top w:val="nil"/>
              <w:left w:val="nil"/>
              <w:bottom w:val="nil"/>
              <w:right w:val="nil"/>
            </w:tcBorders>
            <w:shd w:val="clear" w:color="auto" w:fill="auto"/>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12 470</w:t>
            </w:r>
          </w:p>
        </w:tc>
        <w:tc>
          <w:tcPr>
            <w:tcW w:w="720" w:type="dxa"/>
            <w:tcBorders>
              <w:top w:val="nil"/>
              <w:left w:val="nil"/>
              <w:bottom w:val="nil"/>
              <w:right w:val="nil"/>
            </w:tcBorders>
            <w:shd w:val="clear" w:color="auto" w:fill="auto"/>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1 736</w:t>
            </w:r>
          </w:p>
        </w:tc>
      </w:tr>
      <w:tr w:rsidR="005D0156" w:rsidRPr="005D0156" w:rsidTr="005D0156">
        <w:trPr>
          <w:trHeight w:val="315"/>
        </w:trPr>
        <w:tc>
          <w:tcPr>
            <w:tcW w:w="238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Per capita allocation</w:t>
            </w:r>
          </w:p>
        </w:tc>
        <w:tc>
          <w:tcPr>
            <w:tcW w:w="72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2 265</w:t>
            </w:r>
          </w:p>
        </w:tc>
        <w:tc>
          <w:tcPr>
            <w:tcW w:w="72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2 277</w:t>
            </w:r>
          </w:p>
        </w:tc>
        <w:tc>
          <w:tcPr>
            <w:tcW w:w="72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2 932</w:t>
            </w:r>
          </w:p>
        </w:tc>
        <w:tc>
          <w:tcPr>
            <w:tcW w:w="72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759</w:t>
            </w:r>
          </w:p>
        </w:tc>
        <w:tc>
          <w:tcPr>
            <w:tcW w:w="72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3 547</w:t>
            </w:r>
          </w:p>
        </w:tc>
        <w:tc>
          <w:tcPr>
            <w:tcW w:w="72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4 448</w:t>
            </w:r>
          </w:p>
        </w:tc>
        <w:tc>
          <w:tcPr>
            <w:tcW w:w="72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2 895</w:t>
            </w:r>
          </w:p>
        </w:tc>
        <w:tc>
          <w:tcPr>
            <w:tcW w:w="80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13 229</w:t>
            </w:r>
          </w:p>
        </w:tc>
        <w:tc>
          <w:tcPr>
            <w:tcW w:w="720" w:type="dxa"/>
            <w:tcBorders>
              <w:top w:val="nil"/>
              <w:left w:val="nil"/>
              <w:bottom w:val="single" w:sz="4" w:space="0" w:color="auto"/>
              <w:right w:val="nil"/>
            </w:tcBorders>
            <w:shd w:val="clear" w:color="auto" w:fill="auto"/>
            <w:noWrap/>
            <w:vAlign w:val="bottom"/>
            <w:hideMark/>
          </w:tcPr>
          <w:p w:rsidR="005D0156" w:rsidRPr="005D0156" w:rsidRDefault="005D0156" w:rsidP="005D0156">
            <w:pPr>
              <w:tabs>
                <w:tab w:val="clear" w:pos="567"/>
              </w:tabs>
              <w:spacing w:after="0" w:line="240" w:lineRule="auto"/>
              <w:jc w:val="right"/>
              <w:rPr>
                <w:rFonts w:ascii="Calibri" w:eastAsia="Times New Roman" w:hAnsi="Calibri" w:cs="Times New Roman"/>
                <w:sz w:val="20"/>
                <w:szCs w:val="20"/>
                <w:lang w:eastAsia="en-AU"/>
              </w:rPr>
            </w:pPr>
            <w:r w:rsidRPr="005D0156">
              <w:rPr>
                <w:rFonts w:ascii="Calibri" w:eastAsia="Times New Roman" w:hAnsi="Calibri" w:cs="Times New Roman"/>
                <w:sz w:val="20"/>
                <w:szCs w:val="20"/>
                <w:lang w:eastAsia="en-AU"/>
              </w:rPr>
              <w:t>2 496</w:t>
            </w:r>
          </w:p>
        </w:tc>
      </w:tr>
    </w:tbl>
    <w:p w:rsidR="001A7C41" w:rsidRDefault="001A7C41" w:rsidP="00C178B2">
      <w:pPr>
        <w:pStyle w:val="CGCTableFootnote"/>
      </w:pPr>
      <w:r>
        <w:t>Source:</w:t>
      </w:r>
      <w:r>
        <w:tab/>
        <w:t>Commission calculation.</w:t>
      </w:r>
    </w:p>
    <w:p w:rsidR="00653BDC" w:rsidRDefault="00653BDC" w:rsidP="00653BDC">
      <w:pPr>
        <w:pStyle w:val="CGCNumberedPara"/>
      </w:pPr>
      <w:r>
        <w:t>This measure of the size of the equalisation task h</w:t>
      </w:r>
      <w:r w:rsidR="00EC209B">
        <w:t>as increased rapidly. From 2000</w:t>
      </w:r>
      <w:r w:rsidR="00EC209B">
        <w:noBreakHyphen/>
      </w:r>
      <w:r>
        <w:t>01 t</w:t>
      </w:r>
      <w:r w:rsidR="00EC209B">
        <w:t>o 2007</w:t>
      </w:r>
      <w:r w:rsidR="00EC209B">
        <w:noBreakHyphen/>
      </w:r>
      <w:r w:rsidR="00600171">
        <w:t xml:space="preserve">08 it fluctuated </w:t>
      </w:r>
      <w:r w:rsidR="00EC209B">
        <w:t>between</w:t>
      </w:r>
      <w:r w:rsidR="00600171">
        <w:t xml:space="preserve"> </w:t>
      </w:r>
      <w:r w:rsidR="007B5BCA">
        <w:t>14</w:t>
      </w:r>
      <w:r w:rsidR="00600171">
        <w:t xml:space="preserve">% </w:t>
      </w:r>
      <w:r w:rsidR="00EC209B">
        <w:t>and</w:t>
      </w:r>
      <w:r w:rsidR="00600171">
        <w:t xml:space="preserve"> </w:t>
      </w:r>
      <w:r w:rsidR="007B5BCA">
        <w:t>17</w:t>
      </w:r>
      <w:r>
        <w:t>%</w:t>
      </w:r>
      <w:r w:rsidR="001A7C41">
        <w:t xml:space="preserve"> of the GST revenue</w:t>
      </w:r>
      <w:r>
        <w:t xml:space="preserve">, as first Victoria and then New South Wales was the fiscally strongest State. In 2008-09 Western Australia became the fiscally strongest State. As </w:t>
      </w:r>
      <w:r w:rsidR="007E792C">
        <w:t xml:space="preserve">Western Australia’s fiscal capacity has become </w:t>
      </w:r>
      <w:r>
        <w:t>progressively stronger, this measure of the size of the equalisation task increased from 14% of the</w:t>
      </w:r>
      <w:r w:rsidR="00600171">
        <w:t xml:space="preserve"> pool in 2008-09 to 70</w:t>
      </w:r>
      <w:r>
        <w:t>% in 201</w:t>
      </w:r>
      <w:r w:rsidR="007E792C">
        <w:t>5</w:t>
      </w:r>
      <w:r>
        <w:noBreakHyphen/>
        <w:t>1</w:t>
      </w:r>
      <w:r w:rsidR="007E792C">
        <w:t xml:space="preserve">6. With the </w:t>
      </w:r>
      <w:r w:rsidR="002D28C9">
        <w:t>stabilisation</w:t>
      </w:r>
      <w:r w:rsidR="007E792C">
        <w:t xml:space="preserve"> of Western Australia’s fiscal capacity it has remained at this level in 2016</w:t>
      </w:r>
      <w:r w:rsidR="007E792C">
        <w:noBreakHyphen/>
        <w:t>17.</w:t>
      </w:r>
    </w:p>
    <w:p w:rsidR="00653BDC" w:rsidRDefault="00653BDC" w:rsidP="00653BDC">
      <w:pPr>
        <w:pStyle w:val="CGCNumberedPara"/>
      </w:pPr>
      <w:r>
        <w:t>Neither measure perfectly captures the totality of how the equalisation task has evolved over time. Taken together they show:</w:t>
      </w:r>
    </w:p>
    <w:p w:rsidR="00653BDC" w:rsidRDefault="00653BDC" w:rsidP="00653BDC">
      <w:pPr>
        <w:pStyle w:val="CGCBulletlist"/>
      </w:pPr>
      <w:r>
        <w:t xml:space="preserve">the equalisation task generated by the </w:t>
      </w:r>
      <w:r w:rsidR="00C46CD1">
        <w:t>less populous</w:t>
      </w:r>
      <w:r>
        <w:t xml:space="preserve"> States together has been increasing slowly over time</w:t>
      </w:r>
    </w:p>
    <w:p w:rsidR="00653BDC" w:rsidRDefault="00653BDC" w:rsidP="00653BDC">
      <w:pPr>
        <w:pStyle w:val="CGCBulletlist"/>
      </w:pPr>
      <w:r>
        <w:t>because Queensland’s fiscal capacity fluctuates around the average, it sometimes adds to and sometimes moderates the equalisation task</w:t>
      </w:r>
    </w:p>
    <w:p w:rsidR="00653BDC" w:rsidRDefault="00653BDC" w:rsidP="00653BDC">
      <w:pPr>
        <w:pStyle w:val="CGCBulletlist"/>
      </w:pPr>
      <w:proofErr w:type="gramStart"/>
      <w:r>
        <w:t>the</w:t>
      </w:r>
      <w:proofErr w:type="gramEnd"/>
      <w:r>
        <w:t xml:space="preserve"> task of ‘catching up’ with Western Australia has grown significantly.</w:t>
      </w:r>
    </w:p>
    <w:p w:rsidR="001C51EB" w:rsidRDefault="001C51EB" w:rsidP="001C51EB">
      <w:pPr>
        <w:pStyle w:val="CGCNumberedPara"/>
      </w:pPr>
      <w:r>
        <w:t>A time series of per capita relativities since the introduction of the GST in 2000</w:t>
      </w:r>
      <w:r>
        <w:noBreakHyphen/>
        <w:t xml:space="preserve">01 is available on the </w:t>
      </w:r>
      <w:hyperlink r:id="rId62" w:history="1">
        <w:r w:rsidRPr="0047639F">
          <w:rPr>
            <w:rStyle w:val="Hyperlink"/>
          </w:rPr>
          <w:t>Commission’s website</w:t>
        </w:r>
      </w:hyperlink>
      <w:r>
        <w:t xml:space="preserve"> </w:t>
      </w:r>
      <w:r w:rsidR="0047639F">
        <w:t>(</w:t>
      </w:r>
      <w:r w:rsidR="0047639F" w:rsidRPr="0047639F">
        <w:t>www.cgc.gov.au</w:t>
      </w:r>
      <w:r w:rsidR="0047639F">
        <w:t xml:space="preserve">) </w:t>
      </w:r>
      <w:r>
        <w:t xml:space="preserve">in the Supporting </w:t>
      </w:r>
      <w:r w:rsidR="00256173">
        <w:t>information</w:t>
      </w:r>
      <w:r>
        <w:t xml:space="preserve"> for this update.</w:t>
      </w:r>
      <w:r w:rsidR="005368CA">
        <w:t xml:space="preserve"> An overview of Commonwealth-State financial relations in Australia</w:t>
      </w:r>
      <w:r w:rsidR="00DB4CAD">
        <w:t>,</w:t>
      </w:r>
      <w:r w:rsidR="005368CA">
        <w:t xml:space="preserve"> including a discussion of horizontal and vertical fiscal imbalances</w:t>
      </w:r>
      <w:r w:rsidR="00DB4CAD">
        <w:t>,</w:t>
      </w:r>
      <w:r w:rsidR="005368CA">
        <w:t xml:space="preserve"> is also available on the Commission’s website.</w:t>
      </w:r>
    </w:p>
    <w:p w:rsidR="00600171" w:rsidRPr="00600171" w:rsidRDefault="00600171" w:rsidP="00600171">
      <w:pPr>
        <w:sectPr w:rsidR="00600171" w:rsidRPr="00600171" w:rsidSect="003C3EBB">
          <w:headerReference w:type="even" r:id="rId63"/>
          <w:headerReference w:type="default" r:id="rId64"/>
          <w:footerReference w:type="even" r:id="rId65"/>
          <w:footerReference w:type="default" r:id="rId66"/>
          <w:headerReference w:type="first" r:id="rId67"/>
          <w:footerReference w:type="first" r:id="rId68"/>
          <w:footnotePr>
            <w:numRestart w:val="eachSect"/>
          </w:footnotePr>
          <w:pgSz w:w="11906" w:h="16838" w:code="9"/>
          <w:pgMar w:top="1701" w:right="1474" w:bottom="1701" w:left="1474" w:header="709" w:footer="709" w:gutter="0"/>
          <w:cols w:space="708"/>
          <w:titlePg/>
          <w:docGrid w:linePitch="360"/>
        </w:sectPr>
      </w:pPr>
    </w:p>
    <w:p w:rsidR="00AA331D" w:rsidRPr="00404CEF" w:rsidRDefault="00AA331D" w:rsidP="00AA331D">
      <w:pPr>
        <w:pStyle w:val="Heading1"/>
        <w:numPr>
          <w:ilvl w:val="0"/>
          <w:numId w:val="4"/>
        </w:numPr>
      </w:pPr>
      <w:bookmarkStart w:id="557" w:name="_Toc433353493"/>
      <w:bookmarkStart w:id="558" w:name="_Toc442192180"/>
      <w:bookmarkStart w:id="559" w:name="_Toc442192245"/>
      <w:bookmarkStart w:id="560" w:name="_Toc442773058"/>
      <w:bookmarkStart w:id="561" w:name="_Toc442773569"/>
      <w:bookmarkStart w:id="562" w:name="_Toc442883295"/>
      <w:bookmarkStart w:id="563" w:name="_Toc442949155"/>
      <w:bookmarkStart w:id="564" w:name="_Ref430700117"/>
      <w:bookmarkEnd w:id="557"/>
      <w:bookmarkEnd w:id="558"/>
      <w:bookmarkEnd w:id="559"/>
      <w:bookmarkEnd w:id="560"/>
      <w:bookmarkEnd w:id="561"/>
      <w:bookmarkEnd w:id="562"/>
      <w:bookmarkEnd w:id="563"/>
    </w:p>
    <w:p w:rsidR="00AA331D" w:rsidRPr="00203656" w:rsidRDefault="00AA331D" w:rsidP="00AA331D">
      <w:pPr>
        <w:pStyle w:val="Heading2"/>
      </w:pPr>
      <w:bookmarkStart w:id="565" w:name="_Toc428354233"/>
      <w:bookmarkStart w:id="566" w:name="_Toc428435396"/>
      <w:bookmarkStart w:id="567" w:name="_Toc428435894"/>
      <w:bookmarkStart w:id="568" w:name="_Toc428803238"/>
      <w:bookmarkStart w:id="569" w:name="_Toc430166103"/>
      <w:bookmarkStart w:id="570" w:name="_Ref430700359"/>
      <w:bookmarkStart w:id="571" w:name="_Ref433034888"/>
      <w:bookmarkStart w:id="572" w:name="_Toc433353494"/>
      <w:bookmarkStart w:id="573" w:name="_Toc441656032"/>
      <w:bookmarkStart w:id="574" w:name="_Toc442192181"/>
      <w:bookmarkStart w:id="575" w:name="_Toc442192246"/>
      <w:bookmarkStart w:id="576" w:name="_Toc442773059"/>
      <w:bookmarkStart w:id="577" w:name="_Toc442773570"/>
      <w:bookmarkStart w:id="578" w:name="_Toc442781590"/>
      <w:bookmarkStart w:id="579" w:name="_Toc442785887"/>
      <w:bookmarkStart w:id="580" w:name="_Toc442883296"/>
      <w:bookmarkStart w:id="581" w:name="_Toc442948729"/>
      <w:bookmarkStart w:id="582" w:name="_Toc442949156"/>
      <w:bookmarkEnd w:id="564"/>
      <w:r>
        <w:t xml:space="preserve">New issues in this </w:t>
      </w:r>
      <w:r w:rsidR="001B402D">
        <w:t>u</w:t>
      </w:r>
      <w:r w:rsidRPr="00203656">
        <w:t>pdate</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rsidR="00AA331D" w:rsidRPr="006A198D" w:rsidRDefault="00AA331D" w:rsidP="00AA331D">
      <w:pPr>
        <w:pStyle w:val="CGCNumberedPara"/>
        <w:numPr>
          <w:ilvl w:val="1"/>
          <w:numId w:val="10"/>
        </w:numPr>
      </w:pPr>
      <w:r w:rsidRPr="006A198D">
        <w:t>In each update, the Commission confronts a range of new issues that might affect the GST distribution. New issues can be grouped into three types:</w:t>
      </w:r>
    </w:p>
    <w:p w:rsidR="00DF1A67" w:rsidRPr="006A198D" w:rsidRDefault="00DF1A67" w:rsidP="00AA331D">
      <w:pPr>
        <w:pStyle w:val="CGCBulletlist"/>
      </w:pPr>
      <w:r w:rsidRPr="006A198D">
        <w:t>data issues, addressing how the latest available data, or changes to data availability, are incorporated into assessments</w:t>
      </w:r>
    </w:p>
    <w:p w:rsidR="00377BDC" w:rsidRPr="006A198D" w:rsidRDefault="00377BDC" w:rsidP="00377BDC">
      <w:pPr>
        <w:pStyle w:val="CGCBulletlist"/>
      </w:pPr>
      <w:r w:rsidRPr="006A198D">
        <w:t>assessment issues, relating to how changed circumstances are incorporated into assessments</w:t>
      </w:r>
    </w:p>
    <w:p w:rsidR="00AA331D" w:rsidRPr="006A198D" w:rsidRDefault="00AA331D" w:rsidP="00AA331D">
      <w:pPr>
        <w:pStyle w:val="CGCBulletlist"/>
      </w:pPr>
      <w:proofErr w:type="gramStart"/>
      <w:r w:rsidRPr="006A198D">
        <w:t>the</w:t>
      </w:r>
      <w:proofErr w:type="gramEnd"/>
      <w:r w:rsidRPr="006A198D">
        <w:t xml:space="preserve"> treatment of Commonwealth payments, including new payments and payments relating to national agreement arrangements</w:t>
      </w:r>
      <w:r w:rsidR="00377BDC" w:rsidRPr="006A198D">
        <w:t>.</w:t>
      </w:r>
    </w:p>
    <w:p w:rsidR="00AA331D" w:rsidRPr="006A198D" w:rsidRDefault="00AA331D" w:rsidP="00AA331D">
      <w:pPr>
        <w:pStyle w:val="CGCNumberedPara"/>
      </w:pPr>
      <w:r w:rsidRPr="006A198D">
        <w:t>In deciding how new issues should be resolved we consult with the States. The issues that arose in this update and our decisions on them are explained in this chapter. Discussion papers and State submissions can be viewed on the GST Inquiries 201</w:t>
      </w:r>
      <w:r w:rsidR="00883A69" w:rsidRPr="006A198D">
        <w:t xml:space="preserve">6 Update page accessed from the </w:t>
      </w:r>
      <w:hyperlink r:id="rId69" w:history="1">
        <w:r w:rsidR="00DF1A67" w:rsidRPr="00AD42B4">
          <w:rPr>
            <w:rStyle w:val="Hyperlink"/>
          </w:rPr>
          <w:t>Commission’s website</w:t>
        </w:r>
      </w:hyperlink>
      <w:r w:rsidR="0047639F">
        <w:t xml:space="preserve"> </w:t>
      </w:r>
      <w:r w:rsidR="00AD42B4">
        <w:t>(</w:t>
      </w:r>
      <w:r w:rsidR="00DF1A67" w:rsidRPr="00AD42B4">
        <w:t>www.cgc.gov.au</w:t>
      </w:r>
      <w:r w:rsidR="0047639F">
        <w:t>)</w:t>
      </w:r>
      <w:r w:rsidR="00DF1A67" w:rsidRPr="006A198D">
        <w:t>.</w:t>
      </w:r>
    </w:p>
    <w:p w:rsidR="001C5ACD" w:rsidRPr="006A198D" w:rsidRDefault="001A0637" w:rsidP="00AA331D">
      <w:pPr>
        <w:pStyle w:val="CGCNumberedPara"/>
      </w:pPr>
      <w:r w:rsidRPr="006A198D">
        <w:t xml:space="preserve">A major issue </w:t>
      </w:r>
      <w:r w:rsidR="001C5ACD" w:rsidRPr="006A198D">
        <w:t xml:space="preserve">for this update has been </w:t>
      </w:r>
      <w:r w:rsidRPr="006A198D">
        <w:t>deciding</w:t>
      </w:r>
      <w:r w:rsidR="001C5ACD" w:rsidRPr="006A198D">
        <w:t xml:space="preserve"> the most appropriate </w:t>
      </w:r>
      <w:r w:rsidRPr="006A198D">
        <w:t xml:space="preserve">assessment of interstate differences in </w:t>
      </w:r>
      <w:r w:rsidR="001C5ACD" w:rsidRPr="006A198D">
        <w:t xml:space="preserve">wages. This issue is </w:t>
      </w:r>
      <w:r w:rsidR="008200A3" w:rsidRPr="006A198D">
        <w:t>discussed</w:t>
      </w:r>
      <w:r w:rsidR="001C5ACD" w:rsidRPr="006A198D">
        <w:t xml:space="preserve"> in Chapter 3.</w:t>
      </w:r>
    </w:p>
    <w:p w:rsidR="00B80271" w:rsidRDefault="00B80271" w:rsidP="00377BDC">
      <w:pPr>
        <w:pStyle w:val="Heading3"/>
      </w:pPr>
      <w:bookmarkStart w:id="583" w:name="_Toc442191926"/>
      <w:bookmarkStart w:id="584" w:name="_Toc442192182"/>
      <w:bookmarkStart w:id="585" w:name="_Toc442192247"/>
      <w:bookmarkStart w:id="586" w:name="_Toc442772829"/>
      <w:bookmarkStart w:id="587" w:name="_Toc442773060"/>
      <w:bookmarkStart w:id="588" w:name="_Toc442773228"/>
      <w:bookmarkStart w:id="589" w:name="_Toc442773571"/>
      <w:bookmarkStart w:id="590" w:name="_Toc442883297"/>
      <w:bookmarkStart w:id="591" w:name="_Toc442949157"/>
      <w:bookmarkStart w:id="592" w:name="_Toc441241599"/>
      <w:bookmarkStart w:id="593" w:name="_Toc441499269"/>
      <w:bookmarkStart w:id="594" w:name="_Toc441656033"/>
      <w:bookmarkStart w:id="595" w:name="_Toc428435398"/>
      <w:bookmarkStart w:id="596" w:name="_Toc433353500"/>
      <w:r w:rsidRPr="006A198D">
        <w:t>Data issues</w:t>
      </w:r>
      <w:bookmarkEnd w:id="583"/>
      <w:bookmarkEnd w:id="584"/>
      <w:bookmarkEnd w:id="585"/>
      <w:bookmarkEnd w:id="586"/>
      <w:bookmarkEnd w:id="587"/>
      <w:bookmarkEnd w:id="588"/>
      <w:bookmarkEnd w:id="589"/>
      <w:bookmarkEnd w:id="590"/>
      <w:bookmarkEnd w:id="591"/>
    </w:p>
    <w:p w:rsidR="00E12C9E" w:rsidRPr="00E12C9E" w:rsidRDefault="00E12C9E" w:rsidP="0050635A">
      <w:pPr>
        <w:pStyle w:val="Heading4"/>
      </w:pPr>
      <w:bookmarkStart w:id="597" w:name="_Toc442883298"/>
      <w:bookmarkStart w:id="598" w:name="_Toc442949158"/>
      <w:r>
        <w:t>Roads assessment</w:t>
      </w:r>
      <w:bookmarkEnd w:id="597"/>
      <w:bookmarkEnd w:id="598"/>
    </w:p>
    <w:p w:rsidR="00B80271" w:rsidRPr="00E51C54" w:rsidRDefault="00B80271" w:rsidP="0050635A">
      <w:pPr>
        <w:pStyle w:val="Heading5"/>
      </w:pPr>
      <w:bookmarkStart w:id="599" w:name="_Toc441241601"/>
      <w:bookmarkStart w:id="600" w:name="_Toc441499271"/>
      <w:bookmarkStart w:id="601" w:name="_Toc442191927"/>
      <w:bookmarkStart w:id="602" w:name="_Toc442192183"/>
      <w:bookmarkStart w:id="603" w:name="_Toc442192248"/>
      <w:bookmarkStart w:id="604" w:name="_Toc442772830"/>
      <w:bookmarkStart w:id="605" w:name="_Toc442773061"/>
      <w:bookmarkStart w:id="606" w:name="_Toc442773229"/>
      <w:bookmarkStart w:id="607" w:name="_Toc442949159"/>
      <w:r w:rsidRPr="00E12C9E">
        <w:t>National Transport Commission trend data</w:t>
      </w:r>
      <w:bookmarkEnd w:id="599"/>
      <w:bookmarkEnd w:id="600"/>
      <w:bookmarkEnd w:id="601"/>
      <w:bookmarkEnd w:id="602"/>
      <w:bookmarkEnd w:id="603"/>
      <w:bookmarkEnd w:id="604"/>
      <w:bookmarkEnd w:id="605"/>
      <w:bookmarkEnd w:id="606"/>
      <w:bookmarkEnd w:id="607"/>
    </w:p>
    <w:p w:rsidR="00B80271" w:rsidRPr="006A198D" w:rsidRDefault="00B80271" w:rsidP="00B80271">
      <w:pPr>
        <w:pStyle w:val="CGCNumberedPara"/>
        <w:numPr>
          <w:ilvl w:val="1"/>
          <w:numId w:val="2"/>
        </w:numPr>
      </w:pPr>
      <w:bookmarkStart w:id="608" w:name="_Toc155675723"/>
      <w:bookmarkEnd w:id="608"/>
      <w:r w:rsidRPr="006A198D">
        <w:t>The assessment of roads expenses includes an assessment of the impact of heavy vehicle use on road maintenance. The impact of heavy vehicle use is measured by multiplying the distances travelled by different classes of heavy vehicles in each State by the national average gross mass (AGM) for each class of heavy vehicle. The national average AGM data are derived from trend data provided by the National Transport Commission (NTC).  The trend data used in the 2015 Review were derived from the ABS Survey of Motor Vehicle Use (SMVU) for 2001 to 2007. We said in the 2015 Review report we would update our assessment if the NTC updated its trend data.</w:t>
      </w:r>
    </w:p>
    <w:p w:rsidR="00B80271" w:rsidRPr="006A198D" w:rsidRDefault="00B80271" w:rsidP="00B80271">
      <w:pPr>
        <w:pStyle w:val="CGCNumberedPara"/>
        <w:numPr>
          <w:ilvl w:val="1"/>
          <w:numId w:val="2"/>
        </w:numPr>
      </w:pPr>
      <w:r w:rsidRPr="006A198D">
        <w:lastRenderedPageBreak/>
        <w:t xml:space="preserve">The NTC updated its trend AGM data as part of its </w:t>
      </w:r>
      <w:r w:rsidRPr="001B4C83">
        <w:rPr>
          <w:i/>
        </w:rPr>
        <w:t>2014 Heavy Vehicle Charges Determination</w:t>
      </w:r>
      <w:r w:rsidRPr="006A198D">
        <w:t>. It used a new approach to trending, since the ABS no longer conducts the SMVU annually.</w:t>
      </w:r>
      <w:r w:rsidRPr="006A198D">
        <w:rPr>
          <w:rStyle w:val="FootnoteReference"/>
        </w:rPr>
        <w:footnoteReference w:id="9"/>
      </w:r>
    </w:p>
    <w:p w:rsidR="00B80271" w:rsidRPr="006A198D" w:rsidRDefault="00B80271" w:rsidP="00B80271">
      <w:pPr>
        <w:pStyle w:val="CGCNumberedPara"/>
        <w:numPr>
          <w:ilvl w:val="1"/>
          <w:numId w:val="2"/>
        </w:numPr>
      </w:pPr>
      <w:r w:rsidRPr="006A198D">
        <w:t xml:space="preserve">Data on the total kilometres travelled in each State by different types of vehicle (including heavy vehicles) are provided annually by the Bureau of Infrastructure, Transport and Regional Economics (BITRE). We adjust these data to remove the volume of traffic on local government-type roads, by applying NTC data on the Australian average proportion of travel on arterial roads for each class of vehicle. We then split the data between travel on urban and rural roads, using a six-year average of data provided by the NTC for each State. In the 2015 Review, the latter data were based on the SMVU for 2002 to 2007. The NTC also updated these data as part of its </w:t>
      </w:r>
      <w:r w:rsidRPr="001B4C83">
        <w:rPr>
          <w:i/>
        </w:rPr>
        <w:t>2014 Heavy Vehicle Charges Determination</w:t>
      </w:r>
      <w:r w:rsidRPr="006A198D">
        <w:t>.</w:t>
      </w:r>
      <w:r w:rsidRPr="006A198D">
        <w:rPr>
          <w:rStyle w:val="FootnoteReference"/>
        </w:rPr>
        <w:footnoteReference w:id="10"/>
      </w:r>
    </w:p>
    <w:p w:rsidR="00B80271" w:rsidRPr="006A198D" w:rsidRDefault="00B80271" w:rsidP="00B80271">
      <w:pPr>
        <w:pStyle w:val="CGCNumberedPara"/>
        <w:numPr>
          <w:ilvl w:val="1"/>
          <w:numId w:val="2"/>
        </w:numPr>
      </w:pPr>
      <w:r w:rsidRPr="006A198D">
        <w:t>The NTC provided updated data on trend AGM by heavy vehicle class and urban-rural arterial travel, incorporating data from the 2014 SMVU.</w:t>
      </w:r>
    </w:p>
    <w:p w:rsidR="00B80271" w:rsidRPr="006A198D" w:rsidRDefault="00B80271" w:rsidP="00B80271">
      <w:pPr>
        <w:pStyle w:val="CGCNumberedPara"/>
        <w:numPr>
          <w:ilvl w:val="1"/>
          <w:numId w:val="2"/>
        </w:numPr>
      </w:pPr>
      <w:r w:rsidRPr="006A198D">
        <w:t>Three States supported updating the data and three did not comment. In addition, New South Wales noted that updating the data could have a significant impact and asked that States be provided with the updated NTC data when they became available. Tasmania said that data reliability should be investigated given the NTC’s changed approach to trending and because the 2014 SMVU is a new set of survey estimates.</w:t>
      </w:r>
    </w:p>
    <w:p w:rsidR="00B80271" w:rsidRPr="006A198D" w:rsidRDefault="00B80271" w:rsidP="00B80271">
      <w:pPr>
        <w:pStyle w:val="CGCNumberedPara"/>
        <w:numPr>
          <w:ilvl w:val="1"/>
          <w:numId w:val="2"/>
        </w:numPr>
      </w:pPr>
      <w:r w:rsidRPr="006A198D">
        <w:t>We have updated the trend AGM data and the urban-rural split of vehicle use. The NTC data used in the 2015 Review included data going back to 2001 in the calculation of trend AGMs, and back to 2002 in the case of the average urban-rural use splits. We believe the latest data provided by the NTC give a better indication of the circumstances likely to apply in the application year for this update.</w:t>
      </w:r>
    </w:p>
    <w:p w:rsidR="00B80271" w:rsidRPr="006A198D" w:rsidRDefault="00B80271" w:rsidP="00B80271">
      <w:pPr>
        <w:pStyle w:val="CGCNumberedPara"/>
        <w:numPr>
          <w:ilvl w:val="1"/>
          <w:numId w:val="2"/>
        </w:numPr>
      </w:pPr>
      <w:r w:rsidRPr="006A198D">
        <w:t xml:space="preserve">We do not have any concerns with the reliability of the NTC trend AGM data. The NTC’s new trending method appropriately gives a greater weight to more recent data and we accept its advice that the trend estimates are the best available estimates for AGM by vehicle class in 2014. States were provided with the updated trend AGM data during the course of the update. </w:t>
      </w:r>
    </w:p>
    <w:p w:rsidR="00B80271" w:rsidRPr="006A198D" w:rsidRDefault="00B80271" w:rsidP="00B80271">
      <w:pPr>
        <w:pStyle w:val="CGCNumberedPara"/>
        <w:numPr>
          <w:ilvl w:val="1"/>
          <w:numId w:val="2"/>
        </w:numPr>
      </w:pPr>
      <w:r w:rsidRPr="006A198D">
        <w:t xml:space="preserve">Since the SMVU is no longer produced annually, we have not been able to continue to base our urban-rural split of vehicle use on an average of six consecutive years. Instead, we have decided to use an average of data from the last three SMVUs (2010, 2012, 2014), covering a five year period. The update guidelines allow us to amend assessment methods where data previously used are no longer available. States were provided with the updated NTC urban-rural use data during the course of the update. </w:t>
      </w:r>
    </w:p>
    <w:p w:rsidR="00B80271" w:rsidRPr="006A198D" w:rsidRDefault="00B80271" w:rsidP="00B80271">
      <w:pPr>
        <w:pStyle w:val="CGCNumberedPara"/>
        <w:numPr>
          <w:ilvl w:val="1"/>
          <w:numId w:val="2"/>
        </w:numPr>
      </w:pPr>
      <w:r w:rsidRPr="006A198D">
        <w:lastRenderedPageBreak/>
        <w:fldChar w:fldCharType="begin"/>
      </w:r>
      <w:r w:rsidRPr="006A198D">
        <w:instrText xml:space="preserve"> REF _Ref437851410 \h </w:instrText>
      </w:r>
      <w:r w:rsidR="006A198D">
        <w:instrText xml:space="preserve"> \* MERGEFORMAT </w:instrText>
      </w:r>
      <w:r w:rsidRPr="006A198D">
        <w:fldChar w:fldCharType="separate"/>
      </w:r>
      <w:r w:rsidR="007A6AF0" w:rsidRPr="006A198D">
        <w:t xml:space="preserve">Table </w:t>
      </w:r>
      <w:r w:rsidR="007A6AF0">
        <w:rPr>
          <w:noProof/>
        </w:rPr>
        <w:t>2</w:t>
      </w:r>
      <w:r w:rsidR="007A6AF0" w:rsidRPr="006A198D">
        <w:rPr>
          <w:noProof/>
        </w:rPr>
        <w:noBreakHyphen/>
      </w:r>
      <w:r w:rsidR="007A6AF0">
        <w:rPr>
          <w:noProof/>
        </w:rPr>
        <w:t>1</w:t>
      </w:r>
      <w:r w:rsidRPr="006A198D">
        <w:fldChar w:fldCharType="end"/>
      </w:r>
      <w:r w:rsidRPr="006A198D">
        <w:t xml:space="preserve"> shows the impact on the GST distribution of updating the data. The changes are not material.</w:t>
      </w:r>
    </w:p>
    <w:p w:rsidR="00B80271" w:rsidRPr="006A198D" w:rsidRDefault="00B80271" w:rsidP="00B80271">
      <w:pPr>
        <w:pStyle w:val="CGCTableHeading"/>
      </w:pPr>
      <w:bookmarkStart w:id="609" w:name="_Ref437851410"/>
      <w:r w:rsidRPr="006A198D">
        <w:t xml:space="preserve">Table </w:t>
      </w:r>
      <w:r w:rsidR="0014378B">
        <w:fldChar w:fldCharType="begin"/>
      </w:r>
      <w:r w:rsidR="0014378B">
        <w:instrText xml:space="preserve"> STYLEREF 1 \s </w:instrText>
      </w:r>
      <w:r w:rsidR="0014378B">
        <w:fldChar w:fldCharType="separate"/>
      </w:r>
      <w:r w:rsidR="007A6AF0">
        <w:rPr>
          <w:noProof/>
        </w:rPr>
        <w:t>2</w:t>
      </w:r>
      <w:r w:rsidR="0014378B">
        <w:rPr>
          <w:noProof/>
        </w:rPr>
        <w:fldChar w:fldCharType="end"/>
      </w:r>
      <w:r w:rsidRPr="006A198D">
        <w:noBreakHyphen/>
      </w:r>
      <w:r w:rsidR="0014378B">
        <w:fldChar w:fldCharType="begin"/>
      </w:r>
      <w:r w:rsidR="0014378B">
        <w:instrText xml:space="preserve"> SEQ Table \* ARABIC \s 1 </w:instrText>
      </w:r>
      <w:r w:rsidR="0014378B">
        <w:fldChar w:fldCharType="separate"/>
      </w:r>
      <w:r w:rsidR="007A6AF0">
        <w:rPr>
          <w:noProof/>
        </w:rPr>
        <w:t>1</w:t>
      </w:r>
      <w:r w:rsidR="0014378B">
        <w:rPr>
          <w:noProof/>
        </w:rPr>
        <w:fldChar w:fldCharType="end"/>
      </w:r>
      <w:bookmarkEnd w:id="609"/>
      <w:r w:rsidRPr="006A198D">
        <w:tab/>
        <w:t xml:space="preserve">Impact </w:t>
      </w:r>
      <w:r w:rsidR="001B4C83">
        <w:t xml:space="preserve">on the GST distribution </w:t>
      </w:r>
      <w:r w:rsidRPr="006A198D">
        <w:t>of updating NTC trend AGM and urban-rural use data, 201</w:t>
      </w:r>
      <w:r w:rsidR="0080740E">
        <w:t>6</w:t>
      </w:r>
      <w:r w:rsidRPr="006A198D">
        <w:noBreakHyphen/>
        <w:t>1</w:t>
      </w:r>
      <w:r w:rsidR="0080740E">
        <w:t>7</w:t>
      </w:r>
    </w:p>
    <w:tbl>
      <w:tblPr>
        <w:tblW w:w="9020" w:type="dxa"/>
        <w:tblInd w:w="93" w:type="dxa"/>
        <w:tblLook w:val="04A0" w:firstRow="1" w:lastRow="0" w:firstColumn="1" w:lastColumn="0" w:noHBand="0" w:noVBand="1"/>
      </w:tblPr>
      <w:tblGrid>
        <w:gridCol w:w="2600"/>
        <w:gridCol w:w="760"/>
        <w:gridCol w:w="740"/>
        <w:gridCol w:w="660"/>
        <w:gridCol w:w="680"/>
        <w:gridCol w:w="680"/>
        <w:gridCol w:w="660"/>
        <w:gridCol w:w="700"/>
        <w:gridCol w:w="660"/>
        <w:gridCol w:w="880"/>
      </w:tblGrid>
      <w:tr w:rsidR="00D458FC" w:rsidRPr="00D458FC" w:rsidTr="00D458FC">
        <w:trPr>
          <w:trHeight w:val="383"/>
        </w:trPr>
        <w:tc>
          <w:tcPr>
            <w:tcW w:w="260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color w:val="000000"/>
                <w:sz w:val="20"/>
                <w:szCs w:val="20"/>
                <w:lang w:eastAsia="en-AU"/>
              </w:rPr>
            </w:pPr>
            <w:bookmarkStart w:id="610" w:name="RANGE!A3:J11"/>
            <w:r w:rsidRPr="00D458FC">
              <w:rPr>
                <w:rFonts w:ascii="Calibri" w:eastAsia="Times New Roman" w:hAnsi="Calibri" w:cs="Times New Roman"/>
                <w:color w:val="000000"/>
                <w:sz w:val="20"/>
                <w:szCs w:val="20"/>
                <w:lang w:eastAsia="en-AU"/>
              </w:rPr>
              <w:t> </w:t>
            </w:r>
            <w:bookmarkEnd w:id="610"/>
          </w:p>
        </w:tc>
        <w:tc>
          <w:tcPr>
            <w:tcW w:w="76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color w:val="000000"/>
                <w:sz w:val="20"/>
                <w:szCs w:val="20"/>
                <w:lang w:eastAsia="en-AU"/>
              </w:rPr>
            </w:pPr>
            <w:r w:rsidRPr="00D458FC">
              <w:rPr>
                <w:rFonts w:ascii="Calibri" w:eastAsia="Times New Roman" w:hAnsi="Calibri" w:cs="Times New Roman"/>
                <w:color w:val="000000"/>
                <w:sz w:val="20"/>
                <w:szCs w:val="20"/>
                <w:lang w:eastAsia="en-AU"/>
              </w:rPr>
              <w:t>NSW</w:t>
            </w:r>
          </w:p>
        </w:tc>
        <w:tc>
          <w:tcPr>
            <w:tcW w:w="74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color w:val="000000"/>
                <w:sz w:val="20"/>
                <w:szCs w:val="20"/>
                <w:lang w:eastAsia="en-AU"/>
              </w:rPr>
            </w:pPr>
            <w:r w:rsidRPr="00D458FC">
              <w:rPr>
                <w:rFonts w:ascii="Calibri" w:eastAsia="Times New Roman" w:hAnsi="Calibri" w:cs="Times New Roman"/>
                <w:color w:val="000000"/>
                <w:sz w:val="20"/>
                <w:szCs w:val="20"/>
                <w:lang w:eastAsia="en-AU"/>
              </w:rPr>
              <w:t>Vic</w:t>
            </w:r>
          </w:p>
        </w:tc>
        <w:tc>
          <w:tcPr>
            <w:tcW w:w="66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color w:val="000000"/>
                <w:sz w:val="20"/>
                <w:szCs w:val="20"/>
                <w:lang w:eastAsia="en-AU"/>
              </w:rPr>
            </w:pPr>
            <w:r w:rsidRPr="00D458FC">
              <w:rPr>
                <w:rFonts w:ascii="Calibri" w:eastAsia="Times New Roman" w:hAnsi="Calibri" w:cs="Times New Roman"/>
                <w:color w:val="000000"/>
                <w:sz w:val="20"/>
                <w:szCs w:val="20"/>
                <w:lang w:eastAsia="en-AU"/>
              </w:rPr>
              <w:t>Qld</w:t>
            </w:r>
          </w:p>
        </w:tc>
        <w:tc>
          <w:tcPr>
            <w:tcW w:w="68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color w:val="000000"/>
                <w:sz w:val="20"/>
                <w:szCs w:val="20"/>
                <w:lang w:eastAsia="en-AU"/>
              </w:rPr>
            </w:pPr>
            <w:r w:rsidRPr="00D458FC">
              <w:rPr>
                <w:rFonts w:ascii="Calibri" w:eastAsia="Times New Roman" w:hAnsi="Calibri" w:cs="Times New Roman"/>
                <w:color w:val="000000"/>
                <w:sz w:val="20"/>
                <w:szCs w:val="20"/>
                <w:lang w:eastAsia="en-AU"/>
              </w:rPr>
              <w:t>WA</w:t>
            </w:r>
          </w:p>
        </w:tc>
        <w:tc>
          <w:tcPr>
            <w:tcW w:w="68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color w:val="000000"/>
                <w:sz w:val="20"/>
                <w:szCs w:val="20"/>
                <w:lang w:eastAsia="en-AU"/>
              </w:rPr>
            </w:pPr>
            <w:r w:rsidRPr="00D458FC">
              <w:rPr>
                <w:rFonts w:ascii="Calibri" w:eastAsia="Times New Roman" w:hAnsi="Calibri" w:cs="Times New Roman"/>
                <w:color w:val="000000"/>
                <w:sz w:val="20"/>
                <w:szCs w:val="20"/>
                <w:lang w:eastAsia="en-AU"/>
              </w:rPr>
              <w:t>SA</w:t>
            </w:r>
          </w:p>
        </w:tc>
        <w:tc>
          <w:tcPr>
            <w:tcW w:w="66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color w:val="000000"/>
                <w:sz w:val="20"/>
                <w:szCs w:val="20"/>
                <w:lang w:eastAsia="en-AU"/>
              </w:rPr>
            </w:pPr>
            <w:r w:rsidRPr="00D458FC">
              <w:rPr>
                <w:rFonts w:ascii="Calibri" w:eastAsia="Times New Roman" w:hAnsi="Calibri" w:cs="Times New Roman"/>
                <w:color w:val="000000"/>
                <w:sz w:val="20"/>
                <w:szCs w:val="20"/>
                <w:lang w:eastAsia="en-AU"/>
              </w:rPr>
              <w:t>Tas</w:t>
            </w:r>
          </w:p>
        </w:tc>
        <w:tc>
          <w:tcPr>
            <w:tcW w:w="70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color w:val="000000"/>
                <w:sz w:val="20"/>
                <w:szCs w:val="20"/>
                <w:lang w:eastAsia="en-AU"/>
              </w:rPr>
            </w:pPr>
            <w:r w:rsidRPr="00D458FC">
              <w:rPr>
                <w:rFonts w:ascii="Calibri" w:eastAsia="Times New Roman" w:hAnsi="Calibri" w:cs="Times New Roman"/>
                <w:color w:val="000000"/>
                <w:sz w:val="20"/>
                <w:szCs w:val="20"/>
                <w:lang w:eastAsia="en-AU"/>
              </w:rPr>
              <w:t>ACT</w:t>
            </w:r>
          </w:p>
        </w:tc>
        <w:tc>
          <w:tcPr>
            <w:tcW w:w="66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color w:val="000000"/>
                <w:sz w:val="20"/>
                <w:szCs w:val="20"/>
                <w:lang w:eastAsia="en-AU"/>
              </w:rPr>
            </w:pPr>
            <w:r w:rsidRPr="00D458FC">
              <w:rPr>
                <w:rFonts w:ascii="Calibri" w:eastAsia="Times New Roman" w:hAnsi="Calibri" w:cs="Times New Roman"/>
                <w:color w:val="000000"/>
                <w:sz w:val="20"/>
                <w:szCs w:val="20"/>
                <w:lang w:eastAsia="en-AU"/>
              </w:rPr>
              <w:t>NT</w:t>
            </w:r>
          </w:p>
        </w:tc>
        <w:tc>
          <w:tcPr>
            <w:tcW w:w="88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D458FC">
              <w:rPr>
                <w:rFonts w:ascii="Calibri" w:eastAsia="Times New Roman" w:hAnsi="Calibri" w:cs="Times New Roman"/>
                <w:color w:val="000000"/>
                <w:sz w:val="20"/>
                <w:szCs w:val="20"/>
                <w:lang w:eastAsia="en-AU"/>
              </w:rPr>
              <w:t>Redist</w:t>
            </w:r>
            <w:proofErr w:type="spellEnd"/>
          </w:p>
        </w:tc>
      </w:tr>
      <w:tr w:rsidR="00D458FC" w:rsidRPr="00D458FC" w:rsidTr="00D458FC">
        <w:trPr>
          <w:trHeight w:val="263"/>
        </w:trPr>
        <w:tc>
          <w:tcPr>
            <w:tcW w:w="26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color w:val="000000"/>
                <w:sz w:val="20"/>
                <w:szCs w:val="20"/>
                <w:lang w:eastAsia="en-AU"/>
              </w:rPr>
            </w:pPr>
            <w:r w:rsidRPr="00D458FC">
              <w:rPr>
                <w:rFonts w:ascii="Calibri" w:eastAsia="Times New Roman" w:hAnsi="Calibri" w:cs="Times New Roman"/>
                <w:color w:val="000000"/>
                <w:sz w:val="20"/>
                <w:szCs w:val="20"/>
                <w:lang w:eastAsia="en-AU"/>
              </w:rPr>
              <w:t>$m</w:t>
            </w:r>
          </w:p>
        </w:tc>
        <w:tc>
          <w:tcPr>
            <w:tcW w:w="74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color w:val="000000"/>
                <w:sz w:val="20"/>
                <w:szCs w:val="20"/>
                <w:lang w:eastAsia="en-AU"/>
              </w:rPr>
            </w:pPr>
            <w:r w:rsidRPr="00D458FC">
              <w:rPr>
                <w:rFonts w:ascii="Calibri" w:eastAsia="Times New Roman" w:hAnsi="Calibri" w:cs="Times New Roman"/>
                <w:color w:val="000000"/>
                <w:sz w:val="20"/>
                <w:szCs w:val="20"/>
                <w:lang w:eastAsia="en-AU"/>
              </w:rPr>
              <w:t>$m</w:t>
            </w:r>
          </w:p>
        </w:tc>
        <w:tc>
          <w:tcPr>
            <w:tcW w:w="6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color w:val="000000"/>
                <w:sz w:val="20"/>
                <w:szCs w:val="20"/>
                <w:lang w:eastAsia="en-AU"/>
              </w:rPr>
            </w:pPr>
            <w:r w:rsidRPr="00D458FC">
              <w:rPr>
                <w:rFonts w:ascii="Calibri" w:eastAsia="Times New Roman" w:hAnsi="Calibri" w:cs="Times New Roman"/>
                <w:color w:val="000000"/>
                <w:sz w:val="20"/>
                <w:szCs w:val="20"/>
                <w:lang w:eastAsia="en-AU"/>
              </w:rPr>
              <w:t>$m</w:t>
            </w:r>
          </w:p>
        </w:tc>
        <w:tc>
          <w:tcPr>
            <w:tcW w:w="68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color w:val="000000"/>
                <w:sz w:val="20"/>
                <w:szCs w:val="20"/>
                <w:lang w:eastAsia="en-AU"/>
              </w:rPr>
            </w:pPr>
            <w:r w:rsidRPr="00D458FC">
              <w:rPr>
                <w:rFonts w:ascii="Calibri" w:eastAsia="Times New Roman" w:hAnsi="Calibri" w:cs="Times New Roman"/>
                <w:color w:val="000000"/>
                <w:sz w:val="20"/>
                <w:szCs w:val="20"/>
                <w:lang w:eastAsia="en-AU"/>
              </w:rPr>
              <w:t>$m</w:t>
            </w:r>
          </w:p>
        </w:tc>
        <w:tc>
          <w:tcPr>
            <w:tcW w:w="68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color w:val="000000"/>
                <w:sz w:val="20"/>
                <w:szCs w:val="20"/>
                <w:lang w:eastAsia="en-AU"/>
              </w:rPr>
            </w:pPr>
            <w:r w:rsidRPr="00D458FC">
              <w:rPr>
                <w:rFonts w:ascii="Calibri" w:eastAsia="Times New Roman" w:hAnsi="Calibri" w:cs="Times New Roman"/>
                <w:color w:val="000000"/>
                <w:sz w:val="20"/>
                <w:szCs w:val="20"/>
                <w:lang w:eastAsia="en-AU"/>
              </w:rPr>
              <w:t>$m</w:t>
            </w:r>
          </w:p>
        </w:tc>
        <w:tc>
          <w:tcPr>
            <w:tcW w:w="6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color w:val="000000"/>
                <w:sz w:val="20"/>
                <w:szCs w:val="20"/>
                <w:lang w:eastAsia="en-AU"/>
              </w:rPr>
            </w:pPr>
            <w:r w:rsidRPr="00D458FC">
              <w:rPr>
                <w:rFonts w:ascii="Calibri" w:eastAsia="Times New Roman" w:hAnsi="Calibri" w:cs="Times New Roman"/>
                <w:color w:val="000000"/>
                <w:sz w:val="20"/>
                <w:szCs w:val="20"/>
                <w:lang w:eastAsia="en-AU"/>
              </w:rPr>
              <w:t>$m</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color w:val="000000"/>
                <w:sz w:val="20"/>
                <w:szCs w:val="20"/>
                <w:lang w:eastAsia="en-AU"/>
              </w:rPr>
            </w:pPr>
            <w:r w:rsidRPr="00D458FC">
              <w:rPr>
                <w:rFonts w:ascii="Calibri" w:eastAsia="Times New Roman" w:hAnsi="Calibri" w:cs="Times New Roman"/>
                <w:color w:val="000000"/>
                <w:sz w:val="20"/>
                <w:szCs w:val="20"/>
                <w:lang w:eastAsia="en-AU"/>
              </w:rPr>
              <w:t>$m</w:t>
            </w:r>
          </w:p>
        </w:tc>
        <w:tc>
          <w:tcPr>
            <w:tcW w:w="6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color w:val="000000"/>
                <w:sz w:val="20"/>
                <w:szCs w:val="20"/>
                <w:lang w:eastAsia="en-AU"/>
              </w:rPr>
            </w:pPr>
            <w:r w:rsidRPr="00D458FC">
              <w:rPr>
                <w:rFonts w:ascii="Calibri" w:eastAsia="Times New Roman" w:hAnsi="Calibri" w:cs="Times New Roman"/>
                <w:color w:val="000000"/>
                <w:sz w:val="20"/>
                <w:szCs w:val="20"/>
                <w:lang w:eastAsia="en-AU"/>
              </w:rPr>
              <w:t>$m</w:t>
            </w:r>
          </w:p>
        </w:tc>
        <w:tc>
          <w:tcPr>
            <w:tcW w:w="88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color w:val="000000"/>
                <w:sz w:val="20"/>
                <w:szCs w:val="20"/>
                <w:lang w:eastAsia="en-AU"/>
              </w:rPr>
            </w:pPr>
            <w:r w:rsidRPr="00D458FC">
              <w:rPr>
                <w:rFonts w:ascii="Calibri" w:eastAsia="Times New Roman" w:hAnsi="Calibri" w:cs="Times New Roman"/>
                <w:color w:val="000000"/>
                <w:sz w:val="20"/>
                <w:szCs w:val="20"/>
                <w:lang w:eastAsia="en-AU"/>
              </w:rPr>
              <w:t>$m</w:t>
            </w:r>
          </w:p>
        </w:tc>
      </w:tr>
      <w:tr w:rsidR="00D458FC" w:rsidRPr="00D458FC" w:rsidTr="00D458FC">
        <w:trPr>
          <w:trHeight w:val="315"/>
        </w:trPr>
        <w:tc>
          <w:tcPr>
            <w:tcW w:w="26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rPr>
                <w:rFonts w:ascii="Calibri" w:eastAsia="Times New Roman" w:hAnsi="Calibri" w:cs="Times New Roman"/>
                <w:color w:val="000000"/>
                <w:sz w:val="20"/>
                <w:szCs w:val="20"/>
                <w:lang w:eastAsia="en-AU"/>
              </w:rPr>
            </w:pPr>
            <w:r w:rsidRPr="00D458FC">
              <w:rPr>
                <w:rFonts w:ascii="Calibri" w:eastAsia="Times New Roman" w:hAnsi="Calibri" w:cs="Times New Roman"/>
                <w:color w:val="000000"/>
                <w:sz w:val="20"/>
                <w:szCs w:val="20"/>
                <w:lang w:eastAsia="en-AU"/>
              </w:rPr>
              <w:t>Trend AGM data</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w:t>
            </w:r>
          </w:p>
        </w:tc>
        <w:tc>
          <w:tcPr>
            <w:tcW w:w="74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w:t>
            </w:r>
          </w:p>
        </w:tc>
        <w:tc>
          <w:tcPr>
            <w:tcW w:w="6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w:t>
            </w:r>
          </w:p>
        </w:tc>
        <w:tc>
          <w:tcPr>
            <w:tcW w:w="68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w:t>
            </w:r>
          </w:p>
        </w:tc>
        <w:tc>
          <w:tcPr>
            <w:tcW w:w="68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w:t>
            </w:r>
          </w:p>
        </w:tc>
        <w:tc>
          <w:tcPr>
            <w:tcW w:w="6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w:t>
            </w:r>
          </w:p>
        </w:tc>
        <w:tc>
          <w:tcPr>
            <w:tcW w:w="6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w:t>
            </w:r>
          </w:p>
        </w:tc>
        <w:tc>
          <w:tcPr>
            <w:tcW w:w="88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w:t>
            </w:r>
          </w:p>
        </w:tc>
      </w:tr>
      <w:tr w:rsidR="00D458FC" w:rsidRPr="00D458FC" w:rsidTr="00D458FC">
        <w:trPr>
          <w:trHeight w:val="315"/>
        </w:trPr>
        <w:tc>
          <w:tcPr>
            <w:tcW w:w="260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rPr>
                <w:rFonts w:ascii="Calibri" w:eastAsia="Times New Roman" w:hAnsi="Calibri" w:cs="Times New Roman"/>
                <w:color w:val="000000"/>
                <w:sz w:val="20"/>
                <w:szCs w:val="20"/>
                <w:lang w:eastAsia="en-AU"/>
              </w:rPr>
            </w:pPr>
            <w:r w:rsidRPr="00D458FC">
              <w:rPr>
                <w:rFonts w:ascii="Calibri" w:eastAsia="Times New Roman" w:hAnsi="Calibri" w:cs="Times New Roman"/>
                <w:color w:val="000000"/>
                <w:sz w:val="20"/>
                <w:szCs w:val="20"/>
                <w:lang w:eastAsia="en-AU"/>
              </w:rPr>
              <w:t>Average urban-rural use data</w:t>
            </w:r>
          </w:p>
        </w:tc>
        <w:tc>
          <w:tcPr>
            <w:tcW w:w="76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w:t>
            </w:r>
          </w:p>
        </w:tc>
        <w:tc>
          <w:tcPr>
            <w:tcW w:w="74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-20</w:t>
            </w:r>
          </w:p>
        </w:tc>
        <w:tc>
          <w:tcPr>
            <w:tcW w:w="66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-9</w:t>
            </w:r>
          </w:p>
        </w:tc>
        <w:tc>
          <w:tcPr>
            <w:tcW w:w="68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11</w:t>
            </w:r>
          </w:p>
        </w:tc>
        <w:tc>
          <w:tcPr>
            <w:tcW w:w="68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9</w:t>
            </w:r>
          </w:p>
        </w:tc>
        <w:tc>
          <w:tcPr>
            <w:tcW w:w="66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w:t>
            </w:r>
          </w:p>
        </w:tc>
        <w:tc>
          <w:tcPr>
            <w:tcW w:w="66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w:t>
            </w:r>
          </w:p>
        </w:tc>
        <w:tc>
          <w:tcPr>
            <w:tcW w:w="880" w:type="dxa"/>
            <w:tcBorders>
              <w:top w:val="nil"/>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30</w:t>
            </w:r>
          </w:p>
        </w:tc>
      </w:tr>
      <w:tr w:rsidR="00D458FC" w:rsidRPr="00D458FC" w:rsidTr="00D458FC">
        <w:trPr>
          <w:trHeight w:val="315"/>
        </w:trPr>
        <w:tc>
          <w:tcPr>
            <w:tcW w:w="26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rPr>
                <w:rFonts w:ascii="Calibri" w:eastAsia="Times New Roman" w:hAnsi="Calibri" w:cs="Times New Roman"/>
                <w:color w:val="000000"/>
                <w:sz w:val="20"/>
                <w:szCs w:val="20"/>
                <w:lang w:eastAsia="en-AU"/>
              </w:rPr>
            </w:pPr>
            <w:r w:rsidRPr="00D458FC">
              <w:rPr>
                <w:rFonts w:ascii="Calibri" w:eastAsia="Times New Roman" w:hAnsi="Calibri" w:cs="Times New Roman"/>
                <w:color w:val="000000"/>
                <w:sz w:val="20"/>
                <w:szCs w:val="20"/>
                <w:lang w:eastAsia="en-AU"/>
              </w:rPr>
              <w:t>Total</w:t>
            </w:r>
          </w:p>
        </w:tc>
        <w:tc>
          <w:tcPr>
            <w:tcW w:w="760" w:type="dxa"/>
            <w:tcBorders>
              <w:top w:val="single" w:sz="4" w:space="0" w:color="auto"/>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w:t>
            </w:r>
          </w:p>
        </w:tc>
        <w:tc>
          <w:tcPr>
            <w:tcW w:w="740" w:type="dxa"/>
            <w:tcBorders>
              <w:top w:val="single" w:sz="4" w:space="0" w:color="auto"/>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-20</w:t>
            </w:r>
          </w:p>
        </w:tc>
        <w:tc>
          <w:tcPr>
            <w:tcW w:w="660" w:type="dxa"/>
            <w:tcBorders>
              <w:top w:val="single" w:sz="4" w:space="0" w:color="auto"/>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-9</w:t>
            </w:r>
          </w:p>
        </w:tc>
        <w:tc>
          <w:tcPr>
            <w:tcW w:w="680" w:type="dxa"/>
            <w:tcBorders>
              <w:top w:val="single" w:sz="4" w:space="0" w:color="auto"/>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11</w:t>
            </w:r>
          </w:p>
        </w:tc>
        <w:tc>
          <w:tcPr>
            <w:tcW w:w="680" w:type="dxa"/>
            <w:tcBorders>
              <w:top w:val="single" w:sz="4" w:space="0" w:color="auto"/>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9</w:t>
            </w:r>
          </w:p>
        </w:tc>
        <w:tc>
          <w:tcPr>
            <w:tcW w:w="660" w:type="dxa"/>
            <w:tcBorders>
              <w:top w:val="single" w:sz="4" w:space="0" w:color="auto"/>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w:t>
            </w:r>
          </w:p>
        </w:tc>
        <w:tc>
          <w:tcPr>
            <w:tcW w:w="700" w:type="dxa"/>
            <w:tcBorders>
              <w:top w:val="single" w:sz="4" w:space="0" w:color="auto"/>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w:t>
            </w:r>
          </w:p>
        </w:tc>
        <w:tc>
          <w:tcPr>
            <w:tcW w:w="660" w:type="dxa"/>
            <w:tcBorders>
              <w:top w:val="single" w:sz="4" w:space="0" w:color="auto"/>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w:t>
            </w:r>
          </w:p>
        </w:tc>
        <w:tc>
          <w:tcPr>
            <w:tcW w:w="88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30</w:t>
            </w:r>
          </w:p>
        </w:tc>
      </w:tr>
      <w:tr w:rsidR="00D458FC" w:rsidRPr="00D458FC" w:rsidTr="00D458FC">
        <w:trPr>
          <w:trHeight w:val="263"/>
        </w:trPr>
        <w:tc>
          <w:tcPr>
            <w:tcW w:w="26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$pc</w:t>
            </w:r>
          </w:p>
        </w:tc>
        <w:tc>
          <w:tcPr>
            <w:tcW w:w="74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$pc</w:t>
            </w:r>
          </w:p>
        </w:tc>
        <w:tc>
          <w:tcPr>
            <w:tcW w:w="6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$pc</w:t>
            </w:r>
          </w:p>
        </w:tc>
        <w:tc>
          <w:tcPr>
            <w:tcW w:w="68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$pc</w:t>
            </w:r>
          </w:p>
        </w:tc>
        <w:tc>
          <w:tcPr>
            <w:tcW w:w="68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$pc</w:t>
            </w:r>
          </w:p>
        </w:tc>
        <w:tc>
          <w:tcPr>
            <w:tcW w:w="6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$pc</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$pc</w:t>
            </w:r>
          </w:p>
        </w:tc>
        <w:tc>
          <w:tcPr>
            <w:tcW w:w="6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$pc</w:t>
            </w:r>
          </w:p>
        </w:tc>
        <w:tc>
          <w:tcPr>
            <w:tcW w:w="88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$pc</w:t>
            </w:r>
          </w:p>
        </w:tc>
      </w:tr>
      <w:tr w:rsidR="00D458FC" w:rsidRPr="00D458FC" w:rsidTr="00D458FC">
        <w:trPr>
          <w:trHeight w:val="315"/>
        </w:trPr>
        <w:tc>
          <w:tcPr>
            <w:tcW w:w="26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rPr>
                <w:rFonts w:ascii="Calibri" w:eastAsia="Times New Roman" w:hAnsi="Calibri" w:cs="Times New Roman"/>
                <w:color w:val="000000"/>
                <w:sz w:val="20"/>
                <w:szCs w:val="20"/>
                <w:lang w:eastAsia="en-AU"/>
              </w:rPr>
            </w:pPr>
            <w:r w:rsidRPr="00D458FC">
              <w:rPr>
                <w:rFonts w:ascii="Calibri" w:eastAsia="Times New Roman" w:hAnsi="Calibri" w:cs="Times New Roman"/>
                <w:color w:val="000000"/>
                <w:sz w:val="20"/>
                <w:szCs w:val="20"/>
                <w:lang w:eastAsia="en-AU"/>
              </w:rPr>
              <w:t>Trend AGM data</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w:t>
            </w:r>
          </w:p>
        </w:tc>
        <w:tc>
          <w:tcPr>
            <w:tcW w:w="74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w:t>
            </w:r>
          </w:p>
        </w:tc>
        <w:tc>
          <w:tcPr>
            <w:tcW w:w="6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w:t>
            </w:r>
          </w:p>
        </w:tc>
        <w:tc>
          <w:tcPr>
            <w:tcW w:w="68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w:t>
            </w:r>
          </w:p>
        </w:tc>
        <w:tc>
          <w:tcPr>
            <w:tcW w:w="68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w:t>
            </w:r>
          </w:p>
        </w:tc>
        <w:tc>
          <w:tcPr>
            <w:tcW w:w="6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w:t>
            </w:r>
          </w:p>
        </w:tc>
        <w:tc>
          <w:tcPr>
            <w:tcW w:w="6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w:t>
            </w:r>
          </w:p>
        </w:tc>
        <w:tc>
          <w:tcPr>
            <w:tcW w:w="88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w:t>
            </w:r>
          </w:p>
        </w:tc>
      </w:tr>
      <w:tr w:rsidR="00D458FC" w:rsidRPr="00D458FC" w:rsidTr="00D458FC">
        <w:trPr>
          <w:trHeight w:val="315"/>
        </w:trPr>
        <w:tc>
          <w:tcPr>
            <w:tcW w:w="260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rPr>
                <w:rFonts w:ascii="Calibri" w:eastAsia="Times New Roman" w:hAnsi="Calibri" w:cs="Times New Roman"/>
                <w:color w:val="000000"/>
                <w:sz w:val="20"/>
                <w:szCs w:val="20"/>
                <w:lang w:eastAsia="en-AU"/>
              </w:rPr>
            </w:pPr>
            <w:r w:rsidRPr="00D458FC">
              <w:rPr>
                <w:rFonts w:ascii="Calibri" w:eastAsia="Times New Roman" w:hAnsi="Calibri" w:cs="Times New Roman"/>
                <w:color w:val="000000"/>
                <w:sz w:val="20"/>
                <w:szCs w:val="20"/>
                <w:lang w:eastAsia="en-AU"/>
              </w:rPr>
              <w:t>Average urban-rural use data</w:t>
            </w:r>
          </w:p>
        </w:tc>
        <w:tc>
          <w:tcPr>
            <w:tcW w:w="76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w:t>
            </w:r>
          </w:p>
        </w:tc>
        <w:tc>
          <w:tcPr>
            <w:tcW w:w="74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-3</w:t>
            </w:r>
          </w:p>
        </w:tc>
        <w:tc>
          <w:tcPr>
            <w:tcW w:w="66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w:t>
            </w:r>
          </w:p>
        </w:tc>
        <w:tc>
          <w:tcPr>
            <w:tcW w:w="68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4</w:t>
            </w:r>
          </w:p>
        </w:tc>
        <w:tc>
          <w:tcPr>
            <w:tcW w:w="68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5</w:t>
            </w:r>
          </w:p>
        </w:tc>
        <w:tc>
          <w:tcPr>
            <w:tcW w:w="66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w:t>
            </w:r>
          </w:p>
        </w:tc>
        <w:tc>
          <w:tcPr>
            <w:tcW w:w="66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w:t>
            </w:r>
          </w:p>
        </w:tc>
        <w:tc>
          <w:tcPr>
            <w:tcW w:w="88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w:t>
            </w:r>
          </w:p>
        </w:tc>
      </w:tr>
      <w:tr w:rsidR="00D458FC" w:rsidRPr="00D458FC" w:rsidTr="00D458FC">
        <w:trPr>
          <w:trHeight w:val="315"/>
        </w:trPr>
        <w:tc>
          <w:tcPr>
            <w:tcW w:w="2600" w:type="dxa"/>
            <w:tcBorders>
              <w:top w:val="nil"/>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rPr>
                <w:rFonts w:ascii="Calibri" w:eastAsia="Times New Roman" w:hAnsi="Calibri" w:cs="Times New Roman"/>
                <w:color w:val="000000"/>
                <w:sz w:val="20"/>
                <w:szCs w:val="20"/>
                <w:lang w:eastAsia="en-AU"/>
              </w:rPr>
            </w:pPr>
            <w:r w:rsidRPr="00D458FC">
              <w:rPr>
                <w:rFonts w:ascii="Calibri" w:eastAsia="Times New Roman" w:hAnsi="Calibri" w:cs="Times New Roman"/>
                <w:color w:val="000000"/>
                <w:sz w:val="20"/>
                <w:szCs w:val="20"/>
                <w:lang w:eastAsia="en-AU"/>
              </w:rPr>
              <w:t>Total</w:t>
            </w:r>
          </w:p>
        </w:tc>
        <w:tc>
          <w:tcPr>
            <w:tcW w:w="760" w:type="dxa"/>
            <w:tcBorders>
              <w:top w:val="single" w:sz="4" w:space="0" w:color="auto"/>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w:t>
            </w:r>
          </w:p>
        </w:tc>
        <w:tc>
          <w:tcPr>
            <w:tcW w:w="740" w:type="dxa"/>
            <w:tcBorders>
              <w:top w:val="single" w:sz="4" w:space="0" w:color="auto"/>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-3</w:t>
            </w:r>
          </w:p>
        </w:tc>
        <w:tc>
          <w:tcPr>
            <w:tcW w:w="660" w:type="dxa"/>
            <w:tcBorders>
              <w:top w:val="single" w:sz="4" w:space="0" w:color="auto"/>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w:t>
            </w:r>
          </w:p>
        </w:tc>
        <w:tc>
          <w:tcPr>
            <w:tcW w:w="680" w:type="dxa"/>
            <w:tcBorders>
              <w:top w:val="single" w:sz="4" w:space="0" w:color="auto"/>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4</w:t>
            </w:r>
          </w:p>
        </w:tc>
        <w:tc>
          <w:tcPr>
            <w:tcW w:w="680" w:type="dxa"/>
            <w:tcBorders>
              <w:top w:val="single" w:sz="4" w:space="0" w:color="auto"/>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5</w:t>
            </w:r>
          </w:p>
        </w:tc>
        <w:tc>
          <w:tcPr>
            <w:tcW w:w="660" w:type="dxa"/>
            <w:tcBorders>
              <w:top w:val="single" w:sz="4" w:space="0" w:color="auto"/>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w:t>
            </w:r>
          </w:p>
        </w:tc>
        <w:tc>
          <w:tcPr>
            <w:tcW w:w="700" w:type="dxa"/>
            <w:tcBorders>
              <w:top w:val="single" w:sz="4" w:space="0" w:color="auto"/>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w:t>
            </w:r>
          </w:p>
        </w:tc>
        <w:tc>
          <w:tcPr>
            <w:tcW w:w="660" w:type="dxa"/>
            <w:tcBorders>
              <w:top w:val="single" w:sz="4" w:space="0" w:color="auto"/>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3</w:t>
            </w:r>
          </w:p>
        </w:tc>
        <w:tc>
          <w:tcPr>
            <w:tcW w:w="880" w:type="dxa"/>
            <w:tcBorders>
              <w:top w:val="single" w:sz="4" w:space="0" w:color="auto"/>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w:t>
            </w:r>
          </w:p>
        </w:tc>
      </w:tr>
    </w:tbl>
    <w:p w:rsidR="00B80271" w:rsidRPr="006A198D" w:rsidRDefault="00B80271" w:rsidP="00B80271">
      <w:pPr>
        <w:pStyle w:val="CGCTableFootnote"/>
      </w:pPr>
      <w:r w:rsidRPr="006A198D">
        <w:t>Source:</w:t>
      </w:r>
      <w:r w:rsidRPr="006A198D">
        <w:tab/>
        <w:t>Commission calculation.</w:t>
      </w:r>
    </w:p>
    <w:p w:rsidR="009F2983" w:rsidRPr="006A198D" w:rsidRDefault="009F2983" w:rsidP="0050635A">
      <w:pPr>
        <w:pStyle w:val="Heading5"/>
      </w:pPr>
      <w:bookmarkStart w:id="611" w:name="_Toc441241608"/>
      <w:bookmarkStart w:id="612" w:name="_Toc441499278"/>
      <w:bookmarkStart w:id="613" w:name="_Toc442191928"/>
      <w:bookmarkStart w:id="614" w:name="_Toc442192184"/>
      <w:bookmarkStart w:id="615" w:name="_Toc442192249"/>
      <w:bookmarkStart w:id="616" w:name="_Toc442772831"/>
      <w:bookmarkStart w:id="617" w:name="_Toc442773062"/>
      <w:bookmarkStart w:id="618" w:name="_Toc442773230"/>
      <w:bookmarkStart w:id="619" w:name="_Toc442949160"/>
      <w:bookmarkStart w:id="620" w:name="_Toc441241602"/>
      <w:bookmarkStart w:id="621" w:name="_Toc441499272"/>
      <w:r w:rsidRPr="006A198D">
        <w:t>Road classification</w:t>
      </w:r>
      <w:bookmarkEnd w:id="611"/>
      <w:bookmarkEnd w:id="612"/>
      <w:bookmarkEnd w:id="613"/>
      <w:bookmarkEnd w:id="614"/>
      <w:bookmarkEnd w:id="615"/>
      <w:bookmarkEnd w:id="616"/>
      <w:bookmarkEnd w:id="617"/>
      <w:bookmarkEnd w:id="618"/>
      <w:bookmarkEnd w:id="619"/>
    </w:p>
    <w:p w:rsidR="009F2983" w:rsidRPr="006A198D" w:rsidRDefault="009F2983" w:rsidP="009F2983">
      <w:pPr>
        <w:pStyle w:val="CGCNumberedPara"/>
      </w:pPr>
      <w:r w:rsidRPr="006A198D">
        <w:t>During the 2010 Review the Commission consulted States on how to devise a policy neutral indicator of what roads would be sealed or left unsealed, having noted that State policy appeared to vary widely. We settled on saying that all roads in our synthetic road network that were classified by the consultant who developed the synthetic network as freeways, highways or main roads would be treated as sealed while all others would be unsealed.</w:t>
      </w:r>
    </w:p>
    <w:p w:rsidR="009F2983" w:rsidRPr="006A198D" w:rsidRDefault="009F2983" w:rsidP="009F2983">
      <w:pPr>
        <w:pStyle w:val="CGCNumberedPara"/>
      </w:pPr>
      <w:r w:rsidRPr="006A198D">
        <w:t>Western Australia has raised concerns about the quality of data used in the assessment of roads expenditure.</w:t>
      </w:r>
    </w:p>
    <w:p w:rsidR="009F2983" w:rsidRPr="006A198D" w:rsidRDefault="009F2983" w:rsidP="009F2983">
      <w:pPr>
        <w:pStyle w:val="CGCNumberedPara"/>
      </w:pPr>
      <w:r w:rsidRPr="006A198D">
        <w:t>It said State policy decisions on whether to seal a road may have affected the roads</w:t>
      </w:r>
      <w:r w:rsidR="00E079F5" w:rsidRPr="006A198D">
        <w:t>’</w:t>
      </w:r>
      <w:r w:rsidRPr="006A198D">
        <w:t xml:space="preserve"> classification. It cited the example of </w:t>
      </w:r>
      <w:r w:rsidR="00E079F5" w:rsidRPr="006A198D">
        <w:t xml:space="preserve">the </w:t>
      </w:r>
      <w:r w:rsidRPr="006A198D">
        <w:t>Tanami Road, which runs from Halls Creek in Western Australia to Alice Springs. In the assessment, the Northern Territory section of this road is deemed to be sealed, whereas the section of the road in Western Australia is deemed to be unsealed. It said the Western Australian part of the road should be reclassified as sealed.</w:t>
      </w:r>
    </w:p>
    <w:p w:rsidR="009F2983" w:rsidRPr="006A198D" w:rsidRDefault="009F2983" w:rsidP="009F2983">
      <w:pPr>
        <w:pStyle w:val="CGCNumberedPara"/>
      </w:pPr>
      <w:r w:rsidRPr="006A198D">
        <w:t>Western Australia is also concerned that the Commission’s measure of unsealed roads does not reflect average policy, since the roads deemed unsealed are in practice a mix of sealed and unsealed roads. It said a better measure would be to assume a fixed proportion of unsealed roads in each State, based on the national proportion.</w:t>
      </w:r>
    </w:p>
    <w:p w:rsidR="009F2983" w:rsidRPr="006A198D" w:rsidRDefault="009F2983" w:rsidP="009F2983">
      <w:pPr>
        <w:pStyle w:val="CGCNumberedPara"/>
      </w:pPr>
      <w:r w:rsidRPr="006A198D">
        <w:t>It noted that the road link between Mount Magnet and Leinster Road is a major freight link and is sealed, although it is treated as an unsealed road in our assessment. It thought that this is possibly because it has only recently been sealed.</w:t>
      </w:r>
    </w:p>
    <w:p w:rsidR="009F2983" w:rsidRPr="006A198D" w:rsidRDefault="009F2983" w:rsidP="009F2983">
      <w:pPr>
        <w:pStyle w:val="CGCNumberedPara"/>
      </w:pPr>
      <w:r w:rsidRPr="006A198D">
        <w:lastRenderedPageBreak/>
        <w:t>We recognise the concerns raised by Western Australia but consider that addressing them in a piecemeal fashion is not practical and that ch</w:t>
      </w:r>
      <w:r w:rsidR="00684191" w:rsidRPr="006A198D">
        <w:t>anging our methodology in this u</w:t>
      </w:r>
      <w:r w:rsidRPr="006A198D">
        <w:t>pdate</w:t>
      </w:r>
      <w:r w:rsidR="001B4C83">
        <w:t xml:space="preserve"> is</w:t>
      </w:r>
      <w:r w:rsidRPr="006A198D">
        <w:t xml:space="preserve"> inappropriate. We consider that it would be desirable to revisit the issue of a policy neutral indicator of the mix of sealed and unsealed roads in the next review when all State views can be taken into consideration.</w:t>
      </w:r>
    </w:p>
    <w:p w:rsidR="00E12C9E" w:rsidRDefault="00B80271" w:rsidP="00B80271">
      <w:pPr>
        <w:pStyle w:val="Heading4"/>
      </w:pPr>
      <w:bookmarkStart w:id="622" w:name="_Toc442883299"/>
      <w:bookmarkStart w:id="623" w:name="_Toc442949161"/>
      <w:bookmarkStart w:id="624" w:name="_Toc442191929"/>
      <w:bookmarkStart w:id="625" w:name="_Toc442192185"/>
      <w:bookmarkStart w:id="626" w:name="_Toc442192250"/>
      <w:bookmarkStart w:id="627" w:name="_Toc442772832"/>
      <w:bookmarkStart w:id="628" w:name="_Toc442773063"/>
      <w:bookmarkStart w:id="629" w:name="_Toc442773231"/>
      <w:r w:rsidRPr="006A198D">
        <w:t>Welfare assessment</w:t>
      </w:r>
      <w:bookmarkEnd w:id="622"/>
      <w:bookmarkEnd w:id="623"/>
    </w:p>
    <w:p w:rsidR="00B80271" w:rsidRPr="006A198D" w:rsidRDefault="00E12C9E" w:rsidP="0050635A">
      <w:pPr>
        <w:pStyle w:val="Heading5"/>
      </w:pPr>
      <w:bookmarkStart w:id="630" w:name="_Toc442949162"/>
      <w:r>
        <w:t>N</w:t>
      </w:r>
      <w:r w:rsidR="00B80271" w:rsidRPr="006A198D">
        <w:t>ew child protection data</w:t>
      </w:r>
      <w:bookmarkEnd w:id="620"/>
      <w:bookmarkEnd w:id="621"/>
      <w:bookmarkEnd w:id="624"/>
      <w:bookmarkEnd w:id="625"/>
      <w:bookmarkEnd w:id="626"/>
      <w:bookmarkEnd w:id="627"/>
      <w:bookmarkEnd w:id="628"/>
      <w:bookmarkEnd w:id="629"/>
      <w:bookmarkEnd w:id="630"/>
    </w:p>
    <w:p w:rsidR="00B80271" w:rsidRPr="006A198D" w:rsidRDefault="00B80271" w:rsidP="00B80271">
      <w:pPr>
        <w:pStyle w:val="CGCNumberedPara"/>
        <w:numPr>
          <w:ilvl w:val="1"/>
          <w:numId w:val="2"/>
        </w:numPr>
      </w:pPr>
      <w:r w:rsidRPr="006A198D">
        <w:t>The 2015 Review assessment of family and child services in the Welfare category contained a split of substantiations by remoteness and socio-economic status, for both Indigenous and non-Indigenous children, based on data provided by the AIHW from five States (data from New South Wales, Queensland and Western Australia were not available). For 2014-15, the</w:t>
      </w:r>
      <w:r w:rsidR="001B4C83">
        <w:t xml:space="preserve"> Australian Institute of Health and Welfare</w:t>
      </w:r>
      <w:r w:rsidRPr="006A198D">
        <w:t xml:space="preserve"> </w:t>
      </w:r>
      <w:r w:rsidR="001B4C83">
        <w:t>(</w:t>
      </w:r>
      <w:r w:rsidRPr="006A198D">
        <w:t>AIHW</w:t>
      </w:r>
      <w:r w:rsidR="001B4C83">
        <w:t>)</w:t>
      </w:r>
      <w:r w:rsidRPr="006A198D">
        <w:t xml:space="preserve"> was able to provide these data for seven States – including Queensland and Western Australia. </w:t>
      </w:r>
    </w:p>
    <w:p w:rsidR="00B80271" w:rsidRPr="00E329EA" w:rsidRDefault="00B80271" w:rsidP="00B80271">
      <w:pPr>
        <w:pStyle w:val="CGCNumberedPara"/>
        <w:numPr>
          <w:ilvl w:val="1"/>
          <w:numId w:val="2"/>
        </w:numPr>
      </w:pPr>
      <w:r w:rsidRPr="00E329EA">
        <w:t>Because the 2014-15 data are more representative than the data from previous years, which were based on five States, we have used the 2014</w:t>
      </w:r>
      <w:r w:rsidRPr="00E329EA">
        <w:noBreakHyphen/>
        <w:t xml:space="preserve">15 data for all assessment years. </w:t>
      </w:r>
      <w:r w:rsidRPr="00E329EA">
        <w:fldChar w:fldCharType="begin"/>
      </w:r>
      <w:r w:rsidRPr="00E329EA">
        <w:instrText xml:space="preserve"> REF _Ref437851432 \h  \* MERGEFORMAT </w:instrText>
      </w:r>
      <w:r w:rsidRPr="00E329EA">
        <w:fldChar w:fldCharType="separate"/>
      </w:r>
      <w:r w:rsidR="007A6AF0" w:rsidRPr="00E329EA">
        <w:t xml:space="preserve">Table </w:t>
      </w:r>
      <w:r w:rsidR="007A6AF0">
        <w:rPr>
          <w:noProof/>
        </w:rPr>
        <w:t>2</w:t>
      </w:r>
      <w:r w:rsidR="007A6AF0" w:rsidRPr="00E329EA">
        <w:rPr>
          <w:noProof/>
        </w:rPr>
        <w:noBreakHyphen/>
      </w:r>
      <w:r w:rsidR="007A6AF0">
        <w:rPr>
          <w:noProof/>
        </w:rPr>
        <w:t>2</w:t>
      </w:r>
      <w:r w:rsidRPr="00E329EA">
        <w:fldChar w:fldCharType="end"/>
      </w:r>
      <w:r w:rsidRPr="00E329EA">
        <w:t xml:space="preserve"> shows the impact on the GST distribution of revising the data used in the 2015 Review. The new data have a material impact only on the Northern Territory. This was due to an increase in the measured share of substantiations attributed to remote Indigenous children. The Northern Territory has a large proportion of remote Indigenous children.</w:t>
      </w:r>
    </w:p>
    <w:p w:rsidR="00B80271" w:rsidRPr="00E329EA" w:rsidRDefault="00B80271" w:rsidP="00B80271">
      <w:pPr>
        <w:pStyle w:val="CGCTableHeading"/>
      </w:pPr>
      <w:bookmarkStart w:id="631" w:name="_Ref437851432"/>
      <w:r w:rsidRPr="00E329EA">
        <w:t xml:space="preserve">Table </w:t>
      </w:r>
      <w:r w:rsidR="0014378B">
        <w:fldChar w:fldCharType="begin"/>
      </w:r>
      <w:r w:rsidR="0014378B">
        <w:instrText xml:space="preserve"> STYLEREF 1 \s </w:instrText>
      </w:r>
      <w:r w:rsidR="0014378B">
        <w:fldChar w:fldCharType="separate"/>
      </w:r>
      <w:r w:rsidR="007A6AF0">
        <w:rPr>
          <w:noProof/>
        </w:rPr>
        <w:t>2</w:t>
      </w:r>
      <w:r w:rsidR="0014378B">
        <w:rPr>
          <w:noProof/>
        </w:rPr>
        <w:fldChar w:fldCharType="end"/>
      </w:r>
      <w:r w:rsidRPr="00E329EA">
        <w:noBreakHyphen/>
      </w:r>
      <w:r w:rsidR="0014378B">
        <w:fldChar w:fldCharType="begin"/>
      </w:r>
      <w:r w:rsidR="0014378B">
        <w:instrText xml:space="preserve"> SEQ Table \* ARABIC \s 1 </w:instrText>
      </w:r>
      <w:r w:rsidR="0014378B">
        <w:fldChar w:fldCharType="separate"/>
      </w:r>
      <w:r w:rsidR="007A6AF0">
        <w:rPr>
          <w:noProof/>
        </w:rPr>
        <w:t>2</w:t>
      </w:r>
      <w:r w:rsidR="0014378B">
        <w:rPr>
          <w:noProof/>
        </w:rPr>
        <w:fldChar w:fldCharType="end"/>
      </w:r>
      <w:bookmarkEnd w:id="631"/>
      <w:r w:rsidRPr="00E329EA">
        <w:tab/>
        <w:t>Impact on the GST distribution of the new child protection data</w:t>
      </w:r>
      <w:r w:rsidR="0080740E">
        <w:t>, 2016</w:t>
      </w:r>
      <w:r w:rsidR="0080740E">
        <w:noBreakHyphen/>
        <w:t>17</w:t>
      </w:r>
    </w:p>
    <w:tbl>
      <w:tblPr>
        <w:tblW w:w="8980" w:type="dxa"/>
        <w:tblInd w:w="93" w:type="dxa"/>
        <w:tblLook w:val="04A0" w:firstRow="1" w:lastRow="0" w:firstColumn="1" w:lastColumn="0" w:noHBand="0" w:noVBand="1"/>
      </w:tblPr>
      <w:tblGrid>
        <w:gridCol w:w="880"/>
        <w:gridCol w:w="960"/>
        <w:gridCol w:w="820"/>
        <w:gridCol w:w="880"/>
        <w:gridCol w:w="860"/>
        <w:gridCol w:w="820"/>
        <w:gridCol w:w="880"/>
        <w:gridCol w:w="880"/>
        <w:gridCol w:w="860"/>
        <w:gridCol w:w="1140"/>
      </w:tblGrid>
      <w:tr w:rsidR="00D458FC" w:rsidRPr="00D458FC" w:rsidTr="00D458FC">
        <w:trPr>
          <w:trHeight w:val="379"/>
        </w:trPr>
        <w:tc>
          <w:tcPr>
            <w:tcW w:w="88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bookmarkStart w:id="632" w:name="RANGE!A3:J5"/>
            <w:r w:rsidRPr="00D458FC">
              <w:rPr>
                <w:rFonts w:ascii="Calibri" w:eastAsia="Times New Roman" w:hAnsi="Calibri" w:cs="Times New Roman"/>
                <w:sz w:val="20"/>
                <w:szCs w:val="20"/>
                <w:lang w:eastAsia="en-AU"/>
              </w:rPr>
              <w:t> </w:t>
            </w:r>
            <w:bookmarkEnd w:id="632"/>
          </w:p>
        </w:tc>
        <w:tc>
          <w:tcPr>
            <w:tcW w:w="96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NSW</w:t>
            </w:r>
          </w:p>
        </w:tc>
        <w:tc>
          <w:tcPr>
            <w:tcW w:w="82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Vic</w:t>
            </w:r>
          </w:p>
        </w:tc>
        <w:tc>
          <w:tcPr>
            <w:tcW w:w="88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Qld</w:t>
            </w:r>
          </w:p>
        </w:tc>
        <w:tc>
          <w:tcPr>
            <w:tcW w:w="86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WA</w:t>
            </w:r>
          </w:p>
        </w:tc>
        <w:tc>
          <w:tcPr>
            <w:tcW w:w="82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SA</w:t>
            </w:r>
          </w:p>
        </w:tc>
        <w:tc>
          <w:tcPr>
            <w:tcW w:w="88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Tas</w:t>
            </w:r>
          </w:p>
        </w:tc>
        <w:tc>
          <w:tcPr>
            <w:tcW w:w="88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ACT</w:t>
            </w:r>
          </w:p>
        </w:tc>
        <w:tc>
          <w:tcPr>
            <w:tcW w:w="86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NT</w:t>
            </w:r>
          </w:p>
        </w:tc>
        <w:tc>
          <w:tcPr>
            <w:tcW w:w="114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proofErr w:type="spellStart"/>
            <w:r w:rsidRPr="00D458FC">
              <w:rPr>
                <w:rFonts w:ascii="Calibri" w:eastAsia="Times New Roman" w:hAnsi="Calibri" w:cs="Times New Roman"/>
                <w:sz w:val="20"/>
                <w:szCs w:val="20"/>
                <w:lang w:eastAsia="en-AU"/>
              </w:rPr>
              <w:t>Redist</w:t>
            </w:r>
            <w:proofErr w:type="spellEnd"/>
          </w:p>
        </w:tc>
      </w:tr>
      <w:tr w:rsidR="00D458FC" w:rsidRPr="00D458FC" w:rsidTr="00D458FC">
        <w:trPr>
          <w:trHeight w:val="315"/>
        </w:trPr>
        <w:tc>
          <w:tcPr>
            <w:tcW w:w="88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$m</w:t>
            </w:r>
          </w:p>
        </w:tc>
        <w:tc>
          <w:tcPr>
            <w:tcW w:w="96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-19</w:t>
            </w:r>
          </w:p>
        </w:tc>
        <w:tc>
          <w:tcPr>
            <w:tcW w:w="82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w:t>
            </w:r>
          </w:p>
        </w:tc>
        <w:tc>
          <w:tcPr>
            <w:tcW w:w="88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w:t>
            </w:r>
          </w:p>
        </w:tc>
        <w:tc>
          <w:tcPr>
            <w:tcW w:w="86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5</w:t>
            </w:r>
          </w:p>
        </w:tc>
        <w:tc>
          <w:tcPr>
            <w:tcW w:w="82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-5</w:t>
            </w:r>
          </w:p>
        </w:tc>
        <w:tc>
          <w:tcPr>
            <w:tcW w:w="88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w:t>
            </w:r>
          </w:p>
        </w:tc>
        <w:tc>
          <w:tcPr>
            <w:tcW w:w="88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w:t>
            </w:r>
          </w:p>
        </w:tc>
        <w:tc>
          <w:tcPr>
            <w:tcW w:w="86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20</w:t>
            </w:r>
          </w:p>
        </w:tc>
        <w:tc>
          <w:tcPr>
            <w:tcW w:w="114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27</w:t>
            </w:r>
          </w:p>
        </w:tc>
      </w:tr>
      <w:tr w:rsidR="00D458FC" w:rsidRPr="00D458FC" w:rsidTr="00D458FC">
        <w:trPr>
          <w:trHeight w:val="315"/>
        </w:trPr>
        <w:tc>
          <w:tcPr>
            <w:tcW w:w="880" w:type="dxa"/>
            <w:tcBorders>
              <w:top w:val="nil"/>
              <w:left w:val="nil"/>
              <w:bottom w:val="single" w:sz="4" w:space="0" w:color="auto"/>
              <w:right w:val="nil"/>
            </w:tcBorders>
            <w:shd w:val="clear" w:color="auto" w:fill="auto"/>
            <w:vAlign w:val="bottom"/>
            <w:hideMark/>
          </w:tcPr>
          <w:p w:rsidR="00D458FC" w:rsidRPr="00D458FC" w:rsidRDefault="00D458FC" w:rsidP="00D458FC">
            <w:pPr>
              <w:tabs>
                <w:tab w:val="clear" w:pos="567"/>
              </w:tabs>
              <w:spacing w:after="0" w:line="240" w:lineRule="auto"/>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$pc</w:t>
            </w:r>
          </w:p>
        </w:tc>
        <w:tc>
          <w:tcPr>
            <w:tcW w:w="960" w:type="dxa"/>
            <w:tcBorders>
              <w:top w:val="nil"/>
              <w:left w:val="nil"/>
              <w:bottom w:val="single" w:sz="4" w:space="0" w:color="auto"/>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w:t>
            </w:r>
          </w:p>
        </w:tc>
        <w:tc>
          <w:tcPr>
            <w:tcW w:w="820" w:type="dxa"/>
            <w:tcBorders>
              <w:top w:val="nil"/>
              <w:left w:val="nil"/>
              <w:bottom w:val="single" w:sz="4" w:space="0" w:color="auto"/>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w:t>
            </w:r>
          </w:p>
        </w:tc>
        <w:tc>
          <w:tcPr>
            <w:tcW w:w="880" w:type="dxa"/>
            <w:tcBorders>
              <w:top w:val="nil"/>
              <w:left w:val="nil"/>
              <w:bottom w:val="single" w:sz="4" w:space="0" w:color="auto"/>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w:t>
            </w:r>
          </w:p>
        </w:tc>
        <w:tc>
          <w:tcPr>
            <w:tcW w:w="860" w:type="dxa"/>
            <w:tcBorders>
              <w:top w:val="nil"/>
              <w:left w:val="nil"/>
              <w:bottom w:val="single" w:sz="4" w:space="0" w:color="auto"/>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w:t>
            </w:r>
          </w:p>
        </w:tc>
        <w:tc>
          <w:tcPr>
            <w:tcW w:w="820" w:type="dxa"/>
            <w:tcBorders>
              <w:top w:val="nil"/>
              <w:left w:val="nil"/>
              <w:bottom w:val="single" w:sz="4" w:space="0" w:color="auto"/>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-3</w:t>
            </w:r>
          </w:p>
        </w:tc>
        <w:tc>
          <w:tcPr>
            <w:tcW w:w="880" w:type="dxa"/>
            <w:tcBorders>
              <w:top w:val="nil"/>
              <w:left w:val="nil"/>
              <w:bottom w:val="single" w:sz="4" w:space="0" w:color="auto"/>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-3</w:t>
            </w:r>
          </w:p>
        </w:tc>
        <w:tc>
          <w:tcPr>
            <w:tcW w:w="880" w:type="dxa"/>
            <w:tcBorders>
              <w:top w:val="nil"/>
              <w:left w:val="nil"/>
              <w:bottom w:val="single" w:sz="4" w:space="0" w:color="auto"/>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3</w:t>
            </w:r>
          </w:p>
        </w:tc>
        <w:tc>
          <w:tcPr>
            <w:tcW w:w="860" w:type="dxa"/>
            <w:tcBorders>
              <w:top w:val="nil"/>
              <w:left w:val="nil"/>
              <w:bottom w:val="single" w:sz="4" w:space="0" w:color="auto"/>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80</w:t>
            </w:r>
          </w:p>
        </w:tc>
        <w:tc>
          <w:tcPr>
            <w:tcW w:w="1140" w:type="dxa"/>
            <w:tcBorders>
              <w:top w:val="nil"/>
              <w:left w:val="nil"/>
              <w:bottom w:val="single" w:sz="4" w:space="0" w:color="auto"/>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w:t>
            </w:r>
          </w:p>
        </w:tc>
      </w:tr>
    </w:tbl>
    <w:p w:rsidR="00B80271" w:rsidRPr="00E329EA" w:rsidRDefault="00B80271" w:rsidP="00B80271">
      <w:pPr>
        <w:pStyle w:val="CGCTableFootnote"/>
      </w:pPr>
      <w:r w:rsidRPr="00E329EA">
        <w:t>Source:</w:t>
      </w:r>
      <w:r w:rsidRPr="00E329EA">
        <w:tab/>
        <w:t>Commission calculation.</w:t>
      </w:r>
    </w:p>
    <w:p w:rsidR="00B80271" w:rsidRPr="006A198D" w:rsidRDefault="00B80271" w:rsidP="0050635A">
      <w:pPr>
        <w:pStyle w:val="Heading5"/>
      </w:pPr>
      <w:bookmarkStart w:id="633" w:name="_Toc441241604"/>
      <w:bookmarkStart w:id="634" w:name="_Toc441499274"/>
      <w:bookmarkStart w:id="635" w:name="_Toc442191930"/>
      <w:bookmarkStart w:id="636" w:name="_Toc442192186"/>
      <w:bookmarkStart w:id="637" w:name="_Toc442192251"/>
      <w:bookmarkStart w:id="638" w:name="_Toc442772833"/>
      <w:bookmarkStart w:id="639" w:name="_Toc442773064"/>
      <w:bookmarkStart w:id="640" w:name="_Toc442773232"/>
      <w:bookmarkStart w:id="641" w:name="_Toc442949163"/>
      <w:r w:rsidRPr="00E329EA">
        <w:t>Socio-economic index</w:t>
      </w:r>
      <w:r w:rsidRPr="006A198D">
        <w:t xml:space="preserve"> for individuals (SEIFI) or households</w:t>
      </w:r>
      <w:bookmarkEnd w:id="633"/>
      <w:bookmarkEnd w:id="634"/>
      <w:bookmarkEnd w:id="635"/>
      <w:bookmarkEnd w:id="636"/>
      <w:bookmarkEnd w:id="637"/>
      <w:bookmarkEnd w:id="638"/>
      <w:bookmarkEnd w:id="639"/>
      <w:bookmarkEnd w:id="640"/>
      <w:bookmarkEnd w:id="641"/>
    </w:p>
    <w:p w:rsidR="00B80271" w:rsidRPr="006A198D" w:rsidRDefault="00B80271" w:rsidP="00B80271">
      <w:pPr>
        <w:pStyle w:val="CGCNumberedPara"/>
      </w:pPr>
      <w:r w:rsidRPr="006A198D">
        <w:t xml:space="preserve">To measure differences in the socio-economic status of State residents in the </w:t>
      </w:r>
      <w:proofErr w:type="gramStart"/>
      <w:r w:rsidRPr="006A198D">
        <w:t>Other</w:t>
      </w:r>
      <w:proofErr w:type="gramEnd"/>
      <w:r w:rsidRPr="006A198D">
        <w:t xml:space="preserve"> general welfare assessment</w:t>
      </w:r>
      <w:r w:rsidR="00BE4EB5" w:rsidRPr="006A198D">
        <w:t xml:space="preserve"> we use the census based Socio-E</w:t>
      </w:r>
      <w:r w:rsidRPr="006A198D">
        <w:t xml:space="preserve">conomic </w:t>
      </w:r>
      <w:r w:rsidR="00BE4EB5" w:rsidRPr="006A198D">
        <w:t>Index for I</w:t>
      </w:r>
      <w:r w:rsidRPr="006A198D">
        <w:t>ndividuals (SEIFI).</w:t>
      </w:r>
    </w:p>
    <w:p w:rsidR="00B80271" w:rsidRPr="006A198D" w:rsidRDefault="00B80271" w:rsidP="00B80271">
      <w:pPr>
        <w:pStyle w:val="CGCNumberedPara"/>
      </w:pPr>
      <w:r w:rsidRPr="006A198D">
        <w:t xml:space="preserve">In the 2015 Review a measure based on the 2011 Census was not available and, in anticipation of a future release of 2011 Census based data, we used the 2006 Census index, adjusted for changes in the relative proportions of State populations with health care cards or pensioner concession cards between the 2006 and 2011 Censuses. In consultation with the States, we considered a range of other possible </w:t>
      </w:r>
      <w:r w:rsidRPr="006A198D">
        <w:lastRenderedPageBreak/>
        <w:t>measures but on balance decided that they were inferior, for example because they focused on a narrow range of welfare recipients.</w:t>
      </w:r>
    </w:p>
    <w:p w:rsidR="00B80271" w:rsidRPr="006A198D" w:rsidRDefault="00B80271" w:rsidP="00B80271">
      <w:pPr>
        <w:pStyle w:val="CGCNumberedPara"/>
      </w:pPr>
      <w:r w:rsidRPr="006A198D">
        <w:t>The ABS has advised that constructing the index based on 2011 Census data is not on its work plan for 2015-16. It is therefore unlikely that the ABS will produce a 2011</w:t>
      </w:r>
      <w:r w:rsidR="001106B6">
        <w:t> </w:t>
      </w:r>
      <w:r w:rsidRPr="006A198D">
        <w:t xml:space="preserve">Census based index. </w:t>
      </w:r>
    </w:p>
    <w:p w:rsidR="00B80271" w:rsidRPr="006A198D" w:rsidRDefault="00B80271" w:rsidP="00B80271">
      <w:pPr>
        <w:pStyle w:val="CGCNumberedPara"/>
      </w:pPr>
      <w:r w:rsidRPr="006A198D">
        <w:t>Queensland said that if the ABS does not produce an updated SEIFI before the 2017</w:t>
      </w:r>
      <w:r w:rsidR="001106B6">
        <w:t> </w:t>
      </w:r>
      <w:r w:rsidRPr="006A198D">
        <w:t>Update, it would like the Commission to consider whether there are alternative methods or data sources that may give more accurate results.</w:t>
      </w:r>
    </w:p>
    <w:p w:rsidR="00B80271" w:rsidRPr="006A198D" w:rsidRDefault="00B80271" w:rsidP="00B80271">
      <w:pPr>
        <w:pStyle w:val="CGCNumberedPara"/>
      </w:pPr>
      <w:r w:rsidRPr="006A198D">
        <w:t>The ACT asked the Commission to pursue the issue with the ABS as a matter of priority. It said its ABS Statistical Liaison Officer advised it that the ABS has no plans to update the index unless it was funded by users.</w:t>
      </w:r>
    </w:p>
    <w:p w:rsidR="00B80271" w:rsidRPr="006A198D" w:rsidRDefault="00B80271" w:rsidP="00B80271">
      <w:pPr>
        <w:pStyle w:val="CGCNumberedPara"/>
      </w:pPr>
      <w:r w:rsidRPr="006A198D">
        <w:t>We have retained the 2006 Census index, adjusted for changes in the relative proportions of State populations with health care cards or pensioner concession cards between the 2006 and 2011 Censuses. We will continue using this index until the next review unless the AB</w:t>
      </w:r>
      <w:r w:rsidR="00BE4EB5" w:rsidRPr="006A198D">
        <w:t>S produces a 2011 Census based s</w:t>
      </w:r>
      <w:r w:rsidRPr="006A198D">
        <w:t>ocio-economic index or States identify a new data source which would provide a more appropriate indicator.</w:t>
      </w:r>
    </w:p>
    <w:p w:rsidR="00B80271" w:rsidRPr="006A198D" w:rsidRDefault="00B80271" w:rsidP="00B80271">
      <w:pPr>
        <w:pStyle w:val="Heading4"/>
      </w:pPr>
      <w:bookmarkStart w:id="642" w:name="_Toc442191931"/>
      <w:bookmarkStart w:id="643" w:name="_Toc442192187"/>
      <w:bookmarkStart w:id="644" w:name="_Toc442192252"/>
      <w:bookmarkStart w:id="645" w:name="_Toc442772834"/>
      <w:bookmarkStart w:id="646" w:name="_Toc442773065"/>
      <w:bookmarkStart w:id="647" w:name="_Toc442773233"/>
      <w:bookmarkStart w:id="648" w:name="_Toc442883300"/>
      <w:bookmarkStart w:id="649" w:name="_Toc442949164"/>
      <w:bookmarkStart w:id="650" w:name="_Toc441241610"/>
      <w:bookmarkStart w:id="651" w:name="_Toc441499280"/>
      <w:r w:rsidRPr="006A198D">
        <w:t>Independent Hospital Pricing Authority (IHPA) data in the Health assessment</w:t>
      </w:r>
      <w:bookmarkEnd w:id="642"/>
      <w:bookmarkEnd w:id="643"/>
      <w:bookmarkEnd w:id="644"/>
      <w:bookmarkEnd w:id="645"/>
      <w:bookmarkEnd w:id="646"/>
      <w:bookmarkEnd w:id="647"/>
      <w:bookmarkEnd w:id="648"/>
      <w:bookmarkEnd w:id="649"/>
    </w:p>
    <w:p w:rsidR="00B80271" w:rsidRPr="006A198D" w:rsidRDefault="00B80271" w:rsidP="00B80271">
      <w:pPr>
        <w:pStyle w:val="CGCNumberedPara"/>
      </w:pPr>
      <w:r w:rsidRPr="006A198D">
        <w:t xml:space="preserve">In the 2015 Review the Commission decided to use IHPA data in the assessment of health services, so that we used one data provider to measure the use and cost of all health services. In addition, in the 2015 Review report, we said our understanding was that the IHPA data were likely to be available on a </w:t>
      </w:r>
      <w:proofErr w:type="gramStart"/>
      <w:r w:rsidR="008908E0" w:rsidRPr="006A198D">
        <w:t>more timely</w:t>
      </w:r>
      <w:proofErr w:type="gramEnd"/>
      <w:r w:rsidR="008908E0" w:rsidRPr="006A198D">
        <w:t xml:space="preserve"> </w:t>
      </w:r>
      <w:r w:rsidRPr="006A198D">
        <w:t xml:space="preserve">basis than the </w:t>
      </w:r>
      <w:r w:rsidR="001106B6">
        <w:t>AIHW</w:t>
      </w:r>
      <w:r w:rsidRPr="006A198D">
        <w:t xml:space="preserve"> data which meant we would not need to use lagged data in the assessment.</w:t>
      </w:r>
      <w:r w:rsidRPr="006A198D">
        <w:rPr>
          <w:rStyle w:val="FootnoteReference"/>
        </w:rPr>
        <w:footnoteReference w:id="11"/>
      </w:r>
      <w:r w:rsidRPr="006A198D">
        <w:t xml:space="preserve">  </w:t>
      </w:r>
    </w:p>
    <w:p w:rsidR="00B80271" w:rsidRPr="006A198D" w:rsidRDefault="00B80271" w:rsidP="00B80271">
      <w:pPr>
        <w:pStyle w:val="CGCNumberedPara"/>
      </w:pPr>
      <w:r w:rsidRPr="006A198D">
        <w:t xml:space="preserve">Consistent with this, we used preliminary IHPA for 2013-14 in the assessment of health costs for the 2013-14 assessment </w:t>
      </w:r>
      <w:proofErr w:type="gramStart"/>
      <w:r w:rsidRPr="006A198D">
        <w:t>year</w:t>
      </w:r>
      <w:proofErr w:type="gramEnd"/>
      <w:r w:rsidRPr="006A198D">
        <w:t xml:space="preserve"> in the 2015 Review.</w:t>
      </w:r>
    </w:p>
    <w:p w:rsidR="00B80271" w:rsidRPr="006A198D" w:rsidRDefault="00B80271" w:rsidP="00B80271">
      <w:pPr>
        <w:pStyle w:val="CGCNumberedPara"/>
      </w:pPr>
      <w:r w:rsidRPr="006A198D">
        <w:t>However in this inquiry we sought IHPA’s advice on whether the final 2013</w:t>
      </w:r>
      <w:r w:rsidR="008908E0" w:rsidRPr="006A198D">
        <w:noBreakHyphen/>
      </w:r>
      <w:r w:rsidR="00BE4EB5" w:rsidRPr="006A198D">
        <w:t>14</w:t>
      </w:r>
      <w:r w:rsidRPr="006A198D">
        <w:t xml:space="preserve"> or the preliminary 2014</w:t>
      </w:r>
      <w:r w:rsidR="008908E0" w:rsidRPr="006A198D">
        <w:noBreakHyphen/>
      </w:r>
      <w:r w:rsidR="00BE4EB5" w:rsidRPr="006A198D">
        <w:t xml:space="preserve">15 </w:t>
      </w:r>
      <w:r w:rsidRPr="006A198D">
        <w:t>data would be the most reliable data for our purposes, after observing an unusually large increase in National Weighted Activity Units (NWAUs) in the most recent data.</w:t>
      </w:r>
    </w:p>
    <w:p w:rsidR="00B80271" w:rsidRPr="006A198D" w:rsidRDefault="00B80271" w:rsidP="00B80271">
      <w:pPr>
        <w:pStyle w:val="CGCNumberedPara"/>
      </w:pPr>
      <w:r w:rsidRPr="006A198D">
        <w:t>IHPA’s advice was that the National Efficient Price (NEP) methodology changes each year, and for 2014</w:t>
      </w:r>
      <w:r w:rsidR="008908E0" w:rsidRPr="006A198D">
        <w:noBreakHyphen/>
      </w:r>
      <w:r w:rsidRPr="006A198D">
        <w:t>15 there were changes in the classification of Emergency Services activity. These changes have affected the comparability of data for 2013</w:t>
      </w:r>
      <w:r w:rsidR="008908E0" w:rsidRPr="006A198D">
        <w:noBreakHyphen/>
      </w:r>
      <w:r w:rsidRPr="006A198D">
        <w:t>14 and 2014</w:t>
      </w:r>
      <w:r w:rsidR="008908E0" w:rsidRPr="006A198D">
        <w:noBreakHyphen/>
      </w:r>
      <w:r w:rsidRPr="006A198D">
        <w:t>15. While IHPA resolves these issues, it said that using the 2013</w:t>
      </w:r>
      <w:r w:rsidR="008908E0" w:rsidRPr="006A198D">
        <w:noBreakHyphen/>
      </w:r>
      <w:r w:rsidRPr="006A198D">
        <w:t xml:space="preserve">14 final data would be more reliable for determining the distribution of cost weighted hospital </w:t>
      </w:r>
      <w:r w:rsidRPr="006A198D">
        <w:lastRenderedPageBreak/>
        <w:t>activi</w:t>
      </w:r>
      <w:r w:rsidR="00BE4EB5" w:rsidRPr="006A198D">
        <w:t>ty by population cohort in 2014</w:t>
      </w:r>
      <w:r w:rsidR="00BE4EB5" w:rsidRPr="006A198D">
        <w:noBreakHyphen/>
      </w:r>
      <w:r w:rsidRPr="006A198D">
        <w:t>15.</w:t>
      </w:r>
      <w:r w:rsidR="008908E0" w:rsidRPr="006A198D">
        <w:t xml:space="preserve"> We have not used 2014</w:t>
      </w:r>
      <w:r w:rsidR="008908E0" w:rsidRPr="006A198D">
        <w:noBreakHyphen/>
        <w:t>1</w:t>
      </w:r>
      <w:r w:rsidR="00BE4EB5" w:rsidRPr="006A198D">
        <w:t>5</w:t>
      </w:r>
      <w:r w:rsidR="008908E0" w:rsidRPr="006A198D">
        <w:t xml:space="preserve"> IHPA data in the health assessments in this update.</w:t>
      </w:r>
    </w:p>
    <w:p w:rsidR="00B80271" w:rsidRPr="006A198D" w:rsidRDefault="00B80271" w:rsidP="00B80271">
      <w:pPr>
        <w:pStyle w:val="CGCNumberedPara"/>
      </w:pPr>
      <w:r w:rsidRPr="006A198D">
        <w:t>We understand that the IHPA</w:t>
      </w:r>
      <w:r w:rsidR="001106B6">
        <w:t xml:space="preserve"> data represent a maturing data</w:t>
      </w:r>
      <w:r w:rsidRPr="006A198D">
        <w:t xml:space="preserve">set, and we will continue to monitor developments.  </w:t>
      </w:r>
    </w:p>
    <w:p w:rsidR="00AE3B01" w:rsidRPr="006A198D" w:rsidRDefault="00AE3B01" w:rsidP="00AE3B01">
      <w:pPr>
        <w:pStyle w:val="Heading4"/>
      </w:pPr>
      <w:bookmarkStart w:id="652" w:name="_Toc441241609"/>
      <w:bookmarkStart w:id="653" w:name="_Toc441499279"/>
      <w:bookmarkStart w:id="654" w:name="_Toc442191932"/>
      <w:bookmarkStart w:id="655" w:name="_Toc442192188"/>
      <w:bookmarkStart w:id="656" w:name="_Toc442192253"/>
      <w:bookmarkStart w:id="657" w:name="_Toc442772835"/>
      <w:bookmarkStart w:id="658" w:name="_Toc442773066"/>
      <w:bookmarkStart w:id="659" w:name="_Toc442773234"/>
      <w:bookmarkStart w:id="660" w:name="_Toc442883301"/>
      <w:bookmarkStart w:id="661" w:name="_Toc442949165"/>
      <w:r w:rsidRPr="006A198D">
        <w:t>Land tax</w:t>
      </w:r>
      <w:bookmarkEnd w:id="652"/>
      <w:bookmarkEnd w:id="653"/>
      <w:bookmarkEnd w:id="654"/>
      <w:bookmarkEnd w:id="655"/>
      <w:bookmarkEnd w:id="656"/>
      <w:bookmarkEnd w:id="657"/>
      <w:bookmarkEnd w:id="658"/>
      <w:bookmarkEnd w:id="659"/>
      <w:bookmarkEnd w:id="660"/>
      <w:bookmarkEnd w:id="661"/>
    </w:p>
    <w:p w:rsidR="006A473B" w:rsidRPr="006A198D" w:rsidRDefault="006A473B" w:rsidP="006A473B">
      <w:pPr>
        <w:pStyle w:val="CGCNumberedPara"/>
      </w:pPr>
      <w:r w:rsidRPr="006A198D">
        <w:t xml:space="preserve">In the 2015 Review, the Commission chose to </w:t>
      </w:r>
      <w:r w:rsidR="001106B6">
        <w:t xml:space="preserve">continue to </w:t>
      </w:r>
      <w:r w:rsidRPr="006A198D">
        <w:t xml:space="preserve">use State Revenue Office (SRO) data instead of the previously used </w:t>
      </w:r>
      <w:proofErr w:type="spellStart"/>
      <w:r w:rsidRPr="006A198D">
        <w:t>Valuers</w:t>
      </w:r>
      <w:proofErr w:type="spellEnd"/>
      <w:r w:rsidRPr="006A198D">
        <w:t xml:space="preserve">-General data as its source of land value data. While neither dataset </w:t>
      </w:r>
      <w:r w:rsidR="001106B6">
        <w:t>was</w:t>
      </w:r>
      <w:r w:rsidR="001106B6" w:rsidRPr="006A198D">
        <w:t xml:space="preserve"> </w:t>
      </w:r>
      <w:r w:rsidRPr="006A198D">
        <w:t>pe</w:t>
      </w:r>
      <w:r w:rsidR="009C779E">
        <w:t>r</w:t>
      </w:r>
      <w:r w:rsidRPr="006A198D">
        <w:t>fect, the Commission believed the SRO data more closely reflected how States imposed land tax. The SRO data exclude non-taxable land and are based on the aggregated land holdings of individual owners. This additional information makes</w:t>
      </w:r>
      <w:r w:rsidR="00E079F5" w:rsidRPr="006A198D">
        <w:t xml:space="preserve"> a material difference</w:t>
      </w:r>
      <w:r w:rsidRPr="006A198D">
        <w:t xml:space="preserve"> to States’ assessed tax bases. The Commission also decided to discount the assessment by 25% because of its concerns about the reliability and comparability of SRO data.</w:t>
      </w:r>
    </w:p>
    <w:p w:rsidR="006A473B" w:rsidRPr="006A198D" w:rsidRDefault="006A473B" w:rsidP="006A473B">
      <w:pPr>
        <w:pStyle w:val="CGCNumberedPara"/>
      </w:pPr>
      <w:r w:rsidRPr="006A198D">
        <w:t>In this inquiry, Western Australia queried the reliability of the SRO data. It compared SRO land values with taxable land values it constructed from ABS land value data. Its analysis suggested its SRO land values were high when compared with those of other States.</w:t>
      </w:r>
    </w:p>
    <w:p w:rsidR="006A473B" w:rsidRPr="006A198D" w:rsidRDefault="006A473B" w:rsidP="006A473B">
      <w:pPr>
        <w:pStyle w:val="CGCNumberedPara"/>
      </w:pPr>
      <w:r w:rsidRPr="006A198D">
        <w:t>On the basis of its analysis, Western Australia asked the Commission to:</w:t>
      </w:r>
    </w:p>
    <w:p w:rsidR="006A473B" w:rsidRPr="006A198D" w:rsidRDefault="006A473B" w:rsidP="006A473B">
      <w:pPr>
        <w:pStyle w:val="CGCBulletlist"/>
      </w:pPr>
      <w:r w:rsidRPr="006A198D">
        <w:t>change the source of its land value data from SROs to the ABS</w:t>
      </w:r>
      <w:r w:rsidR="001106B6">
        <w:t>,</w:t>
      </w:r>
      <w:r w:rsidRPr="006A198D">
        <w:t xml:space="preserve"> or </w:t>
      </w:r>
    </w:p>
    <w:p w:rsidR="006A473B" w:rsidRPr="006A198D" w:rsidRDefault="006A473B" w:rsidP="006A473B">
      <w:pPr>
        <w:pStyle w:val="CGCBulletlist"/>
      </w:pPr>
      <w:proofErr w:type="gramStart"/>
      <w:r w:rsidRPr="006A198D">
        <w:t>raise</w:t>
      </w:r>
      <w:proofErr w:type="gramEnd"/>
      <w:r w:rsidRPr="006A198D">
        <w:t xml:space="preserve"> the discount from 25% to 75%.</w:t>
      </w:r>
    </w:p>
    <w:p w:rsidR="006A473B" w:rsidRPr="006A198D" w:rsidRDefault="006A473B" w:rsidP="006A473B">
      <w:pPr>
        <w:pStyle w:val="CGCNumberedPara"/>
      </w:pPr>
      <w:r w:rsidRPr="006A198D">
        <w:t>The ABS land value data do not closely reflect how States impose land tax. The data include the value of principal places of residence, which are not taxable, and</w:t>
      </w:r>
      <w:r w:rsidR="0035011C" w:rsidRPr="006A198D">
        <w:t xml:space="preserve"> exclude the impact of aggregation of land holdings which is important with progressive tax rates.</w:t>
      </w:r>
    </w:p>
    <w:p w:rsidR="006A473B" w:rsidRPr="006A198D" w:rsidRDefault="006A473B" w:rsidP="006A473B">
      <w:pPr>
        <w:pStyle w:val="CGCNumberedPara"/>
      </w:pPr>
      <w:r w:rsidRPr="006A198D">
        <w:t>In the absence of another data source, which would enable us to directly verify SRO data on the relative size of State land tax bases under average policy, we have used data provided by Western Australia in its 2014-15 budget papers to</w:t>
      </w:r>
      <w:r w:rsidR="00E66789">
        <w:t xml:space="preserve"> indirectly compare tax bases. </w:t>
      </w:r>
      <w:r w:rsidRPr="006A198D">
        <w:t xml:space="preserve">These data enable us to estimate the revenue Western Australia would have </w:t>
      </w:r>
      <w:proofErr w:type="gramStart"/>
      <w:r w:rsidRPr="006A198D">
        <w:t>raised</w:t>
      </w:r>
      <w:proofErr w:type="gramEnd"/>
      <w:r w:rsidRPr="006A198D">
        <w:t xml:space="preserve"> using the tax r</w:t>
      </w:r>
      <w:r w:rsidR="0035011C" w:rsidRPr="006A198D">
        <w:t>ates</w:t>
      </w:r>
      <w:r w:rsidRPr="006A198D">
        <w:t xml:space="preserve"> of another State, say </w:t>
      </w:r>
      <w:r w:rsidR="00D27B41" w:rsidRPr="006A198D">
        <w:t>New South Wales</w:t>
      </w:r>
      <w:r w:rsidRPr="006A198D">
        <w:t>. Comparing this figure with what New South Wales itself raised enables us to estimate the</w:t>
      </w:r>
      <w:r w:rsidR="0035011C" w:rsidRPr="006A198D">
        <w:t>ir</w:t>
      </w:r>
      <w:r w:rsidRPr="006A198D">
        <w:t xml:space="preserve"> relative tax bases. While far from perfect, this analysis did not suggest the SRO data w</w:t>
      </w:r>
      <w:r w:rsidR="00E079F5" w:rsidRPr="006A198D">
        <w:t>ere</w:t>
      </w:r>
      <w:r w:rsidRPr="006A198D">
        <w:t xml:space="preserve"> inappropriate, especially as we already discount </w:t>
      </w:r>
      <w:r w:rsidR="00E079F5" w:rsidRPr="006A198D">
        <w:t>them</w:t>
      </w:r>
      <w:r w:rsidRPr="006A198D">
        <w:t xml:space="preserve"> by 25% to reflect concerns about comparability.</w:t>
      </w:r>
    </w:p>
    <w:p w:rsidR="00AE3B01" w:rsidRPr="006A198D" w:rsidRDefault="006A473B" w:rsidP="006A473B">
      <w:pPr>
        <w:pStyle w:val="CGCNumberedPara"/>
      </w:pPr>
      <w:r w:rsidRPr="006A198D">
        <w:t xml:space="preserve">We have decided not to change the Land tax assessment. However, we have decided to prioritise our examination of the different sources of land value data </w:t>
      </w:r>
      <w:r w:rsidR="00E079F5" w:rsidRPr="006A198D">
        <w:t xml:space="preserve">and our estimates of comparable State tax bases </w:t>
      </w:r>
      <w:r w:rsidRPr="006A198D">
        <w:t>before the next review.</w:t>
      </w:r>
    </w:p>
    <w:p w:rsidR="00B80271" w:rsidRPr="006A198D" w:rsidRDefault="00B80271" w:rsidP="00B80271">
      <w:pPr>
        <w:pStyle w:val="Heading4"/>
      </w:pPr>
      <w:bookmarkStart w:id="662" w:name="_Toc442191933"/>
      <w:bookmarkStart w:id="663" w:name="_Toc442192189"/>
      <w:bookmarkStart w:id="664" w:name="_Toc442192254"/>
      <w:bookmarkStart w:id="665" w:name="_Toc442772836"/>
      <w:bookmarkStart w:id="666" w:name="_Toc442773067"/>
      <w:bookmarkStart w:id="667" w:name="_Toc442773235"/>
      <w:bookmarkStart w:id="668" w:name="_Toc442883302"/>
      <w:bookmarkStart w:id="669" w:name="_Toc442949166"/>
      <w:r w:rsidRPr="006A198D">
        <w:lastRenderedPageBreak/>
        <w:t>Sharing of confidential State data</w:t>
      </w:r>
      <w:bookmarkEnd w:id="650"/>
      <w:bookmarkEnd w:id="651"/>
      <w:bookmarkEnd w:id="662"/>
      <w:bookmarkEnd w:id="663"/>
      <w:bookmarkEnd w:id="664"/>
      <w:bookmarkEnd w:id="665"/>
      <w:bookmarkEnd w:id="666"/>
      <w:bookmarkEnd w:id="667"/>
      <w:bookmarkEnd w:id="668"/>
      <w:bookmarkEnd w:id="669"/>
    </w:p>
    <w:p w:rsidR="00B80271" w:rsidRPr="006A198D" w:rsidRDefault="00B80271" w:rsidP="00B80271">
      <w:pPr>
        <w:pStyle w:val="CGCNumberedPara"/>
      </w:pPr>
      <w:r w:rsidRPr="006A198D">
        <w:t xml:space="preserve">In the course of consultations for this update Western Australia raised concerns about the sharing of confidential data among the States. As this does not affect this update directly we will consult States on this proposal during 2017. </w:t>
      </w:r>
    </w:p>
    <w:p w:rsidR="00377BDC" w:rsidRPr="006A198D" w:rsidRDefault="00377BDC" w:rsidP="00377BDC">
      <w:pPr>
        <w:pStyle w:val="Heading3"/>
      </w:pPr>
      <w:bookmarkStart w:id="670" w:name="_Toc442191934"/>
      <w:bookmarkStart w:id="671" w:name="_Toc442192190"/>
      <w:bookmarkStart w:id="672" w:name="_Toc442192255"/>
      <w:bookmarkStart w:id="673" w:name="_Toc442772837"/>
      <w:bookmarkStart w:id="674" w:name="_Toc442773068"/>
      <w:bookmarkStart w:id="675" w:name="_Toc442773236"/>
      <w:bookmarkStart w:id="676" w:name="_Toc442773572"/>
      <w:bookmarkStart w:id="677" w:name="_Toc442883303"/>
      <w:bookmarkStart w:id="678" w:name="_Toc442949167"/>
      <w:r w:rsidRPr="006A198D">
        <w:t>Assessment issues</w:t>
      </w:r>
      <w:bookmarkEnd w:id="592"/>
      <w:bookmarkEnd w:id="593"/>
      <w:bookmarkEnd w:id="594"/>
      <w:bookmarkEnd w:id="670"/>
      <w:bookmarkEnd w:id="671"/>
      <w:bookmarkEnd w:id="672"/>
      <w:bookmarkEnd w:id="673"/>
      <w:bookmarkEnd w:id="674"/>
      <w:bookmarkEnd w:id="675"/>
      <w:bookmarkEnd w:id="676"/>
      <w:bookmarkEnd w:id="677"/>
      <w:bookmarkEnd w:id="678"/>
    </w:p>
    <w:p w:rsidR="00507091" w:rsidRPr="006A198D" w:rsidRDefault="00D7394F" w:rsidP="00507091">
      <w:pPr>
        <w:pStyle w:val="Heading4"/>
      </w:pPr>
      <w:bookmarkStart w:id="679" w:name="_Toc441241603"/>
      <w:bookmarkStart w:id="680" w:name="_Toc441499273"/>
      <w:bookmarkStart w:id="681" w:name="_Toc442191935"/>
      <w:bookmarkStart w:id="682" w:name="_Toc442192191"/>
      <w:bookmarkStart w:id="683" w:name="_Toc442192256"/>
      <w:bookmarkStart w:id="684" w:name="_Toc442772838"/>
      <w:bookmarkStart w:id="685" w:name="_Toc442773069"/>
      <w:bookmarkStart w:id="686" w:name="_Toc442773237"/>
      <w:bookmarkStart w:id="687" w:name="_Toc442883304"/>
      <w:bookmarkStart w:id="688" w:name="_Toc442949168"/>
      <w:r>
        <w:t>T</w:t>
      </w:r>
      <w:r w:rsidR="00507091" w:rsidRPr="006A198D">
        <w:t>ransition to the National Disability Insurance Scheme (NDIS)</w:t>
      </w:r>
      <w:bookmarkEnd w:id="679"/>
      <w:bookmarkEnd w:id="680"/>
      <w:bookmarkEnd w:id="681"/>
      <w:bookmarkEnd w:id="682"/>
      <w:bookmarkEnd w:id="683"/>
      <w:bookmarkEnd w:id="684"/>
      <w:bookmarkEnd w:id="685"/>
      <w:bookmarkEnd w:id="686"/>
      <w:bookmarkEnd w:id="687"/>
      <w:bookmarkEnd w:id="688"/>
    </w:p>
    <w:p w:rsidR="00507091" w:rsidRPr="006A198D" w:rsidRDefault="00507091" w:rsidP="00507091">
      <w:pPr>
        <w:pStyle w:val="CGCNumberedPara"/>
        <w:numPr>
          <w:ilvl w:val="1"/>
          <w:numId w:val="2"/>
        </w:numPr>
      </w:pPr>
      <w:r w:rsidRPr="006A198D">
        <w:t xml:space="preserve">Transition to the </w:t>
      </w:r>
      <w:r w:rsidR="001106B6">
        <w:t>NDIS</w:t>
      </w:r>
      <w:r w:rsidRPr="006A198D">
        <w:t xml:space="preserve"> is expected to start in 2016</w:t>
      </w:r>
      <w:r w:rsidRPr="006A198D">
        <w:noBreakHyphen/>
        <w:t xml:space="preserve">17, the application year for the 2016 Update. </w:t>
      </w:r>
    </w:p>
    <w:p w:rsidR="00507091" w:rsidRPr="006A198D" w:rsidRDefault="00507091" w:rsidP="00507091">
      <w:pPr>
        <w:pStyle w:val="CGCNumberedPara"/>
        <w:numPr>
          <w:ilvl w:val="1"/>
          <w:numId w:val="2"/>
        </w:numPr>
      </w:pPr>
      <w:r w:rsidRPr="006A198D">
        <w:t xml:space="preserve">We said in the 2015 Review report that during transition we would implement dual assessments of State expenses on existing disability services and NDIS contributions because States would be funding both the NDIS and existing disability services. </w:t>
      </w:r>
    </w:p>
    <w:p w:rsidR="00507091" w:rsidRPr="006A198D" w:rsidRDefault="00507091" w:rsidP="00507091">
      <w:pPr>
        <w:pStyle w:val="CGCNumberedPara"/>
        <w:numPr>
          <w:ilvl w:val="1"/>
          <w:numId w:val="2"/>
        </w:numPr>
      </w:pPr>
      <w:r w:rsidRPr="006A198D">
        <w:t>We proposed backcasting the expected shares of expenses on each using data sought from the States. We said each service would be assessed using State proportions of the total number of people eligible in a year to be covered by NDIS when fully operational.</w:t>
      </w:r>
      <w:r w:rsidRPr="006A198D">
        <w:rPr>
          <w:vertAlign w:val="superscript"/>
        </w:rPr>
        <w:footnoteReference w:id="12"/>
      </w:r>
      <w:r w:rsidRPr="006A198D">
        <w:t xml:space="preserve"> Other disabilities (regional costs, wage costs and cross-border factors) would continue to be recognised for existing disability services expenses but not in relation to the NDIS contributions.</w:t>
      </w:r>
      <w:r w:rsidRPr="006A198D">
        <w:rPr>
          <w:vertAlign w:val="superscript"/>
        </w:rPr>
        <w:footnoteReference w:id="13"/>
      </w:r>
    </w:p>
    <w:p w:rsidR="00507091" w:rsidRPr="006A198D" w:rsidRDefault="00507091" w:rsidP="00507091">
      <w:pPr>
        <w:pStyle w:val="CGCNumberedPara"/>
        <w:numPr>
          <w:ilvl w:val="1"/>
          <w:numId w:val="2"/>
        </w:numPr>
      </w:pPr>
      <w:r w:rsidRPr="006A198D">
        <w:t>While we note the ACT’s reiteration of concerns during update consultations with an assessment based on the total number of people eligible to be covered by the NDIS when fully operational, we consider these were fully considered in the 2015 Review. We do not propose to change our methodology.</w:t>
      </w:r>
    </w:p>
    <w:p w:rsidR="00507091" w:rsidRPr="006A198D" w:rsidRDefault="00507091" w:rsidP="00507091">
      <w:pPr>
        <w:pStyle w:val="CGCNumberedPara"/>
        <w:numPr>
          <w:ilvl w:val="1"/>
          <w:numId w:val="2"/>
        </w:numPr>
      </w:pPr>
      <w:r w:rsidRPr="006A198D">
        <w:t>We consider the available uptake and expenses projections data allow us to implement the dual approach as set out in the 2015 Review. We have received expense projections from New South Wales, Victoria, Western Australia, Tasmania and the ACT. Western Australia will still be in its trial phase of the NDIS in 2016</w:t>
      </w:r>
      <w:r w:rsidR="00D32886" w:rsidRPr="006A198D">
        <w:noBreakHyphen/>
      </w:r>
      <w:r w:rsidRPr="006A198D">
        <w:t xml:space="preserve">17. The other States have not been able to provide data as they are yet to conclude bilateral agreements with the Commonwealth for the NDIS transition. </w:t>
      </w:r>
    </w:p>
    <w:p w:rsidR="00507091" w:rsidRPr="006A198D" w:rsidRDefault="00507091" w:rsidP="00507091">
      <w:pPr>
        <w:pStyle w:val="CGCNumberedPara"/>
        <w:numPr>
          <w:ilvl w:val="1"/>
          <w:numId w:val="2"/>
        </w:numPr>
      </w:pPr>
      <w:r w:rsidRPr="006A198D">
        <w:t xml:space="preserve">We foreshadowed in the 2015 Review report that if the expenses projections were found not to be reliable we would need to consider an alternative approach, such as using the data for the latest available year. We have decided however to proceed with expenses projections </w:t>
      </w:r>
      <w:r w:rsidR="00D32886" w:rsidRPr="006A198D">
        <w:t xml:space="preserve">using </w:t>
      </w:r>
      <w:r w:rsidRPr="006A198D">
        <w:t xml:space="preserve">the data for five States because they account for the majority of total full scheme implementation numbers. </w:t>
      </w:r>
      <w:r w:rsidR="00C44B8E" w:rsidRPr="006A198D">
        <w:fldChar w:fldCharType="begin"/>
      </w:r>
      <w:r w:rsidR="00C44B8E" w:rsidRPr="006A198D">
        <w:instrText xml:space="preserve"> REF _Ref437851460 \h </w:instrText>
      </w:r>
      <w:r w:rsidR="006A198D">
        <w:instrText xml:space="preserve"> \* MERGEFORMAT </w:instrText>
      </w:r>
      <w:r w:rsidR="00C44B8E" w:rsidRPr="006A198D">
        <w:fldChar w:fldCharType="separate"/>
      </w:r>
      <w:r w:rsidR="007A6AF0" w:rsidRPr="006A198D">
        <w:t xml:space="preserve">Table </w:t>
      </w:r>
      <w:r w:rsidR="007A6AF0">
        <w:rPr>
          <w:noProof/>
        </w:rPr>
        <w:t>2</w:t>
      </w:r>
      <w:r w:rsidR="007A6AF0" w:rsidRPr="006A198D">
        <w:rPr>
          <w:noProof/>
        </w:rPr>
        <w:noBreakHyphen/>
      </w:r>
      <w:r w:rsidR="007A6AF0">
        <w:rPr>
          <w:noProof/>
        </w:rPr>
        <w:t>3</w:t>
      </w:r>
      <w:r w:rsidR="00C44B8E" w:rsidRPr="006A198D">
        <w:fldChar w:fldCharType="end"/>
      </w:r>
      <w:r w:rsidR="00C44B8E" w:rsidRPr="006A198D">
        <w:t xml:space="preserve"> </w:t>
      </w:r>
      <w:r w:rsidRPr="006A198D">
        <w:t xml:space="preserve">shows the GST redistribution due to the introduction of the dual assessments. The change in </w:t>
      </w:r>
      <w:r w:rsidRPr="006A198D">
        <w:lastRenderedPageBreak/>
        <w:t>distribution reflects the reduced impact of the regional costs, wage costs and cross</w:t>
      </w:r>
      <w:r w:rsidRPr="006A198D">
        <w:noBreakHyphen/>
        <w:t>border factors.</w:t>
      </w:r>
    </w:p>
    <w:p w:rsidR="00507091" w:rsidRPr="006A198D" w:rsidRDefault="00C44B8E" w:rsidP="00507091">
      <w:pPr>
        <w:pStyle w:val="CGCTableHeading"/>
      </w:pPr>
      <w:bookmarkStart w:id="689" w:name="_Ref437851460"/>
      <w:r w:rsidRPr="006A198D">
        <w:t xml:space="preserve">Table </w:t>
      </w:r>
      <w:r w:rsidR="0014378B">
        <w:fldChar w:fldCharType="begin"/>
      </w:r>
      <w:r w:rsidR="0014378B">
        <w:instrText xml:space="preserve"> STYLEREF 1 \s </w:instrText>
      </w:r>
      <w:r w:rsidR="0014378B">
        <w:fldChar w:fldCharType="separate"/>
      </w:r>
      <w:r w:rsidR="007A6AF0">
        <w:rPr>
          <w:noProof/>
        </w:rPr>
        <w:t>2</w:t>
      </w:r>
      <w:r w:rsidR="0014378B">
        <w:rPr>
          <w:noProof/>
        </w:rPr>
        <w:fldChar w:fldCharType="end"/>
      </w:r>
      <w:r w:rsidRPr="006A198D">
        <w:noBreakHyphen/>
      </w:r>
      <w:r w:rsidR="0014378B">
        <w:fldChar w:fldCharType="begin"/>
      </w:r>
      <w:r w:rsidR="0014378B">
        <w:instrText xml:space="preserve"> SEQ Table \* ARABIC \s 1 </w:instrText>
      </w:r>
      <w:r w:rsidR="0014378B">
        <w:fldChar w:fldCharType="separate"/>
      </w:r>
      <w:r w:rsidR="007A6AF0">
        <w:rPr>
          <w:noProof/>
        </w:rPr>
        <w:t>3</w:t>
      </w:r>
      <w:r w:rsidR="0014378B">
        <w:rPr>
          <w:noProof/>
        </w:rPr>
        <w:fldChar w:fldCharType="end"/>
      </w:r>
      <w:bookmarkEnd w:id="689"/>
      <w:r w:rsidR="00507091" w:rsidRPr="006A198D">
        <w:tab/>
        <w:t>Impact on the GST distribution of the dual disability services assessments</w:t>
      </w:r>
      <w:r w:rsidR="00D32886" w:rsidRPr="006A198D">
        <w:t>, 2016</w:t>
      </w:r>
      <w:r w:rsidR="00D32886" w:rsidRPr="006A198D">
        <w:noBreakHyphen/>
        <w:t>17</w:t>
      </w:r>
    </w:p>
    <w:tbl>
      <w:tblPr>
        <w:tblW w:w="8960" w:type="dxa"/>
        <w:tblInd w:w="93" w:type="dxa"/>
        <w:tblLook w:val="04A0" w:firstRow="1" w:lastRow="0" w:firstColumn="1" w:lastColumn="0" w:noHBand="0" w:noVBand="1"/>
      </w:tblPr>
      <w:tblGrid>
        <w:gridCol w:w="1200"/>
        <w:gridCol w:w="920"/>
        <w:gridCol w:w="820"/>
        <w:gridCol w:w="820"/>
        <w:gridCol w:w="880"/>
        <w:gridCol w:w="740"/>
        <w:gridCol w:w="820"/>
        <w:gridCol w:w="820"/>
        <w:gridCol w:w="880"/>
        <w:gridCol w:w="1060"/>
      </w:tblGrid>
      <w:tr w:rsidR="00D458FC" w:rsidRPr="00D458FC" w:rsidTr="00D458FC">
        <w:trPr>
          <w:trHeight w:val="379"/>
        </w:trPr>
        <w:tc>
          <w:tcPr>
            <w:tcW w:w="120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 </w:t>
            </w:r>
          </w:p>
        </w:tc>
        <w:tc>
          <w:tcPr>
            <w:tcW w:w="92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NSW</w:t>
            </w:r>
          </w:p>
        </w:tc>
        <w:tc>
          <w:tcPr>
            <w:tcW w:w="82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Vic</w:t>
            </w:r>
          </w:p>
        </w:tc>
        <w:tc>
          <w:tcPr>
            <w:tcW w:w="82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Qld</w:t>
            </w:r>
          </w:p>
        </w:tc>
        <w:tc>
          <w:tcPr>
            <w:tcW w:w="88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WA</w:t>
            </w:r>
          </w:p>
        </w:tc>
        <w:tc>
          <w:tcPr>
            <w:tcW w:w="74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SA</w:t>
            </w:r>
          </w:p>
        </w:tc>
        <w:tc>
          <w:tcPr>
            <w:tcW w:w="82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Tas</w:t>
            </w:r>
          </w:p>
        </w:tc>
        <w:tc>
          <w:tcPr>
            <w:tcW w:w="82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ACT</w:t>
            </w:r>
          </w:p>
        </w:tc>
        <w:tc>
          <w:tcPr>
            <w:tcW w:w="88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NT</w:t>
            </w:r>
          </w:p>
        </w:tc>
        <w:tc>
          <w:tcPr>
            <w:tcW w:w="106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proofErr w:type="spellStart"/>
            <w:r w:rsidRPr="00D458FC">
              <w:rPr>
                <w:rFonts w:ascii="Calibri" w:eastAsia="Times New Roman" w:hAnsi="Calibri" w:cs="Times New Roman"/>
                <w:sz w:val="20"/>
                <w:szCs w:val="20"/>
                <w:lang w:eastAsia="en-AU"/>
              </w:rPr>
              <w:t>Redist</w:t>
            </w:r>
            <w:proofErr w:type="spellEnd"/>
          </w:p>
        </w:tc>
      </w:tr>
      <w:tr w:rsidR="00D458FC" w:rsidRPr="00D458FC" w:rsidTr="00FA47B0">
        <w:trPr>
          <w:trHeight w:val="315"/>
        </w:trPr>
        <w:tc>
          <w:tcPr>
            <w:tcW w:w="120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$m</w:t>
            </w:r>
          </w:p>
        </w:tc>
        <w:tc>
          <w:tcPr>
            <w:tcW w:w="920" w:type="dxa"/>
            <w:tcBorders>
              <w:top w:val="nil"/>
              <w:left w:val="nil"/>
              <w:bottom w:val="nil"/>
              <w:right w:val="nil"/>
            </w:tcBorders>
            <w:shd w:val="clear" w:color="auto" w:fill="auto"/>
            <w:vAlign w:val="bottom"/>
            <w:hideMark/>
          </w:tcPr>
          <w:p w:rsidR="00D458FC" w:rsidRPr="00D458FC" w:rsidRDefault="00D458FC" w:rsidP="00FA47B0">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w:t>
            </w:r>
          </w:p>
        </w:tc>
        <w:tc>
          <w:tcPr>
            <w:tcW w:w="820" w:type="dxa"/>
            <w:tcBorders>
              <w:top w:val="nil"/>
              <w:left w:val="nil"/>
              <w:bottom w:val="nil"/>
              <w:right w:val="nil"/>
            </w:tcBorders>
            <w:shd w:val="clear" w:color="auto" w:fill="auto"/>
            <w:vAlign w:val="bottom"/>
            <w:hideMark/>
          </w:tcPr>
          <w:p w:rsidR="00D458FC" w:rsidRPr="00D458FC" w:rsidRDefault="00D458FC" w:rsidP="00FA47B0">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15</w:t>
            </w:r>
          </w:p>
        </w:tc>
        <w:tc>
          <w:tcPr>
            <w:tcW w:w="820" w:type="dxa"/>
            <w:tcBorders>
              <w:top w:val="nil"/>
              <w:left w:val="nil"/>
              <w:bottom w:val="nil"/>
              <w:right w:val="nil"/>
            </w:tcBorders>
            <w:shd w:val="clear" w:color="auto" w:fill="auto"/>
            <w:vAlign w:val="bottom"/>
            <w:hideMark/>
          </w:tcPr>
          <w:p w:rsidR="00D458FC" w:rsidRPr="00D458FC" w:rsidRDefault="00D458FC" w:rsidP="00FA47B0">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w:t>
            </w:r>
          </w:p>
        </w:tc>
        <w:tc>
          <w:tcPr>
            <w:tcW w:w="880" w:type="dxa"/>
            <w:tcBorders>
              <w:top w:val="nil"/>
              <w:left w:val="nil"/>
              <w:bottom w:val="nil"/>
              <w:right w:val="nil"/>
            </w:tcBorders>
            <w:shd w:val="clear" w:color="auto" w:fill="auto"/>
            <w:vAlign w:val="bottom"/>
            <w:hideMark/>
          </w:tcPr>
          <w:p w:rsidR="00D458FC" w:rsidRPr="00D458FC" w:rsidRDefault="00D458FC" w:rsidP="00FA47B0">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w:t>
            </w:r>
          </w:p>
        </w:tc>
        <w:tc>
          <w:tcPr>
            <w:tcW w:w="740" w:type="dxa"/>
            <w:tcBorders>
              <w:top w:val="nil"/>
              <w:left w:val="nil"/>
              <w:bottom w:val="nil"/>
              <w:right w:val="nil"/>
            </w:tcBorders>
            <w:shd w:val="clear" w:color="auto" w:fill="auto"/>
            <w:vAlign w:val="bottom"/>
            <w:hideMark/>
          </w:tcPr>
          <w:p w:rsidR="00D458FC" w:rsidRPr="00D458FC" w:rsidRDefault="00D458FC" w:rsidP="00FA47B0">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w:t>
            </w:r>
          </w:p>
        </w:tc>
        <w:tc>
          <w:tcPr>
            <w:tcW w:w="820" w:type="dxa"/>
            <w:tcBorders>
              <w:top w:val="nil"/>
              <w:left w:val="nil"/>
              <w:bottom w:val="nil"/>
              <w:right w:val="nil"/>
            </w:tcBorders>
            <w:shd w:val="clear" w:color="auto" w:fill="auto"/>
            <w:vAlign w:val="bottom"/>
            <w:hideMark/>
          </w:tcPr>
          <w:p w:rsidR="00D458FC" w:rsidRPr="00D458FC" w:rsidRDefault="00D458FC" w:rsidP="00FA47B0">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w:t>
            </w:r>
          </w:p>
        </w:tc>
        <w:tc>
          <w:tcPr>
            <w:tcW w:w="820" w:type="dxa"/>
            <w:tcBorders>
              <w:top w:val="nil"/>
              <w:left w:val="nil"/>
              <w:bottom w:val="nil"/>
              <w:right w:val="nil"/>
            </w:tcBorders>
            <w:shd w:val="clear" w:color="auto" w:fill="auto"/>
            <w:vAlign w:val="bottom"/>
            <w:hideMark/>
          </w:tcPr>
          <w:p w:rsidR="00D458FC" w:rsidRPr="00D458FC" w:rsidRDefault="00D458FC" w:rsidP="00FA47B0">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w:t>
            </w:r>
          </w:p>
        </w:tc>
        <w:tc>
          <w:tcPr>
            <w:tcW w:w="880" w:type="dxa"/>
            <w:tcBorders>
              <w:top w:val="nil"/>
              <w:left w:val="nil"/>
              <w:bottom w:val="nil"/>
              <w:right w:val="nil"/>
            </w:tcBorders>
            <w:shd w:val="clear" w:color="auto" w:fill="auto"/>
            <w:vAlign w:val="bottom"/>
            <w:hideMark/>
          </w:tcPr>
          <w:p w:rsidR="00D458FC" w:rsidRPr="00D458FC" w:rsidRDefault="00D458FC" w:rsidP="00FA47B0">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w:t>
            </w:r>
          </w:p>
        </w:tc>
        <w:tc>
          <w:tcPr>
            <w:tcW w:w="1060" w:type="dxa"/>
            <w:tcBorders>
              <w:top w:val="nil"/>
              <w:left w:val="nil"/>
              <w:bottom w:val="nil"/>
              <w:right w:val="nil"/>
            </w:tcBorders>
            <w:shd w:val="clear" w:color="auto" w:fill="auto"/>
            <w:vAlign w:val="bottom"/>
            <w:hideMark/>
          </w:tcPr>
          <w:p w:rsidR="00D458FC" w:rsidRPr="00D458FC" w:rsidRDefault="00D458FC" w:rsidP="00FA47B0">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25</w:t>
            </w:r>
          </w:p>
        </w:tc>
      </w:tr>
      <w:tr w:rsidR="00D458FC" w:rsidRPr="00D458FC" w:rsidTr="00FA47B0">
        <w:trPr>
          <w:trHeight w:val="315"/>
        </w:trPr>
        <w:tc>
          <w:tcPr>
            <w:tcW w:w="1200" w:type="dxa"/>
            <w:tcBorders>
              <w:top w:val="nil"/>
              <w:left w:val="nil"/>
              <w:bottom w:val="single" w:sz="4" w:space="0" w:color="auto"/>
              <w:right w:val="nil"/>
            </w:tcBorders>
            <w:shd w:val="clear" w:color="auto" w:fill="auto"/>
            <w:vAlign w:val="bottom"/>
            <w:hideMark/>
          </w:tcPr>
          <w:p w:rsidR="00D458FC" w:rsidRPr="00D458FC" w:rsidRDefault="00D458FC" w:rsidP="00D458FC">
            <w:pPr>
              <w:tabs>
                <w:tab w:val="clear" w:pos="567"/>
              </w:tabs>
              <w:spacing w:after="0" w:line="240" w:lineRule="auto"/>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$pc</w:t>
            </w:r>
          </w:p>
        </w:tc>
        <w:tc>
          <w:tcPr>
            <w:tcW w:w="920" w:type="dxa"/>
            <w:tcBorders>
              <w:top w:val="nil"/>
              <w:left w:val="nil"/>
              <w:bottom w:val="single" w:sz="4" w:space="0" w:color="auto"/>
              <w:right w:val="nil"/>
            </w:tcBorders>
            <w:shd w:val="clear" w:color="auto" w:fill="auto"/>
            <w:vAlign w:val="bottom"/>
            <w:hideMark/>
          </w:tcPr>
          <w:p w:rsidR="00D458FC" w:rsidRPr="00D458FC" w:rsidRDefault="00D458FC" w:rsidP="00FA47B0">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w:t>
            </w:r>
          </w:p>
        </w:tc>
        <w:tc>
          <w:tcPr>
            <w:tcW w:w="820" w:type="dxa"/>
            <w:tcBorders>
              <w:top w:val="nil"/>
              <w:left w:val="nil"/>
              <w:bottom w:val="single" w:sz="4" w:space="0" w:color="auto"/>
              <w:right w:val="nil"/>
            </w:tcBorders>
            <w:shd w:val="clear" w:color="auto" w:fill="auto"/>
            <w:vAlign w:val="bottom"/>
            <w:hideMark/>
          </w:tcPr>
          <w:p w:rsidR="00D458FC" w:rsidRPr="00D458FC" w:rsidRDefault="00D458FC" w:rsidP="00FA47B0">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w:t>
            </w:r>
          </w:p>
        </w:tc>
        <w:tc>
          <w:tcPr>
            <w:tcW w:w="820" w:type="dxa"/>
            <w:tcBorders>
              <w:top w:val="nil"/>
              <w:left w:val="nil"/>
              <w:bottom w:val="single" w:sz="4" w:space="0" w:color="auto"/>
              <w:right w:val="nil"/>
            </w:tcBorders>
            <w:shd w:val="clear" w:color="auto" w:fill="auto"/>
            <w:vAlign w:val="bottom"/>
            <w:hideMark/>
          </w:tcPr>
          <w:p w:rsidR="00D458FC" w:rsidRPr="00D458FC" w:rsidRDefault="00D458FC" w:rsidP="00FA47B0">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w:t>
            </w:r>
          </w:p>
        </w:tc>
        <w:tc>
          <w:tcPr>
            <w:tcW w:w="880" w:type="dxa"/>
            <w:tcBorders>
              <w:top w:val="nil"/>
              <w:left w:val="nil"/>
              <w:bottom w:val="single" w:sz="4" w:space="0" w:color="auto"/>
              <w:right w:val="nil"/>
            </w:tcBorders>
            <w:shd w:val="clear" w:color="auto" w:fill="auto"/>
            <w:vAlign w:val="bottom"/>
            <w:hideMark/>
          </w:tcPr>
          <w:p w:rsidR="00D458FC" w:rsidRPr="00D458FC" w:rsidRDefault="00D458FC" w:rsidP="00FA47B0">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-4</w:t>
            </w:r>
          </w:p>
        </w:tc>
        <w:tc>
          <w:tcPr>
            <w:tcW w:w="740" w:type="dxa"/>
            <w:tcBorders>
              <w:top w:val="nil"/>
              <w:left w:val="nil"/>
              <w:bottom w:val="single" w:sz="4" w:space="0" w:color="auto"/>
              <w:right w:val="nil"/>
            </w:tcBorders>
            <w:shd w:val="clear" w:color="auto" w:fill="auto"/>
            <w:vAlign w:val="bottom"/>
            <w:hideMark/>
          </w:tcPr>
          <w:p w:rsidR="00D458FC" w:rsidRPr="00D458FC" w:rsidRDefault="00D458FC" w:rsidP="00FA47B0">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w:t>
            </w:r>
          </w:p>
        </w:tc>
        <w:tc>
          <w:tcPr>
            <w:tcW w:w="820" w:type="dxa"/>
            <w:tcBorders>
              <w:top w:val="nil"/>
              <w:left w:val="nil"/>
              <w:bottom w:val="single" w:sz="4" w:space="0" w:color="auto"/>
              <w:right w:val="nil"/>
            </w:tcBorders>
            <w:shd w:val="clear" w:color="auto" w:fill="auto"/>
            <w:vAlign w:val="bottom"/>
            <w:hideMark/>
          </w:tcPr>
          <w:p w:rsidR="00D458FC" w:rsidRPr="00D458FC" w:rsidRDefault="00D458FC" w:rsidP="00FA47B0">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-3</w:t>
            </w:r>
          </w:p>
        </w:tc>
        <w:tc>
          <w:tcPr>
            <w:tcW w:w="820" w:type="dxa"/>
            <w:tcBorders>
              <w:top w:val="nil"/>
              <w:left w:val="nil"/>
              <w:bottom w:val="single" w:sz="4" w:space="0" w:color="auto"/>
              <w:right w:val="nil"/>
            </w:tcBorders>
            <w:shd w:val="clear" w:color="auto" w:fill="auto"/>
            <w:vAlign w:val="bottom"/>
            <w:hideMark/>
          </w:tcPr>
          <w:p w:rsidR="00D458FC" w:rsidRPr="00D458FC" w:rsidRDefault="00D458FC" w:rsidP="00FA47B0">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w:t>
            </w:r>
          </w:p>
        </w:tc>
        <w:tc>
          <w:tcPr>
            <w:tcW w:w="880" w:type="dxa"/>
            <w:tcBorders>
              <w:top w:val="nil"/>
              <w:left w:val="nil"/>
              <w:bottom w:val="single" w:sz="4" w:space="0" w:color="auto"/>
              <w:right w:val="nil"/>
            </w:tcBorders>
            <w:shd w:val="clear" w:color="auto" w:fill="auto"/>
            <w:vAlign w:val="bottom"/>
            <w:hideMark/>
          </w:tcPr>
          <w:p w:rsidR="00D458FC" w:rsidRPr="00D458FC" w:rsidRDefault="00D458FC" w:rsidP="00FA47B0">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-42</w:t>
            </w:r>
          </w:p>
        </w:tc>
        <w:tc>
          <w:tcPr>
            <w:tcW w:w="1060" w:type="dxa"/>
            <w:tcBorders>
              <w:top w:val="nil"/>
              <w:left w:val="nil"/>
              <w:bottom w:val="single" w:sz="4" w:space="0" w:color="auto"/>
              <w:right w:val="nil"/>
            </w:tcBorders>
            <w:shd w:val="clear" w:color="auto" w:fill="auto"/>
            <w:vAlign w:val="bottom"/>
            <w:hideMark/>
          </w:tcPr>
          <w:p w:rsidR="00D458FC" w:rsidRPr="00D458FC" w:rsidRDefault="00D458FC" w:rsidP="00FA47B0">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w:t>
            </w:r>
          </w:p>
        </w:tc>
      </w:tr>
    </w:tbl>
    <w:p w:rsidR="00507091" w:rsidRPr="006A198D" w:rsidRDefault="00507091" w:rsidP="00507091">
      <w:pPr>
        <w:pStyle w:val="CGCTableFootnote"/>
        <w:keepNext/>
        <w:keepLines/>
      </w:pPr>
      <w:r w:rsidRPr="006A198D">
        <w:t>Source:</w:t>
      </w:r>
      <w:r w:rsidRPr="006A198D">
        <w:tab/>
        <w:t>Commission calculation.</w:t>
      </w:r>
    </w:p>
    <w:p w:rsidR="00377BDC" w:rsidRPr="006A198D" w:rsidRDefault="00377BDC" w:rsidP="00377BDC">
      <w:pPr>
        <w:pStyle w:val="Heading4"/>
      </w:pPr>
      <w:bookmarkStart w:id="690" w:name="_Toc441241605"/>
      <w:bookmarkStart w:id="691" w:name="_Toc441499275"/>
      <w:bookmarkStart w:id="692" w:name="_Toc442191936"/>
      <w:bookmarkStart w:id="693" w:name="_Toc442192192"/>
      <w:bookmarkStart w:id="694" w:name="_Toc442192257"/>
      <w:bookmarkStart w:id="695" w:name="_Toc442772839"/>
      <w:bookmarkStart w:id="696" w:name="_Toc442773070"/>
      <w:bookmarkStart w:id="697" w:name="_Toc442773238"/>
      <w:bookmarkStart w:id="698" w:name="_Toc442883305"/>
      <w:bookmarkStart w:id="699" w:name="_Toc442949169"/>
      <w:r w:rsidRPr="006A198D">
        <w:t>State mining revenue raising activities</w:t>
      </w:r>
      <w:bookmarkEnd w:id="690"/>
      <w:bookmarkEnd w:id="691"/>
      <w:bookmarkEnd w:id="692"/>
      <w:bookmarkEnd w:id="693"/>
      <w:bookmarkEnd w:id="694"/>
      <w:bookmarkEnd w:id="695"/>
      <w:bookmarkEnd w:id="696"/>
      <w:bookmarkEnd w:id="697"/>
      <w:bookmarkEnd w:id="698"/>
      <w:bookmarkEnd w:id="699"/>
    </w:p>
    <w:p w:rsidR="00377BDC" w:rsidRPr="006A198D" w:rsidRDefault="00377BDC" w:rsidP="00377BDC">
      <w:pPr>
        <w:pStyle w:val="CGCNumberedPara"/>
      </w:pPr>
      <w:r w:rsidRPr="006A198D">
        <w:t xml:space="preserve">In the 2015 Methodology Review we said we would monitor developments in the collection of mining royalties to ensure our new mineral by mineral approach was still appropriate. </w:t>
      </w:r>
    </w:p>
    <w:p w:rsidR="00377BDC" w:rsidRPr="006A198D" w:rsidRDefault="00377BDC" w:rsidP="00377BDC">
      <w:pPr>
        <w:pStyle w:val="CGCNumberedPara"/>
      </w:pPr>
      <w:r w:rsidRPr="006A198D">
        <w:t>We have found no major changes in State policies relating to the raising of mining royalties, nor has revenue from minerals not separately assessed, such as coal seam gas, become material. No State has raised a concern that would see us reconsider our assessment approach.</w:t>
      </w:r>
    </w:p>
    <w:p w:rsidR="00377BDC" w:rsidRPr="006A198D" w:rsidRDefault="00377BDC" w:rsidP="00377BDC">
      <w:pPr>
        <w:pStyle w:val="CGCNumberedPara"/>
      </w:pPr>
      <w:r w:rsidRPr="006A198D">
        <w:t>In these circumstances we concluded no change is required to the mining revenue assessment in the 2016 Update.</w:t>
      </w:r>
    </w:p>
    <w:p w:rsidR="00377BDC" w:rsidRPr="006A198D" w:rsidRDefault="00377BDC" w:rsidP="00E90F81">
      <w:pPr>
        <w:pStyle w:val="Heading4"/>
      </w:pPr>
      <w:bookmarkStart w:id="700" w:name="_Toc441241607"/>
      <w:bookmarkStart w:id="701" w:name="_Toc441499277"/>
      <w:bookmarkStart w:id="702" w:name="_Toc442191937"/>
      <w:bookmarkStart w:id="703" w:name="_Toc442192193"/>
      <w:bookmarkStart w:id="704" w:name="_Toc442192258"/>
      <w:bookmarkStart w:id="705" w:name="_Toc442772840"/>
      <w:bookmarkStart w:id="706" w:name="_Toc442773071"/>
      <w:bookmarkStart w:id="707" w:name="_Toc442773239"/>
      <w:bookmarkStart w:id="708" w:name="_Toc442883306"/>
      <w:bookmarkStart w:id="709" w:name="_Toc442949170"/>
      <w:r w:rsidRPr="006A198D">
        <w:t>Natural disaster relief and recovery arrangements (NDRRA)</w:t>
      </w:r>
      <w:bookmarkEnd w:id="700"/>
      <w:bookmarkEnd w:id="701"/>
      <w:bookmarkEnd w:id="702"/>
      <w:bookmarkEnd w:id="703"/>
      <w:bookmarkEnd w:id="704"/>
      <w:bookmarkEnd w:id="705"/>
      <w:bookmarkEnd w:id="706"/>
      <w:bookmarkEnd w:id="707"/>
      <w:bookmarkEnd w:id="708"/>
      <w:bookmarkEnd w:id="709"/>
    </w:p>
    <w:p w:rsidR="00377BDC" w:rsidRPr="006A198D" w:rsidRDefault="00377BDC" w:rsidP="00377BDC">
      <w:pPr>
        <w:pStyle w:val="CGCNumberedPara"/>
      </w:pPr>
      <w:r w:rsidRPr="006A198D">
        <w:t>In the 2015 Review we said our assessment of NDRRA might need to change if there was a change in Commonwealth policy on these payments.</w:t>
      </w:r>
    </w:p>
    <w:p w:rsidR="00377BDC" w:rsidRPr="006A198D" w:rsidRDefault="00377BDC" w:rsidP="00377BDC">
      <w:pPr>
        <w:pStyle w:val="CGCNumberedPara"/>
      </w:pPr>
      <w:r w:rsidRPr="006A198D">
        <w:t xml:space="preserve">The Australian Government has announced it intends to consult with the States on the best way to address the findings of the Productivity Commission’s report on the efficacy of current national natural disaster funding arrangements. </w:t>
      </w:r>
    </w:p>
    <w:p w:rsidR="00377BDC" w:rsidRPr="006A198D" w:rsidRDefault="00377BDC" w:rsidP="00377BDC">
      <w:pPr>
        <w:pStyle w:val="CGCNumberedPara"/>
      </w:pPr>
      <w:r w:rsidRPr="006A198D">
        <w:t xml:space="preserve">We have not changed the assessment of natural disaster relief expenses in this update because there has been no change in Australian Government funding policy. We will continue monitoring developments in </w:t>
      </w:r>
      <w:r w:rsidR="0035011C" w:rsidRPr="006A198D">
        <w:t>future reviews</w:t>
      </w:r>
      <w:r w:rsidRPr="006A198D">
        <w:t>.</w:t>
      </w:r>
    </w:p>
    <w:p w:rsidR="00AA331D" w:rsidRPr="006A198D" w:rsidRDefault="00AA331D" w:rsidP="00AA331D">
      <w:pPr>
        <w:pStyle w:val="Heading3"/>
      </w:pPr>
      <w:bookmarkStart w:id="710" w:name="_Toc441241611"/>
      <w:bookmarkStart w:id="711" w:name="_Toc441499281"/>
      <w:bookmarkStart w:id="712" w:name="_Toc441656034"/>
      <w:bookmarkStart w:id="713" w:name="_Toc442191938"/>
      <w:bookmarkStart w:id="714" w:name="_Toc442192194"/>
      <w:bookmarkStart w:id="715" w:name="_Toc442192259"/>
      <w:bookmarkStart w:id="716" w:name="_Toc442772841"/>
      <w:bookmarkStart w:id="717" w:name="_Toc442773072"/>
      <w:bookmarkStart w:id="718" w:name="_Toc442773240"/>
      <w:bookmarkStart w:id="719" w:name="_Toc442773573"/>
      <w:bookmarkStart w:id="720" w:name="_Toc442883307"/>
      <w:bookmarkStart w:id="721" w:name="_Toc442949171"/>
      <w:r w:rsidRPr="006A198D">
        <w:t>Treatment of Commonwealth payments</w:t>
      </w:r>
      <w:bookmarkEnd w:id="595"/>
      <w:bookmarkEnd w:id="596"/>
      <w:bookmarkEnd w:id="710"/>
      <w:bookmarkEnd w:id="711"/>
      <w:bookmarkEnd w:id="712"/>
      <w:bookmarkEnd w:id="713"/>
      <w:bookmarkEnd w:id="714"/>
      <w:bookmarkEnd w:id="715"/>
      <w:bookmarkEnd w:id="716"/>
      <w:bookmarkEnd w:id="717"/>
      <w:bookmarkEnd w:id="718"/>
      <w:bookmarkEnd w:id="719"/>
      <w:bookmarkEnd w:id="720"/>
      <w:bookmarkEnd w:id="721"/>
    </w:p>
    <w:p w:rsidR="0044248C" w:rsidRPr="006A198D" w:rsidRDefault="0044248C" w:rsidP="0044248C">
      <w:pPr>
        <w:pStyle w:val="Heading4"/>
      </w:pPr>
      <w:bookmarkStart w:id="722" w:name="_Toc441241612"/>
      <w:bookmarkStart w:id="723" w:name="_Toc441499282"/>
      <w:bookmarkStart w:id="724" w:name="_Toc442191939"/>
      <w:bookmarkStart w:id="725" w:name="_Toc442192195"/>
      <w:bookmarkStart w:id="726" w:name="_Toc442192260"/>
      <w:bookmarkStart w:id="727" w:name="_Toc442772842"/>
      <w:bookmarkStart w:id="728" w:name="_Toc442773073"/>
      <w:bookmarkStart w:id="729" w:name="_Toc442773241"/>
      <w:bookmarkStart w:id="730" w:name="_Toc442883308"/>
      <w:bookmarkStart w:id="731" w:name="_Toc442949172"/>
      <w:r w:rsidRPr="006A198D">
        <w:t>Terms of reference requirements</w:t>
      </w:r>
      <w:bookmarkEnd w:id="722"/>
      <w:bookmarkEnd w:id="723"/>
      <w:bookmarkEnd w:id="724"/>
      <w:bookmarkEnd w:id="725"/>
      <w:bookmarkEnd w:id="726"/>
      <w:bookmarkEnd w:id="727"/>
      <w:bookmarkEnd w:id="728"/>
      <w:bookmarkEnd w:id="729"/>
      <w:bookmarkEnd w:id="730"/>
      <w:bookmarkEnd w:id="731"/>
    </w:p>
    <w:p w:rsidR="0044248C" w:rsidRPr="006A198D" w:rsidRDefault="0044248C" w:rsidP="0044248C">
      <w:pPr>
        <w:pStyle w:val="CGCNumberedPara"/>
      </w:pPr>
      <w:r w:rsidRPr="006A198D">
        <w:t>The terms of reference require the Commission to prepare its assessments on the basis that the following payments should not directly influence the relativities:</w:t>
      </w:r>
    </w:p>
    <w:p w:rsidR="0044248C" w:rsidRPr="006A198D" w:rsidRDefault="0044248C" w:rsidP="0044248C">
      <w:pPr>
        <w:pStyle w:val="CGCBulletlist"/>
      </w:pPr>
      <w:r w:rsidRPr="006A198D">
        <w:t>reward payments made under National Partnership Agreements</w:t>
      </w:r>
    </w:p>
    <w:p w:rsidR="0044248C" w:rsidRPr="006A198D" w:rsidRDefault="00BE4EB5" w:rsidP="0044248C">
      <w:pPr>
        <w:pStyle w:val="CGCBulletlist"/>
      </w:pPr>
      <w:r w:rsidRPr="006A198D">
        <w:lastRenderedPageBreak/>
        <w:t>National Partnership P</w:t>
      </w:r>
      <w:r w:rsidR="0044248C" w:rsidRPr="006A198D">
        <w:t>ayments for Northern Territory Remote Aboriginal Investment</w:t>
      </w:r>
    </w:p>
    <w:p w:rsidR="0044248C" w:rsidRPr="006A198D" w:rsidRDefault="0044248C" w:rsidP="0044248C">
      <w:pPr>
        <w:pStyle w:val="CGCBulletlist"/>
      </w:pPr>
      <w:r w:rsidRPr="006A198D">
        <w:t>payments relating to the National Partnership for Western Australia Infrastructure projects</w:t>
      </w:r>
    </w:p>
    <w:p w:rsidR="0044248C" w:rsidRPr="006A198D" w:rsidRDefault="0044248C" w:rsidP="0044248C">
      <w:pPr>
        <w:pStyle w:val="CGCBulletlist"/>
      </w:pPr>
      <w:r w:rsidRPr="006A198D">
        <w:t>payments relating to the Royal Victorian Eye and Ear Hospital Redevelopment</w:t>
      </w:r>
    </w:p>
    <w:p w:rsidR="0044248C" w:rsidRPr="006A198D" w:rsidRDefault="0044248C" w:rsidP="0044248C">
      <w:pPr>
        <w:pStyle w:val="CGCBulletlist"/>
      </w:pPr>
      <w:proofErr w:type="gramStart"/>
      <w:r w:rsidRPr="006A198D">
        <w:t>payments</w:t>
      </w:r>
      <w:proofErr w:type="gramEnd"/>
      <w:r w:rsidRPr="006A198D">
        <w:t xml:space="preserve"> (full amount or 50% of the amount) which the Commission has previously been directed to treat so they have no direct influences on the relativities.</w:t>
      </w:r>
    </w:p>
    <w:p w:rsidR="0044248C" w:rsidRPr="006A198D" w:rsidRDefault="0044248C" w:rsidP="00907629">
      <w:pPr>
        <w:pStyle w:val="CGCNumberedPara"/>
      </w:pPr>
      <w:r w:rsidRPr="006A198D">
        <w:t>Accordingly, these paym</w:t>
      </w:r>
      <w:r w:rsidR="00892DA0">
        <w:t>ents</w:t>
      </w:r>
      <w:r w:rsidRPr="006A198D">
        <w:t xml:space="preserve"> and their related expenses have been treated in a way that </w:t>
      </w:r>
      <w:r w:rsidR="00892DA0">
        <w:t>does</w:t>
      </w:r>
      <w:r w:rsidR="00892DA0" w:rsidRPr="006A198D">
        <w:t xml:space="preserve"> </w:t>
      </w:r>
      <w:r w:rsidRPr="006A198D">
        <w:t>not influence the relativities.</w:t>
      </w:r>
    </w:p>
    <w:p w:rsidR="0044248C" w:rsidRPr="006A198D" w:rsidRDefault="0044248C" w:rsidP="00907629">
      <w:pPr>
        <w:pStyle w:val="CGCNumberedPara"/>
      </w:pPr>
      <w:r w:rsidRPr="006A198D">
        <w:t xml:space="preserve">The 2015 Review </w:t>
      </w:r>
      <w:r w:rsidR="00001EB9">
        <w:t>terms of reference</w:t>
      </w:r>
      <w:r w:rsidRPr="006A198D">
        <w:t xml:space="preserve"> required the Commission to apply different treatments to payments made from the Asset Recycling Fund. Payments from the Fund commenced in 2014-15 (the last </w:t>
      </w:r>
      <w:r w:rsidR="00BE4EB5" w:rsidRPr="006A198D">
        <w:t xml:space="preserve">assessment </w:t>
      </w:r>
      <w:r w:rsidRPr="006A198D">
        <w:t>year of this update) and have three components. We have treated each component as dir</w:t>
      </w:r>
      <w:r w:rsidR="001106B6">
        <w:t>ected by the terms of reference:</w:t>
      </w:r>
    </w:p>
    <w:p w:rsidR="0044248C" w:rsidRPr="006A198D" w:rsidRDefault="0044248C" w:rsidP="00907629">
      <w:pPr>
        <w:pStyle w:val="CGCBulletlist"/>
      </w:pPr>
      <w:r w:rsidRPr="006A198D">
        <w:t>Asset recycling initiative — no impact</w:t>
      </w:r>
    </w:p>
    <w:p w:rsidR="0044248C" w:rsidRPr="006A198D" w:rsidRDefault="0044248C" w:rsidP="00907629">
      <w:pPr>
        <w:pStyle w:val="CGCBulletlist"/>
      </w:pPr>
      <w:r w:rsidRPr="006A198D">
        <w:t>Western Sydney infrastructure plan — 50% impact and 50% no impact</w:t>
      </w:r>
      <w:r w:rsidR="00905930" w:rsidRPr="006A198D">
        <w:t xml:space="preserve"> </w:t>
      </w:r>
    </w:p>
    <w:p w:rsidR="0044248C" w:rsidRPr="006A198D" w:rsidRDefault="0044248C" w:rsidP="00907629">
      <w:pPr>
        <w:pStyle w:val="CGCBulletlist"/>
      </w:pPr>
      <w:r w:rsidRPr="006A198D">
        <w:t>New investment</w:t>
      </w:r>
      <w:r w:rsidR="001106B6">
        <w:t>:</w:t>
      </w:r>
    </w:p>
    <w:p w:rsidR="0044248C" w:rsidRPr="006A198D" w:rsidRDefault="0044248C" w:rsidP="00907629">
      <w:pPr>
        <w:pStyle w:val="CGCSubbulletlist"/>
      </w:pPr>
      <w:r w:rsidRPr="006A198D">
        <w:t>roads on national network and road projects identified in terms of reference — 50% impact and 50% no impact</w:t>
      </w:r>
    </w:p>
    <w:p w:rsidR="0044248C" w:rsidRPr="006A198D" w:rsidRDefault="0044248C" w:rsidP="00907629">
      <w:pPr>
        <w:pStyle w:val="CGCSubbulletlist"/>
      </w:pPr>
      <w:proofErr w:type="gramStart"/>
      <w:r w:rsidRPr="006A198D">
        <w:t>other</w:t>
      </w:r>
      <w:proofErr w:type="gramEnd"/>
      <w:r w:rsidRPr="006A198D">
        <w:t xml:space="preserve"> components — impact for payments to States and no impact for payments direct to local governments (treatment based on fiscal equalisation because no </w:t>
      </w:r>
      <w:r w:rsidR="00001EB9">
        <w:t>terms of reference</w:t>
      </w:r>
      <w:r w:rsidRPr="006A198D">
        <w:t xml:space="preserve"> requirement).</w:t>
      </w:r>
    </w:p>
    <w:p w:rsidR="0044248C" w:rsidRPr="006A198D" w:rsidRDefault="0044248C" w:rsidP="001F7ED9">
      <w:pPr>
        <w:pStyle w:val="Heading4"/>
      </w:pPr>
      <w:bookmarkStart w:id="732" w:name="_Toc441241613"/>
      <w:bookmarkStart w:id="733" w:name="_Toc441499283"/>
      <w:bookmarkStart w:id="734" w:name="_Toc442191940"/>
      <w:bookmarkStart w:id="735" w:name="_Toc442192196"/>
      <w:bookmarkStart w:id="736" w:name="_Toc442192261"/>
      <w:bookmarkStart w:id="737" w:name="_Toc442772843"/>
      <w:bookmarkStart w:id="738" w:name="_Toc442773074"/>
      <w:bookmarkStart w:id="739" w:name="_Toc442773242"/>
      <w:bookmarkStart w:id="740" w:name="_Toc442883309"/>
      <w:bookmarkStart w:id="741" w:name="_Toc442949173"/>
      <w:r w:rsidRPr="006A198D">
        <w:t>Treatment of Commonwe</w:t>
      </w:r>
      <w:r w:rsidR="00684191" w:rsidRPr="006A198D">
        <w:t>alth payments commenced in 2014-</w:t>
      </w:r>
      <w:r w:rsidRPr="006A198D">
        <w:t>15</w:t>
      </w:r>
      <w:bookmarkEnd w:id="732"/>
      <w:bookmarkEnd w:id="733"/>
      <w:bookmarkEnd w:id="734"/>
      <w:bookmarkEnd w:id="735"/>
      <w:bookmarkEnd w:id="736"/>
      <w:bookmarkEnd w:id="737"/>
      <w:bookmarkEnd w:id="738"/>
      <w:bookmarkEnd w:id="739"/>
      <w:bookmarkEnd w:id="740"/>
      <w:bookmarkEnd w:id="741"/>
    </w:p>
    <w:p w:rsidR="0044248C" w:rsidRPr="006A198D" w:rsidRDefault="0044248C" w:rsidP="00907629">
      <w:pPr>
        <w:pStyle w:val="CGCNumberedPara"/>
      </w:pPr>
      <w:r w:rsidRPr="006A198D">
        <w:t>Apart from payments for which the terms of reference have requested special treatment, all Commonwealth p</w:t>
      </w:r>
      <w:r w:rsidR="00907629" w:rsidRPr="006A198D">
        <w:t>ayments which commenced in 2014</w:t>
      </w:r>
      <w:r w:rsidR="00907629" w:rsidRPr="006A198D">
        <w:noBreakHyphen/>
      </w:r>
      <w:r w:rsidRPr="006A198D">
        <w:t>15 and which affect State fiscal capacities and for which needs are assessed have an impact on the relativities. This is in accordance with the guideline developed in the 2015 Review.</w:t>
      </w:r>
    </w:p>
    <w:p w:rsidR="0044248C" w:rsidRPr="006A198D" w:rsidRDefault="0014211E" w:rsidP="00907629">
      <w:pPr>
        <w:pStyle w:val="CGCNumberedPara"/>
      </w:pPr>
      <w:r w:rsidRPr="006A198D">
        <w:fldChar w:fldCharType="begin"/>
      </w:r>
      <w:r w:rsidRPr="006A198D">
        <w:instrText xml:space="preserve"> REF _Ref437851569 \h </w:instrText>
      </w:r>
      <w:r w:rsidR="006A198D">
        <w:instrText xml:space="preserve"> \* MERGEFORMAT </w:instrText>
      </w:r>
      <w:r w:rsidRPr="006A198D">
        <w:fldChar w:fldCharType="separate"/>
      </w:r>
      <w:r w:rsidR="007A6AF0" w:rsidRPr="006A198D">
        <w:t xml:space="preserve">Table </w:t>
      </w:r>
      <w:r w:rsidR="007A6AF0">
        <w:rPr>
          <w:noProof/>
        </w:rPr>
        <w:t>2</w:t>
      </w:r>
      <w:r w:rsidR="007A6AF0" w:rsidRPr="006A198D">
        <w:rPr>
          <w:noProof/>
        </w:rPr>
        <w:noBreakHyphen/>
      </w:r>
      <w:r w:rsidR="007A6AF0">
        <w:rPr>
          <w:noProof/>
        </w:rPr>
        <w:t>4</w:t>
      </w:r>
      <w:r w:rsidRPr="006A198D">
        <w:fldChar w:fldCharType="end"/>
      </w:r>
      <w:r w:rsidRPr="006A198D">
        <w:t xml:space="preserve"> </w:t>
      </w:r>
      <w:r w:rsidR="0044248C" w:rsidRPr="006A198D">
        <w:t>provides a summary of the treatment the Commission has applied to p</w:t>
      </w:r>
      <w:r w:rsidR="00907629" w:rsidRPr="006A198D">
        <w:t>ayments which commenced in 2014</w:t>
      </w:r>
      <w:r w:rsidR="00907629" w:rsidRPr="006A198D">
        <w:noBreakHyphen/>
      </w:r>
      <w:r w:rsidR="0044248C" w:rsidRPr="006A198D">
        <w:t>15. We have backcast the EPC distribution of the national agreement payments and the distribution of the Commonwealth payments for Students First and Health reform funding as set out in the 2015 Review. No State had any concerns about this backcasting.</w:t>
      </w:r>
    </w:p>
    <w:p w:rsidR="0044248C" w:rsidRPr="006A198D" w:rsidRDefault="0044248C" w:rsidP="00907629">
      <w:pPr>
        <w:pStyle w:val="CGCNumberedPara"/>
      </w:pPr>
      <w:r w:rsidRPr="006A198D">
        <w:t>We have not backcast any other payments co</w:t>
      </w:r>
      <w:r w:rsidR="00907629" w:rsidRPr="006A198D">
        <w:t>mmencing in 2015</w:t>
      </w:r>
      <w:r w:rsidR="00907629" w:rsidRPr="006A198D">
        <w:noBreakHyphen/>
        <w:t>16 or 2016</w:t>
      </w:r>
      <w:r w:rsidR="00907629" w:rsidRPr="006A198D">
        <w:noBreakHyphen/>
        <w:t xml:space="preserve">17 </w:t>
      </w:r>
      <w:r w:rsidRPr="006A198D">
        <w:t xml:space="preserve">because they do not represent a major change in federal finance arrangements. </w:t>
      </w:r>
    </w:p>
    <w:p w:rsidR="00907629" w:rsidRPr="006A198D" w:rsidRDefault="00C44B8E" w:rsidP="002E7FC7">
      <w:pPr>
        <w:pStyle w:val="CGCterminologylabel"/>
      </w:pPr>
      <w:bookmarkStart w:id="742" w:name="_Ref437851569"/>
      <w:r w:rsidRPr="006A198D">
        <w:lastRenderedPageBreak/>
        <w:t xml:space="preserve">Table </w:t>
      </w:r>
      <w:r w:rsidR="0014378B">
        <w:fldChar w:fldCharType="begin"/>
      </w:r>
      <w:r w:rsidR="0014378B">
        <w:instrText xml:space="preserve"> STYLEREF 1 \s </w:instrText>
      </w:r>
      <w:r w:rsidR="0014378B">
        <w:fldChar w:fldCharType="separate"/>
      </w:r>
      <w:r w:rsidR="007A6AF0">
        <w:rPr>
          <w:noProof/>
        </w:rPr>
        <w:t>2</w:t>
      </w:r>
      <w:r w:rsidR="0014378B">
        <w:rPr>
          <w:noProof/>
        </w:rPr>
        <w:fldChar w:fldCharType="end"/>
      </w:r>
      <w:r w:rsidRPr="006A198D">
        <w:noBreakHyphen/>
      </w:r>
      <w:r w:rsidR="0014378B">
        <w:fldChar w:fldCharType="begin"/>
      </w:r>
      <w:r w:rsidR="0014378B">
        <w:instrText xml:space="preserve"> SEQ Table \* ARABIC \s 1 </w:instrText>
      </w:r>
      <w:r w:rsidR="0014378B">
        <w:fldChar w:fldCharType="separate"/>
      </w:r>
      <w:r w:rsidR="007A6AF0">
        <w:rPr>
          <w:noProof/>
        </w:rPr>
        <w:t>4</w:t>
      </w:r>
      <w:r w:rsidR="0014378B">
        <w:rPr>
          <w:noProof/>
        </w:rPr>
        <w:fldChar w:fldCharType="end"/>
      </w:r>
      <w:bookmarkEnd w:id="742"/>
      <w:r w:rsidR="00907629" w:rsidRPr="006A198D">
        <w:tab/>
        <w:t>Treatment of Commonwealth payments commenced in 2014-15</w:t>
      </w:r>
    </w:p>
    <w:tbl>
      <w:tblPr>
        <w:tblW w:w="8920" w:type="dxa"/>
        <w:tblLayout w:type="fixed"/>
        <w:tblCellMar>
          <w:left w:w="0" w:type="dxa"/>
          <w:right w:w="0" w:type="dxa"/>
        </w:tblCellMar>
        <w:tblLook w:val="04A0" w:firstRow="1" w:lastRow="0" w:firstColumn="1" w:lastColumn="0" w:noHBand="0" w:noVBand="1"/>
      </w:tblPr>
      <w:tblGrid>
        <w:gridCol w:w="3381"/>
        <w:gridCol w:w="981"/>
        <w:gridCol w:w="236"/>
        <w:gridCol w:w="1468"/>
        <w:gridCol w:w="2854"/>
      </w:tblGrid>
      <w:tr w:rsidR="008C28D5" w:rsidRPr="006A198D" w:rsidTr="004254B3">
        <w:trPr>
          <w:trHeight w:val="1035"/>
          <w:tblHeader/>
        </w:trPr>
        <w:tc>
          <w:tcPr>
            <w:tcW w:w="3381" w:type="dxa"/>
            <w:tcBorders>
              <w:top w:val="single" w:sz="4" w:space="0" w:color="auto"/>
              <w:left w:val="nil"/>
              <w:bottom w:val="single" w:sz="4" w:space="0" w:color="auto"/>
              <w:right w:val="nil"/>
            </w:tcBorders>
            <w:shd w:val="clear" w:color="auto" w:fill="auto"/>
            <w:vAlign w:val="center"/>
            <w:hideMark/>
          </w:tcPr>
          <w:p w:rsidR="008C28D5" w:rsidRPr="006A198D" w:rsidRDefault="008C28D5" w:rsidP="008C28D5">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theme="minorHAnsi"/>
                <w:sz w:val="20"/>
                <w:szCs w:val="20"/>
                <w:lang w:eastAsia="en-AU"/>
              </w:rPr>
              <w:t>Payment</w:t>
            </w:r>
          </w:p>
        </w:tc>
        <w:tc>
          <w:tcPr>
            <w:tcW w:w="981" w:type="dxa"/>
            <w:tcBorders>
              <w:top w:val="single" w:sz="4" w:space="0" w:color="auto"/>
              <w:left w:val="nil"/>
              <w:bottom w:val="single" w:sz="4" w:space="0" w:color="auto"/>
              <w:right w:val="nil"/>
            </w:tcBorders>
            <w:shd w:val="clear" w:color="auto" w:fill="auto"/>
            <w:vAlign w:val="center"/>
            <w:hideMark/>
          </w:tcPr>
          <w:p w:rsidR="008C28D5" w:rsidRPr="006A198D" w:rsidRDefault="008C28D5" w:rsidP="00BE4EB5">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theme="minorHAnsi"/>
                <w:sz w:val="20"/>
                <w:szCs w:val="20"/>
                <w:lang w:eastAsia="en-AU"/>
              </w:rPr>
              <w:t>Final Budget Outcome $m</w:t>
            </w:r>
          </w:p>
        </w:tc>
        <w:tc>
          <w:tcPr>
            <w:tcW w:w="236" w:type="dxa"/>
            <w:tcBorders>
              <w:top w:val="single" w:sz="4" w:space="0" w:color="auto"/>
              <w:left w:val="nil"/>
              <w:bottom w:val="single" w:sz="4" w:space="0" w:color="auto"/>
              <w:right w:val="nil"/>
            </w:tcBorders>
            <w:shd w:val="clear" w:color="auto" w:fill="auto"/>
            <w:vAlign w:val="center"/>
            <w:hideMark/>
          </w:tcPr>
          <w:p w:rsidR="008C28D5" w:rsidRPr="006A198D" w:rsidRDefault="008C28D5" w:rsidP="008C28D5">
            <w:pPr>
              <w:keepNext/>
              <w:keepLines/>
              <w:tabs>
                <w:tab w:val="clear" w:pos="567"/>
              </w:tabs>
              <w:spacing w:after="0" w:line="240" w:lineRule="auto"/>
              <w:jc w:val="center"/>
              <w:rPr>
                <w:rFonts w:ascii="Calibri" w:eastAsia="Times New Roman" w:hAnsi="Calibri" w:cs="Arial"/>
                <w:sz w:val="20"/>
                <w:szCs w:val="20"/>
                <w:lang w:eastAsia="en-AU"/>
              </w:rPr>
            </w:pPr>
            <w:r w:rsidRPr="006A198D">
              <w:rPr>
                <w:rFonts w:ascii="Calibri" w:eastAsia="Times New Roman" w:hAnsi="Calibri" w:cs="Arial"/>
                <w:sz w:val="20"/>
                <w:szCs w:val="20"/>
                <w:lang w:eastAsia="en-AU"/>
              </w:rPr>
              <w:t> </w:t>
            </w:r>
          </w:p>
        </w:tc>
        <w:tc>
          <w:tcPr>
            <w:tcW w:w="1468" w:type="dxa"/>
            <w:tcBorders>
              <w:top w:val="single" w:sz="4" w:space="0" w:color="auto"/>
              <w:left w:val="nil"/>
              <w:bottom w:val="single" w:sz="4" w:space="0" w:color="auto"/>
              <w:right w:val="nil"/>
            </w:tcBorders>
            <w:shd w:val="clear" w:color="auto" w:fill="auto"/>
            <w:vAlign w:val="center"/>
            <w:hideMark/>
          </w:tcPr>
          <w:p w:rsidR="008C28D5" w:rsidRPr="006A198D" w:rsidRDefault="008C28D5" w:rsidP="008C28D5">
            <w:pPr>
              <w:keepNext/>
              <w:keepLines/>
              <w:tabs>
                <w:tab w:val="clear" w:pos="567"/>
              </w:tabs>
              <w:spacing w:after="0" w:line="240" w:lineRule="auto"/>
              <w:jc w:val="center"/>
              <w:rPr>
                <w:rFonts w:ascii="Calibri" w:eastAsia="Times New Roman" w:hAnsi="Calibri" w:cs="Arial"/>
                <w:sz w:val="20"/>
                <w:szCs w:val="20"/>
                <w:lang w:eastAsia="en-AU"/>
              </w:rPr>
            </w:pPr>
            <w:r w:rsidRPr="006A198D">
              <w:rPr>
                <w:rFonts w:ascii="Calibri" w:eastAsia="Times New Roman" w:hAnsi="Calibri" w:cstheme="minorHAnsi"/>
                <w:sz w:val="20"/>
                <w:szCs w:val="20"/>
                <w:lang w:eastAsia="en-AU"/>
              </w:rPr>
              <w:t>Treatment</w:t>
            </w:r>
          </w:p>
        </w:tc>
        <w:tc>
          <w:tcPr>
            <w:tcW w:w="2854" w:type="dxa"/>
            <w:tcBorders>
              <w:top w:val="single" w:sz="4" w:space="0" w:color="auto"/>
              <w:left w:val="nil"/>
              <w:bottom w:val="single" w:sz="4" w:space="0" w:color="auto"/>
              <w:right w:val="nil"/>
            </w:tcBorders>
            <w:shd w:val="clear" w:color="auto" w:fill="auto"/>
            <w:vAlign w:val="center"/>
            <w:hideMark/>
          </w:tcPr>
          <w:p w:rsidR="008C28D5" w:rsidRPr="006A198D" w:rsidRDefault="008C28D5" w:rsidP="008C28D5">
            <w:pPr>
              <w:keepNext/>
              <w:keepLines/>
              <w:tabs>
                <w:tab w:val="clear" w:pos="567"/>
              </w:tabs>
              <w:spacing w:after="0" w:line="240" w:lineRule="auto"/>
              <w:jc w:val="center"/>
              <w:rPr>
                <w:rFonts w:ascii="Calibri" w:eastAsia="Times New Roman" w:hAnsi="Calibri" w:cs="Arial"/>
                <w:sz w:val="20"/>
                <w:szCs w:val="20"/>
                <w:lang w:eastAsia="en-AU"/>
              </w:rPr>
            </w:pPr>
            <w:r w:rsidRPr="006A198D">
              <w:rPr>
                <w:rFonts w:ascii="Calibri" w:eastAsia="Times New Roman" w:hAnsi="Calibri" w:cstheme="minorHAnsi"/>
                <w:sz w:val="20"/>
                <w:szCs w:val="20"/>
                <w:lang w:eastAsia="en-AU"/>
              </w:rPr>
              <w:t>Reason for ‘no impact’</w:t>
            </w:r>
          </w:p>
        </w:tc>
      </w:tr>
      <w:tr w:rsidR="008C28D5" w:rsidRPr="006A198D" w:rsidTr="00661557">
        <w:trPr>
          <w:trHeight w:val="315"/>
        </w:trPr>
        <w:tc>
          <w:tcPr>
            <w:tcW w:w="3381" w:type="dxa"/>
            <w:tcBorders>
              <w:top w:val="nil"/>
              <w:left w:val="nil"/>
              <w:bottom w:val="nil"/>
              <w:right w:val="nil"/>
            </w:tcBorders>
            <w:shd w:val="clear" w:color="auto" w:fill="auto"/>
            <w:hideMark/>
          </w:tcPr>
          <w:p w:rsidR="008C28D5" w:rsidRPr="006A198D" w:rsidRDefault="008C28D5" w:rsidP="00661557">
            <w:pPr>
              <w:keepNext/>
              <w:keepLines/>
              <w:tabs>
                <w:tab w:val="clear" w:pos="567"/>
              </w:tabs>
              <w:spacing w:after="0" w:line="240" w:lineRule="auto"/>
              <w:ind w:left="193" w:hanging="142"/>
              <w:rPr>
                <w:rFonts w:ascii="Calibri" w:eastAsia="Times New Roman" w:hAnsi="Calibri" w:cs="Arial"/>
                <w:b/>
                <w:bCs/>
                <w:sz w:val="20"/>
                <w:szCs w:val="20"/>
                <w:lang w:eastAsia="en-AU"/>
              </w:rPr>
            </w:pPr>
            <w:r w:rsidRPr="006A198D">
              <w:rPr>
                <w:rFonts w:ascii="Calibri" w:eastAsia="Times New Roman" w:hAnsi="Calibri" w:cs="Arial"/>
                <w:b/>
                <w:bCs/>
                <w:sz w:val="20"/>
                <w:szCs w:val="20"/>
                <w:lang w:eastAsia="en-AU"/>
              </w:rPr>
              <w:t>HEALTH</w:t>
            </w:r>
          </w:p>
        </w:tc>
        <w:tc>
          <w:tcPr>
            <w:tcW w:w="981"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236"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68"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p>
        </w:tc>
        <w:tc>
          <w:tcPr>
            <w:tcW w:w="2854"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r>
      <w:tr w:rsidR="008C28D5" w:rsidRPr="006A198D" w:rsidTr="00661557">
        <w:trPr>
          <w:trHeight w:val="315"/>
        </w:trPr>
        <w:tc>
          <w:tcPr>
            <w:tcW w:w="3381" w:type="dxa"/>
            <w:tcBorders>
              <w:top w:val="nil"/>
              <w:left w:val="nil"/>
              <w:bottom w:val="nil"/>
              <w:right w:val="nil"/>
            </w:tcBorders>
            <w:shd w:val="clear" w:color="auto" w:fill="auto"/>
            <w:hideMark/>
          </w:tcPr>
          <w:p w:rsidR="008C28D5" w:rsidRPr="006A198D" w:rsidRDefault="008C28D5" w:rsidP="00661557">
            <w:pPr>
              <w:keepNext/>
              <w:keepLines/>
              <w:tabs>
                <w:tab w:val="clear" w:pos="567"/>
              </w:tabs>
              <w:spacing w:after="0" w:line="240" w:lineRule="auto"/>
              <w:ind w:left="193" w:hanging="142"/>
              <w:rPr>
                <w:rFonts w:ascii="Calibri" w:eastAsia="Times New Roman" w:hAnsi="Calibri" w:cs="Arial"/>
                <w:b/>
                <w:bCs/>
                <w:sz w:val="20"/>
                <w:szCs w:val="20"/>
                <w:lang w:eastAsia="en-AU"/>
              </w:rPr>
            </w:pPr>
            <w:r w:rsidRPr="006A198D">
              <w:rPr>
                <w:rFonts w:ascii="Calibri" w:eastAsia="Times New Roman" w:hAnsi="Calibri" w:cs="Arial"/>
                <w:b/>
                <w:bCs/>
                <w:sz w:val="20"/>
                <w:szCs w:val="20"/>
                <w:lang w:eastAsia="en-AU"/>
              </w:rPr>
              <w:t>Health infrastructure</w:t>
            </w:r>
          </w:p>
        </w:tc>
        <w:tc>
          <w:tcPr>
            <w:tcW w:w="981"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236"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68"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p>
        </w:tc>
        <w:tc>
          <w:tcPr>
            <w:tcW w:w="2854"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r>
      <w:tr w:rsidR="008C28D5" w:rsidRPr="006A198D" w:rsidTr="00661557">
        <w:trPr>
          <w:trHeight w:val="315"/>
        </w:trPr>
        <w:tc>
          <w:tcPr>
            <w:tcW w:w="3381" w:type="dxa"/>
            <w:tcBorders>
              <w:top w:val="nil"/>
              <w:left w:val="nil"/>
              <w:bottom w:val="nil"/>
              <w:right w:val="nil"/>
            </w:tcBorders>
            <w:shd w:val="clear" w:color="auto" w:fill="auto"/>
            <w:hideMark/>
          </w:tcPr>
          <w:p w:rsidR="008C28D5" w:rsidRPr="006A198D" w:rsidRDefault="008C28D5" w:rsidP="00661557">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Bright Hospital - feasibility study</w:t>
            </w:r>
          </w:p>
        </w:tc>
        <w:tc>
          <w:tcPr>
            <w:tcW w:w="981"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0.1</w:t>
            </w:r>
          </w:p>
        </w:tc>
        <w:tc>
          <w:tcPr>
            <w:tcW w:w="236"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68"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Impact</w:t>
            </w:r>
          </w:p>
        </w:tc>
        <w:tc>
          <w:tcPr>
            <w:tcW w:w="2854"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r>
      <w:tr w:rsidR="008C28D5" w:rsidRPr="006A198D" w:rsidTr="00661557">
        <w:trPr>
          <w:trHeight w:val="315"/>
        </w:trPr>
        <w:tc>
          <w:tcPr>
            <w:tcW w:w="3381" w:type="dxa"/>
            <w:tcBorders>
              <w:top w:val="nil"/>
              <w:left w:val="nil"/>
              <w:bottom w:val="nil"/>
              <w:right w:val="nil"/>
            </w:tcBorders>
            <w:shd w:val="clear" w:color="auto" w:fill="auto"/>
            <w:hideMark/>
          </w:tcPr>
          <w:p w:rsidR="008C28D5" w:rsidRPr="006A198D" w:rsidRDefault="008C28D5" w:rsidP="00661557">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Cancer Support Clinic in Katherine</w:t>
            </w:r>
          </w:p>
        </w:tc>
        <w:tc>
          <w:tcPr>
            <w:tcW w:w="981"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0.4</w:t>
            </w:r>
          </w:p>
        </w:tc>
        <w:tc>
          <w:tcPr>
            <w:tcW w:w="236"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68"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Impact</w:t>
            </w:r>
          </w:p>
        </w:tc>
        <w:tc>
          <w:tcPr>
            <w:tcW w:w="2854"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r>
      <w:tr w:rsidR="008C28D5" w:rsidRPr="006A198D" w:rsidTr="00661557">
        <w:trPr>
          <w:trHeight w:val="315"/>
        </w:trPr>
        <w:tc>
          <w:tcPr>
            <w:tcW w:w="3381" w:type="dxa"/>
            <w:tcBorders>
              <w:top w:val="nil"/>
              <w:left w:val="nil"/>
              <w:bottom w:val="nil"/>
              <w:right w:val="nil"/>
            </w:tcBorders>
            <w:shd w:val="clear" w:color="auto" w:fill="auto"/>
            <w:hideMark/>
          </w:tcPr>
          <w:p w:rsidR="008C28D5" w:rsidRPr="006A198D" w:rsidRDefault="008C28D5" w:rsidP="00661557">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Construction of Palmerston Hospital</w:t>
            </w:r>
          </w:p>
        </w:tc>
        <w:tc>
          <w:tcPr>
            <w:tcW w:w="981"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20.0</w:t>
            </w:r>
          </w:p>
        </w:tc>
        <w:tc>
          <w:tcPr>
            <w:tcW w:w="236"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68"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Impact</w:t>
            </w:r>
          </w:p>
        </w:tc>
        <w:tc>
          <w:tcPr>
            <w:tcW w:w="2854"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r>
      <w:tr w:rsidR="008C28D5" w:rsidRPr="006A198D" w:rsidTr="00661557">
        <w:trPr>
          <w:trHeight w:val="555"/>
        </w:trPr>
        <w:tc>
          <w:tcPr>
            <w:tcW w:w="3381" w:type="dxa"/>
            <w:tcBorders>
              <w:top w:val="nil"/>
              <w:left w:val="nil"/>
              <w:bottom w:val="nil"/>
              <w:right w:val="nil"/>
            </w:tcBorders>
            <w:shd w:val="clear" w:color="auto" w:fill="auto"/>
            <w:hideMark/>
          </w:tcPr>
          <w:p w:rsidR="008C28D5" w:rsidRPr="006A198D" w:rsidRDefault="008C28D5" w:rsidP="00661557">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Oncology Day Treatment Centre at Frankston Hospital</w:t>
            </w:r>
          </w:p>
        </w:tc>
        <w:tc>
          <w:tcPr>
            <w:tcW w:w="981"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0.7</w:t>
            </w:r>
          </w:p>
        </w:tc>
        <w:tc>
          <w:tcPr>
            <w:tcW w:w="236"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68"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Impact</w:t>
            </w:r>
          </w:p>
        </w:tc>
        <w:tc>
          <w:tcPr>
            <w:tcW w:w="2854"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r>
      <w:tr w:rsidR="008C28D5" w:rsidRPr="006A198D" w:rsidTr="00661557">
        <w:trPr>
          <w:trHeight w:val="555"/>
        </w:trPr>
        <w:tc>
          <w:tcPr>
            <w:tcW w:w="3381" w:type="dxa"/>
            <w:tcBorders>
              <w:top w:val="nil"/>
              <w:left w:val="nil"/>
              <w:bottom w:val="nil"/>
              <w:right w:val="nil"/>
            </w:tcBorders>
            <w:shd w:val="clear" w:color="auto" w:fill="auto"/>
            <w:hideMark/>
          </w:tcPr>
          <w:p w:rsidR="008C28D5" w:rsidRPr="006A198D" w:rsidRDefault="008C28D5" w:rsidP="00661557">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Redevelopment of the Royal Victorian Eye and Ear Hospital</w:t>
            </w:r>
          </w:p>
        </w:tc>
        <w:tc>
          <w:tcPr>
            <w:tcW w:w="981"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50.0</w:t>
            </w:r>
          </w:p>
        </w:tc>
        <w:tc>
          <w:tcPr>
            <w:tcW w:w="236"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68"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No impact</w:t>
            </w:r>
          </w:p>
        </w:tc>
        <w:tc>
          <w:tcPr>
            <w:tcW w:w="2854"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Terms of reference requirement</w:t>
            </w:r>
          </w:p>
        </w:tc>
      </w:tr>
      <w:tr w:rsidR="008C28D5" w:rsidRPr="006A198D" w:rsidTr="00661557">
        <w:trPr>
          <w:trHeight w:val="315"/>
        </w:trPr>
        <w:tc>
          <w:tcPr>
            <w:tcW w:w="3381" w:type="dxa"/>
            <w:tcBorders>
              <w:top w:val="nil"/>
              <w:left w:val="nil"/>
              <w:bottom w:val="nil"/>
              <w:right w:val="nil"/>
            </w:tcBorders>
            <w:shd w:val="clear" w:color="auto" w:fill="auto"/>
            <w:hideMark/>
          </w:tcPr>
          <w:p w:rsidR="008C28D5" w:rsidRPr="006A198D" w:rsidRDefault="008C28D5" w:rsidP="00661557">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Upgrade of Ballina Hospital</w:t>
            </w:r>
          </w:p>
        </w:tc>
        <w:tc>
          <w:tcPr>
            <w:tcW w:w="981"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1.0</w:t>
            </w:r>
          </w:p>
        </w:tc>
        <w:tc>
          <w:tcPr>
            <w:tcW w:w="236"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68"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Impact</w:t>
            </w:r>
          </w:p>
        </w:tc>
        <w:tc>
          <w:tcPr>
            <w:tcW w:w="2854"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r>
      <w:tr w:rsidR="008C28D5" w:rsidRPr="006A198D" w:rsidTr="00661557">
        <w:trPr>
          <w:trHeight w:val="555"/>
        </w:trPr>
        <w:tc>
          <w:tcPr>
            <w:tcW w:w="3381" w:type="dxa"/>
            <w:tcBorders>
              <w:top w:val="nil"/>
              <w:left w:val="nil"/>
              <w:bottom w:val="nil"/>
              <w:right w:val="nil"/>
            </w:tcBorders>
            <w:shd w:val="clear" w:color="auto" w:fill="auto"/>
            <w:hideMark/>
          </w:tcPr>
          <w:p w:rsidR="008C28D5" w:rsidRPr="006A198D" w:rsidRDefault="008C28D5" w:rsidP="00661557">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Upgrade of the Casino and District Memorial Hospital</w:t>
            </w:r>
          </w:p>
        </w:tc>
        <w:tc>
          <w:tcPr>
            <w:tcW w:w="981"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3.0</w:t>
            </w:r>
          </w:p>
        </w:tc>
        <w:tc>
          <w:tcPr>
            <w:tcW w:w="236"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68"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Impact</w:t>
            </w:r>
          </w:p>
        </w:tc>
        <w:tc>
          <w:tcPr>
            <w:tcW w:w="2854"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r>
      <w:tr w:rsidR="008C28D5" w:rsidRPr="006A198D" w:rsidTr="00661557">
        <w:trPr>
          <w:trHeight w:val="315"/>
        </w:trPr>
        <w:tc>
          <w:tcPr>
            <w:tcW w:w="3381" w:type="dxa"/>
            <w:tcBorders>
              <w:top w:val="nil"/>
              <w:left w:val="nil"/>
              <w:bottom w:val="nil"/>
              <w:right w:val="nil"/>
            </w:tcBorders>
            <w:shd w:val="clear" w:color="auto" w:fill="auto"/>
            <w:hideMark/>
          </w:tcPr>
          <w:p w:rsidR="008C28D5" w:rsidRPr="006A198D" w:rsidRDefault="008C28D5" w:rsidP="00661557">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Warrnambool Integrated Cancer Care Centre</w:t>
            </w:r>
          </w:p>
        </w:tc>
        <w:tc>
          <w:tcPr>
            <w:tcW w:w="981"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10.0</w:t>
            </w:r>
          </w:p>
        </w:tc>
        <w:tc>
          <w:tcPr>
            <w:tcW w:w="236"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68"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Impact</w:t>
            </w:r>
          </w:p>
        </w:tc>
        <w:tc>
          <w:tcPr>
            <w:tcW w:w="2854"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r>
      <w:tr w:rsidR="008C28D5" w:rsidRPr="006A198D" w:rsidTr="00661557">
        <w:trPr>
          <w:trHeight w:val="315"/>
        </w:trPr>
        <w:tc>
          <w:tcPr>
            <w:tcW w:w="3381" w:type="dxa"/>
            <w:tcBorders>
              <w:top w:val="nil"/>
              <w:left w:val="nil"/>
              <w:bottom w:val="nil"/>
              <w:right w:val="nil"/>
            </w:tcBorders>
            <w:shd w:val="clear" w:color="auto" w:fill="auto"/>
            <w:hideMark/>
          </w:tcPr>
          <w:p w:rsidR="008C28D5" w:rsidRPr="006A198D" w:rsidRDefault="008C28D5" w:rsidP="00661557">
            <w:pPr>
              <w:keepNext/>
              <w:keepLines/>
              <w:tabs>
                <w:tab w:val="clear" w:pos="567"/>
              </w:tabs>
              <w:spacing w:after="0" w:line="240" w:lineRule="auto"/>
              <w:ind w:left="193" w:hanging="142"/>
              <w:rPr>
                <w:rFonts w:ascii="Calibri" w:eastAsia="Times New Roman" w:hAnsi="Calibri" w:cs="Arial"/>
                <w:b/>
                <w:bCs/>
                <w:sz w:val="20"/>
                <w:szCs w:val="20"/>
                <w:lang w:eastAsia="en-AU"/>
              </w:rPr>
            </w:pPr>
            <w:r w:rsidRPr="006A198D">
              <w:rPr>
                <w:rFonts w:ascii="Calibri" w:eastAsia="Times New Roman" w:hAnsi="Calibri" w:cs="Arial"/>
                <w:b/>
                <w:bCs/>
                <w:sz w:val="20"/>
                <w:szCs w:val="20"/>
                <w:lang w:eastAsia="en-AU"/>
              </w:rPr>
              <w:t>Health services</w:t>
            </w:r>
          </w:p>
        </w:tc>
        <w:tc>
          <w:tcPr>
            <w:tcW w:w="981"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p>
        </w:tc>
        <w:tc>
          <w:tcPr>
            <w:tcW w:w="236"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68"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p>
        </w:tc>
        <w:tc>
          <w:tcPr>
            <w:tcW w:w="2854"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r>
      <w:tr w:rsidR="008C28D5" w:rsidRPr="006A198D" w:rsidTr="00661557">
        <w:trPr>
          <w:trHeight w:val="555"/>
        </w:trPr>
        <w:tc>
          <w:tcPr>
            <w:tcW w:w="3381" w:type="dxa"/>
            <w:tcBorders>
              <w:top w:val="nil"/>
              <w:left w:val="nil"/>
              <w:bottom w:val="nil"/>
              <w:right w:val="nil"/>
            </w:tcBorders>
            <w:shd w:val="clear" w:color="auto" w:fill="auto"/>
            <w:hideMark/>
          </w:tcPr>
          <w:p w:rsidR="008C28D5" w:rsidRPr="006A198D" w:rsidRDefault="008C28D5" w:rsidP="00661557">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Canberra Hospital - dedicated paediatric emergency care</w:t>
            </w:r>
          </w:p>
        </w:tc>
        <w:tc>
          <w:tcPr>
            <w:tcW w:w="981"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5.0</w:t>
            </w:r>
          </w:p>
        </w:tc>
        <w:tc>
          <w:tcPr>
            <w:tcW w:w="236"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68"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Impact</w:t>
            </w:r>
          </w:p>
        </w:tc>
        <w:tc>
          <w:tcPr>
            <w:tcW w:w="2854"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r>
      <w:tr w:rsidR="008C28D5" w:rsidRPr="006A198D" w:rsidTr="00661557">
        <w:trPr>
          <w:trHeight w:val="1035"/>
        </w:trPr>
        <w:tc>
          <w:tcPr>
            <w:tcW w:w="3381" w:type="dxa"/>
            <w:tcBorders>
              <w:top w:val="nil"/>
              <w:left w:val="nil"/>
              <w:bottom w:val="nil"/>
              <w:right w:val="nil"/>
            </w:tcBorders>
            <w:shd w:val="clear" w:color="auto" w:fill="auto"/>
            <w:hideMark/>
          </w:tcPr>
          <w:p w:rsidR="008C28D5" w:rsidRPr="006A198D" w:rsidRDefault="008C28D5" w:rsidP="00661557">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Hummingbird House</w:t>
            </w:r>
          </w:p>
        </w:tc>
        <w:tc>
          <w:tcPr>
            <w:tcW w:w="981"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1.5</w:t>
            </w:r>
          </w:p>
        </w:tc>
        <w:tc>
          <w:tcPr>
            <w:tcW w:w="236"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68"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50% impact,      50% no impact</w:t>
            </w:r>
          </w:p>
        </w:tc>
        <w:tc>
          <w:tcPr>
            <w:tcW w:w="2854"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 xml:space="preserve">50% no impact — the payment relieves part of Queensland’s responsibility for services for which needs are assessed </w:t>
            </w:r>
          </w:p>
        </w:tc>
      </w:tr>
      <w:tr w:rsidR="008C28D5" w:rsidRPr="006A198D" w:rsidTr="00661557">
        <w:trPr>
          <w:trHeight w:val="315"/>
        </w:trPr>
        <w:tc>
          <w:tcPr>
            <w:tcW w:w="3381" w:type="dxa"/>
            <w:tcBorders>
              <w:top w:val="nil"/>
              <w:left w:val="nil"/>
              <w:bottom w:val="nil"/>
              <w:right w:val="nil"/>
            </w:tcBorders>
            <w:shd w:val="clear" w:color="auto" w:fill="auto"/>
            <w:hideMark/>
          </w:tcPr>
          <w:p w:rsidR="008C28D5" w:rsidRPr="006A198D" w:rsidRDefault="008C28D5" w:rsidP="00661557">
            <w:pPr>
              <w:keepNext/>
              <w:keepLines/>
              <w:tabs>
                <w:tab w:val="clear" w:pos="567"/>
              </w:tabs>
              <w:spacing w:after="0" w:line="240" w:lineRule="auto"/>
              <w:ind w:left="193" w:hanging="142"/>
              <w:rPr>
                <w:rFonts w:ascii="Calibri" w:eastAsia="Times New Roman" w:hAnsi="Calibri" w:cs="Arial"/>
                <w:b/>
                <w:bCs/>
                <w:sz w:val="20"/>
                <w:szCs w:val="20"/>
                <w:lang w:eastAsia="en-AU"/>
              </w:rPr>
            </w:pPr>
            <w:r w:rsidRPr="006A198D">
              <w:rPr>
                <w:rFonts w:ascii="Calibri" w:eastAsia="Times New Roman" w:hAnsi="Calibri" w:cs="Arial"/>
                <w:b/>
                <w:bCs/>
                <w:sz w:val="20"/>
                <w:szCs w:val="20"/>
                <w:lang w:eastAsia="en-AU"/>
              </w:rPr>
              <w:t>Indigenous health</w:t>
            </w:r>
          </w:p>
        </w:tc>
        <w:tc>
          <w:tcPr>
            <w:tcW w:w="981"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p>
        </w:tc>
        <w:tc>
          <w:tcPr>
            <w:tcW w:w="236"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68"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p>
        </w:tc>
        <w:tc>
          <w:tcPr>
            <w:tcW w:w="2854"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r>
      <w:tr w:rsidR="008C28D5" w:rsidRPr="006A198D" w:rsidTr="00661557">
        <w:trPr>
          <w:trHeight w:val="1035"/>
        </w:trPr>
        <w:tc>
          <w:tcPr>
            <w:tcW w:w="3381" w:type="dxa"/>
            <w:tcBorders>
              <w:top w:val="nil"/>
              <w:left w:val="nil"/>
              <w:bottom w:val="nil"/>
              <w:right w:val="nil"/>
            </w:tcBorders>
            <w:shd w:val="clear" w:color="auto" w:fill="auto"/>
            <w:hideMark/>
          </w:tcPr>
          <w:p w:rsidR="008C28D5" w:rsidRPr="006A198D" w:rsidRDefault="008C28D5" w:rsidP="00661557">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Renal infrastructure in the NT (previously Accommodation and infrastructure related to renal services for Aboriginal and Torres Strait Islander peoples in the NT)</w:t>
            </w:r>
          </w:p>
        </w:tc>
        <w:tc>
          <w:tcPr>
            <w:tcW w:w="981"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4.0</w:t>
            </w:r>
          </w:p>
        </w:tc>
        <w:tc>
          <w:tcPr>
            <w:tcW w:w="236"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68"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Impact</w:t>
            </w:r>
          </w:p>
        </w:tc>
        <w:tc>
          <w:tcPr>
            <w:tcW w:w="2854"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r>
      <w:tr w:rsidR="008C28D5" w:rsidRPr="006A198D" w:rsidTr="00661557">
        <w:trPr>
          <w:trHeight w:val="315"/>
        </w:trPr>
        <w:tc>
          <w:tcPr>
            <w:tcW w:w="3381" w:type="dxa"/>
            <w:tcBorders>
              <w:top w:val="nil"/>
              <w:left w:val="nil"/>
              <w:bottom w:val="nil"/>
              <w:right w:val="nil"/>
            </w:tcBorders>
            <w:shd w:val="clear" w:color="auto" w:fill="auto"/>
            <w:hideMark/>
          </w:tcPr>
          <w:p w:rsidR="008C28D5" w:rsidRPr="006A198D" w:rsidRDefault="008C28D5" w:rsidP="00661557">
            <w:pPr>
              <w:keepNext/>
              <w:keepLines/>
              <w:tabs>
                <w:tab w:val="clear" w:pos="567"/>
              </w:tabs>
              <w:spacing w:after="0" w:line="240" w:lineRule="auto"/>
              <w:ind w:left="193" w:hanging="142"/>
              <w:rPr>
                <w:rFonts w:ascii="Calibri" w:eastAsia="Times New Roman" w:hAnsi="Calibri" w:cs="Arial"/>
                <w:b/>
                <w:bCs/>
                <w:sz w:val="20"/>
                <w:szCs w:val="20"/>
                <w:lang w:eastAsia="en-AU"/>
              </w:rPr>
            </w:pPr>
            <w:r w:rsidRPr="006A198D">
              <w:rPr>
                <w:rFonts w:ascii="Calibri" w:eastAsia="Times New Roman" w:hAnsi="Calibri" w:cs="Arial"/>
                <w:b/>
                <w:bCs/>
                <w:sz w:val="20"/>
                <w:szCs w:val="20"/>
                <w:lang w:eastAsia="en-AU"/>
              </w:rPr>
              <w:t>EDUCATION</w:t>
            </w:r>
          </w:p>
        </w:tc>
        <w:tc>
          <w:tcPr>
            <w:tcW w:w="981"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p>
        </w:tc>
        <w:tc>
          <w:tcPr>
            <w:tcW w:w="236"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68"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p>
        </w:tc>
        <w:tc>
          <w:tcPr>
            <w:tcW w:w="2854"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r>
      <w:tr w:rsidR="008C28D5" w:rsidRPr="006A198D" w:rsidTr="00661557">
        <w:trPr>
          <w:trHeight w:val="315"/>
        </w:trPr>
        <w:tc>
          <w:tcPr>
            <w:tcW w:w="3381" w:type="dxa"/>
            <w:tcBorders>
              <w:top w:val="nil"/>
              <w:left w:val="nil"/>
              <w:bottom w:val="nil"/>
              <w:right w:val="nil"/>
            </w:tcBorders>
            <w:shd w:val="clear" w:color="auto" w:fill="auto"/>
            <w:hideMark/>
          </w:tcPr>
          <w:p w:rsidR="008C28D5" w:rsidRPr="006A198D" w:rsidRDefault="008C28D5" w:rsidP="00661557">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National school chaplaincy programme</w:t>
            </w:r>
          </w:p>
        </w:tc>
        <w:tc>
          <w:tcPr>
            <w:tcW w:w="981"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60.6</w:t>
            </w:r>
          </w:p>
        </w:tc>
        <w:tc>
          <w:tcPr>
            <w:tcW w:w="236"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68"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Impact</w:t>
            </w:r>
          </w:p>
        </w:tc>
        <w:tc>
          <w:tcPr>
            <w:tcW w:w="2854"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r>
      <w:tr w:rsidR="008C28D5" w:rsidRPr="006A198D" w:rsidTr="00661557">
        <w:trPr>
          <w:trHeight w:val="315"/>
        </w:trPr>
        <w:tc>
          <w:tcPr>
            <w:tcW w:w="3381" w:type="dxa"/>
            <w:tcBorders>
              <w:top w:val="nil"/>
              <w:left w:val="nil"/>
              <w:bottom w:val="nil"/>
              <w:right w:val="nil"/>
            </w:tcBorders>
            <w:shd w:val="clear" w:color="auto" w:fill="auto"/>
            <w:hideMark/>
          </w:tcPr>
          <w:p w:rsidR="008C28D5" w:rsidRPr="006A198D" w:rsidRDefault="008C28D5" w:rsidP="00661557">
            <w:pPr>
              <w:keepNext/>
              <w:keepLines/>
              <w:tabs>
                <w:tab w:val="clear" w:pos="567"/>
              </w:tabs>
              <w:spacing w:after="0" w:line="240" w:lineRule="auto"/>
              <w:ind w:left="193" w:hanging="142"/>
              <w:rPr>
                <w:rFonts w:ascii="Calibri" w:eastAsia="Times New Roman" w:hAnsi="Calibri" w:cs="Arial"/>
                <w:b/>
                <w:bCs/>
                <w:sz w:val="20"/>
                <w:szCs w:val="20"/>
                <w:lang w:eastAsia="en-AU"/>
              </w:rPr>
            </w:pPr>
            <w:r w:rsidRPr="006A198D">
              <w:rPr>
                <w:rFonts w:ascii="Calibri" w:eastAsia="Times New Roman" w:hAnsi="Calibri" w:cs="Arial"/>
                <w:b/>
                <w:bCs/>
                <w:sz w:val="20"/>
                <w:szCs w:val="20"/>
                <w:lang w:eastAsia="en-AU"/>
              </w:rPr>
              <w:t>COMMUNITY SERVICES</w:t>
            </w:r>
          </w:p>
        </w:tc>
        <w:tc>
          <w:tcPr>
            <w:tcW w:w="981"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p>
        </w:tc>
        <w:tc>
          <w:tcPr>
            <w:tcW w:w="236"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68"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p>
        </w:tc>
        <w:tc>
          <w:tcPr>
            <w:tcW w:w="2854"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r>
      <w:tr w:rsidR="008C28D5" w:rsidRPr="006A198D" w:rsidTr="00661557">
        <w:trPr>
          <w:trHeight w:val="555"/>
        </w:trPr>
        <w:tc>
          <w:tcPr>
            <w:tcW w:w="3381" w:type="dxa"/>
            <w:tcBorders>
              <w:top w:val="nil"/>
              <w:left w:val="nil"/>
              <w:bottom w:val="nil"/>
              <w:right w:val="nil"/>
            </w:tcBorders>
            <w:shd w:val="clear" w:color="auto" w:fill="auto"/>
            <w:hideMark/>
          </w:tcPr>
          <w:p w:rsidR="008C28D5" w:rsidRPr="006A198D" w:rsidRDefault="008C28D5" w:rsidP="00661557">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National Occasional Care programme</w:t>
            </w:r>
          </w:p>
        </w:tc>
        <w:tc>
          <w:tcPr>
            <w:tcW w:w="981"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1.5</w:t>
            </w:r>
          </w:p>
        </w:tc>
        <w:tc>
          <w:tcPr>
            <w:tcW w:w="236"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68"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No impact</w:t>
            </w:r>
          </w:p>
        </w:tc>
        <w:tc>
          <w:tcPr>
            <w:tcW w:w="2854"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Needs not assessed - purchase by Commonwealth Government</w:t>
            </w:r>
          </w:p>
        </w:tc>
      </w:tr>
      <w:tr w:rsidR="008C28D5" w:rsidRPr="006A198D" w:rsidTr="00661557">
        <w:trPr>
          <w:trHeight w:val="315"/>
        </w:trPr>
        <w:tc>
          <w:tcPr>
            <w:tcW w:w="3381" w:type="dxa"/>
            <w:tcBorders>
              <w:top w:val="nil"/>
              <w:left w:val="nil"/>
              <w:bottom w:val="nil"/>
              <w:right w:val="nil"/>
            </w:tcBorders>
            <w:shd w:val="clear" w:color="auto" w:fill="auto"/>
            <w:hideMark/>
          </w:tcPr>
          <w:p w:rsidR="008C28D5" w:rsidRPr="006A198D" w:rsidRDefault="008C28D5" w:rsidP="00661557">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Trial of My Way sites</w:t>
            </w:r>
          </w:p>
        </w:tc>
        <w:tc>
          <w:tcPr>
            <w:tcW w:w="981"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12.5</w:t>
            </w:r>
          </w:p>
        </w:tc>
        <w:tc>
          <w:tcPr>
            <w:tcW w:w="236"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68"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No impact</w:t>
            </w:r>
          </w:p>
        </w:tc>
        <w:tc>
          <w:tcPr>
            <w:tcW w:w="2854"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Terms of reference requirement</w:t>
            </w:r>
          </w:p>
        </w:tc>
      </w:tr>
      <w:tr w:rsidR="008C28D5" w:rsidRPr="006A198D" w:rsidTr="00661557">
        <w:trPr>
          <w:trHeight w:val="315"/>
        </w:trPr>
        <w:tc>
          <w:tcPr>
            <w:tcW w:w="3381" w:type="dxa"/>
            <w:tcBorders>
              <w:top w:val="nil"/>
              <w:left w:val="nil"/>
              <w:bottom w:val="nil"/>
              <w:right w:val="nil"/>
            </w:tcBorders>
            <w:shd w:val="clear" w:color="auto" w:fill="auto"/>
            <w:hideMark/>
          </w:tcPr>
          <w:p w:rsidR="008C28D5" w:rsidRPr="006A198D" w:rsidRDefault="008C28D5" w:rsidP="00661557">
            <w:pPr>
              <w:keepNext/>
              <w:keepLines/>
              <w:tabs>
                <w:tab w:val="clear" w:pos="567"/>
              </w:tabs>
              <w:spacing w:after="0" w:line="240" w:lineRule="auto"/>
              <w:ind w:left="193" w:hanging="142"/>
              <w:rPr>
                <w:rFonts w:ascii="Calibri" w:eastAsia="Times New Roman" w:hAnsi="Calibri" w:cs="Arial"/>
                <w:b/>
                <w:bCs/>
                <w:sz w:val="20"/>
                <w:szCs w:val="20"/>
                <w:lang w:eastAsia="en-AU"/>
              </w:rPr>
            </w:pPr>
            <w:r w:rsidRPr="006A198D">
              <w:rPr>
                <w:rFonts w:ascii="Calibri" w:eastAsia="Times New Roman" w:hAnsi="Calibri" w:cs="Arial"/>
                <w:b/>
                <w:bCs/>
                <w:sz w:val="20"/>
                <w:szCs w:val="20"/>
                <w:lang w:eastAsia="en-AU"/>
              </w:rPr>
              <w:t>INFRASTRUCTURE</w:t>
            </w:r>
          </w:p>
        </w:tc>
        <w:tc>
          <w:tcPr>
            <w:tcW w:w="981"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p>
        </w:tc>
        <w:tc>
          <w:tcPr>
            <w:tcW w:w="236"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68"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p>
        </w:tc>
        <w:tc>
          <w:tcPr>
            <w:tcW w:w="2854"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r>
      <w:tr w:rsidR="008C28D5" w:rsidRPr="006A198D" w:rsidTr="00661557">
        <w:trPr>
          <w:trHeight w:val="315"/>
        </w:trPr>
        <w:tc>
          <w:tcPr>
            <w:tcW w:w="3381" w:type="dxa"/>
            <w:tcBorders>
              <w:top w:val="nil"/>
              <w:left w:val="nil"/>
              <w:bottom w:val="nil"/>
              <w:right w:val="nil"/>
            </w:tcBorders>
            <w:shd w:val="clear" w:color="auto" w:fill="auto"/>
            <w:hideMark/>
          </w:tcPr>
          <w:p w:rsidR="008C28D5" w:rsidRPr="006A198D" w:rsidRDefault="008C28D5" w:rsidP="00661557">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Bathurst 200 Commemorative Flagstaff</w:t>
            </w:r>
          </w:p>
        </w:tc>
        <w:tc>
          <w:tcPr>
            <w:tcW w:w="981"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0.3</w:t>
            </w:r>
          </w:p>
        </w:tc>
        <w:tc>
          <w:tcPr>
            <w:tcW w:w="236"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68"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No impact</w:t>
            </w:r>
          </w:p>
        </w:tc>
        <w:tc>
          <w:tcPr>
            <w:tcW w:w="2854"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Local – needs not assessed</w:t>
            </w:r>
          </w:p>
        </w:tc>
      </w:tr>
      <w:tr w:rsidR="008C28D5" w:rsidRPr="006A198D" w:rsidTr="00661557">
        <w:trPr>
          <w:trHeight w:val="555"/>
        </w:trPr>
        <w:tc>
          <w:tcPr>
            <w:tcW w:w="3381" w:type="dxa"/>
            <w:tcBorders>
              <w:top w:val="nil"/>
              <w:left w:val="nil"/>
              <w:bottom w:val="nil"/>
              <w:right w:val="nil"/>
            </w:tcBorders>
            <w:shd w:val="clear" w:color="auto" w:fill="auto"/>
            <w:hideMark/>
          </w:tcPr>
          <w:p w:rsidR="008C28D5" w:rsidRPr="006A198D" w:rsidRDefault="008C28D5" w:rsidP="00661557">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Western Australia infrastructure projects</w:t>
            </w:r>
          </w:p>
        </w:tc>
        <w:tc>
          <w:tcPr>
            <w:tcW w:w="981"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499.1</w:t>
            </w:r>
          </w:p>
        </w:tc>
        <w:tc>
          <w:tcPr>
            <w:tcW w:w="236"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68"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No impact</w:t>
            </w:r>
          </w:p>
        </w:tc>
        <w:tc>
          <w:tcPr>
            <w:tcW w:w="2854"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Terms of reference requirement</w:t>
            </w:r>
          </w:p>
        </w:tc>
      </w:tr>
      <w:tr w:rsidR="008C28D5" w:rsidRPr="006A198D" w:rsidTr="00661557">
        <w:trPr>
          <w:trHeight w:val="555"/>
        </w:trPr>
        <w:tc>
          <w:tcPr>
            <w:tcW w:w="3381" w:type="dxa"/>
            <w:tcBorders>
              <w:top w:val="nil"/>
              <w:left w:val="nil"/>
              <w:bottom w:val="nil"/>
              <w:right w:val="nil"/>
            </w:tcBorders>
            <w:shd w:val="clear" w:color="auto" w:fill="auto"/>
            <w:hideMark/>
          </w:tcPr>
          <w:p w:rsidR="008C28D5" w:rsidRPr="006A198D" w:rsidRDefault="008C28D5" w:rsidP="00661557">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Asset Recycling Fund – Asset Recycling Initiative</w:t>
            </w:r>
          </w:p>
        </w:tc>
        <w:tc>
          <w:tcPr>
            <w:tcW w:w="981"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7.9</w:t>
            </w:r>
          </w:p>
        </w:tc>
        <w:tc>
          <w:tcPr>
            <w:tcW w:w="236"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68"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No impact</w:t>
            </w:r>
          </w:p>
        </w:tc>
        <w:tc>
          <w:tcPr>
            <w:tcW w:w="2854"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Terms of reference requirement</w:t>
            </w:r>
          </w:p>
        </w:tc>
      </w:tr>
      <w:tr w:rsidR="008C28D5" w:rsidRPr="006A198D" w:rsidTr="00661557">
        <w:trPr>
          <w:trHeight w:val="555"/>
        </w:trPr>
        <w:tc>
          <w:tcPr>
            <w:tcW w:w="3381" w:type="dxa"/>
            <w:tcBorders>
              <w:top w:val="nil"/>
              <w:left w:val="nil"/>
              <w:bottom w:val="single" w:sz="4" w:space="0" w:color="auto"/>
              <w:right w:val="nil"/>
            </w:tcBorders>
            <w:shd w:val="clear" w:color="auto" w:fill="auto"/>
            <w:hideMark/>
          </w:tcPr>
          <w:p w:rsidR="008C28D5" w:rsidRPr="006A198D" w:rsidRDefault="008C28D5" w:rsidP="00661557">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Asset Recycling Fund – Western Sydney Infrastructure Plan</w:t>
            </w:r>
          </w:p>
        </w:tc>
        <w:tc>
          <w:tcPr>
            <w:tcW w:w="981" w:type="dxa"/>
            <w:tcBorders>
              <w:top w:val="nil"/>
              <w:left w:val="nil"/>
              <w:bottom w:val="single" w:sz="4" w:space="0" w:color="auto"/>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120.4</w:t>
            </w:r>
          </w:p>
        </w:tc>
        <w:tc>
          <w:tcPr>
            <w:tcW w:w="236" w:type="dxa"/>
            <w:tcBorders>
              <w:top w:val="nil"/>
              <w:left w:val="nil"/>
              <w:bottom w:val="single" w:sz="4" w:space="0" w:color="auto"/>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 </w:t>
            </w:r>
          </w:p>
        </w:tc>
        <w:tc>
          <w:tcPr>
            <w:tcW w:w="1468" w:type="dxa"/>
            <w:tcBorders>
              <w:top w:val="nil"/>
              <w:left w:val="nil"/>
              <w:bottom w:val="single" w:sz="4" w:space="0" w:color="auto"/>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50% impact,      50% no impact</w:t>
            </w:r>
          </w:p>
        </w:tc>
        <w:tc>
          <w:tcPr>
            <w:tcW w:w="2854" w:type="dxa"/>
            <w:tcBorders>
              <w:top w:val="nil"/>
              <w:left w:val="nil"/>
              <w:bottom w:val="single" w:sz="4" w:space="0" w:color="auto"/>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Terms of reference requirement</w:t>
            </w:r>
          </w:p>
        </w:tc>
      </w:tr>
    </w:tbl>
    <w:p w:rsidR="00DC606D" w:rsidRPr="006A198D" w:rsidRDefault="00F32371" w:rsidP="00DC606D">
      <w:pPr>
        <w:pStyle w:val="CGCTableHeading"/>
      </w:pPr>
      <w:proofErr w:type="gramStart"/>
      <w:r w:rsidRPr="006A198D">
        <w:lastRenderedPageBreak/>
        <w:t>Table 2</w:t>
      </w:r>
      <w:r w:rsidR="00A31185">
        <w:noBreakHyphen/>
        <w:t>4</w:t>
      </w:r>
      <w:r w:rsidRPr="006A198D">
        <w:tab/>
        <w:t>Treatment of Commonwealth payments commenced in 2014-15 (cont.)</w:t>
      </w:r>
      <w:proofErr w:type="gramEnd"/>
    </w:p>
    <w:tbl>
      <w:tblPr>
        <w:tblW w:w="9081" w:type="dxa"/>
        <w:tblLayout w:type="fixed"/>
        <w:tblCellMar>
          <w:left w:w="0" w:type="dxa"/>
          <w:right w:w="0" w:type="dxa"/>
        </w:tblCellMar>
        <w:tblLook w:val="04A0" w:firstRow="1" w:lastRow="0" w:firstColumn="1" w:lastColumn="0" w:noHBand="0" w:noVBand="1"/>
      </w:tblPr>
      <w:tblGrid>
        <w:gridCol w:w="3433"/>
        <w:gridCol w:w="996"/>
        <w:gridCol w:w="262"/>
        <w:gridCol w:w="1491"/>
        <w:gridCol w:w="2899"/>
      </w:tblGrid>
      <w:tr w:rsidR="008C28D5" w:rsidRPr="006A198D" w:rsidTr="001106B6">
        <w:trPr>
          <w:trHeight w:val="1020"/>
        </w:trPr>
        <w:tc>
          <w:tcPr>
            <w:tcW w:w="3433" w:type="dxa"/>
            <w:tcBorders>
              <w:top w:val="single" w:sz="4" w:space="0" w:color="auto"/>
              <w:left w:val="nil"/>
              <w:bottom w:val="single" w:sz="4" w:space="0" w:color="auto"/>
              <w:right w:val="nil"/>
            </w:tcBorders>
            <w:shd w:val="clear" w:color="auto" w:fill="auto"/>
            <w:vAlign w:val="center"/>
            <w:hideMark/>
          </w:tcPr>
          <w:p w:rsidR="008C28D5" w:rsidRPr="006A198D" w:rsidRDefault="008C28D5" w:rsidP="004254B3">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theme="minorHAnsi"/>
                <w:sz w:val="20"/>
                <w:szCs w:val="20"/>
                <w:lang w:eastAsia="en-AU"/>
              </w:rPr>
              <w:t>Payment</w:t>
            </w:r>
          </w:p>
        </w:tc>
        <w:tc>
          <w:tcPr>
            <w:tcW w:w="996" w:type="dxa"/>
            <w:tcBorders>
              <w:top w:val="single" w:sz="4" w:space="0" w:color="auto"/>
              <w:left w:val="nil"/>
              <w:bottom w:val="single" w:sz="4" w:space="0" w:color="auto"/>
              <w:right w:val="nil"/>
            </w:tcBorders>
            <w:shd w:val="clear" w:color="auto" w:fill="auto"/>
            <w:vAlign w:val="bottom"/>
            <w:hideMark/>
          </w:tcPr>
          <w:p w:rsidR="008C28D5" w:rsidRPr="006A198D" w:rsidRDefault="008C28D5" w:rsidP="00BE4EB5">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theme="minorHAnsi"/>
                <w:sz w:val="20"/>
                <w:szCs w:val="20"/>
                <w:lang w:eastAsia="en-AU"/>
              </w:rPr>
              <w:t>Final Budget Outcome $m</w:t>
            </w:r>
          </w:p>
        </w:tc>
        <w:tc>
          <w:tcPr>
            <w:tcW w:w="262" w:type="dxa"/>
            <w:tcBorders>
              <w:top w:val="single" w:sz="4" w:space="0" w:color="auto"/>
              <w:left w:val="nil"/>
              <w:bottom w:val="single" w:sz="4" w:space="0" w:color="auto"/>
              <w:right w:val="nil"/>
            </w:tcBorders>
            <w:shd w:val="clear" w:color="auto" w:fill="auto"/>
            <w:vAlign w:val="bottom"/>
            <w:hideMark/>
          </w:tcPr>
          <w:p w:rsidR="008C28D5" w:rsidRPr="006A198D" w:rsidRDefault="008C28D5" w:rsidP="008C28D5">
            <w:pPr>
              <w:keepNext/>
              <w:keepLines/>
              <w:tabs>
                <w:tab w:val="clear" w:pos="567"/>
              </w:tabs>
              <w:spacing w:after="0" w:line="240" w:lineRule="auto"/>
              <w:jc w:val="center"/>
              <w:rPr>
                <w:rFonts w:ascii="Calibri" w:eastAsia="Times New Roman" w:hAnsi="Calibri" w:cs="Arial"/>
                <w:sz w:val="20"/>
                <w:szCs w:val="20"/>
                <w:lang w:eastAsia="en-AU"/>
              </w:rPr>
            </w:pPr>
            <w:r w:rsidRPr="006A198D">
              <w:rPr>
                <w:rFonts w:ascii="Calibri" w:eastAsia="Times New Roman" w:hAnsi="Calibri" w:cs="Arial"/>
                <w:sz w:val="20"/>
                <w:szCs w:val="20"/>
                <w:lang w:eastAsia="en-AU"/>
              </w:rPr>
              <w:t> </w:t>
            </w:r>
          </w:p>
        </w:tc>
        <w:tc>
          <w:tcPr>
            <w:tcW w:w="1491" w:type="dxa"/>
            <w:tcBorders>
              <w:top w:val="single" w:sz="4" w:space="0" w:color="auto"/>
              <w:left w:val="nil"/>
              <w:bottom w:val="single" w:sz="4" w:space="0" w:color="auto"/>
              <w:right w:val="nil"/>
            </w:tcBorders>
            <w:shd w:val="clear" w:color="auto" w:fill="auto"/>
            <w:vAlign w:val="center"/>
            <w:hideMark/>
          </w:tcPr>
          <w:p w:rsidR="008C28D5" w:rsidRPr="006A198D" w:rsidRDefault="008C28D5" w:rsidP="001106B6">
            <w:pPr>
              <w:keepNext/>
              <w:keepLines/>
              <w:tabs>
                <w:tab w:val="clear" w:pos="567"/>
              </w:tabs>
              <w:spacing w:after="0" w:line="240" w:lineRule="auto"/>
              <w:jc w:val="center"/>
              <w:rPr>
                <w:rFonts w:ascii="Calibri" w:eastAsia="Times New Roman" w:hAnsi="Calibri" w:cs="Arial"/>
                <w:sz w:val="20"/>
                <w:szCs w:val="20"/>
                <w:lang w:eastAsia="en-AU"/>
              </w:rPr>
            </w:pPr>
            <w:r w:rsidRPr="006A198D">
              <w:rPr>
                <w:rFonts w:ascii="Calibri" w:eastAsia="Times New Roman" w:hAnsi="Calibri" w:cstheme="minorHAnsi"/>
                <w:sz w:val="20"/>
                <w:szCs w:val="20"/>
                <w:lang w:eastAsia="en-AU"/>
              </w:rPr>
              <w:t>Treatment</w:t>
            </w:r>
          </w:p>
        </w:tc>
        <w:tc>
          <w:tcPr>
            <w:tcW w:w="2899" w:type="dxa"/>
            <w:tcBorders>
              <w:top w:val="single" w:sz="4" w:space="0" w:color="auto"/>
              <w:left w:val="nil"/>
              <w:bottom w:val="single" w:sz="4" w:space="0" w:color="auto"/>
              <w:right w:val="nil"/>
            </w:tcBorders>
            <w:shd w:val="clear" w:color="auto" w:fill="auto"/>
            <w:vAlign w:val="center"/>
            <w:hideMark/>
          </w:tcPr>
          <w:p w:rsidR="008C28D5" w:rsidRPr="006A198D" w:rsidRDefault="008C28D5" w:rsidP="001106B6">
            <w:pPr>
              <w:keepNext/>
              <w:keepLines/>
              <w:tabs>
                <w:tab w:val="clear" w:pos="567"/>
              </w:tabs>
              <w:spacing w:after="0" w:line="240" w:lineRule="auto"/>
              <w:jc w:val="center"/>
              <w:rPr>
                <w:rFonts w:ascii="Calibri" w:eastAsia="Times New Roman" w:hAnsi="Calibri" w:cs="Arial"/>
                <w:sz w:val="20"/>
                <w:szCs w:val="20"/>
                <w:lang w:eastAsia="en-AU"/>
              </w:rPr>
            </w:pPr>
            <w:r w:rsidRPr="006A198D">
              <w:rPr>
                <w:rFonts w:ascii="Calibri" w:eastAsia="Times New Roman" w:hAnsi="Calibri" w:cstheme="minorHAnsi"/>
                <w:sz w:val="20"/>
                <w:szCs w:val="20"/>
                <w:lang w:eastAsia="en-AU"/>
              </w:rPr>
              <w:t>Reason for ‘no impact’</w:t>
            </w:r>
          </w:p>
        </w:tc>
      </w:tr>
      <w:tr w:rsidR="008C28D5" w:rsidRPr="006A198D" w:rsidTr="00EC00A2">
        <w:trPr>
          <w:trHeight w:val="2040"/>
        </w:trPr>
        <w:tc>
          <w:tcPr>
            <w:tcW w:w="3433" w:type="dxa"/>
            <w:vMerge w:val="restart"/>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Asset Recycling Fund – New investments</w:t>
            </w:r>
          </w:p>
        </w:tc>
        <w:tc>
          <w:tcPr>
            <w:tcW w:w="996" w:type="dxa"/>
            <w:vMerge w:val="restart"/>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22.8</w:t>
            </w:r>
          </w:p>
        </w:tc>
        <w:tc>
          <w:tcPr>
            <w:tcW w:w="262"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91"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Non NNR roads – State – impact; Local – no impact; NNR – 50% impact and 50% no impact;              Black spot – impact;</w:t>
            </w:r>
          </w:p>
        </w:tc>
        <w:tc>
          <w:tcPr>
            <w:tcW w:w="2899"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50% NNR investment – assessment may not capture all non-policy influences</w:t>
            </w:r>
          </w:p>
        </w:tc>
      </w:tr>
      <w:tr w:rsidR="008C28D5" w:rsidRPr="006A198D" w:rsidTr="00EC00A2">
        <w:trPr>
          <w:trHeight w:val="510"/>
        </w:trPr>
        <w:tc>
          <w:tcPr>
            <w:tcW w:w="3433" w:type="dxa"/>
            <w:vMerge/>
            <w:tcBorders>
              <w:top w:val="nil"/>
              <w:left w:val="nil"/>
              <w:bottom w:val="nil"/>
              <w:right w:val="nil"/>
            </w:tcBorders>
            <w:hideMark/>
          </w:tcPr>
          <w:p w:rsidR="008C28D5" w:rsidRPr="006A198D" w:rsidRDefault="008C28D5" w:rsidP="008C28D5">
            <w:pPr>
              <w:keepNext/>
              <w:keepLines/>
              <w:tabs>
                <w:tab w:val="clear" w:pos="567"/>
              </w:tabs>
              <w:spacing w:after="0" w:line="240" w:lineRule="auto"/>
              <w:ind w:left="193" w:hanging="142"/>
              <w:rPr>
                <w:rFonts w:ascii="Calibri" w:eastAsia="Times New Roman" w:hAnsi="Calibri" w:cs="Arial"/>
                <w:sz w:val="20"/>
                <w:szCs w:val="20"/>
                <w:lang w:eastAsia="en-AU"/>
              </w:rPr>
            </w:pPr>
          </w:p>
        </w:tc>
        <w:tc>
          <w:tcPr>
            <w:tcW w:w="996" w:type="dxa"/>
            <w:vMerge/>
            <w:tcBorders>
              <w:top w:val="nil"/>
              <w:left w:val="nil"/>
              <w:bottom w:val="nil"/>
              <w:right w:val="nil"/>
            </w:tcBorders>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p>
        </w:tc>
        <w:tc>
          <w:tcPr>
            <w:tcW w:w="262"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91"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Roads to recovery – no impact;</w:t>
            </w:r>
          </w:p>
        </w:tc>
        <w:tc>
          <w:tcPr>
            <w:tcW w:w="2899"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Roads to recovery — terms of reference requirement</w:t>
            </w:r>
          </w:p>
        </w:tc>
      </w:tr>
      <w:tr w:rsidR="008C28D5" w:rsidRPr="006A198D" w:rsidTr="00EC00A2">
        <w:trPr>
          <w:trHeight w:val="1275"/>
        </w:trPr>
        <w:tc>
          <w:tcPr>
            <w:tcW w:w="3433" w:type="dxa"/>
            <w:vMerge/>
            <w:tcBorders>
              <w:top w:val="nil"/>
              <w:left w:val="nil"/>
              <w:bottom w:val="nil"/>
              <w:right w:val="nil"/>
            </w:tcBorders>
            <w:hideMark/>
          </w:tcPr>
          <w:p w:rsidR="008C28D5" w:rsidRPr="006A198D" w:rsidRDefault="008C28D5" w:rsidP="008C28D5">
            <w:pPr>
              <w:keepNext/>
              <w:keepLines/>
              <w:tabs>
                <w:tab w:val="clear" w:pos="567"/>
              </w:tabs>
              <w:spacing w:after="0" w:line="240" w:lineRule="auto"/>
              <w:ind w:left="193" w:hanging="142"/>
              <w:rPr>
                <w:rFonts w:ascii="Calibri" w:eastAsia="Times New Roman" w:hAnsi="Calibri" w:cs="Arial"/>
                <w:sz w:val="20"/>
                <w:szCs w:val="20"/>
                <w:lang w:eastAsia="en-AU"/>
              </w:rPr>
            </w:pPr>
          </w:p>
        </w:tc>
        <w:tc>
          <w:tcPr>
            <w:tcW w:w="996" w:type="dxa"/>
            <w:vMerge/>
            <w:tcBorders>
              <w:top w:val="nil"/>
              <w:left w:val="nil"/>
              <w:bottom w:val="nil"/>
              <w:right w:val="nil"/>
            </w:tcBorders>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p>
        </w:tc>
        <w:tc>
          <w:tcPr>
            <w:tcW w:w="262"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91"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 xml:space="preserve">50% impact and 50% no impact </w:t>
            </w:r>
            <w:r w:rsidR="00442791" w:rsidRPr="006A198D">
              <w:rPr>
                <w:rFonts w:ascii="Calibri" w:eastAsia="Times New Roman" w:hAnsi="Calibri" w:cs="Arial"/>
                <w:sz w:val="20"/>
                <w:szCs w:val="20"/>
                <w:lang w:eastAsia="en-AU"/>
              </w:rPr>
              <w:br/>
            </w:r>
            <w:r w:rsidRPr="006A198D">
              <w:rPr>
                <w:rFonts w:ascii="Calibri" w:eastAsia="Times New Roman" w:hAnsi="Calibri" w:cs="Arial"/>
                <w:sz w:val="20"/>
                <w:szCs w:val="20"/>
                <w:lang w:eastAsia="en-AU"/>
              </w:rPr>
              <w:t>for road projects identified in terms of reference</w:t>
            </w:r>
          </w:p>
        </w:tc>
        <w:tc>
          <w:tcPr>
            <w:tcW w:w="2899"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Other road projects identified in terms of reference – terms of reference requirement</w:t>
            </w:r>
          </w:p>
        </w:tc>
      </w:tr>
      <w:tr w:rsidR="008C28D5" w:rsidRPr="006A198D" w:rsidTr="00EC00A2">
        <w:trPr>
          <w:trHeight w:val="255"/>
        </w:trPr>
        <w:tc>
          <w:tcPr>
            <w:tcW w:w="3433"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ind w:left="193" w:hanging="142"/>
              <w:rPr>
                <w:rFonts w:ascii="Calibri" w:eastAsia="Times New Roman" w:hAnsi="Calibri" w:cs="Arial"/>
                <w:b/>
                <w:bCs/>
                <w:sz w:val="20"/>
                <w:szCs w:val="20"/>
                <w:lang w:eastAsia="en-AU"/>
              </w:rPr>
            </w:pPr>
            <w:r w:rsidRPr="006A198D">
              <w:rPr>
                <w:rFonts w:ascii="Calibri" w:eastAsia="Times New Roman" w:hAnsi="Calibri" w:cs="Arial"/>
                <w:b/>
                <w:bCs/>
                <w:sz w:val="20"/>
                <w:szCs w:val="20"/>
                <w:lang w:eastAsia="en-AU"/>
              </w:rPr>
              <w:t>ENVIRONMENT</w:t>
            </w:r>
          </w:p>
        </w:tc>
        <w:tc>
          <w:tcPr>
            <w:tcW w:w="996"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p>
        </w:tc>
        <w:tc>
          <w:tcPr>
            <w:tcW w:w="262"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91"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p>
        </w:tc>
        <w:tc>
          <w:tcPr>
            <w:tcW w:w="2899"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r>
      <w:tr w:rsidR="008C28D5" w:rsidRPr="006A198D" w:rsidTr="00EC00A2">
        <w:trPr>
          <w:trHeight w:val="255"/>
        </w:trPr>
        <w:tc>
          <w:tcPr>
            <w:tcW w:w="3433"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Bushfire mitigation</w:t>
            </w:r>
          </w:p>
        </w:tc>
        <w:tc>
          <w:tcPr>
            <w:tcW w:w="996"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3.8</w:t>
            </w:r>
          </w:p>
        </w:tc>
        <w:tc>
          <w:tcPr>
            <w:tcW w:w="262"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91"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Impact</w:t>
            </w:r>
          </w:p>
        </w:tc>
        <w:tc>
          <w:tcPr>
            <w:tcW w:w="2899"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r>
      <w:tr w:rsidR="008C28D5" w:rsidRPr="006A198D" w:rsidTr="00EC00A2">
        <w:trPr>
          <w:trHeight w:val="555"/>
        </w:trPr>
        <w:tc>
          <w:tcPr>
            <w:tcW w:w="3433"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Implementation of the National Insurance Affordability Initiative</w:t>
            </w:r>
          </w:p>
        </w:tc>
        <w:tc>
          <w:tcPr>
            <w:tcW w:w="996"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5</w:t>
            </w:r>
            <w:r w:rsidR="001106B6">
              <w:rPr>
                <w:rFonts w:ascii="Calibri" w:eastAsia="Times New Roman" w:hAnsi="Calibri" w:cs="Arial"/>
                <w:sz w:val="20"/>
                <w:szCs w:val="20"/>
                <w:lang w:eastAsia="en-AU"/>
              </w:rPr>
              <w:t>.0</w:t>
            </w:r>
          </w:p>
        </w:tc>
        <w:tc>
          <w:tcPr>
            <w:tcW w:w="262"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91"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No impact</w:t>
            </w:r>
          </w:p>
        </w:tc>
        <w:tc>
          <w:tcPr>
            <w:tcW w:w="2899"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Needs for protection of the environment not assessed</w:t>
            </w:r>
          </w:p>
        </w:tc>
      </w:tr>
      <w:tr w:rsidR="008C28D5" w:rsidRPr="006A198D" w:rsidTr="00EC00A2">
        <w:trPr>
          <w:trHeight w:val="1020"/>
        </w:trPr>
        <w:tc>
          <w:tcPr>
            <w:tcW w:w="3433"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Tasmanian wilderness world heritage area</w:t>
            </w:r>
          </w:p>
        </w:tc>
        <w:tc>
          <w:tcPr>
            <w:tcW w:w="996"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1.5</w:t>
            </w:r>
          </w:p>
        </w:tc>
        <w:tc>
          <w:tcPr>
            <w:tcW w:w="262"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91"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No impact</w:t>
            </w:r>
          </w:p>
        </w:tc>
        <w:tc>
          <w:tcPr>
            <w:tcW w:w="2899"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Payment is to assist Tasmania to fulfil Commonwealth responsibilities; needs not assessed</w:t>
            </w:r>
          </w:p>
        </w:tc>
      </w:tr>
      <w:tr w:rsidR="008C28D5" w:rsidRPr="006A198D" w:rsidTr="00EC00A2">
        <w:trPr>
          <w:trHeight w:val="510"/>
        </w:trPr>
        <w:tc>
          <w:tcPr>
            <w:tcW w:w="3433"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Water reform – Constraint measures</w:t>
            </w:r>
          </w:p>
        </w:tc>
        <w:tc>
          <w:tcPr>
            <w:tcW w:w="996"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0.4</w:t>
            </w:r>
          </w:p>
        </w:tc>
        <w:tc>
          <w:tcPr>
            <w:tcW w:w="262"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91"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No impact</w:t>
            </w:r>
          </w:p>
        </w:tc>
        <w:tc>
          <w:tcPr>
            <w:tcW w:w="2899"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Needs for protection of the environment not assessed</w:t>
            </w:r>
          </w:p>
        </w:tc>
      </w:tr>
      <w:tr w:rsidR="008C28D5" w:rsidRPr="006A198D" w:rsidTr="00EC00A2">
        <w:trPr>
          <w:trHeight w:val="510"/>
        </w:trPr>
        <w:tc>
          <w:tcPr>
            <w:tcW w:w="3433"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Whale and dolphin entanglements</w:t>
            </w:r>
          </w:p>
        </w:tc>
        <w:tc>
          <w:tcPr>
            <w:tcW w:w="996"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0.2</w:t>
            </w:r>
          </w:p>
        </w:tc>
        <w:tc>
          <w:tcPr>
            <w:tcW w:w="262"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91"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No impact</w:t>
            </w:r>
          </w:p>
        </w:tc>
        <w:tc>
          <w:tcPr>
            <w:tcW w:w="2899"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 xml:space="preserve">Needs </w:t>
            </w:r>
            <w:r w:rsidR="00A83DB6" w:rsidRPr="006A198D">
              <w:rPr>
                <w:rFonts w:ascii="Calibri" w:eastAsia="Times New Roman" w:hAnsi="Calibri" w:cs="Arial"/>
                <w:sz w:val="20"/>
                <w:szCs w:val="20"/>
                <w:lang w:eastAsia="en-AU"/>
              </w:rPr>
              <w:t xml:space="preserve">not assessed </w:t>
            </w:r>
            <w:r w:rsidRPr="006A198D">
              <w:rPr>
                <w:rFonts w:ascii="Calibri" w:eastAsia="Times New Roman" w:hAnsi="Calibri" w:cs="Arial"/>
                <w:sz w:val="20"/>
                <w:szCs w:val="20"/>
                <w:lang w:eastAsia="en-AU"/>
              </w:rPr>
              <w:t xml:space="preserve">for national parks and wildlife services </w:t>
            </w:r>
          </w:p>
        </w:tc>
      </w:tr>
      <w:tr w:rsidR="008C28D5" w:rsidRPr="006A198D" w:rsidTr="00EC00A2">
        <w:trPr>
          <w:trHeight w:val="255"/>
        </w:trPr>
        <w:tc>
          <w:tcPr>
            <w:tcW w:w="3433"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ind w:left="193" w:hanging="142"/>
              <w:rPr>
                <w:rFonts w:ascii="Calibri" w:eastAsia="Times New Roman" w:hAnsi="Calibri" w:cs="Arial"/>
                <w:b/>
                <w:bCs/>
                <w:sz w:val="20"/>
                <w:szCs w:val="20"/>
                <w:lang w:eastAsia="en-AU"/>
              </w:rPr>
            </w:pPr>
            <w:r w:rsidRPr="006A198D">
              <w:rPr>
                <w:rFonts w:ascii="Calibri" w:eastAsia="Times New Roman" w:hAnsi="Calibri" w:cs="Arial"/>
                <w:b/>
                <w:bCs/>
                <w:sz w:val="20"/>
                <w:szCs w:val="20"/>
                <w:lang w:eastAsia="en-AU"/>
              </w:rPr>
              <w:t>SUPPORT OTHER STATE SERVICES</w:t>
            </w:r>
          </w:p>
        </w:tc>
        <w:tc>
          <w:tcPr>
            <w:tcW w:w="996"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p>
        </w:tc>
        <w:tc>
          <w:tcPr>
            <w:tcW w:w="262"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91"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p>
        </w:tc>
        <w:tc>
          <w:tcPr>
            <w:tcW w:w="2899"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r>
      <w:tr w:rsidR="008C28D5" w:rsidRPr="006A198D" w:rsidTr="00EC00A2">
        <w:trPr>
          <w:trHeight w:val="555"/>
        </w:trPr>
        <w:tc>
          <w:tcPr>
            <w:tcW w:w="3433"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Developing demand-driver infrastructure for the tourism industry</w:t>
            </w:r>
          </w:p>
        </w:tc>
        <w:tc>
          <w:tcPr>
            <w:tcW w:w="996" w:type="dxa"/>
            <w:tcBorders>
              <w:top w:val="nil"/>
              <w:left w:val="nil"/>
              <w:bottom w:val="nil"/>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4.6</w:t>
            </w:r>
          </w:p>
        </w:tc>
        <w:tc>
          <w:tcPr>
            <w:tcW w:w="262" w:type="dxa"/>
            <w:tcBorders>
              <w:top w:val="nil"/>
              <w:left w:val="nil"/>
              <w:bottom w:val="nil"/>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c>
          <w:tcPr>
            <w:tcW w:w="1491" w:type="dxa"/>
            <w:tcBorders>
              <w:top w:val="nil"/>
              <w:left w:val="nil"/>
              <w:bottom w:val="nil"/>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Impact</w:t>
            </w:r>
          </w:p>
        </w:tc>
        <w:tc>
          <w:tcPr>
            <w:tcW w:w="2899" w:type="dxa"/>
            <w:tcBorders>
              <w:top w:val="nil"/>
              <w:left w:val="nil"/>
              <w:bottom w:val="nil"/>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p>
        </w:tc>
      </w:tr>
      <w:tr w:rsidR="008C28D5" w:rsidRPr="006A198D" w:rsidTr="00EC00A2">
        <w:trPr>
          <w:trHeight w:val="315"/>
        </w:trPr>
        <w:tc>
          <w:tcPr>
            <w:tcW w:w="3433" w:type="dxa"/>
            <w:tcBorders>
              <w:top w:val="nil"/>
              <w:left w:val="nil"/>
              <w:bottom w:val="single" w:sz="4" w:space="0" w:color="auto"/>
              <w:right w:val="nil"/>
            </w:tcBorders>
            <w:shd w:val="clear" w:color="auto" w:fill="auto"/>
            <w:hideMark/>
          </w:tcPr>
          <w:p w:rsidR="008C28D5" w:rsidRPr="006A198D" w:rsidRDefault="008C28D5" w:rsidP="008C28D5">
            <w:pPr>
              <w:keepNext/>
              <w:keepLines/>
              <w:tabs>
                <w:tab w:val="clear" w:pos="567"/>
              </w:tabs>
              <w:spacing w:after="0" w:line="240" w:lineRule="auto"/>
              <w:ind w:left="193" w:hanging="142"/>
              <w:rPr>
                <w:rFonts w:ascii="Calibri" w:eastAsia="Times New Roman" w:hAnsi="Calibri" w:cs="Arial"/>
                <w:sz w:val="20"/>
                <w:szCs w:val="20"/>
                <w:lang w:eastAsia="en-AU"/>
              </w:rPr>
            </w:pPr>
            <w:r w:rsidRPr="006A198D">
              <w:rPr>
                <w:rFonts w:ascii="Calibri" w:eastAsia="Times New Roman" w:hAnsi="Calibri" w:cs="Arial"/>
                <w:sz w:val="20"/>
                <w:szCs w:val="20"/>
                <w:lang w:eastAsia="en-AU"/>
              </w:rPr>
              <w:t>Port Arthur Penitentiary restoration</w:t>
            </w:r>
          </w:p>
        </w:tc>
        <w:tc>
          <w:tcPr>
            <w:tcW w:w="996" w:type="dxa"/>
            <w:tcBorders>
              <w:top w:val="nil"/>
              <w:left w:val="nil"/>
              <w:bottom w:val="single" w:sz="4" w:space="0" w:color="auto"/>
              <w:right w:val="nil"/>
            </w:tcBorders>
            <w:shd w:val="clear" w:color="auto" w:fill="auto"/>
            <w:hideMark/>
          </w:tcPr>
          <w:p w:rsidR="008C28D5" w:rsidRPr="006A198D" w:rsidRDefault="008C28D5" w:rsidP="00EC00A2">
            <w:pPr>
              <w:keepNext/>
              <w:keepLines/>
              <w:tabs>
                <w:tab w:val="clear" w:pos="567"/>
              </w:tabs>
              <w:spacing w:after="0" w:line="240" w:lineRule="auto"/>
              <w:jc w:val="right"/>
              <w:rPr>
                <w:rFonts w:ascii="Calibri" w:eastAsia="Times New Roman" w:hAnsi="Calibri" w:cs="Arial"/>
                <w:sz w:val="20"/>
                <w:szCs w:val="20"/>
                <w:lang w:eastAsia="en-AU"/>
              </w:rPr>
            </w:pPr>
            <w:r w:rsidRPr="006A198D">
              <w:rPr>
                <w:rFonts w:ascii="Calibri" w:eastAsia="Times New Roman" w:hAnsi="Calibri" w:cs="Arial"/>
                <w:sz w:val="20"/>
                <w:szCs w:val="20"/>
                <w:lang w:eastAsia="en-AU"/>
              </w:rPr>
              <w:t>1.5</w:t>
            </w:r>
          </w:p>
        </w:tc>
        <w:tc>
          <w:tcPr>
            <w:tcW w:w="262" w:type="dxa"/>
            <w:tcBorders>
              <w:top w:val="nil"/>
              <w:left w:val="nil"/>
              <w:bottom w:val="single" w:sz="4" w:space="0" w:color="auto"/>
              <w:right w:val="nil"/>
            </w:tcBorders>
            <w:shd w:val="clear" w:color="auto" w:fill="auto"/>
            <w:vAlign w:val="bottom"/>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 </w:t>
            </w:r>
          </w:p>
        </w:tc>
        <w:tc>
          <w:tcPr>
            <w:tcW w:w="1491" w:type="dxa"/>
            <w:tcBorders>
              <w:top w:val="nil"/>
              <w:left w:val="nil"/>
              <w:bottom w:val="single" w:sz="4" w:space="0" w:color="auto"/>
              <w:right w:val="nil"/>
            </w:tcBorders>
            <w:shd w:val="clear" w:color="auto" w:fill="auto"/>
            <w:hideMark/>
          </w:tcPr>
          <w:p w:rsidR="008C28D5" w:rsidRPr="006A198D" w:rsidRDefault="008C28D5" w:rsidP="00A83DB6">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Impact</w:t>
            </w:r>
          </w:p>
        </w:tc>
        <w:tc>
          <w:tcPr>
            <w:tcW w:w="2899" w:type="dxa"/>
            <w:tcBorders>
              <w:top w:val="nil"/>
              <w:left w:val="nil"/>
              <w:bottom w:val="single" w:sz="4" w:space="0" w:color="auto"/>
              <w:right w:val="nil"/>
            </w:tcBorders>
            <w:shd w:val="clear" w:color="auto" w:fill="auto"/>
            <w:hideMark/>
          </w:tcPr>
          <w:p w:rsidR="008C28D5" w:rsidRPr="006A198D" w:rsidRDefault="008C28D5" w:rsidP="008C28D5">
            <w:pPr>
              <w:keepNext/>
              <w:keepLines/>
              <w:tabs>
                <w:tab w:val="clear" w:pos="567"/>
              </w:tabs>
              <w:spacing w:after="0" w:line="240" w:lineRule="auto"/>
              <w:rPr>
                <w:rFonts w:ascii="Calibri" w:eastAsia="Times New Roman" w:hAnsi="Calibri" w:cs="Arial"/>
                <w:sz w:val="20"/>
                <w:szCs w:val="20"/>
                <w:lang w:eastAsia="en-AU"/>
              </w:rPr>
            </w:pPr>
            <w:r w:rsidRPr="006A198D">
              <w:rPr>
                <w:rFonts w:ascii="Calibri" w:eastAsia="Times New Roman" w:hAnsi="Calibri" w:cs="Arial"/>
                <w:sz w:val="20"/>
                <w:szCs w:val="20"/>
                <w:lang w:eastAsia="en-AU"/>
              </w:rPr>
              <w:t> </w:t>
            </w:r>
          </w:p>
        </w:tc>
      </w:tr>
    </w:tbl>
    <w:p w:rsidR="002D363D" w:rsidRPr="006A198D" w:rsidRDefault="002D363D" w:rsidP="002D363D">
      <w:pPr>
        <w:pStyle w:val="Single"/>
        <w:rPr>
          <w:sz w:val="20"/>
          <w:szCs w:val="24"/>
        </w:rPr>
      </w:pPr>
      <w:r w:rsidRPr="006A198D">
        <w:rPr>
          <w:sz w:val="20"/>
          <w:szCs w:val="24"/>
        </w:rPr>
        <w:t>Source:</w:t>
      </w:r>
      <w:r w:rsidR="00BE4EB5" w:rsidRPr="006A198D">
        <w:rPr>
          <w:sz w:val="20"/>
          <w:szCs w:val="24"/>
        </w:rPr>
        <w:tab/>
      </w:r>
      <w:r w:rsidRPr="006A198D">
        <w:rPr>
          <w:sz w:val="20"/>
          <w:szCs w:val="24"/>
        </w:rPr>
        <w:t xml:space="preserve">Commonwealth of Australia’s </w:t>
      </w:r>
      <w:r w:rsidRPr="006A198D">
        <w:rPr>
          <w:i/>
          <w:sz w:val="20"/>
          <w:szCs w:val="24"/>
        </w:rPr>
        <w:t>Final Budget Outcome 2014-15</w:t>
      </w:r>
      <w:r w:rsidRPr="006A198D">
        <w:rPr>
          <w:sz w:val="20"/>
          <w:szCs w:val="24"/>
        </w:rPr>
        <w:t xml:space="preserve"> and Commission decisions.</w:t>
      </w:r>
    </w:p>
    <w:p w:rsidR="00DC606D" w:rsidRPr="006A198D" w:rsidRDefault="00DC606D" w:rsidP="00DC606D">
      <w:pPr>
        <w:pStyle w:val="CGCNumberedPara"/>
      </w:pPr>
      <w:r w:rsidRPr="006A198D">
        <w:t>The following sections explain the treatment of payments in relation to which States raised issues.</w:t>
      </w:r>
    </w:p>
    <w:p w:rsidR="00DC606D" w:rsidRPr="006A198D" w:rsidRDefault="00DC606D" w:rsidP="00B73976">
      <w:pPr>
        <w:pStyle w:val="Heading5"/>
      </w:pPr>
      <w:bookmarkStart w:id="743" w:name="_Toc442949174"/>
      <w:r w:rsidRPr="006A198D">
        <w:t>Hummingbird House</w:t>
      </w:r>
      <w:bookmarkEnd w:id="743"/>
    </w:p>
    <w:p w:rsidR="00DC606D" w:rsidRPr="006A198D" w:rsidRDefault="00DC606D" w:rsidP="00DC606D">
      <w:pPr>
        <w:pStyle w:val="CGCNumberedPara"/>
      </w:pPr>
      <w:r w:rsidRPr="006A198D">
        <w:t xml:space="preserve">The Australian Government is providing Queensland with $5.5 million over six years to fund the construction and operation of a dedicated respite and hospice care facility for children with life limiting conditions. Under this agreement payments from the Australian Government will be matched by the Queensland State </w:t>
      </w:r>
      <w:r w:rsidR="00BE4EB5" w:rsidRPr="006A198D">
        <w:t>G</w:t>
      </w:r>
      <w:r w:rsidRPr="006A198D">
        <w:t xml:space="preserve">overnment. </w:t>
      </w:r>
      <w:r w:rsidR="00727B67" w:rsidRPr="006A198D">
        <w:t>P</w:t>
      </w:r>
      <w:r w:rsidRPr="006A198D">
        <w:t>ayments are being made through the State to a not-for-profit organisation trading as Hummingbird House.</w:t>
      </w:r>
    </w:p>
    <w:p w:rsidR="00DC606D" w:rsidRPr="006A198D" w:rsidRDefault="00DC606D" w:rsidP="00DC606D">
      <w:pPr>
        <w:pStyle w:val="CGCNumberedPara"/>
      </w:pPr>
      <w:r w:rsidRPr="006A198D">
        <w:lastRenderedPageBreak/>
        <w:t>Based on the national partnership agreement signed by both governments, t</w:t>
      </w:r>
      <w:r w:rsidR="001106B6">
        <w:t>he $1.5 </w:t>
      </w:r>
      <w:r w:rsidR="00442791" w:rsidRPr="006A198D">
        <w:t>million payment in 2014</w:t>
      </w:r>
      <w:r w:rsidR="00442791" w:rsidRPr="006A198D">
        <w:noBreakHyphen/>
      </w:r>
      <w:r w:rsidRPr="006A198D">
        <w:t>15 is for the construction of the facility. The balance (73% of the funding) will help to meet operat</w:t>
      </w:r>
      <w:r w:rsidR="00442791" w:rsidRPr="006A198D">
        <w:t>ing costs until the end of 2019</w:t>
      </w:r>
      <w:r w:rsidR="00442791" w:rsidRPr="006A198D">
        <w:noBreakHyphen/>
      </w:r>
      <w:r w:rsidRPr="006A198D">
        <w:t xml:space="preserve">20. </w:t>
      </w:r>
    </w:p>
    <w:p w:rsidR="00DC606D" w:rsidRPr="006A198D" w:rsidRDefault="00DC606D" w:rsidP="00DC606D">
      <w:pPr>
        <w:pStyle w:val="CGCNumberedPara"/>
      </w:pPr>
      <w:r w:rsidRPr="006A198D">
        <w:t xml:space="preserve">Queensland said the payment should not impact on the GST distribution because the funding is to support a third party, it has no control over how it is spent and a significant proportion is for the construction of the hospice facility, with ongoing operating costs being borne by the not-for-profit service provider. </w:t>
      </w:r>
    </w:p>
    <w:p w:rsidR="00DC606D" w:rsidRPr="006A198D" w:rsidRDefault="00DC606D" w:rsidP="00DC606D">
      <w:pPr>
        <w:pStyle w:val="CGCNumberedPara"/>
      </w:pPr>
      <w:r w:rsidRPr="006A198D">
        <w:t xml:space="preserve">State expenditure on hospice services is assessed in the admitted </w:t>
      </w:r>
      <w:proofErr w:type="gramStart"/>
      <w:r w:rsidRPr="006A198D">
        <w:t>patients</w:t>
      </w:r>
      <w:proofErr w:type="gramEnd"/>
      <w:r w:rsidRPr="006A198D">
        <w:t xml:space="preserve"> component of the Health assessment</w:t>
      </w:r>
      <w:r w:rsidR="008450AC" w:rsidRPr="006A198D">
        <w:t xml:space="preserve"> and in the disability services component of the Welfare assessment</w:t>
      </w:r>
      <w:r w:rsidRPr="006A198D">
        <w:t xml:space="preserve">. While not separately identifying those in need of hospice care, it does recognise differences in the health </w:t>
      </w:r>
      <w:r w:rsidR="008450AC" w:rsidRPr="006A198D">
        <w:t xml:space="preserve">and disability </w:t>
      </w:r>
      <w:r w:rsidRPr="006A198D">
        <w:t xml:space="preserve">profile of different States. </w:t>
      </w:r>
    </w:p>
    <w:p w:rsidR="00DC606D" w:rsidRPr="006A198D" w:rsidRDefault="00DC606D" w:rsidP="00DC606D">
      <w:pPr>
        <w:pStyle w:val="CGCNumberedPara"/>
      </w:pPr>
      <w:r w:rsidRPr="006A198D">
        <w:t xml:space="preserve">We understand that hospice care can be provided by a mix of public and private funding and that there is some mix which best captures the average of </w:t>
      </w:r>
      <w:r w:rsidR="001F7ED9" w:rsidRPr="006A198D">
        <w:t>‘</w:t>
      </w:r>
      <w:r w:rsidRPr="006A198D">
        <w:t>what States do</w:t>
      </w:r>
      <w:r w:rsidR="001F7ED9" w:rsidRPr="006A198D">
        <w:t>’</w:t>
      </w:r>
      <w:r w:rsidRPr="006A198D">
        <w:t xml:space="preserve"> in practice. </w:t>
      </w:r>
    </w:p>
    <w:p w:rsidR="00DC606D" w:rsidRPr="006A198D" w:rsidRDefault="00DC606D" w:rsidP="00DC606D">
      <w:pPr>
        <w:pStyle w:val="CGCNumberedPara"/>
      </w:pPr>
      <w:r w:rsidRPr="006A198D">
        <w:t>If the Commonwealth provides support for hospice services the other funders (for example, the State or not-for-profit organisations) do not need to make the same contribution. That could mean that the State is relieved of some fiscal responsibility (measured at average policy) or the private sector or some mix of both. Further, the addition of this facility in Queensland could provide above or below average level of hospice care in the State.</w:t>
      </w:r>
    </w:p>
    <w:p w:rsidR="001C5ACD" w:rsidRPr="006A198D" w:rsidRDefault="00DC606D" w:rsidP="0006260D">
      <w:pPr>
        <w:pStyle w:val="CGCNumberedPara"/>
      </w:pPr>
      <w:r w:rsidRPr="006A198D">
        <w:t xml:space="preserve">We cannot be sure about the impact of this Commonwealth support on the fiscal capacity of Queensland, but believe that it will relieve them of some responsibility. </w:t>
      </w:r>
      <w:r w:rsidR="0054409F" w:rsidRPr="006A198D">
        <w:t>For this reason, w</w:t>
      </w:r>
      <w:r w:rsidRPr="006A198D">
        <w:t xml:space="preserve">e </w:t>
      </w:r>
      <w:r w:rsidR="0054409F" w:rsidRPr="006A198D">
        <w:t>have treated 50</w:t>
      </w:r>
      <w:r w:rsidR="00E83075">
        <w:t>%</w:t>
      </w:r>
      <w:r w:rsidR="0054409F" w:rsidRPr="006A198D">
        <w:t xml:space="preserve"> of the</w:t>
      </w:r>
      <w:r w:rsidRPr="006A198D">
        <w:t xml:space="preserve"> payment as </w:t>
      </w:r>
      <w:r w:rsidR="0054409F" w:rsidRPr="006A198D">
        <w:t>impacting on the relativities.</w:t>
      </w:r>
      <w:r w:rsidR="0006260D" w:rsidRPr="006A198D">
        <w:t xml:space="preserve"> </w:t>
      </w:r>
    </w:p>
    <w:p w:rsidR="00DC606D" w:rsidRPr="006A198D" w:rsidRDefault="00DC606D" w:rsidP="001F7ED9">
      <w:pPr>
        <w:pStyle w:val="Heading5"/>
      </w:pPr>
      <w:bookmarkStart w:id="744" w:name="_Toc442949175"/>
      <w:r w:rsidRPr="006A198D">
        <w:t>National school chaplaincy program</w:t>
      </w:r>
      <w:bookmarkEnd w:id="744"/>
    </w:p>
    <w:p w:rsidR="00DC606D" w:rsidRPr="006A198D" w:rsidRDefault="00DC606D" w:rsidP="00DC606D">
      <w:pPr>
        <w:pStyle w:val="CGCNumberedPara"/>
      </w:pPr>
      <w:r w:rsidRPr="006A198D">
        <w:t>The Australian Government has committed $</w:t>
      </w:r>
      <w:r w:rsidR="00E83075">
        <w:t>244</w:t>
      </w:r>
      <w:r w:rsidRPr="006A198D">
        <w:t xml:space="preserve"> mi</w:t>
      </w:r>
      <w:r w:rsidR="0054409F" w:rsidRPr="006A198D">
        <w:t>llion over four years from 2014</w:t>
      </w:r>
      <w:r w:rsidR="0054409F" w:rsidRPr="006A198D">
        <w:noBreakHyphen/>
        <w:t>15 to 2017</w:t>
      </w:r>
      <w:r w:rsidR="0054409F" w:rsidRPr="006A198D">
        <w:noBreakHyphen/>
      </w:r>
      <w:r w:rsidRPr="006A198D">
        <w:t>18 to assist approximately 2 900 schools engage the services of a school chaplain to provide pastoral care services.</w:t>
      </w:r>
    </w:p>
    <w:p w:rsidR="00DC606D" w:rsidRPr="006A198D" w:rsidRDefault="00DC606D" w:rsidP="00DC606D">
      <w:pPr>
        <w:pStyle w:val="CGCNumberedPara"/>
      </w:pPr>
      <w:r w:rsidRPr="006A198D">
        <w:t>On 17 November 2014 the Australian Government reached agreement with all States whereby the new National Schools Chaplaincy Program (NSCP) will be funded by the Australian Government and delivered by the States. The program has been implemented for the 2015 school year.</w:t>
      </w:r>
    </w:p>
    <w:p w:rsidR="00DC606D" w:rsidRPr="006A198D" w:rsidRDefault="00DC606D" w:rsidP="00DC606D">
      <w:pPr>
        <w:pStyle w:val="CGCNumberedPara"/>
      </w:pPr>
      <w:r w:rsidRPr="006A198D">
        <w:t>Queensland said the program directly funded chaplaincy services in Australian schools and schools voluntarily applied to participate in the program and were selected through a panel process. Since the State had limited control over the funding, it should be treated as not impacting on relativities.</w:t>
      </w:r>
    </w:p>
    <w:p w:rsidR="00DC606D" w:rsidRPr="006A198D" w:rsidRDefault="00DC606D" w:rsidP="00DC606D">
      <w:pPr>
        <w:pStyle w:val="CGCNumberedPara"/>
      </w:pPr>
      <w:r w:rsidRPr="006A198D">
        <w:t xml:space="preserve">The new NSCP is being delivered by States because the High Court ruled it was beyond the constitutional authority of the Australian Government to provide </w:t>
      </w:r>
      <w:r w:rsidRPr="006A198D">
        <w:lastRenderedPageBreak/>
        <w:t>chaplaincy services. All States have signed the project agreement with the Australian Government. Under the agreement States are responsible for forming cross sector panels for prioritising schools for funding in their jurisdiction and for inviting all schools to participate in the program.</w:t>
      </w:r>
    </w:p>
    <w:p w:rsidR="00DC606D" w:rsidRPr="006A198D" w:rsidRDefault="003C4418" w:rsidP="00DC606D">
      <w:pPr>
        <w:pStyle w:val="CGCNumberedPara"/>
      </w:pPr>
      <w:r w:rsidRPr="006A198D">
        <w:t>Chaplaincy and p</w:t>
      </w:r>
      <w:r w:rsidR="00380875" w:rsidRPr="006A198D">
        <w:t xml:space="preserve">astoral care </w:t>
      </w:r>
      <w:r w:rsidR="00DC606D" w:rsidRPr="006A198D">
        <w:t>services are an integral part of school services in all States although there are significant policy differences between States in the level of funding and how the services are provided. These services are provided in government and non</w:t>
      </w:r>
      <w:r w:rsidR="00DC606D" w:rsidRPr="006A198D">
        <w:noBreakHyphen/>
        <w:t xml:space="preserve">government schools. </w:t>
      </w:r>
    </w:p>
    <w:p w:rsidR="00DC606D" w:rsidRPr="006A198D" w:rsidRDefault="00DC606D" w:rsidP="00DC606D">
      <w:pPr>
        <w:pStyle w:val="CGCNumberedPara"/>
      </w:pPr>
      <w:r w:rsidRPr="006A198D">
        <w:t xml:space="preserve">We consider that what different States would need to spend on </w:t>
      </w:r>
      <w:r w:rsidR="003C4418" w:rsidRPr="006A198D">
        <w:t>chaplaincy</w:t>
      </w:r>
      <w:r w:rsidR="00380875" w:rsidRPr="006A198D">
        <w:t xml:space="preserve"> </w:t>
      </w:r>
      <w:r w:rsidRPr="006A198D">
        <w:t>services to deliver the same standard of service is primarily determined by the relative size of school enrolments as well as the regional and socio</w:t>
      </w:r>
      <w:r w:rsidR="001944A9" w:rsidRPr="006A198D">
        <w:t>-</w:t>
      </w:r>
      <w:r w:rsidRPr="006A198D">
        <w:t xml:space="preserve">economic profile of those enrolments. Because these are the factors we use to assess total State education spending, including that on </w:t>
      </w:r>
      <w:r w:rsidR="003C4418" w:rsidRPr="006A198D">
        <w:t>chaplaincy</w:t>
      </w:r>
      <w:r w:rsidR="00380875" w:rsidRPr="006A198D">
        <w:t xml:space="preserve"> </w:t>
      </w:r>
      <w:r w:rsidRPr="006A198D">
        <w:t>services, we consider that the distribution of these program funds should be taken into account when deciding the GST distribution.</w:t>
      </w:r>
    </w:p>
    <w:p w:rsidR="00DC606D" w:rsidRPr="006A198D" w:rsidRDefault="00DC606D" w:rsidP="00B73976">
      <w:pPr>
        <w:pStyle w:val="Heading5"/>
      </w:pPr>
      <w:bookmarkStart w:id="745" w:name="_Toc441241614"/>
      <w:bookmarkStart w:id="746" w:name="_Toc441499284"/>
      <w:bookmarkStart w:id="747" w:name="_Toc442949176"/>
      <w:r w:rsidRPr="006A198D">
        <w:t xml:space="preserve">Implementation of </w:t>
      </w:r>
      <w:r w:rsidR="00BE4EB5" w:rsidRPr="006A198D">
        <w:t>n</w:t>
      </w:r>
      <w:r w:rsidRPr="006A198D">
        <w:t>ational insurance affordability initiative</w:t>
      </w:r>
      <w:bookmarkEnd w:id="745"/>
      <w:bookmarkEnd w:id="746"/>
      <w:bookmarkEnd w:id="747"/>
    </w:p>
    <w:p w:rsidR="00DC606D" w:rsidRPr="006A198D" w:rsidRDefault="00DC606D" w:rsidP="00DC606D">
      <w:pPr>
        <w:pStyle w:val="CGCNumberedPara"/>
      </w:pPr>
      <w:r w:rsidRPr="006A198D">
        <w:t>Under this national partnership, the Australian Government is expected to invest $100 million over two years to reduce flood risk with the aim of reducing industry and consumer insurance premiums. As part of the initiative</w:t>
      </w:r>
      <w:r w:rsidR="00E83075">
        <w:t>,</w:t>
      </w:r>
      <w:r w:rsidRPr="006A198D">
        <w:t xml:space="preserve"> urban flood mitigation structures will be upgraded or constructed in the Queensland towns of Roma and Ipswich. In New South Wales, flood mitigation works in respect of the Warragamba Dam will also be funded through this program. </w:t>
      </w:r>
    </w:p>
    <w:p w:rsidR="00DC606D" w:rsidRPr="006A198D" w:rsidRDefault="00DC606D" w:rsidP="00DC606D">
      <w:pPr>
        <w:pStyle w:val="CGCNumberedPara"/>
      </w:pPr>
      <w:r w:rsidRPr="006A198D">
        <w:t>Western Australia said that the purpose of the flood defences was to protect homes and businesses, not the natural environment, and the expenses should be treated as economic development and should impact on the relativities. The ACT said that the payment was not intended for environmental purposes, but to reduce the risk of natural disasters and lower the cost of insurance, and that it should be assessed.</w:t>
      </w:r>
    </w:p>
    <w:p w:rsidR="00DC606D" w:rsidRPr="006A198D" w:rsidRDefault="00DC606D" w:rsidP="00DC606D">
      <w:pPr>
        <w:pStyle w:val="CGCNumberedPara"/>
      </w:pPr>
      <w:r w:rsidRPr="006A198D">
        <w:t>The Commission classifies State expenses to components and categories based on the purpose for which the expenses are incurred</w:t>
      </w:r>
      <w:r w:rsidR="00892DA0">
        <w:t>,</w:t>
      </w:r>
      <w:r w:rsidRPr="006A198D">
        <w:t xml:space="preserve"> not the intended policy outcome. The payments to the States through this program are for urban flood mitigation </w:t>
      </w:r>
      <w:r w:rsidR="00181D12" w:rsidRPr="006A198D">
        <w:t xml:space="preserve">and </w:t>
      </w:r>
      <w:r w:rsidR="00A32D19" w:rsidRPr="006A198D">
        <w:t xml:space="preserve">the related </w:t>
      </w:r>
      <w:r w:rsidR="00181D12" w:rsidRPr="006A198D">
        <w:t xml:space="preserve">expenses are classified to the </w:t>
      </w:r>
      <w:r w:rsidRPr="006A198D">
        <w:t xml:space="preserve">protection of the environment </w:t>
      </w:r>
      <w:r w:rsidR="00181D12" w:rsidRPr="006A198D">
        <w:t>component of the Services to community category</w:t>
      </w:r>
      <w:r w:rsidRPr="006A198D">
        <w:t>. In the 2015 Review, the Commission was unable to identify the cost drivers for these expenses which would have enabled it to form a view on what different States would spend to deliver the same service standard in this area. The GST distribution therefore makes no allowance for any such differences in expenditure or any differences in Commonwealth support.</w:t>
      </w:r>
    </w:p>
    <w:p w:rsidR="002F150B" w:rsidRPr="006A198D" w:rsidRDefault="002F150B" w:rsidP="00B73976">
      <w:pPr>
        <w:pStyle w:val="Heading5"/>
      </w:pPr>
      <w:bookmarkStart w:id="748" w:name="_Toc442949177"/>
      <w:bookmarkStart w:id="749" w:name="_Toc441241615"/>
      <w:bookmarkStart w:id="750" w:name="_Toc441499285"/>
      <w:r w:rsidRPr="006A198D">
        <w:lastRenderedPageBreak/>
        <w:t>National road and rail network projects</w:t>
      </w:r>
      <w:bookmarkEnd w:id="748"/>
    </w:p>
    <w:p w:rsidR="002F150B" w:rsidRPr="006A198D" w:rsidRDefault="00B73976" w:rsidP="00B73976">
      <w:pPr>
        <w:pStyle w:val="CGCNumberedPara"/>
      </w:pPr>
      <w:r w:rsidRPr="006A198D">
        <w:rPr>
          <w:rStyle w:val="Heading6Char"/>
        </w:rPr>
        <w:t>Background.</w:t>
      </w:r>
      <w:r w:rsidRPr="006A198D">
        <w:t xml:space="preserve"> </w:t>
      </w:r>
      <w:r w:rsidR="002F150B" w:rsidRPr="006A198D">
        <w:t xml:space="preserve">In the 2015 Review report, we said that Commonwealth funding for national network infrastructure projects (road and rail) would be treated in such a way that only half that funding had an impact on the GST distribution. We would rely on advice from the Department of Infrastructure and Regional Development (DIRD) on which projects were national network projects. </w:t>
      </w:r>
      <w:r w:rsidR="00797289">
        <w:t>P</w:t>
      </w:r>
      <w:r w:rsidR="0078672F">
        <w:t>ayment</w:t>
      </w:r>
      <w:r w:rsidR="00797289">
        <w:t xml:space="preserve">s </w:t>
      </w:r>
      <w:r w:rsidR="0078672F">
        <w:t xml:space="preserve">for national network </w:t>
      </w:r>
      <w:r w:rsidR="002F150B" w:rsidRPr="006A198D">
        <w:t>project</w:t>
      </w:r>
      <w:r w:rsidR="00892DA0">
        <w:t>s</w:t>
      </w:r>
      <w:r w:rsidR="002F150B" w:rsidRPr="006A198D">
        <w:t xml:space="preserve"> covered by specific terms of reference </w:t>
      </w:r>
      <w:r w:rsidR="009A2730">
        <w:t xml:space="preserve">(for example, </w:t>
      </w:r>
      <w:r w:rsidR="0078672F">
        <w:t xml:space="preserve">national network projects funded through the Asset Recycling Initiative) would be treated according to </w:t>
      </w:r>
      <w:r w:rsidR="00797289">
        <w:t>that instruction</w:t>
      </w:r>
      <w:r w:rsidR="002F150B" w:rsidRPr="006A198D">
        <w:t>.</w:t>
      </w:r>
    </w:p>
    <w:p w:rsidR="002F150B" w:rsidRPr="006A198D" w:rsidRDefault="002F150B" w:rsidP="002F150B">
      <w:pPr>
        <w:pStyle w:val="CGCNumberedPara"/>
      </w:pPr>
      <w:r w:rsidRPr="006A198D">
        <w:t xml:space="preserve">We also said we would review </w:t>
      </w:r>
      <w:r w:rsidR="0035011C" w:rsidRPr="006A198D">
        <w:t>DIRD’s</w:t>
      </w:r>
      <w:r w:rsidRPr="006A198D">
        <w:t xml:space="preserve"> advice in the future to ensure Commonwealth funding</w:t>
      </w:r>
      <w:r w:rsidR="00AE63D3">
        <w:t xml:space="preserve"> </w:t>
      </w:r>
      <w:r w:rsidR="00AE63D3" w:rsidRPr="006A198D">
        <w:t>is treated appropriately</w:t>
      </w:r>
      <w:r w:rsidRPr="006A198D">
        <w:t xml:space="preserve"> including for projects not declared to be on the</w:t>
      </w:r>
      <w:r w:rsidR="00AE63D3">
        <w:t xml:space="preserve"> network until after completion</w:t>
      </w:r>
      <w:r w:rsidRPr="006A198D">
        <w:t>.</w:t>
      </w:r>
    </w:p>
    <w:p w:rsidR="002F150B" w:rsidRPr="006A198D" w:rsidRDefault="002F150B" w:rsidP="002F150B">
      <w:pPr>
        <w:pStyle w:val="CGCNumberedPara"/>
      </w:pPr>
      <w:r w:rsidRPr="006A198D">
        <w:t xml:space="preserve">We have received advice from DIRD during the course of this update on which projects are network projects and shared this with the States. New South Wales, Victoria, Western Australia and the ACT commented on the Commonwealth’s information. The other States raised no concerns with the DIRD advice. </w:t>
      </w:r>
    </w:p>
    <w:p w:rsidR="002F150B" w:rsidRPr="006A198D" w:rsidRDefault="00B73976" w:rsidP="00B73976">
      <w:pPr>
        <w:pStyle w:val="CGCNumberedPara"/>
      </w:pPr>
      <w:r w:rsidRPr="006A198D">
        <w:rPr>
          <w:rStyle w:val="Heading6Char"/>
        </w:rPr>
        <w:t xml:space="preserve">State views and Commission decisions. </w:t>
      </w:r>
      <w:r w:rsidR="002F150B" w:rsidRPr="006A198D">
        <w:t xml:space="preserve">New South Wales noted that the expenses reported by DIRD under the rail investment program were inconsistent with the </w:t>
      </w:r>
      <w:r w:rsidR="002F150B" w:rsidRPr="00E83075">
        <w:rPr>
          <w:i/>
        </w:rPr>
        <w:t>Final Budget Outcome</w:t>
      </w:r>
      <w:r w:rsidR="002F150B" w:rsidRPr="006A198D">
        <w:t xml:space="preserve"> (FBO) numbers because DIRD’s numbers included a payment for </w:t>
      </w:r>
      <w:r w:rsidR="00BE4EB5" w:rsidRPr="006A198D">
        <w:t>the upgrade of the Port Botany rail l</w:t>
      </w:r>
      <w:r w:rsidR="002F150B" w:rsidRPr="006A198D">
        <w:t>ine. It argued that should not be included as the line is Commonwealth</w:t>
      </w:r>
      <w:r w:rsidR="00BE4EB5" w:rsidRPr="006A198D">
        <w:noBreakHyphen/>
      </w:r>
      <w:r w:rsidR="002F150B" w:rsidRPr="006A198D">
        <w:t>owned and the payment was not made to the New South Wales government. It also noted that the Western Sydney Infrastructure plan should only have a 50% impact as per the terms of reference.</w:t>
      </w:r>
    </w:p>
    <w:p w:rsidR="002F150B" w:rsidRPr="006A198D" w:rsidRDefault="002F150B" w:rsidP="002F150B">
      <w:pPr>
        <w:pStyle w:val="CGCNumberedPara"/>
      </w:pPr>
      <w:r w:rsidRPr="006A198D">
        <w:t xml:space="preserve">Because we use FBO data which do not include the payment for the Port Botany rail line, no adjustment was required. </w:t>
      </w:r>
    </w:p>
    <w:p w:rsidR="002F150B" w:rsidRPr="006A198D" w:rsidRDefault="002F150B" w:rsidP="002F150B">
      <w:pPr>
        <w:pStyle w:val="CGCNumberedPara"/>
      </w:pPr>
      <w:r w:rsidRPr="006A198D">
        <w:t>Victoria argued that the Western Interstate Freight Terminal project should be classified as on network. It said that while the railway line does not currently exist, given the inter-modal and interstate connection of the Western Interstate Freight Terminal project, once the railway line is constructed, it will be placed on the national network.</w:t>
      </w:r>
    </w:p>
    <w:p w:rsidR="002F150B" w:rsidRPr="006A198D" w:rsidRDefault="002F150B" w:rsidP="002F150B">
      <w:pPr>
        <w:pStyle w:val="CGCNumberedPara"/>
      </w:pPr>
      <w:r w:rsidRPr="006A198D">
        <w:t>Our preference is to rely on the advice of DIRD as to what is a network project. However</w:t>
      </w:r>
      <w:r w:rsidR="00B72BDD" w:rsidRPr="006A198D">
        <w:t>,</w:t>
      </w:r>
      <w:r w:rsidRPr="006A198D">
        <w:t xml:space="preserve"> we consider that if this project is classified by DIRD as a network project in the future we would need to reassess the appropriate treatment of payments already received by Victoria in the relevant update. From that update, payments received in the relevant assessment years and beyond would be treated so that only 50% had an impact on the GST distribution. </w:t>
      </w:r>
    </w:p>
    <w:p w:rsidR="002F150B" w:rsidRPr="006A198D" w:rsidRDefault="002F150B" w:rsidP="002F150B">
      <w:pPr>
        <w:pStyle w:val="CGCNumberedPara"/>
      </w:pPr>
      <w:r w:rsidRPr="006A198D">
        <w:t xml:space="preserve">Western Australia said that the payment for the Lloyd Street Upgrade in Perth should not impact the GST distribution because it was a payment for local government </w:t>
      </w:r>
      <w:r w:rsidRPr="006A198D">
        <w:lastRenderedPageBreak/>
        <w:t xml:space="preserve">purposes and would create an asset owned by the local government. It said that if the Commission did decide to treat it as impacting on the relativities, the payment should be treated as a national network payment and only </w:t>
      </w:r>
      <w:proofErr w:type="gramStart"/>
      <w:r w:rsidRPr="006A198D">
        <w:t>have</w:t>
      </w:r>
      <w:proofErr w:type="gramEnd"/>
      <w:r w:rsidRPr="006A198D">
        <w:t xml:space="preserve"> a 50% impact, because Lloyd Street intersects the Perth-Adelaide railway line, which is on the national rail network.</w:t>
      </w:r>
    </w:p>
    <w:p w:rsidR="002F150B" w:rsidRPr="006A198D" w:rsidRDefault="002F150B" w:rsidP="002F150B">
      <w:pPr>
        <w:pStyle w:val="CGCNumberedPara"/>
      </w:pPr>
      <w:r w:rsidRPr="006A198D">
        <w:t>The Lloyd Street Upgrade is an $80 million construction project jointly funded by the Commonwealth, Western Australia and the City of Swan. The Commonwealth contribution was a one-off $10 million capital payment made to Western Australia in 2014</w:t>
      </w:r>
      <w:r w:rsidRPr="006A198D">
        <w:noBreakHyphen/>
        <w:t xml:space="preserve">15. </w:t>
      </w:r>
    </w:p>
    <w:p w:rsidR="002F150B" w:rsidRPr="006A198D" w:rsidRDefault="002F150B" w:rsidP="002F150B">
      <w:pPr>
        <w:pStyle w:val="CGCNumberedPara"/>
      </w:pPr>
      <w:r w:rsidRPr="006A198D">
        <w:t xml:space="preserve">Lloyd Street is a local road and while the State government is undertaking the upgrade, the bulk of the new assets, but not all, will be owned by the City of Swan. Therefore it will not be included in the average per capita road asset stock. However, since the $10 million was spent by Western Australia, this will be included in total State capital expenditure. </w:t>
      </w:r>
    </w:p>
    <w:p w:rsidR="002F150B" w:rsidRPr="006A198D" w:rsidRDefault="002F150B" w:rsidP="002F150B">
      <w:pPr>
        <w:pStyle w:val="CGCNumberedPara"/>
      </w:pPr>
      <w:r w:rsidRPr="006A198D">
        <w:t>State expenditure on urban roads, including where that occurs on roads owned by local government, forms part of our assessment. We consider that the receipt of Commonwealth funds helps meet part of assessed State expenditure and therefore should be taken into consideration in deciding the appropriate GST distribution. The fact that (part of) the resulting assets belong to local government does not of itself form grounds for ensuring that (part of) the Commonwealth payment has no impact on the GST distribution.</w:t>
      </w:r>
    </w:p>
    <w:p w:rsidR="002F150B" w:rsidRPr="006A198D" w:rsidRDefault="0035011C" w:rsidP="002F150B">
      <w:pPr>
        <w:pStyle w:val="CGCNumberedPara"/>
      </w:pPr>
      <w:r w:rsidRPr="006A198D">
        <w:t xml:space="preserve">In relation to </w:t>
      </w:r>
      <w:r w:rsidR="002F150B" w:rsidRPr="006A198D">
        <w:t>Western Australia</w:t>
      </w:r>
      <w:r w:rsidRPr="006A198D">
        <w:t xml:space="preserve">’s second argument, </w:t>
      </w:r>
      <w:r w:rsidR="002F150B" w:rsidRPr="006A198D">
        <w:t>that if the payment were included it should be treated as a national network payment</w:t>
      </w:r>
      <w:r w:rsidR="00E079F5" w:rsidRPr="006A198D">
        <w:t xml:space="preserve">, we </w:t>
      </w:r>
      <w:r w:rsidR="002F150B" w:rsidRPr="006A198D">
        <w:t>rely on the classification provided by DIRD of national network projects</w:t>
      </w:r>
      <w:r w:rsidR="00E079F5" w:rsidRPr="006A198D">
        <w:t>. U</w:t>
      </w:r>
      <w:r w:rsidR="002F150B" w:rsidRPr="006A198D">
        <w:t xml:space="preserve">nless </w:t>
      </w:r>
      <w:r w:rsidR="00E079F5" w:rsidRPr="006A198D">
        <w:t>DIRD reclassifies</w:t>
      </w:r>
      <w:r w:rsidR="002F150B" w:rsidRPr="006A198D">
        <w:t xml:space="preserve"> the pro</w:t>
      </w:r>
      <w:r w:rsidR="00E079F5" w:rsidRPr="006A198D">
        <w:t>ject, we will treat it as a non</w:t>
      </w:r>
      <w:r w:rsidR="00E079F5" w:rsidRPr="006A198D">
        <w:noBreakHyphen/>
      </w:r>
      <w:r w:rsidR="002F150B" w:rsidRPr="006A198D">
        <w:t>national network project where the totality of Commonwealth support is reflected in the GST distribution. We have done this in the 2016 Update.</w:t>
      </w:r>
    </w:p>
    <w:p w:rsidR="002F150B" w:rsidRPr="006A198D" w:rsidRDefault="002F150B" w:rsidP="002F150B">
      <w:pPr>
        <w:pStyle w:val="CGCNumberedPara"/>
      </w:pPr>
      <w:r w:rsidRPr="006A198D">
        <w:t>The ACT said that the Majura Parkway should have been classified as a national network road.</w:t>
      </w:r>
    </w:p>
    <w:p w:rsidR="002F150B" w:rsidRPr="006A198D" w:rsidRDefault="002F150B" w:rsidP="002F150B">
      <w:pPr>
        <w:pStyle w:val="CGCNumberedPara"/>
      </w:pPr>
      <w:r w:rsidRPr="006A198D">
        <w:t xml:space="preserve">DIRD has changed its classification of the Majura Parkway to a national network road in the March 2015 </w:t>
      </w:r>
      <w:r w:rsidRPr="00E83075">
        <w:rPr>
          <w:i/>
        </w:rPr>
        <w:t>National Land Transport Network Determination</w:t>
      </w:r>
      <w:r w:rsidRPr="006A198D">
        <w:t xml:space="preserve">. </w:t>
      </w:r>
    </w:p>
    <w:p w:rsidR="007B77DC" w:rsidRPr="006A198D" w:rsidRDefault="002F150B" w:rsidP="007B77DC">
      <w:pPr>
        <w:pStyle w:val="CGCNumberedPara"/>
      </w:pPr>
      <w:r w:rsidRPr="006A198D">
        <w:t>In the 2015 Review and prior updates, we treated payments relating to Majura Parkway so that their entirety impacted on the GST distribution because the road was not classified as a national network road. For the 2016 Update, we have treated 50% of the Commonwealth payments for the three assessment years of the update in such a way that they have no impact on the GST distribution. We have made no adjustment in relation to payments the ACT re</w:t>
      </w:r>
      <w:r w:rsidR="007B77DC">
        <w:t>ceived before these three years.</w:t>
      </w:r>
    </w:p>
    <w:p w:rsidR="00C449D2" w:rsidRPr="006A198D" w:rsidRDefault="00C449D2" w:rsidP="007B77DC">
      <w:pPr>
        <w:pStyle w:val="Heading4"/>
        <w:keepLines/>
      </w:pPr>
      <w:bookmarkStart w:id="751" w:name="_Toc442883310"/>
      <w:bookmarkStart w:id="752" w:name="_Toc442949178"/>
      <w:bookmarkStart w:id="753" w:name="_Toc442191941"/>
      <w:bookmarkStart w:id="754" w:name="_Toc442192197"/>
      <w:bookmarkStart w:id="755" w:name="_Toc442192262"/>
      <w:bookmarkStart w:id="756" w:name="_Toc442772844"/>
      <w:bookmarkStart w:id="757" w:name="_Toc442773075"/>
      <w:bookmarkStart w:id="758" w:name="_Toc442773243"/>
      <w:r w:rsidRPr="006A198D">
        <w:lastRenderedPageBreak/>
        <w:t>Treatment of Commonwealth own purpose expenses for Indigenous purposes</w:t>
      </w:r>
      <w:bookmarkEnd w:id="751"/>
      <w:bookmarkEnd w:id="752"/>
      <w:r w:rsidRPr="006A198D">
        <w:t xml:space="preserve"> </w:t>
      </w:r>
      <w:bookmarkEnd w:id="749"/>
      <w:bookmarkEnd w:id="750"/>
      <w:bookmarkEnd w:id="753"/>
      <w:bookmarkEnd w:id="754"/>
      <w:bookmarkEnd w:id="755"/>
      <w:bookmarkEnd w:id="756"/>
      <w:bookmarkEnd w:id="757"/>
      <w:bookmarkEnd w:id="758"/>
    </w:p>
    <w:p w:rsidR="00C449D2" w:rsidRPr="006A198D" w:rsidRDefault="00C449D2" w:rsidP="00C449D2">
      <w:pPr>
        <w:pStyle w:val="Heading5"/>
      </w:pPr>
      <w:bookmarkStart w:id="759" w:name="_Toc442949179"/>
      <w:r w:rsidRPr="006A198D">
        <w:t>Payments to the State general government sector</w:t>
      </w:r>
      <w:bookmarkEnd w:id="759"/>
      <w:r w:rsidRPr="006A198D">
        <w:t xml:space="preserve"> </w:t>
      </w:r>
    </w:p>
    <w:p w:rsidR="00C449D2" w:rsidRPr="006A198D" w:rsidRDefault="0014211E" w:rsidP="00C449D2">
      <w:pPr>
        <w:pStyle w:val="CGCNumberedPara"/>
        <w:numPr>
          <w:ilvl w:val="1"/>
          <w:numId w:val="2"/>
        </w:numPr>
      </w:pPr>
      <w:r w:rsidRPr="006A198D">
        <w:fldChar w:fldCharType="begin"/>
      </w:r>
      <w:r w:rsidRPr="006A198D">
        <w:instrText xml:space="preserve"> REF _Ref437851606 \h </w:instrText>
      </w:r>
      <w:r w:rsidR="007F1F1E" w:rsidRPr="006A198D">
        <w:instrText xml:space="preserve"> \* MERGEFORMAT </w:instrText>
      </w:r>
      <w:r w:rsidRPr="006A198D">
        <w:fldChar w:fldCharType="separate"/>
      </w:r>
      <w:r w:rsidR="007A6AF0" w:rsidRPr="006A198D">
        <w:t xml:space="preserve">Table </w:t>
      </w:r>
      <w:r w:rsidR="007A6AF0">
        <w:rPr>
          <w:noProof/>
        </w:rPr>
        <w:t>2</w:t>
      </w:r>
      <w:r w:rsidR="007A6AF0" w:rsidRPr="006A198D">
        <w:rPr>
          <w:noProof/>
        </w:rPr>
        <w:noBreakHyphen/>
      </w:r>
      <w:r w:rsidR="007A6AF0">
        <w:rPr>
          <w:noProof/>
        </w:rPr>
        <w:t>5</w:t>
      </w:r>
      <w:r w:rsidRPr="006A198D">
        <w:fldChar w:fldCharType="end"/>
      </w:r>
      <w:r w:rsidRPr="006A198D">
        <w:t xml:space="preserve"> </w:t>
      </w:r>
      <w:r w:rsidR="00C449D2" w:rsidRPr="006A198D">
        <w:t xml:space="preserve">shows the </w:t>
      </w:r>
      <w:r w:rsidR="00AC508E" w:rsidRPr="006A198D">
        <w:t>Commonwealth own purpose expenses (</w:t>
      </w:r>
      <w:r w:rsidR="00C449D2" w:rsidRPr="006A198D">
        <w:t>COPE</w:t>
      </w:r>
      <w:r w:rsidR="00AC508E" w:rsidRPr="006A198D">
        <w:t>s)</w:t>
      </w:r>
      <w:r w:rsidR="00C449D2" w:rsidRPr="006A198D">
        <w:t xml:space="preserve"> pa</w:t>
      </w:r>
      <w:r w:rsidR="001A2C99" w:rsidRPr="006A198D">
        <w:t>yments</w:t>
      </w:r>
      <w:r w:rsidR="00C449D2" w:rsidRPr="006A198D">
        <w:t xml:space="preserve"> to the State general government sector for Indigenous purposes by program</w:t>
      </w:r>
      <w:r w:rsidR="008D1D43">
        <w:t xml:space="preserve"> in 2014-15</w:t>
      </w:r>
      <w:r w:rsidR="00C449D2" w:rsidRPr="006A198D">
        <w:t xml:space="preserve"> and the </w:t>
      </w:r>
      <w:r w:rsidR="00850691" w:rsidRPr="006A198D">
        <w:t>Commission’s</w:t>
      </w:r>
      <w:r w:rsidR="00C449D2" w:rsidRPr="006A198D">
        <w:t xml:space="preserve"> </w:t>
      </w:r>
      <w:r w:rsidR="001A2C99" w:rsidRPr="006A198D">
        <w:t>classificatio</w:t>
      </w:r>
      <w:r w:rsidR="00DC3956" w:rsidRPr="006A198D">
        <w:t xml:space="preserve">n to its assessment categories </w:t>
      </w:r>
      <w:r w:rsidR="001A2C99" w:rsidRPr="006A198D">
        <w:t xml:space="preserve">and their </w:t>
      </w:r>
      <w:r w:rsidR="00C449D2" w:rsidRPr="006A198D">
        <w:t xml:space="preserve">treatment. Most payments </w:t>
      </w:r>
      <w:r w:rsidR="00850691" w:rsidRPr="006A198D">
        <w:t>are</w:t>
      </w:r>
      <w:r w:rsidR="00C449D2" w:rsidRPr="006A198D">
        <w:t xml:space="preserve"> treated as impacting on the GST distribution. Only payments classified to the </w:t>
      </w:r>
      <w:proofErr w:type="gramStart"/>
      <w:r w:rsidR="00C449D2" w:rsidRPr="006A198D">
        <w:t>Other</w:t>
      </w:r>
      <w:proofErr w:type="gramEnd"/>
      <w:r w:rsidR="00C449D2" w:rsidRPr="006A198D">
        <w:t xml:space="preserve"> expenses category</w:t>
      </w:r>
      <w:r w:rsidR="007F1F1E" w:rsidRPr="006A198D">
        <w:t xml:space="preserve"> (</w:t>
      </w:r>
      <w:r w:rsidR="00A143BD" w:rsidRPr="006A198D">
        <w:t>the Jobs, Land and E</w:t>
      </w:r>
      <w:r w:rsidR="00850691" w:rsidRPr="006A198D">
        <w:t>conomy</w:t>
      </w:r>
      <w:r w:rsidR="007F1F1E" w:rsidRPr="006A198D">
        <w:t xml:space="preserve"> program, </w:t>
      </w:r>
      <w:r w:rsidR="00A143BD" w:rsidRPr="006A198D">
        <w:t>the Culture and C</w:t>
      </w:r>
      <w:r w:rsidR="000636D1" w:rsidRPr="006A198D">
        <w:t>apability</w:t>
      </w:r>
      <w:r w:rsidR="007F1F1E" w:rsidRPr="006A198D">
        <w:t xml:space="preserve"> program and that part of the Remote Australia Strategy program targeted to municipal and essential services)</w:t>
      </w:r>
      <w:r w:rsidR="000636D1" w:rsidRPr="006A198D">
        <w:t xml:space="preserve"> </w:t>
      </w:r>
      <w:r w:rsidR="007F1F1E" w:rsidRPr="006A198D">
        <w:t xml:space="preserve">have no impact on the GST distribution. These programs </w:t>
      </w:r>
      <w:r w:rsidR="000636D1" w:rsidRPr="006A198D">
        <w:t>relate to Commonwealth responsibilities and needs are not assessed</w:t>
      </w:r>
      <w:r w:rsidR="007F1F1E" w:rsidRPr="006A198D">
        <w:t xml:space="preserve">. </w:t>
      </w:r>
    </w:p>
    <w:p w:rsidR="002F150B" w:rsidRDefault="002F150B" w:rsidP="002F150B">
      <w:pPr>
        <w:pStyle w:val="CGCNumberedPara"/>
        <w:numPr>
          <w:ilvl w:val="1"/>
          <w:numId w:val="2"/>
        </w:numPr>
      </w:pPr>
      <w:r w:rsidRPr="006A198D">
        <w:fldChar w:fldCharType="begin"/>
      </w:r>
      <w:r w:rsidRPr="006A198D">
        <w:instrText xml:space="preserve"> REF _Ref437851929 \h  \* MERGEFORMAT </w:instrText>
      </w:r>
      <w:r w:rsidRPr="006A198D">
        <w:fldChar w:fldCharType="separate"/>
      </w:r>
      <w:r w:rsidR="007A6AF0" w:rsidRPr="006A198D">
        <w:t xml:space="preserve">Table </w:t>
      </w:r>
      <w:r w:rsidR="007A6AF0">
        <w:rPr>
          <w:noProof/>
        </w:rPr>
        <w:t>2</w:t>
      </w:r>
      <w:r w:rsidR="007A6AF0" w:rsidRPr="006A198D">
        <w:rPr>
          <w:noProof/>
        </w:rPr>
        <w:noBreakHyphen/>
      </w:r>
      <w:r w:rsidR="007A6AF0">
        <w:rPr>
          <w:noProof/>
        </w:rPr>
        <w:t>6</w:t>
      </w:r>
      <w:r w:rsidRPr="006A198D">
        <w:fldChar w:fldCharType="end"/>
      </w:r>
      <w:r w:rsidRPr="006A198D">
        <w:t xml:space="preserve"> shows the distribution of the COPEs treated as impacting on the GST distribution for 2011-12, 2012-13 and 2014-15. The 2014-15 payments are higher than those for the two other years because they include payments for education. The 2011-12 and 2012-13 figures do not include payments for Indigenous education because that information was not available. </w:t>
      </w:r>
    </w:p>
    <w:p w:rsidR="003C4656" w:rsidRPr="006A198D" w:rsidRDefault="003C4656" w:rsidP="003C4656">
      <w:pPr>
        <w:pStyle w:val="CGCNumberedPara"/>
      </w:pPr>
      <w:r w:rsidRPr="006A198D">
        <w:t>New South Wales, Queensland, Western Australia, South Australia and Tasmania supported this approach. The ACT and the Northern Territory did not comment. Victoria accepted the impact/no impact treatments but argued that the Commission should incl</w:t>
      </w:r>
      <w:r>
        <w:t>ude education payments for 2012</w:t>
      </w:r>
      <w:r>
        <w:noBreakHyphen/>
      </w:r>
      <w:r w:rsidRPr="006A198D">
        <w:t>13 and 2013</w:t>
      </w:r>
      <w:r w:rsidRPr="006A198D">
        <w:noBreakHyphen/>
        <w:t>14 if reliable estimates could be obtained. However, we do not have reliable estimates for the earlier years and do not consider we should attempt to estimat</w:t>
      </w:r>
      <w:r>
        <w:t>e them on the basis of the 2014</w:t>
      </w:r>
      <w:r>
        <w:noBreakHyphen/>
      </w:r>
      <w:r w:rsidRPr="006A198D">
        <w:t>15 payments. The size and distribution of those payments might have been quite different from those in the two previous financial years. We have not included payments for Indigenous education in the 2012-13 or 2013-14 years.</w:t>
      </w:r>
    </w:p>
    <w:p w:rsidR="00C449D2" w:rsidRPr="006A198D" w:rsidRDefault="0014211E" w:rsidP="00404732">
      <w:pPr>
        <w:pStyle w:val="Caption"/>
      </w:pPr>
      <w:bookmarkStart w:id="760" w:name="_Ref437851606"/>
      <w:r w:rsidRPr="006A198D">
        <w:lastRenderedPageBreak/>
        <w:t xml:space="preserve">Table </w:t>
      </w:r>
      <w:r w:rsidR="0014378B">
        <w:fldChar w:fldCharType="begin"/>
      </w:r>
      <w:r w:rsidR="0014378B">
        <w:instrText xml:space="preserve"> STYLEREF 1 \s </w:instrText>
      </w:r>
      <w:r w:rsidR="0014378B">
        <w:fldChar w:fldCharType="separate"/>
      </w:r>
      <w:r w:rsidR="007A6AF0">
        <w:rPr>
          <w:noProof/>
        </w:rPr>
        <w:t>2</w:t>
      </w:r>
      <w:r w:rsidR="0014378B">
        <w:rPr>
          <w:noProof/>
        </w:rPr>
        <w:fldChar w:fldCharType="end"/>
      </w:r>
      <w:r w:rsidRPr="006A198D">
        <w:noBreakHyphen/>
      </w:r>
      <w:r w:rsidR="0014378B">
        <w:fldChar w:fldCharType="begin"/>
      </w:r>
      <w:r w:rsidR="0014378B">
        <w:instrText xml:space="preserve"> SEQ Table \* ARABIC \s 1 </w:instrText>
      </w:r>
      <w:r w:rsidR="0014378B">
        <w:fldChar w:fldCharType="separate"/>
      </w:r>
      <w:r w:rsidR="007A6AF0">
        <w:rPr>
          <w:noProof/>
        </w:rPr>
        <w:t>5</w:t>
      </w:r>
      <w:r w:rsidR="0014378B">
        <w:rPr>
          <w:noProof/>
        </w:rPr>
        <w:fldChar w:fldCharType="end"/>
      </w:r>
      <w:bookmarkEnd w:id="760"/>
      <w:r w:rsidR="00C449D2" w:rsidRPr="006A198D">
        <w:tab/>
        <w:t xml:space="preserve">COPEs paid to the State </w:t>
      </w:r>
      <w:r w:rsidR="00DE2145">
        <w:t>general government</w:t>
      </w:r>
      <w:r w:rsidR="00A143BD" w:rsidRPr="006A198D">
        <w:t xml:space="preserve"> sector</w:t>
      </w:r>
      <w:r w:rsidR="00C449D2" w:rsidRPr="006A198D">
        <w:t xml:space="preserve"> for Indigenous purposes, 2014-15</w:t>
      </w:r>
    </w:p>
    <w:tbl>
      <w:tblPr>
        <w:tblW w:w="8980" w:type="dxa"/>
        <w:tblInd w:w="93" w:type="dxa"/>
        <w:tblLook w:val="04A0" w:firstRow="1" w:lastRow="0" w:firstColumn="1" w:lastColumn="0" w:noHBand="0" w:noVBand="1"/>
      </w:tblPr>
      <w:tblGrid>
        <w:gridCol w:w="2620"/>
        <w:gridCol w:w="615"/>
        <w:gridCol w:w="580"/>
        <w:gridCol w:w="520"/>
        <w:gridCol w:w="580"/>
        <w:gridCol w:w="560"/>
        <w:gridCol w:w="580"/>
        <w:gridCol w:w="580"/>
        <w:gridCol w:w="478"/>
        <w:gridCol w:w="628"/>
        <w:gridCol w:w="1300"/>
      </w:tblGrid>
      <w:tr w:rsidR="009B12B2" w:rsidRPr="009B12B2" w:rsidTr="009B12B2">
        <w:trPr>
          <w:trHeight w:val="375"/>
        </w:trPr>
        <w:tc>
          <w:tcPr>
            <w:tcW w:w="2620" w:type="dxa"/>
            <w:tcBorders>
              <w:top w:val="single" w:sz="4" w:space="0" w:color="auto"/>
              <w:left w:val="nil"/>
              <w:bottom w:val="single" w:sz="4" w:space="0" w:color="auto"/>
              <w:right w:val="nil"/>
            </w:tcBorders>
            <w:shd w:val="clear" w:color="auto" w:fill="auto"/>
            <w:vAlign w:val="center"/>
            <w:hideMark/>
          </w:tcPr>
          <w:p w:rsidR="009B12B2" w:rsidRPr="009B12B2" w:rsidRDefault="009B12B2" w:rsidP="009B12B2">
            <w:pPr>
              <w:keepNext/>
              <w:tabs>
                <w:tab w:val="clear" w:pos="567"/>
              </w:tabs>
              <w:spacing w:after="0" w:line="240" w:lineRule="auto"/>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Indigenous Advance Strategy</w:t>
            </w:r>
          </w:p>
        </w:tc>
        <w:tc>
          <w:tcPr>
            <w:tcW w:w="600" w:type="dxa"/>
            <w:tcBorders>
              <w:top w:val="single" w:sz="4" w:space="0" w:color="auto"/>
              <w:left w:val="nil"/>
              <w:bottom w:val="single" w:sz="4" w:space="0" w:color="auto"/>
              <w:right w:val="nil"/>
            </w:tcBorders>
            <w:shd w:val="clear" w:color="auto" w:fill="auto"/>
            <w:vAlign w:val="center"/>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NSW</w:t>
            </w:r>
          </w:p>
        </w:tc>
        <w:tc>
          <w:tcPr>
            <w:tcW w:w="580" w:type="dxa"/>
            <w:tcBorders>
              <w:top w:val="single" w:sz="4" w:space="0" w:color="auto"/>
              <w:left w:val="nil"/>
              <w:bottom w:val="single" w:sz="4" w:space="0" w:color="auto"/>
              <w:right w:val="nil"/>
            </w:tcBorders>
            <w:shd w:val="clear" w:color="auto" w:fill="auto"/>
            <w:vAlign w:val="center"/>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Vic</w:t>
            </w:r>
          </w:p>
        </w:tc>
        <w:tc>
          <w:tcPr>
            <w:tcW w:w="520" w:type="dxa"/>
            <w:tcBorders>
              <w:top w:val="single" w:sz="4" w:space="0" w:color="auto"/>
              <w:left w:val="nil"/>
              <w:bottom w:val="single" w:sz="4" w:space="0" w:color="auto"/>
              <w:right w:val="nil"/>
            </w:tcBorders>
            <w:shd w:val="clear" w:color="auto" w:fill="auto"/>
            <w:vAlign w:val="center"/>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Qld</w:t>
            </w:r>
          </w:p>
        </w:tc>
        <w:tc>
          <w:tcPr>
            <w:tcW w:w="580" w:type="dxa"/>
            <w:tcBorders>
              <w:top w:val="single" w:sz="4" w:space="0" w:color="auto"/>
              <w:left w:val="nil"/>
              <w:bottom w:val="single" w:sz="4" w:space="0" w:color="auto"/>
              <w:right w:val="nil"/>
            </w:tcBorders>
            <w:shd w:val="clear" w:color="auto" w:fill="auto"/>
            <w:vAlign w:val="center"/>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WA</w:t>
            </w:r>
          </w:p>
        </w:tc>
        <w:tc>
          <w:tcPr>
            <w:tcW w:w="560" w:type="dxa"/>
            <w:tcBorders>
              <w:top w:val="single" w:sz="4" w:space="0" w:color="auto"/>
              <w:left w:val="nil"/>
              <w:bottom w:val="single" w:sz="4" w:space="0" w:color="auto"/>
              <w:right w:val="nil"/>
            </w:tcBorders>
            <w:shd w:val="clear" w:color="auto" w:fill="auto"/>
            <w:vAlign w:val="center"/>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SA</w:t>
            </w:r>
          </w:p>
        </w:tc>
        <w:tc>
          <w:tcPr>
            <w:tcW w:w="580" w:type="dxa"/>
            <w:tcBorders>
              <w:top w:val="single" w:sz="4" w:space="0" w:color="auto"/>
              <w:left w:val="nil"/>
              <w:bottom w:val="single" w:sz="4" w:space="0" w:color="auto"/>
              <w:right w:val="nil"/>
            </w:tcBorders>
            <w:shd w:val="clear" w:color="auto" w:fill="auto"/>
            <w:vAlign w:val="center"/>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Tas</w:t>
            </w:r>
          </w:p>
        </w:tc>
        <w:tc>
          <w:tcPr>
            <w:tcW w:w="580" w:type="dxa"/>
            <w:tcBorders>
              <w:top w:val="single" w:sz="4" w:space="0" w:color="auto"/>
              <w:left w:val="nil"/>
              <w:bottom w:val="single" w:sz="4" w:space="0" w:color="auto"/>
              <w:right w:val="nil"/>
            </w:tcBorders>
            <w:shd w:val="clear" w:color="auto" w:fill="auto"/>
            <w:vAlign w:val="center"/>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ACT</w:t>
            </w:r>
          </w:p>
        </w:tc>
        <w:tc>
          <w:tcPr>
            <w:tcW w:w="460" w:type="dxa"/>
            <w:tcBorders>
              <w:top w:val="single" w:sz="4" w:space="0" w:color="auto"/>
              <w:left w:val="nil"/>
              <w:bottom w:val="single" w:sz="4" w:space="0" w:color="auto"/>
              <w:right w:val="nil"/>
            </w:tcBorders>
            <w:shd w:val="clear" w:color="auto" w:fill="auto"/>
            <w:vAlign w:val="center"/>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NT</w:t>
            </w:r>
          </w:p>
        </w:tc>
        <w:tc>
          <w:tcPr>
            <w:tcW w:w="600" w:type="dxa"/>
            <w:tcBorders>
              <w:top w:val="single" w:sz="4" w:space="0" w:color="auto"/>
              <w:left w:val="nil"/>
              <w:bottom w:val="single" w:sz="4" w:space="0" w:color="auto"/>
              <w:right w:val="nil"/>
            </w:tcBorders>
            <w:shd w:val="clear" w:color="auto" w:fill="auto"/>
            <w:vAlign w:val="center"/>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Total</w:t>
            </w:r>
          </w:p>
        </w:tc>
        <w:tc>
          <w:tcPr>
            <w:tcW w:w="1300" w:type="dxa"/>
            <w:tcBorders>
              <w:top w:val="single" w:sz="4" w:space="0" w:color="auto"/>
              <w:left w:val="nil"/>
              <w:bottom w:val="single" w:sz="4" w:space="0" w:color="auto"/>
              <w:right w:val="nil"/>
            </w:tcBorders>
            <w:shd w:val="clear" w:color="auto" w:fill="auto"/>
            <w:vAlign w:val="center"/>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Treatment</w:t>
            </w:r>
          </w:p>
        </w:tc>
      </w:tr>
      <w:tr w:rsidR="009B12B2" w:rsidRPr="009B12B2" w:rsidTr="009B12B2">
        <w:trPr>
          <w:trHeight w:val="259"/>
        </w:trPr>
        <w:tc>
          <w:tcPr>
            <w:tcW w:w="2620" w:type="dxa"/>
            <w:tcBorders>
              <w:top w:val="nil"/>
              <w:left w:val="nil"/>
              <w:bottom w:val="nil"/>
              <w:right w:val="nil"/>
            </w:tcBorders>
            <w:shd w:val="clear" w:color="auto" w:fill="auto"/>
            <w:noWrap/>
            <w:vAlign w:val="bottom"/>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p>
        </w:tc>
        <w:tc>
          <w:tcPr>
            <w:tcW w:w="600" w:type="dxa"/>
            <w:tcBorders>
              <w:top w:val="nil"/>
              <w:left w:val="nil"/>
              <w:bottom w:val="nil"/>
              <w:right w:val="nil"/>
            </w:tcBorders>
            <w:shd w:val="clear" w:color="auto" w:fill="auto"/>
            <w:noWrap/>
            <w:vAlign w:val="bottom"/>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$m</w:t>
            </w:r>
          </w:p>
        </w:tc>
        <w:tc>
          <w:tcPr>
            <w:tcW w:w="580" w:type="dxa"/>
            <w:tcBorders>
              <w:top w:val="nil"/>
              <w:left w:val="nil"/>
              <w:bottom w:val="nil"/>
              <w:right w:val="nil"/>
            </w:tcBorders>
            <w:shd w:val="clear" w:color="auto" w:fill="auto"/>
            <w:noWrap/>
            <w:vAlign w:val="bottom"/>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$m</w:t>
            </w:r>
          </w:p>
        </w:tc>
        <w:tc>
          <w:tcPr>
            <w:tcW w:w="520" w:type="dxa"/>
            <w:tcBorders>
              <w:top w:val="nil"/>
              <w:left w:val="nil"/>
              <w:bottom w:val="nil"/>
              <w:right w:val="nil"/>
            </w:tcBorders>
            <w:shd w:val="clear" w:color="auto" w:fill="auto"/>
            <w:noWrap/>
            <w:vAlign w:val="bottom"/>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$m</w:t>
            </w:r>
          </w:p>
        </w:tc>
        <w:tc>
          <w:tcPr>
            <w:tcW w:w="580" w:type="dxa"/>
            <w:tcBorders>
              <w:top w:val="nil"/>
              <w:left w:val="nil"/>
              <w:bottom w:val="nil"/>
              <w:right w:val="nil"/>
            </w:tcBorders>
            <w:shd w:val="clear" w:color="auto" w:fill="auto"/>
            <w:noWrap/>
            <w:vAlign w:val="bottom"/>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$m</w:t>
            </w:r>
          </w:p>
        </w:tc>
        <w:tc>
          <w:tcPr>
            <w:tcW w:w="560" w:type="dxa"/>
            <w:tcBorders>
              <w:top w:val="nil"/>
              <w:left w:val="nil"/>
              <w:bottom w:val="nil"/>
              <w:right w:val="nil"/>
            </w:tcBorders>
            <w:shd w:val="clear" w:color="auto" w:fill="auto"/>
            <w:noWrap/>
            <w:vAlign w:val="bottom"/>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$m</w:t>
            </w:r>
          </w:p>
        </w:tc>
        <w:tc>
          <w:tcPr>
            <w:tcW w:w="580" w:type="dxa"/>
            <w:tcBorders>
              <w:top w:val="nil"/>
              <w:left w:val="nil"/>
              <w:bottom w:val="nil"/>
              <w:right w:val="nil"/>
            </w:tcBorders>
            <w:shd w:val="clear" w:color="auto" w:fill="auto"/>
            <w:noWrap/>
            <w:vAlign w:val="bottom"/>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$m</w:t>
            </w:r>
          </w:p>
        </w:tc>
        <w:tc>
          <w:tcPr>
            <w:tcW w:w="580" w:type="dxa"/>
            <w:tcBorders>
              <w:top w:val="nil"/>
              <w:left w:val="nil"/>
              <w:bottom w:val="nil"/>
              <w:right w:val="nil"/>
            </w:tcBorders>
            <w:shd w:val="clear" w:color="auto" w:fill="auto"/>
            <w:noWrap/>
            <w:vAlign w:val="bottom"/>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$m</w:t>
            </w:r>
          </w:p>
        </w:tc>
        <w:tc>
          <w:tcPr>
            <w:tcW w:w="460" w:type="dxa"/>
            <w:tcBorders>
              <w:top w:val="nil"/>
              <w:left w:val="nil"/>
              <w:bottom w:val="nil"/>
              <w:right w:val="nil"/>
            </w:tcBorders>
            <w:shd w:val="clear" w:color="auto" w:fill="auto"/>
            <w:noWrap/>
            <w:vAlign w:val="bottom"/>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$m</w:t>
            </w:r>
          </w:p>
        </w:tc>
        <w:tc>
          <w:tcPr>
            <w:tcW w:w="600" w:type="dxa"/>
            <w:tcBorders>
              <w:top w:val="nil"/>
              <w:left w:val="nil"/>
              <w:bottom w:val="nil"/>
              <w:right w:val="nil"/>
            </w:tcBorders>
            <w:shd w:val="clear" w:color="auto" w:fill="auto"/>
            <w:noWrap/>
            <w:vAlign w:val="bottom"/>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$m</w:t>
            </w:r>
          </w:p>
        </w:tc>
        <w:tc>
          <w:tcPr>
            <w:tcW w:w="1300" w:type="dxa"/>
            <w:tcBorders>
              <w:top w:val="nil"/>
              <w:left w:val="nil"/>
              <w:bottom w:val="nil"/>
              <w:right w:val="nil"/>
            </w:tcBorders>
            <w:shd w:val="clear" w:color="auto" w:fill="auto"/>
            <w:noWrap/>
            <w:vAlign w:val="bottom"/>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p>
        </w:tc>
      </w:tr>
      <w:tr w:rsidR="009B12B2" w:rsidRPr="009B12B2" w:rsidTr="009B12B2">
        <w:trPr>
          <w:trHeight w:val="315"/>
        </w:trPr>
        <w:tc>
          <w:tcPr>
            <w:tcW w:w="262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Jobs, Land and Economy</w:t>
            </w:r>
          </w:p>
        </w:tc>
        <w:tc>
          <w:tcPr>
            <w:tcW w:w="60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p>
        </w:tc>
        <w:tc>
          <w:tcPr>
            <w:tcW w:w="58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p>
        </w:tc>
        <w:tc>
          <w:tcPr>
            <w:tcW w:w="52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p>
        </w:tc>
        <w:tc>
          <w:tcPr>
            <w:tcW w:w="58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p>
        </w:tc>
        <w:tc>
          <w:tcPr>
            <w:tcW w:w="56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p>
        </w:tc>
        <w:tc>
          <w:tcPr>
            <w:tcW w:w="58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p>
        </w:tc>
        <w:tc>
          <w:tcPr>
            <w:tcW w:w="58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p>
        </w:tc>
        <w:tc>
          <w:tcPr>
            <w:tcW w:w="46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p>
        </w:tc>
        <w:tc>
          <w:tcPr>
            <w:tcW w:w="60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p>
        </w:tc>
        <w:tc>
          <w:tcPr>
            <w:tcW w:w="130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jc w:val="right"/>
              <w:rPr>
                <w:rFonts w:ascii="Calibri" w:eastAsia="Times New Roman" w:hAnsi="Calibri" w:cs="Times New Roman"/>
                <w:sz w:val="20"/>
                <w:szCs w:val="20"/>
                <w:lang w:eastAsia="en-AU"/>
              </w:rPr>
            </w:pPr>
          </w:p>
        </w:tc>
      </w:tr>
      <w:tr w:rsidR="009B12B2" w:rsidRPr="009B12B2" w:rsidTr="00FA47B0">
        <w:trPr>
          <w:trHeight w:val="315"/>
        </w:trPr>
        <w:tc>
          <w:tcPr>
            <w:tcW w:w="262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Other expenses (a)</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2</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2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1</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4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1</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4</w:t>
            </w:r>
          </w:p>
        </w:tc>
        <w:tc>
          <w:tcPr>
            <w:tcW w:w="13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ind w:firstLineChars="100" w:firstLine="200"/>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No impact</w:t>
            </w:r>
          </w:p>
        </w:tc>
      </w:tr>
      <w:tr w:rsidR="009B12B2" w:rsidRPr="009B12B2" w:rsidTr="00FA47B0">
        <w:trPr>
          <w:trHeight w:val="315"/>
        </w:trPr>
        <w:tc>
          <w:tcPr>
            <w:tcW w:w="262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Children and Schooling</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16"/>
                <w:szCs w:val="16"/>
                <w:lang w:eastAsia="en-AU"/>
              </w:rPr>
            </w:pP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16"/>
                <w:szCs w:val="16"/>
                <w:lang w:eastAsia="en-AU"/>
              </w:rPr>
            </w:pPr>
          </w:p>
        </w:tc>
        <w:tc>
          <w:tcPr>
            <w:tcW w:w="52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16"/>
                <w:szCs w:val="16"/>
                <w:lang w:eastAsia="en-AU"/>
              </w:rPr>
            </w:pP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16"/>
                <w:szCs w:val="16"/>
                <w:lang w:eastAsia="en-AU"/>
              </w:rPr>
            </w:pPr>
          </w:p>
        </w:tc>
        <w:tc>
          <w:tcPr>
            <w:tcW w:w="5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16"/>
                <w:szCs w:val="16"/>
                <w:lang w:eastAsia="en-AU"/>
              </w:rPr>
            </w:pP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16"/>
                <w:szCs w:val="16"/>
                <w:lang w:eastAsia="en-AU"/>
              </w:rPr>
            </w:pP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16"/>
                <w:szCs w:val="16"/>
                <w:lang w:eastAsia="en-AU"/>
              </w:rPr>
            </w:pPr>
          </w:p>
        </w:tc>
        <w:tc>
          <w:tcPr>
            <w:tcW w:w="4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16"/>
                <w:szCs w:val="16"/>
                <w:lang w:eastAsia="en-AU"/>
              </w:rPr>
            </w:pP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16"/>
                <w:szCs w:val="16"/>
                <w:lang w:eastAsia="en-AU"/>
              </w:rPr>
            </w:pPr>
          </w:p>
        </w:tc>
        <w:tc>
          <w:tcPr>
            <w:tcW w:w="13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ind w:firstLineChars="100" w:firstLine="160"/>
              <w:jc w:val="right"/>
              <w:rPr>
                <w:rFonts w:ascii="Calibri" w:eastAsia="Times New Roman" w:hAnsi="Calibri" w:cs="Times New Roman"/>
                <w:sz w:val="16"/>
                <w:szCs w:val="16"/>
                <w:lang w:eastAsia="en-AU"/>
              </w:rPr>
            </w:pPr>
          </w:p>
        </w:tc>
      </w:tr>
      <w:tr w:rsidR="009B12B2" w:rsidRPr="009B12B2" w:rsidTr="00FA47B0">
        <w:trPr>
          <w:trHeight w:val="315"/>
        </w:trPr>
        <w:tc>
          <w:tcPr>
            <w:tcW w:w="262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Schools education</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5</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1</w:t>
            </w:r>
          </w:p>
        </w:tc>
        <w:tc>
          <w:tcPr>
            <w:tcW w:w="52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8</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3</w:t>
            </w:r>
          </w:p>
        </w:tc>
        <w:tc>
          <w:tcPr>
            <w:tcW w:w="5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2</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4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7</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26</w:t>
            </w:r>
          </w:p>
        </w:tc>
        <w:tc>
          <w:tcPr>
            <w:tcW w:w="13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ind w:firstLineChars="100" w:firstLine="200"/>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Impact</w:t>
            </w:r>
          </w:p>
        </w:tc>
      </w:tr>
      <w:tr w:rsidR="009B12B2" w:rsidRPr="009B12B2" w:rsidTr="00FA47B0">
        <w:trPr>
          <w:trHeight w:val="315"/>
        </w:trPr>
        <w:tc>
          <w:tcPr>
            <w:tcW w:w="262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Post-secondary education</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4</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2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4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4</w:t>
            </w:r>
          </w:p>
        </w:tc>
        <w:tc>
          <w:tcPr>
            <w:tcW w:w="13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ind w:firstLineChars="100" w:firstLine="200"/>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Impact</w:t>
            </w:r>
          </w:p>
        </w:tc>
      </w:tr>
      <w:tr w:rsidR="009B12B2" w:rsidRPr="009B12B2" w:rsidTr="00FA47B0">
        <w:trPr>
          <w:trHeight w:val="315"/>
        </w:trPr>
        <w:tc>
          <w:tcPr>
            <w:tcW w:w="262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Safety and Wellbeing</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16"/>
                <w:szCs w:val="16"/>
                <w:lang w:eastAsia="en-AU"/>
              </w:rPr>
            </w:pP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16"/>
                <w:szCs w:val="16"/>
                <w:lang w:eastAsia="en-AU"/>
              </w:rPr>
            </w:pPr>
          </w:p>
        </w:tc>
        <w:tc>
          <w:tcPr>
            <w:tcW w:w="52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p>
        </w:tc>
        <w:tc>
          <w:tcPr>
            <w:tcW w:w="5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p>
        </w:tc>
        <w:tc>
          <w:tcPr>
            <w:tcW w:w="4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16"/>
                <w:szCs w:val="16"/>
                <w:lang w:eastAsia="en-AU"/>
              </w:rPr>
            </w:pPr>
          </w:p>
        </w:tc>
        <w:tc>
          <w:tcPr>
            <w:tcW w:w="13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ind w:firstLineChars="100" w:firstLine="160"/>
              <w:jc w:val="right"/>
              <w:rPr>
                <w:rFonts w:ascii="Calibri" w:eastAsia="Times New Roman" w:hAnsi="Calibri" w:cs="Times New Roman"/>
                <w:sz w:val="16"/>
                <w:szCs w:val="16"/>
                <w:lang w:eastAsia="en-AU"/>
              </w:rPr>
            </w:pPr>
          </w:p>
        </w:tc>
      </w:tr>
      <w:tr w:rsidR="009B12B2" w:rsidRPr="009B12B2" w:rsidTr="00FA47B0">
        <w:trPr>
          <w:trHeight w:val="315"/>
        </w:trPr>
        <w:tc>
          <w:tcPr>
            <w:tcW w:w="262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Schools education</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2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4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13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ind w:firstLineChars="100" w:firstLine="200"/>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Impact</w:t>
            </w:r>
          </w:p>
        </w:tc>
      </w:tr>
      <w:tr w:rsidR="009B12B2" w:rsidRPr="009B12B2" w:rsidTr="00FA47B0">
        <w:trPr>
          <w:trHeight w:val="315"/>
        </w:trPr>
        <w:tc>
          <w:tcPr>
            <w:tcW w:w="262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Post-secondary education</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2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4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13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ind w:firstLineChars="100" w:firstLine="200"/>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Impact</w:t>
            </w:r>
          </w:p>
        </w:tc>
      </w:tr>
      <w:tr w:rsidR="009B12B2" w:rsidRPr="009B12B2" w:rsidTr="00FA47B0">
        <w:trPr>
          <w:trHeight w:val="315"/>
        </w:trPr>
        <w:tc>
          <w:tcPr>
            <w:tcW w:w="262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Health</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2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1</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4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4</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5</w:t>
            </w:r>
          </w:p>
        </w:tc>
        <w:tc>
          <w:tcPr>
            <w:tcW w:w="13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ind w:firstLineChars="100" w:firstLine="200"/>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Impact</w:t>
            </w:r>
          </w:p>
        </w:tc>
      </w:tr>
      <w:tr w:rsidR="009B12B2" w:rsidRPr="009B12B2" w:rsidTr="00FA47B0">
        <w:trPr>
          <w:trHeight w:val="315"/>
        </w:trPr>
        <w:tc>
          <w:tcPr>
            <w:tcW w:w="262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Housing</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2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2</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4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2</w:t>
            </w:r>
          </w:p>
        </w:tc>
        <w:tc>
          <w:tcPr>
            <w:tcW w:w="13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ind w:firstLineChars="100" w:firstLine="200"/>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Impact</w:t>
            </w:r>
          </w:p>
        </w:tc>
      </w:tr>
      <w:tr w:rsidR="009B12B2" w:rsidRPr="009B12B2" w:rsidTr="00FA47B0">
        <w:trPr>
          <w:trHeight w:val="315"/>
        </w:trPr>
        <w:tc>
          <w:tcPr>
            <w:tcW w:w="262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Justice</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2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1</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4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6</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8</w:t>
            </w:r>
          </w:p>
        </w:tc>
        <w:tc>
          <w:tcPr>
            <w:tcW w:w="13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ind w:firstLineChars="100" w:firstLine="200"/>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Impact</w:t>
            </w:r>
          </w:p>
        </w:tc>
      </w:tr>
      <w:tr w:rsidR="009B12B2" w:rsidRPr="009B12B2" w:rsidTr="00FA47B0">
        <w:trPr>
          <w:trHeight w:val="315"/>
        </w:trPr>
        <w:tc>
          <w:tcPr>
            <w:tcW w:w="262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Other expenses</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1</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2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2</w:t>
            </w:r>
          </w:p>
        </w:tc>
        <w:tc>
          <w:tcPr>
            <w:tcW w:w="5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1</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4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5</w:t>
            </w:r>
          </w:p>
        </w:tc>
        <w:tc>
          <w:tcPr>
            <w:tcW w:w="13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ind w:firstLineChars="100" w:firstLine="200"/>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Impact</w:t>
            </w:r>
          </w:p>
        </w:tc>
      </w:tr>
      <w:tr w:rsidR="009B12B2" w:rsidRPr="009B12B2" w:rsidTr="00FA47B0">
        <w:trPr>
          <w:trHeight w:val="315"/>
        </w:trPr>
        <w:tc>
          <w:tcPr>
            <w:tcW w:w="262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Culture and Capability</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16"/>
                <w:szCs w:val="16"/>
                <w:lang w:eastAsia="en-AU"/>
              </w:rPr>
            </w:pP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16"/>
                <w:szCs w:val="16"/>
                <w:lang w:eastAsia="en-AU"/>
              </w:rPr>
            </w:pPr>
          </w:p>
        </w:tc>
        <w:tc>
          <w:tcPr>
            <w:tcW w:w="52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16"/>
                <w:szCs w:val="16"/>
                <w:lang w:eastAsia="en-AU"/>
              </w:rPr>
            </w:pP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16"/>
                <w:szCs w:val="16"/>
                <w:lang w:eastAsia="en-AU"/>
              </w:rPr>
            </w:pPr>
          </w:p>
        </w:tc>
        <w:tc>
          <w:tcPr>
            <w:tcW w:w="5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16"/>
                <w:szCs w:val="16"/>
                <w:lang w:eastAsia="en-AU"/>
              </w:rPr>
            </w:pP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16"/>
                <w:szCs w:val="16"/>
                <w:lang w:eastAsia="en-AU"/>
              </w:rPr>
            </w:pP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16"/>
                <w:szCs w:val="16"/>
                <w:lang w:eastAsia="en-AU"/>
              </w:rPr>
            </w:pPr>
          </w:p>
        </w:tc>
        <w:tc>
          <w:tcPr>
            <w:tcW w:w="4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16"/>
                <w:szCs w:val="16"/>
                <w:lang w:eastAsia="en-AU"/>
              </w:rPr>
            </w:pP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16"/>
                <w:szCs w:val="16"/>
                <w:lang w:eastAsia="en-AU"/>
              </w:rPr>
            </w:pPr>
          </w:p>
        </w:tc>
        <w:tc>
          <w:tcPr>
            <w:tcW w:w="13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ind w:firstLineChars="100" w:firstLine="160"/>
              <w:jc w:val="right"/>
              <w:rPr>
                <w:rFonts w:ascii="Calibri" w:eastAsia="Times New Roman" w:hAnsi="Calibri" w:cs="Times New Roman"/>
                <w:sz w:val="16"/>
                <w:szCs w:val="16"/>
                <w:lang w:eastAsia="en-AU"/>
              </w:rPr>
            </w:pPr>
          </w:p>
        </w:tc>
      </w:tr>
      <w:tr w:rsidR="009B12B2" w:rsidRPr="009B12B2" w:rsidTr="00FA47B0">
        <w:trPr>
          <w:trHeight w:val="315"/>
        </w:trPr>
        <w:tc>
          <w:tcPr>
            <w:tcW w:w="262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Other expenses (a)</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2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4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13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ind w:firstLineChars="100" w:firstLine="200"/>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No impact</w:t>
            </w:r>
          </w:p>
        </w:tc>
      </w:tr>
      <w:tr w:rsidR="009B12B2" w:rsidRPr="009B12B2" w:rsidTr="00FA47B0">
        <w:trPr>
          <w:trHeight w:val="315"/>
        </w:trPr>
        <w:tc>
          <w:tcPr>
            <w:tcW w:w="262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Remote Australia Strategy (b)</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b/>
                <w:bCs/>
                <w:sz w:val="20"/>
                <w:szCs w:val="20"/>
                <w:lang w:eastAsia="en-AU"/>
              </w:rPr>
            </w:pP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b/>
                <w:bCs/>
                <w:sz w:val="20"/>
                <w:szCs w:val="20"/>
                <w:lang w:eastAsia="en-AU"/>
              </w:rPr>
            </w:pPr>
          </w:p>
        </w:tc>
        <w:tc>
          <w:tcPr>
            <w:tcW w:w="52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p>
        </w:tc>
        <w:tc>
          <w:tcPr>
            <w:tcW w:w="5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p>
        </w:tc>
        <w:tc>
          <w:tcPr>
            <w:tcW w:w="4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p>
        </w:tc>
        <w:tc>
          <w:tcPr>
            <w:tcW w:w="13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p>
        </w:tc>
      </w:tr>
      <w:tr w:rsidR="009B12B2" w:rsidRPr="009B12B2" w:rsidTr="00FA47B0">
        <w:trPr>
          <w:trHeight w:val="315"/>
        </w:trPr>
        <w:tc>
          <w:tcPr>
            <w:tcW w:w="262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Schools education</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2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4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13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ind w:firstLineChars="100" w:firstLine="200"/>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Impact</w:t>
            </w:r>
          </w:p>
        </w:tc>
      </w:tr>
      <w:tr w:rsidR="009B12B2" w:rsidRPr="009B12B2" w:rsidTr="00FA47B0">
        <w:trPr>
          <w:trHeight w:val="315"/>
        </w:trPr>
        <w:tc>
          <w:tcPr>
            <w:tcW w:w="262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Other expenses (c)</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2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2</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3</w:t>
            </w:r>
          </w:p>
        </w:tc>
        <w:tc>
          <w:tcPr>
            <w:tcW w:w="5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4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6</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11</w:t>
            </w:r>
          </w:p>
        </w:tc>
        <w:tc>
          <w:tcPr>
            <w:tcW w:w="13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ind w:firstLineChars="100" w:firstLine="200"/>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No impact</w:t>
            </w:r>
          </w:p>
        </w:tc>
      </w:tr>
      <w:tr w:rsidR="009B12B2" w:rsidRPr="009B12B2" w:rsidTr="00FA47B0">
        <w:trPr>
          <w:trHeight w:val="315"/>
        </w:trPr>
        <w:tc>
          <w:tcPr>
            <w:tcW w:w="262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Total</w:t>
            </w:r>
          </w:p>
        </w:tc>
        <w:tc>
          <w:tcPr>
            <w:tcW w:w="600" w:type="dxa"/>
            <w:tcBorders>
              <w:top w:val="single" w:sz="4" w:space="0" w:color="auto"/>
              <w:left w:val="nil"/>
              <w:bottom w:val="single" w:sz="4" w:space="0" w:color="auto"/>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12</w:t>
            </w:r>
          </w:p>
        </w:tc>
        <w:tc>
          <w:tcPr>
            <w:tcW w:w="580" w:type="dxa"/>
            <w:tcBorders>
              <w:top w:val="single" w:sz="4" w:space="0" w:color="auto"/>
              <w:left w:val="nil"/>
              <w:bottom w:val="single" w:sz="4" w:space="0" w:color="auto"/>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1</w:t>
            </w:r>
          </w:p>
        </w:tc>
        <w:tc>
          <w:tcPr>
            <w:tcW w:w="520" w:type="dxa"/>
            <w:tcBorders>
              <w:top w:val="single" w:sz="4" w:space="0" w:color="auto"/>
              <w:left w:val="nil"/>
              <w:bottom w:val="single" w:sz="4" w:space="0" w:color="auto"/>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12</w:t>
            </w:r>
          </w:p>
        </w:tc>
        <w:tc>
          <w:tcPr>
            <w:tcW w:w="580" w:type="dxa"/>
            <w:tcBorders>
              <w:top w:val="single" w:sz="4" w:space="0" w:color="auto"/>
              <w:left w:val="nil"/>
              <w:bottom w:val="single" w:sz="4" w:space="0" w:color="auto"/>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8</w:t>
            </w:r>
          </w:p>
        </w:tc>
        <w:tc>
          <w:tcPr>
            <w:tcW w:w="560" w:type="dxa"/>
            <w:tcBorders>
              <w:top w:val="single" w:sz="4" w:space="0" w:color="auto"/>
              <w:left w:val="nil"/>
              <w:bottom w:val="single" w:sz="4" w:space="0" w:color="auto"/>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6</w:t>
            </w:r>
          </w:p>
        </w:tc>
        <w:tc>
          <w:tcPr>
            <w:tcW w:w="580" w:type="dxa"/>
            <w:tcBorders>
              <w:top w:val="single" w:sz="4" w:space="0" w:color="auto"/>
              <w:left w:val="nil"/>
              <w:bottom w:val="single" w:sz="4" w:space="0" w:color="auto"/>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1</w:t>
            </w:r>
          </w:p>
        </w:tc>
        <w:tc>
          <w:tcPr>
            <w:tcW w:w="580" w:type="dxa"/>
            <w:tcBorders>
              <w:top w:val="single" w:sz="4" w:space="0" w:color="auto"/>
              <w:left w:val="nil"/>
              <w:bottom w:val="single" w:sz="4" w:space="0" w:color="auto"/>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460" w:type="dxa"/>
            <w:tcBorders>
              <w:top w:val="single" w:sz="4" w:space="0" w:color="auto"/>
              <w:left w:val="nil"/>
              <w:bottom w:val="single" w:sz="4" w:space="0" w:color="auto"/>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23</w:t>
            </w:r>
          </w:p>
        </w:tc>
        <w:tc>
          <w:tcPr>
            <w:tcW w:w="600" w:type="dxa"/>
            <w:tcBorders>
              <w:top w:val="single" w:sz="4" w:space="0" w:color="auto"/>
              <w:left w:val="nil"/>
              <w:bottom w:val="single" w:sz="4" w:space="0" w:color="auto"/>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64</w:t>
            </w:r>
          </w:p>
        </w:tc>
        <w:tc>
          <w:tcPr>
            <w:tcW w:w="1300" w:type="dxa"/>
            <w:tcBorders>
              <w:top w:val="single" w:sz="4" w:space="0" w:color="auto"/>
              <w:left w:val="nil"/>
              <w:bottom w:val="single" w:sz="4" w:space="0" w:color="auto"/>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 </w:t>
            </w:r>
          </w:p>
        </w:tc>
      </w:tr>
      <w:tr w:rsidR="009B12B2" w:rsidRPr="009B12B2" w:rsidTr="00FA47B0">
        <w:trPr>
          <w:trHeight w:val="315"/>
        </w:trPr>
        <w:tc>
          <w:tcPr>
            <w:tcW w:w="2620" w:type="dxa"/>
            <w:tcBorders>
              <w:top w:val="nil"/>
              <w:left w:val="nil"/>
              <w:bottom w:val="nil"/>
              <w:right w:val="nil"/>
            </w:tcBorders>
            <w:shd w:val="clear" w:color="auto" w:fill="auto"/>
            <w:vAlign w:val="bottom"/>
            <w:hideMark/>
          </w:tcPr>
          <w:p w:rsidR="009B12B2" w:rsidRPr="009B12B2" w:rsidRDefault="009B12B2" w:rsidP="009B12B2">
            <w:pPr>
              <w:keepNext/>
              <w:tabs>
                <w:tab w:val="clear" w:pos="567"/>
              </w:tabs>
              <w:spacing w:after="0" w:line="240" w:lineRule="auto"/>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Impact</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10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1</w:t>
            </w:r>
          </w:p>
        </w:tc>
        <w:tc>
          <w:tcPr>
            <w:tcW w:w="52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10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5</w:t>
            </w:r>
          </w:p>
        </w:tc>
        <w:tc>
          <w:tcPr>
            <w:tcW w:w="5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6</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46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16</w:t>
            </w:r>
          </w:p>
        </w:tc>
        <w:tc>
          <w:tcPr>
            <w:tcW w:w="6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49</w:t>
            </w:r>
          </w:p>
        </w:tc>
        <w:tc>
          <w:tcPr>
            <w:tcW w:w="1300" w:type="dxa"/>
            <w:tcBorders>
              <w:top w:val="nil"/>
              <w:left w:val="nil"/>
              <w:bottom w:val="nil"/>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p>
        </w:tc>
      </w:tr>
      <w:tr w:rsidR="009B12B2" w:rsidRPr="009B12B2" w:rsidTr="00FA47B0">
        <w:trPr>
          <w:trHeight w:val="315"/>
        </w:trPr>
        <w:tc>
          <w:tcPr>
            <w:tcW w:w="2620" w:type="dxa"/>
            <w:tcBorders>
              <w:top w:val="nil"/>
              <w:left w:val="nil"/>
              <w:bottom w:val="single" w:sz="4" w:space="0" w:color="auto"/>
              <w:right w:val="nil"/>
            </w:tcBorders>
            <w:shd w:val="clear" w:color="auto" w:fill="auto"/>
            <w:vAlign w:val="bottom"/>
            <w:hideMark/>
          </w:tcPr>
          <w:p w:rsidR="009B12B2" w:rsidRPr="009B12B2" w:rsidRDefault="009B12B2" w:rsidP="009B12B2">
            <w:pPr>
              <w:keepNext/>
              <w:tabs>
                <w:tab w:val="clear" w:pos="567"/>
              </w:tabs>
              <w:spacing w:after="0" w:line="240" w:lineRule="auto"/>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No impact</w:t>
            </w:r>
          </w:p>
        </w:tc>
        <w:tc>
          <w:tcPr>
            <w:tcW w:w="600" w:type="dxa"/>
            <w:tcBorders>
              <w:top w:val="nil"/>
              <w:left w:val="nil"/>
              <w:bottom w:val="single" w:sz="4" w:space="0" w:color="auto"/>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2</w:t>
            </w:r>
          </w:p>
        </w:tc>
        <w:tc>
          <w:tcPr>
            <w:tcW w:w="580" w:type="dxa"/>
            <w:tcBorders>
              <w:top w:val="nil"/>
              <w:left w:val="nil"/>
              <w:bottom w:val="single" w:sz="4" w:space="0" w:color="auto"/>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20" w:type="dxa"/>
            <w:tcBorders>
              <w:top w:val="nil"/>
              <w:left w:val="nil"/>
              <w:bottom w:val="single" w:sz="4" w:space="0" w:color="auto"/>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3</w:t>
            </w:r>
          </w:p>
        </w:tc>
        <w:tc>
          <w:tcPr>
            <w:tcW w:w="580" w:type="dxa"/>
            <w:tcBorders>
              <w:top w:val="nil"/>
              <w:left w:val="nil"/>
              <w:bottom w:val="single" w:sz="4" w:space="0" w:color="auto"/>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3</w:t>
            </w:r>
          </w:p>
        </w:tc>
        <w:tc>
          <w:tcPr>
            <w:tcW w:w="560" w:type="dxa"/>
            <w:tcBorders>
              <w:top w:val="nil"/>
              <w:left w:val="nil"/>
              <w:bottom w:val="single" w:sz="4" w:space="0" w:color="auto"/>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1</w:t>
            </w:r>
          </w:p>
        </w:tc>
        <w:tc>
          <w:tcPr>
            <w:tcW w:w="580" w:type="dxa"/>
            <w:tcBorders>
              <w:top w:val="nil"/>
              <w:left w:val="nil"/>
              <w:bottom w:val="single" w:sz="4" w:space="0" w:color="auto"/>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580" w:type="dxa"/>
            <w:tcBorders>
              <w:top w:val="nil"/>
              <w:left w:val="nil"/>
              <w:bottom w:val="single" w:sz="4" w:space="0" w:color="auto"/>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0</w:t>
            </w:r>
          </w:p>
        </w:tc>
        <w:tc>
          <w:tcPr>
            <w:tcW w:w="460" w:type="dxa"/>
            <w:tcBorders>
              <w:top w:val="nil"/>
              <w:left w:val="nil"/>
              <w:bottom w:val="single" w:sz="4" w:space="0" w:color="auto"/>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6</w:t>
            </w:r>
          </w:p>
        </w:tc>
        <w:tc>
          <w:tcPr>
            <w:tcW w:w="600" w:type="dxa"/>
            <w:tcBorders>
              <w:top w:val="nil"/>
              <w:left w:val="nil"/>
              <w:bottom w:val="single" w:sz="4" w:space="0" w:color="auto"/>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15</w:t>
            </w:r>
          </w:p>
        </w:tc>
        <w:tc>
          <w:tcPr>
            <w:tcW w:w="1300" w:type="dxa"/>
            <w:tcBorders>
              <w:top w:val="nil"/>
              <w:left w:val="nil"/>
              <w:bottom w:val="single" w:sz="4" w:space="0" w:color="auto"/>
              <w:right w:val="nil"/>
            </w:tcBorders>
            <w:shd w:val="clear" w:color="auto" w:fill="auto"/>
            <w:vAlign w:val="bottom"/>
            <w:hideMark/>
          </w:tcPr>
          <w:p w:rsidR="009B12B2" w:rsidRPr="009B12B2" w:rsidRDefault="009B12B2" w:rsidP="00FA47B0">
            <w:pPr>
              <w:keepNext/>
              <w:tabs>
                <w:tab w:val="clear" w:pos="567"/>
              </w:tabs>
              <w:spacing w:after="0" w:line="240" w:lineRule="auto"/>
              <w:jc w:val="right"/>
              <w:rPr>
                <w:rFonts w:ascii="Calibri" w:eastAsia="Times New Roman" w:hAnsi="Calibri" w:cs="Times New Roman"/>
                <w:sz w:val="20"/>
                <w:szCs w:val="20"/>
                <w:lang w:eastAsia="en-AU"/>
              </w:rPr>
            </w:pPr>
            <w:r w:rsidRPr="009B12B2">
              <w:rPr>
                <w:rFonts w:ascii="Calibri" w:eastAsia="Times New Roman" w:hAnsi="Calibri" w:cs="Times New Roman"/>
                <w:sz w:val="20"/>
                <w:szCs w:val="20"/>
                <w:lang w:eastAsia="en-AU"/>
              </w:rPr>
              <w:t> </w:t>
            </w:r>
          </w:p>
        </w:tc>
      </w:tr>
    </w:tbl>
    <w:p w:rsidR="00C449D2" w:rsidRPr="006A198D" w:rsidRDefault="00A143BD" w:rsidP="00404732">
      <w:pPr>
        <w:pStyle w:val="NoSpacing"/>
        <w:keepNext/>
        <w:keepLines/>
        <w:tabs>
          <w:tab w:val="clear" w:pos="567"/>
          <w:tab w:val="left" w:pos="851"/>
        </w:tabs>
        <w:ind w:left="851" w:hanging="851"/>
        <w:rPr>
          <w:sz w:val="20"/>
          <w:szCs w:val="20"/>
        </w:rPr>
      </w:pPr>
      <w:r w:rsidRPr="006A198D">
        <w:rPr>
          <w:sz w:val="20"/>
          <w:szCs w:val="20"/>
        </w:rPr>
        <w:t>Note:</w:t>
      </w:r>
      <w:r w:rsidRPr="006A198D">
        <w:rPr>
          <w:sz w:val="20"/>
          <w:szCs w:val="20"/>
        </w:rPr>
        <w:tab/>
      </w:r>
      <w:r w:rsidR="00DE2145">
        <w:rPr>
          <w:sz w:val="20"/>
          <w:szCs w:val="20"/>
        </w:rPr>
        <w:t>The State general government sector e</w:t>
      </w:r>
      <w:r w:rsidR="00C449D2" w:rsidRPr="006A198D">
        <w:rPr>
          <w:sz w:val="20"/>
          <w:szCs w:val="20"/>
        </w:rPr>
        <w:t>xcludes State statutory corporations a</w:t>
      </w:r>
      <w:r w:rsidR="007B77DC">
        <w:rPr>
          <w:sz w:val="20"/>
          <w:szCs w:val="20"/>
        </w:rPr>
        <w:t xml:space="preserve">nd other incorporated entities. Table </w:t>
      </w:r>
      <w:r w:rsidR="00C449D2" w:rsidRPr="006A198D">
        <w:rPr>
          <w:sz w:val="20"/>
          <w:szCs w:val="20"/>
        </w:rPr>
        <w:t>excludes payments for Stronger Futures in the Northern Territory.</w:t>
      </w:r>
    </w:p>
    <w:p w:rsidR="00C449D2" w:rsidRPr="006A198D" w:rsidRDefault="00C449D2" w:rsidP="00404732">
      <w:pPr>
        <w:pStyle w:val="NoSpacing"/>
        <w:keepNext/>
        <w:keepLines/>
        <w:tabs>
          <w:tab w:val="clear" w:pos="567"/>
          <w:tab w:val="left" w:pos="851"/>
        </w:tabs>
        <w:rPr>
          <w:sz w:val="20"/>
          <w:szCs w:val="20"/>
        </w:rPr>
      </w:pPr>
      <w:r w:rsidRPr="006A198D">
        <w:rPr>
          <w:sz w:val="20"/>
          <w:szCs w:val="20"/>
        </w:rPr>
        <w:t>(</w:t>
      </w:r>
      <w:r w:rsidR="00A143BD" w:rsidRPr="006A198D">
        <w:rPr>
          <w:sz w:val="20"/>
          <w:szCs w:val="20"/>
        </w:rPr>
        <w:t>a</w:t>
      </w:r>
      <w:r w:rsidRPr="006A198D">
        <w:rPr>
          <w:sz w:val="20"/>
          <w:szCs w:val="20"/>
        </w:rPr>
        <w:t>)</w:t>
      </w:r>
      <w:r w:rsidRPr="006A198D">
        <w:rPr>
          <w:sz w:val="20"/>
          <w:szCs w:val="20"/>
        </w:rPr>
        <w:tab/>
        <w:t>Commonwealth responsibilities – needs not assessed.</w:t>
      </w:r>
    </w:p>
    <w:p w:rsidR="00C449D2" w:rsidRPr="006A198D" w:rsidRDefault="00C449D2" w:rsidP="00404732">
      <w:pPr>
        <w:pStyle w:val="NoSpacing"/>
        <w:keepNext/>
        <w:keepLines/>
        <w:tabs>
          <w:tab w:val="clear" w:pos="567"/>
          <w:tab w:val="left" w:pos="851"/>
          <w:tab w:val="left" w:pos="4510"/>
        </w:tabs>
        <w:rPr>
          <w:sz w:val="20"/>
          <w:szCs w:val="20"/>
        </w:rPr>
      </w:pPr>
      <w:r w:rsidRPr="006A198D">
        <w:rPr>
          <w:sz w:val="20"/>
          <w:szCs w:val="20"/>
        </w:rPr>
        <w:t>(</w:t>
      </w:r>
      <w:r w:rsidR="00A143BD" w:rsidRPr="006A198D">
        <w:rPr>
          <w:sz w:val="20"/>
          <w:szCs w:val="20"/>
        </w:rPr>
        <w:t>b</w:t>
      </w:r>
      <w:r w:rsidRPr="006A198D">
        <w:rPr>
          <w:sz w:val="20"/>
          <w:szCs w:val="20"/>
        </w:rPr>
        <w:t>)</w:t>
      </w:r>
      <w:r w:rsidRPr="006A198D">
        <w:rPr>
          <w:sz w:val="20"/>
          <w:szCs w:val="20"/>
        </w:rPr>
        <w:tab/>
        <w:t>Excl</w:t>
      </w:r>
      <w:r w:rsidR="007B77DC">
        <w:rPr>
          <w:sz w:val="20"/>
          <w:szCs w:val="20"/>
        </w:rPr>
        <w:t>udes Remote Indigenous Housing.</w:t>
      </w:r>
    </w:p>
    <w:p w:rsidR="00C449D2" w:rsidRPr="006A198D" w:rsidRDefault="00C449D2" w:rsidP="00404732">
      <w:pPr>
        <w:pStyle w:val="CGCTableFootnote"/>
        <w:keepNext/>
        <w:keepLines/>
        <w:ind w:left="0" w:firstLine="0"/>
      </w:pPr>
      <w:r w:rsidRPr="006A198D">
        <w:rPr>
          <w:szCs w:val="20"/>
        </w:rPr>
        <w:t>(</w:t>
      </w:r>
      <w:r w:rsidR="00A143BD" w:rsidRPr="006A198D">
        <w:rPr>
          <w:szCs w:val="20"/>
        </w:rPr>
        <w:t>c</w:t>
      </w:r>
      <w:r w:rsidRPr="006A198D">
        <w:rPr>
          <w:szCs w:val="20"/>
        </w:rPr>
        <w:t>)</w:t>
      </w:r>
      <w:r w:rsidRPr="006A198D">
        <w:rPr>
          <w:szCs w:val="20"/>
        </w:rPr>
        <w:tab/>
        <w:t>Municipal and essential services – needs not assessed.</w:t>
      </w:r>
      <w:r w:rsidRPr="006A198D">
        <w:t xml:space="preserve"> </w:t>
      </w:r>
    </w:p>
    <w:p w:rsidR="00C449D2" w:rsidRPr="006A198D" w:rsidRDefault="00C449D2" w:rsidP="00404732">
      <w:pPr>
        <w:pStyle w:val="CGCTableFootnote"/>
        <w:keepNext/>
        <w:keepLines/>
      </w:pPr>
      <w:r w:rsidRPr="006A198D">
        <w:t>Source:</w:t>
      </w:r>
      <w:r w:rsidRPr="006A198D">
        <w:tab/>
      </w:r>
      <w:r w:rsidR="00893FE8" w:rsidRPr="006A198D">
        <w:t xml:space="preserve">Commission calculation based on data </w:t>
      </w:r>
      <w:r w:rsidR="00130B4B">
        <w:t>provided by</w:t>
      </w:r>
      <w:r w:rsidR="00893FE8" w:rsidRPr="006A198D">
        <w:t xml:space="preserve"> </w:t>
      </w:r>
      <w:r w:rsidR="00130B4B">
        <w:t xml:space="preserve">the </w:t>
      </w:r>
      <w:r w:rsidRPr="006A198D">
        <w:t>Department of Prime Minister and Ca</w:t>
      </w:r>
      <w:r w:rsidR="00DE2145">
        <w:t>binet</w:t>
      </w:r>
      <w:r w:rsidR="00130B4B">
        <w:t xml:space="preserve"> (PM&amp;C)</w:t>
      </w:r>
      <w:r w:rsidR="0019275F">
        <w:t>.</w:t>
      </w:r>
    </w:p>
    <w:p w:rsidR="00C449D2" w:rsidRPr="006A198D" w:rsidRDefault="0014211E" w:rsidP="00C449D2">
      <w:pPr>
        <w:pStyle w:val="CGCTableHeading"/>
      </w:pPr>
      <w:bookmarkStart w:id="761" w:name="_Ref437851929"/>
      <w:r w:rsidRPr="006A198D">
        <w:t xml:space="preserve">Table </w:t>
      </w:r>
      <w:r w:rsidR="0014378B">
        <w:fldChar w:fldCharType="begin"/>
      </w:r>
      <w:r w:rsidR="0014378B">
        <w:instrText xml:space="preserve"> STYLEREF 1 \s </w:instrText>
      </w:r>
      <w:r w:rsidR="0014378B">
        <w:fldChar w:fldCharType="separate"/>
      </w:r>
      <w:r w:rsidR="007A6AF0">
        <w:rPr>
          <w:noProof/>
        </w:rPr>
        <w:t>2</w:t>
      </w:r>
      <w:r w:rsidR="0014378B">
        <w:rPr>
          <w:noProof/>
        </w:rPr>
        <w:fldChar w:fldCharType="end"/>
      </w:r>
      <w:r w:rsidRPr="006A198D">
        <w:noBreakHyphen/>
      </w:r>
      <w:r w:rsidR="0014378B">
        <w:fldChar w:fldCharType="begin"/>
      </w:r>
      <w:r w:rsidR="0014378B">
        <w:instrText xml:space="preserve"> SEQ Table \* ARABIC \s 1 </w:instrText>
      </w:r>
      <w:r w:rsidR="0014378B">
        <w:fldChar w:fldCharType="separate"/>
      </w:r>
      <w:r w:rsidR="007A6AF0">
        <w:rPr>
          <w:noProof/>
        </w:rPr>
        <w:t>6</w:t>
      </w:r>
      <w:r w:rsidR="0014378B">
        <w:rPr>
          <w:noProof/>
        </w:rPr>
        <w:fldChar w:fldCharType="end"/>
      </w:r>
      <w:bookmarkEnd w:id="761"/>
      <w:r w:rsidR="00C449D2" w:rsidRPr="006A198D">
        <w:tab/>
        <w:t xml:space="preserve">COPEs </w:t>
      </w:r>
      <w:r w:rsidR="00A95EBD">
        <w:t xml:space="preserve">paid </w:t>
      </w:r>
      <w:r w:rsidR="00C449D2" w:rsidRPr="006A198D">
        <w:t xml:space="preserve">to the State </w:t>
      </w:r>
      <w:r w:rsidR="00A95EBD">
        <w:t xml:space="preserve">general government </w:t>
      </w:r>
      <w:r w:rsidR="00C449D2" w:rsidRPr="006A198D">
        <w:t>sector for Indigenous purposes impacting on the relativities, 2011-12, 2012-13 and 2014-15</w:t>
      </w:r>
    </w:p>
    <w:tbl>
      <w:tblPr>
        <w:tblW w:w="9015" w:type="dxa"/>
        <w:tblLayout w:type="fixed"/>
        <w:tblCellMar>
          <w:left w:w="0" w:type="dxa"/>
          <w:right w:w="0" w:type="dxa"/>
        </w:tblCellMar>
        <w:tblLook w:val="04A0" w:firstRow="1" w:lastRow="0" w:firstColumn="1" w:lastColumn="0" w:noHBand="0" w:noVBand="1"/>
      </w:tblPr>
      <w:tblGrid>
        <w:gridCol w:w="2567"/>
        <w:gridCol w:w="716"/>
        <w:gridCol w:w="716"/>
        <w:gridCol w:w="717"/>
        <w:gridCol w:w="716"/>
        <w:gridCol w:w="717"/>
        <w:gridCol w:w="716"/>
        <w:gridCol w:w="717"/>
        <w:gridCol w:w="716"/>
        <w:gridCol w:w="717"/>
      </w:tblGrid>
      <w:tr w:rsidR="00697ED2" w:rsidRPr="00697ED2" w:rsidTr="003C4656">
        <w:trPr>
          <w:trHeight w:val="379"/>
        </w:trPr>
        <w:tc>
          <w:tcPr>
            <w:tcW w:w="2567"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3C4656">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bookmarkStart w:id="762" w:name="RANGE!A5:J10"/>
            <w:r w:rsidRPr="00697ED2">
              <w:rPr>
                <w:rFonts w:ascii="Calibri" w:eastAsia="Times New Roman" w:hAnsi="Calibri" w:cs="Times New Roman"/>
                <w:sz w:val="20"/>
                <w:szCs w:val="20"/>
                <w:lang w:eastAsia="en-AU"/>
              </w:rPr>
              <w:t> </w:t>
            </w:r>
            <w:bookmarkEnd w:id="762"/>
          </w:p>
        </w:tc>
        <w:tc>
          <w:tcPr>
            <w:tcW w:w="716"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NSW</w:t>
            </w:r>
          </w:p>
        </w:tc>
        <w:tc>
          <w:tcPr>
            <w:tcW w:w="716"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Vic</w:t>
            </w:r>
          </w:p>
        </w:tc>
        <w:tc>
          <w:tcPr>
            <w:tcW w:w="717"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Qld</w:t>
            </w:r>
          </w:p>
        </w:tc>
        <w:tc>
          <w:tcPr>
            <w:tcW w:w="716"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WA</w:t>
            </w:r>
          </w:p>
        </w:tc>
        <w:tc>
          <w:tcPr>
            <w:tcW w:w="717"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SA</w:t>
            </w:r>
          </w:p>
        </w:tc>
        <w:tc>
          <w:tcPr>
            <w:tcW w:w="716"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Tas</w:t>
            </w:r>
          </w:p>
        </w:tc>
        <w:tc>
          <w:tcPr>
            <w:tcW w:w="717"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ACT</w:t>
            </w:r>
          </w:p>
        </w:tc>
        <w:tc>
          <w:tcPr>
            <w:tcW w:w="716"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NT</w:t>
            </w:r>
          </w:p>
        </w:tc>
        <w:tc>
          <w:tcPr>
            <w:tcW w:w="717"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Total</w:t>
            </w:r>
          </w:p>
        </w:tc>
      </w:tr>
      <w:tr w:rsidR="00697ED2" w:rsidRPr="00697ED2" w:rsidTr="003C4656">
        <w:trPr>
          <w:trHeight w:val="259"/>
        </w:trPr>
        <w:tc>
          <w:tcPr>
            <w:tcW w:w="2567" w:type="dxa"/>
            <w:tcBorders>
              <w:top w:val="nil"/>
              <w:left w:val="nil"/>
              <w:bottom w:val="nil"/>
              <w:right w:val="nil"/>
            </w:tcBorders>
            <w:shd w:val="clear" w:color="auto" w:fill="auto"/>
            <w:noWrap/>
            <w:vAlign w:val="bottom"/>
            <w:hideMark/>
          </w:tcPr>
          <w:p w:rsidR="00697ED2" w:rsidRPr="00697ED2" w:rsidRDefault="00697ED2" w:rsidP="003C4656">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p>
        </w:tc>
        <w:tc>
          <w:tcPr>
            <w:tcW w:w="716" w:type="dxa"/>
            <w:tcBorders>
              <w:top w:val="nil"/>
              <w:left w:val="nil"/>
              <w:bottom w:val="nil"/>
              <w:right w:val="nil"/>
            </w:tcBorders>
            <w:shd w:val="clear" w:color="auto" w:fill="auto"/>
            <w:noWrap/>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$m</w:t>
            </w:r>
          </w:p>
        </w:tc>
        <w:tc>
          <w:tcPr>
            <w:tcW w:w="716" w:type="dxa"/>
            <w:tcBorders>
              <w:top w:val="nil"/>
              <w:left w:val="nil"/>
              <w:bottom w:val="nil"/>
              <w:right w:val="nil"/>
            </w:tcBorders>
            <w:shd w:val="clear" w:color="auto" w:fill="auto"/>
            <w:noWrap/>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$m</w:t>
            </w:r>
          </w:p>
        </w:tc>
        <w:tc>
          <w:tcPr>
            <w:tcW w:w="717" w:type="dxa"/>
            <w:tcBorders>
              <w:top w:val="nil"/>
              <w:left w:val="nil"/>
              <w:bottom w:val="nil"/>
              <w:right w:val="nil"/>
            </w:tcBorders>
            <w:shd w:val="clear" w:color="auto" w:fill="auto"/>
            <w:noWrap/>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$m</w:t>
            </w:r>
          </w:p>
        </w:tc>
        <w:tc>
          <w:tcPr>
            <w:tcW w:w="716" w:type="dxa"/>
            <w:tcBorders>
              <w:top w:val="nil"/>
              <w:left w:val="nil"/>
              <w:bottom w:val="nil"/>
              <w:right w:val="nil"/>
            </w:tcBorders>
            <w:shd w:val="clear" w:color="auto" w:fill="auto"/>
            <w:noWrap/>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$m</w:t>
            </w:r>
          </w:p>
        </w:tc>
        <w:tc>
          <w:tcPr>
            <w:tcW w:w="717" w:type="dxa"/>
            <w:tcBorders>
              <w:top w:val="nil"/>
              <w:left w:val="nil"/>
              <w:bottom w:val="nil"/>
              <w:right w:val="nil"/>
            </w:tcBorders>
            <w:shd w:val="clear" w:color="auto" w:fill="auto"/>
            <w:noWrap/>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$m</w:t>
            </w:r>
          </w:p>
        </w:tc>
        <w:tc>
          <w:tcPr>
            <w:tcW w:w="716" w:type="dxa"/>
            <w:tcBorders>
              <w:top w:val="nil"/>
              <w:left w:val="nil"/>
              <w:bottom w:val="nil"/>
              <w:right w:val="nil"/>
            </w:tcBorders>
            <w:shd w:val="clear" w:color="auto" w:fill="auto"/>
            <w:noWrap/>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$m</w:t>
            </w:r>
          </w:p>
        </w:tc>
        <w:tc>
          <w:tcPr>
            <w:tcW w:w="717" w:type="dxa"/>
            <w:tcBorders>
              <w:top w:val="nil"/>
              <w:left w:val="nil"/>
              <w:bottom w:val="nil"/>
              <w:right w:val="nil"/>
            </w:tcBorders>
            <w:shd w:val="clear" w:color="auto" w:fill="auto"/>
            <w:noWrap/>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$m</w:t>
            </w:r>
          </w:p>
        </w:tc>
        <w:tc>
          <w:tcPr>
            <w:tcW w:w="716" w:type="dxa"/>
            <w:tcBorders>
              <w:top w:val="nil"/>
              <w:left w:val="nil"/>
              <w:bottom w:val="nil"/>
              <w:right w:val="nil"/>
            </w:tcBorders>
            <w:shd w:val="clear" w:color="auto" w:fill="auto"/>
            <w:noWrap/>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$m</w:t>
            </w:r>
          </w:p>
        </w:tc>
        <w:tc>
          <w:tcPr>
            <w:tcW w:w="717" w:type="dxa"/>
            <w:tcBorders>
              <w:top w:val="nil"/>
              <w:left w:val="nil"/>
              <w:bottom w:val="nil"/>
              <w:right w:val="nil"/>
            </w:tcBorders>
            <w:shd w:val="clear" w:color="auto" w:fill="auto"/>
            <w:noWrap/>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$m</w:t>
            </w:r>
          </w:p>
        </w:tc>
      </w:tr>
      <w:tr w:rsidR="00697ED2" w:rsidRPr="00697ED2" w:rsidTr="003C4656">
        <w:trPr>
          <w:trHeight w:val="315"/>
        </w:trPr>
        <w:tc>
          <w:tcPr>
            <w:tcW w:w="2567"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2011-12</w:t>
            </w:r>
          </w:p>
        </w:tc>
        <w:tc>
          <w:tcPr>
            <w:tcW w:w="716"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w:t>
            </w:r>
          </w:p>
        </w:tc>
        <w:tc>
          <w:tcPr>
            <w:tcW w:w="716"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w:t>
            </w:r>
          </w:p>
        </w:tc>
        <w:tc>
          <w:tcPr>
            <w:tcW w:w="717"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w:t>
            </w:r>
          </w:p>
        </w:tc>
        <w:tc>
          <w:tcPr>
            <w:tcW w:w="716"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w:t>
            </w:r>
          </w:p>
        </w:tc>
        <w:tc>
          <w:tcPr>
            <w:tcW w:w="717"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w:t>
            </w:r>
          </w:p>
        </w:tc>
        <w:tc>
          <w:tcPr>
            <w:tcW w:w="716"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w:t>
            </w:r>
          </w:p>
        </w:tc>
        <w:tc>
          <w:tcPr>
            <w:tcW w:w="717"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w:t>
            </w:r>
          </w:p>
        </w:tc>
        <w:tc>
          <w:tcPr>
            <w:tcW w:w="716"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12</w:t>
            </w:r>
          </w:p>
        </w:tc>
        <w:tc>
          <w:tcPr>
            <w:tcW w:w="717"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19</w:t>
            </w:r>
          </w:p>
        </w:tc>
      </w:tr>
      <w:tr w:rsidR="00697ED2" w:rsidRPr="00697ED2" w:rsidTr="003C4656">
        <w:trPr>
          <w:trHeight w:val="315"/>
        </w:trPr>
        <w:tc>
          <w:tcPr>
            <w:tcW w:w="2567"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2012-13</w:t>
            </w:r>
          </w:p>
        </w:tc>
        <w:tc>
          <w:tcPr>
            <w:tcW w:w="716"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w:t>
            </w:r>
          </w:p>
        </w:tc>
        <w:tc>
          <w:tcPr>
            <w:tcW w:w="716"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w:t>
            </w:r>
          </w:p>
        </w:tc>
        <w:tc>
          <w:tcPr>
            <w:tcW w:w="717"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w:t>
            </w:r>
          </w:p>
        </w:tc>
        <w:tc>
          <w:tcPr>
            <w:tcW w:w="716"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w:t>
            </w:r>
          </w:p>
        </w:tc>
        <w:tc>
          <w:tcPr>
            <w:tcW w:w="717"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w:t>
            </w:r>
          </w:p>
        </w:tc>
        <w:tc>
          <w:tcPr>
            <w:tcW w:w="716"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w:t>
            </w:r>
          </w:p>
        </w:tc>
        <w:tc>
          <w:tcPr>
            <w:tcW w:w="717"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w:t>
            </w:r>
          </w:p>
        </w:tc>
        <w:tc>
          <w:tcPr>
            <w:tcW w:w="716"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13</w:t>
            </w:r>
          </w:p>
        </w:tc>
        <w:tc>
          <w:tcPr>
            <w:tcW w:w="717"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18</w:t>
            </w:r>
          </w:p>
        </w:tc>
      </w:tr>
      <w:tr w:rsidR="00697ED2" w:rsidRPr="00697ED2" w:rsidTr="003C4656">
        <w:trPr>
          <w:trHeight w:val="315"/>
        </w:trPr>
        <w:tc>
          <w:tcPr>
            <w:tcW w:w="2567"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2014-15</w:t>
            </w:r>
          </w:p>
        </w:tc>
        <w:tc>
          <w:tcPr>
            <w:tcW w:w="716"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10</w:t>
            </w:r>
          </w:p>
        </w:tc>
        <w:tc>
          <w:tcPr>
            <w:tcW w:w="716"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w:t>
            </w:r>
          </w:p>
        </w:tc>
        <w:tc>
          <w:tcPr>
            <w:tcW w:w="717"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10</w:t>
            </w:r>
          </w:p>
        </w:tc>
        <w:tc>
          <w:tcPr>
            <w:tcW w:w="716"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5</w:t>
            </w:r>
          </w:p>
        </w:tc>
        <w:tc>
          <w:tcPr>
            <w:tcW w:w="717"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6</w:t>
            </w:r>
          </w:p>
        </w:tc>
        <w:tc>
          <w:tcPr>
            <w:tcW w:w="716"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w:t>
            </w:r>
          </w:p>
        </w:tc>
        <w:tc>
          <w:tcPr>
            <w:tcW w:w="717"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w:t>
            </w:r>
          </w:p>
        </w:tc>
        <w:tc>
          <w:tcPr>
            <w:tcW w:w="716"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16</w:t>
            </w:r>
          </w:p>
        </w:tc>
        <w:tc>
          <w:tcPr>
            <w:tcW w:w="717" w:type="dxa"/>
            <w:tcBorders>
              <w:top w:val="nil"/>
              <w:left w:val="nil"/>
              <w:bottom w:val="nil"/>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49</w:t>
            </w:r>
          </w:p>
        </w:tc>
      </w:tr>
      <w:tr w:rsidR="00697ED2" w:rsidRPr="00697ED2" w:rsidTr="003C4656">
        <w:trPr>
          <w:trHeight w:val="315"/>
        </w:trPr>
        <w:tc>
          <w:tcPr>
            <w:tcW w:w="2567" w:type="dxa"/>
            <w:tcBorders>
              <w:top w:val="nil"/>
              <w:left w:val="nil"/>
              <w:bottom w:val="single" w:sz="4" w:space="0" w:color="auto"/>
              <w:right w:val="nil"/>
            </w:tcBorders>
            <w:shd w:val="clear" w:color="auto" w:fill="auto"/>
            <w:noWrap/>
            <w:vAlign w:val="bottom"/>
            <w:hideMark/>
          </w:tcPr>
          <w:p w:rsidR="00697ED2" w:rsidRPr="00697ED2" w:rsidRDefault="00697ED2" w:rsidP="003C465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2014-15 excluding payments for education</w:t>
            </w:r>
          </w:p>
        </w:tc>
        <w:tc>
          <w:tcPr>
            <w:tcW w:w="716" w:type="dxa"/>
            <w:tcBorders>
              <w:top w:val="nil"/>
              <w:left w:val="nil"/>
              <w:bottom w:val="single" w:sz="4" w:space="0" w:color="auto"/>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w:t>
            </w:r>
          </w:p>
        </w:tc>
        <w:tc>
          <w:tcPr>
            <w:tcW w:w="716" w:type="dxa"/>
            <w:tcBorders>
              <w:top w:val="nil"/>
              <w:left w:val="nil"/>
              <w:bottom w:val="single" w:sz="4" w:space="0" w:color="auto"/>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w:t>
            </w:r>
          </w:p>
        </w:tc>
        <w:tc>
          <w:tcPr>
            <w:tcW w:w="717" w:type="dxa"/>
            <w:tcBorders>
              <w:top w:val="nil"/>
              <w:left w:val="nil"/>
              <w:bottom w:val="single" w:sz="4" w:space="0" w:color="auto"/>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w:t>
            </w:r>
          </w:p>
        </w:tc>
        <w:tc>
          <w:tcPr>
            <w:tcW w:w="716" w:type="dxa"/>
            <w:tcBorders>
              <w:top w:val="nil"/>
              <w:left w:val="nil"/>
              <w:bottom w:val="single" w:sz="4" w:space="0" w:color="auto"/>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w:t>
            </w:r>
          </w:p>
        </w:tc>
        <w:tc>
          <w:tcPr>
            <w:tcW w:w="717" w:type="dxa"/>
            <w:tcBorders>
              <w:top w:val="nil"/>
              <w:left w:val="nil"/>
              <w:bottom w:val="single" w:sz="4" w:space="0" w:color="auto"/>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w:t>
            </w:r>
          </w:p>
        </w:tc>
        <w:tc>
          <w:tcPr>
            <w:tcW w:w="716" w:type="dxa"/>
            <w:tcBorders>
              <w:top w:val="nil"/>
              <w:left w:val="nil"/>
              <w:bottom w:val="single" w:sz="4" w:space="0" w:color="auto"/>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w:t>
            </w:r>
          </w:p>
        </w:tc>
        <w:tc>
          <w:tcPr>
            <w:tcW w:w="717" w:type="dxa"/>
            <w:tcBorders>
              <w:top w:val="nil"/>
              <w:left w:val="nil"/>
              <w:bottom w:val="single" w:sz="4" w:space="0" w:color="auto"/>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w:t>
            </w:r>
          </w:p>
        </w:tc>
        <w:tc>
          <w:tcPr>
            <w:tcW w:w="716" w:type="dxa"/>
            <w:tcBorders>
              <w:top w:val="nil"/>
              <w:left w:val="nil"/>
              <w:bottom w:val="single" w:sz="4" w:space="0" w:color="auto"/>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10</w:t>
            </w:r>
          </w:p>
        </w:tc>
        <w:tc>
          <w:tcPr>
            <w:tcW w:w="717" w:type="dxa"/>
            <w:tcBorders>
              <w:top w:val="nil"/>
              <w:left w:val="nil"/>
              <w:bottom w:val="single" w:sz="4" w:space="0" w:color="auto"/>
              <w:right w:val="nil"/>
            </w:tcBorders>
            <w:shd w:val="clear" w:color="auto" w:fill="auto"/>
            <w:vAlign w:val="bottom"/>
            <w:hideMark/>
          </w:tcPr>
          <w:p w:rsidR="00697ED2" w:rsidRPr="00697ED2" w:rsidRDefault="00697ED2" w:rsidP="003C4656">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19</w:t>
            </w:r>
          </w:p>
        </w:tc>
      </w:tr>
    </w:tbl>
    <w:p w:rsidR="00C449D2" w:rsidRDefault="00C449D2" w:rsidP="00130B4B">
      <w:pPr>
        <w:pStyle w:val="CGCTableFootnote"/>
        <w:keepLines/>
      </w:pPr>
      <w:r w:rsidRPr="006A198D">
        <w:t>Source:</w:t>
      </w:r>
      <w:r w:rsidRPr="006A198D">
        <w:tab/>
        <w:t>2011-12 and 2012-13 — data returns from various Commonwealth agencies. 2014-15 — data returns from PM&amp;C. 2013-14 not included because the figures were estimated for that year.</w:t>
      </w:r>
    </w:p>
    <w:p w:rsidR="00C449D2" w:rsidRPr="006A198D" w:rsidRDefault="00C449D2" w:rsidP="00B73976">
      <w:pPr>
        <w:pStyle w:val="Heading5"/>
      </w:pPr>
      <w:bookmarkStart w:id="763" w:name="_Toc441241616"/>
      <w:bookmarkStart w:id="764" w:name="_Toc441499286"/>
      <w:bookmarkStart w:id="765" w:name="_Toc442949180"/>
      <w:r w:rsidRPr="006A198D">
        <w:lastRenderedPageBreak/>
        <w:t>Payments to State non-government organisations</w:t>
      </w:r>
      <w:bookmarkEnd w:id="763"/>
      <w:bookmarkEnd w:id="764"/>
      <w:bookmarkEnd w:id="765"/>
    </w:p>
    <w:p w:rsidR="00C449D2" w:rsidRPr="006A198D" w:rsidRDefault="0014211E" w:rsidP="00C449D2">
      <w:pPr>
        <w:pStyle w:val="CGCNumberedPara"/>
        <w:numPr>
          <w:ilvl w:val="1"/>
          <w:numId w:val="2"/>
        </w:numPr>
      </w:pPr>
      <w:r w:rsidRPr="006A198D">
        <w:fldChar w:fldCharType="begin"/>
      </w:r>
      <w:r w:rsidRPr="006A198D">
        <w:instrText xml:space="preserve"> REF _Ref437852032 \h </w:instrText>
      </w:r>
      <w:r w:rsidR="007E2FFC" w:rsidRPr="006A198D">
        <w:instrText xml:space="preserve"> \* MERGEFORMAT </w:instrText>
      </w:r>
      <w:r w:rsidRPr="006A198D">
        <w:fldChar w:fldCharType="separate"/>
      </w:r>
      <w:r w:rsidR="007A6AF0" w:rsidRPr="006A198D">
        <w:t xml:space="preserve">Table </w:t>
      </w:r>
      <w:r w:rsidR="007A6AF0">
        <w:rPr>
          <w:noProof/>
        </w:rPr>
        <w:t>2</w:t>
      </w:r>
      <w:r w:rsidR="007A6AF0" w:rsidRPr="006A198D">
        <w:rPr>
          <w:noProof/>
        </w:rPr>
        <w:noBreakHyphen/>
      </w:r>
      <w:r w:rsidR="007A6AF0">
        <w:rPr>
          <w:noProof/>
        </w:rPr>
        <w:t>7</w:t>
      </w:r>
      <w:r w:rsidRPr="006A198D">
        <w:fldChar w:fldCharType="end"/>
      </w:r>
      <w:r w:rsidRPr="006A198D">
        <w:t xml:space="preserve"> </w:t>
      </w:r>
      <w:r w:rsidR="00C449D2" w:rsidRPr="006A198D">
        <w:t xml:space="preserve">shows the payments to </w:t>
      </w:r>
      <w:r w:rsidR="003225E4" w:rsidRPr="006A198D">
        <w:t>non-government organisations (</w:t>
      </w:r>
      <w:r w:rsidR="00C449D2" w:rsidRPr="006A198D">
        <w:t>NGOs</w:t>
      </w:r>
      <w:r w:rsidR="003225E4" w:rsidRPr="006A198D">
        <w:t>)</w:t>
      </w:r>
      <w:r w:rsidR="00C449D2" w:rsidRPr="006A198D">
        <w:t xml:space="preserve"> for Indigenous purposes in 2014</w:t>
      </w:r>
      <w:r w:rsidR="00C449D2" w:rsidRPr="006A198D">
        <w:noBreakHyphen/>
        <w:t xml:space="preserve">15. These organisations include State statutory corporations and other incorporated entities, local governments, private organisations and individuals. </w:t>
      </w:r>
    </w:p>
    <w:p w:rsidR="003225E4" w:rsidRPr="006A198D" w:rsidRDefault="003225E4" w:rsidP="003225E4">
      <w:pPr>
        <w:pStyle w:val="CGCNumberedPara"/>
        <w:numPr>
          <w:ilvl w:val="1"/>
          <w:numId w:val="2"/>
        </w:numPr>
      </w:pPr>
      <w:r w:rsidRPr="006A198D">
        <w:t xml:space="preserve">The Commission said in the 2015 Review report that: </w:t>
      </w:r>
    </w:p>
    <w:p w:rsidR="003225E4" w:rsidRPr="006A198D" w:rsidRDefault="003225E4" w:rsidP="003225E4">
      <w:pPr>
        <w:pStyle w:val="CGCQuotation"/>
      </w:pPr>
      <w:proofErr w:type="gramStart"/>
      <w:r w:rsidRPr="006A198D">
        <w:t>other</w:t>
      </w:r>
      <w:proofErr w:type="gramEnd"/>
      <w:r w:rsidRPr="006A198D">
        <w:t xml:space="preserve"> Commonwealth activities take in the forms of direct service provision, Commonwealth own-purpose expenses (COPEs) payments made direct to local governments for specific purpose, payments to PNFCs, third parties and individuals should be considered. If they impact on State budgets and needs are assessed, they should impact on the GST distribution.</w:t>
      </w:r>
    </w:p>
    <w:p w:rsidR="003225E4" w:rsidRPr="006A198D" w:rsidRDefault="003225E4" w:rsidP="003225E4">
      <w:pPr>
        <w:pStyle w:val="CGCQuotation"/>
      </w:pPr>
      <w:r w:rsidRPr="006A198D">
        <w:t>Where COPEs can be identified and they are made to States in some instances and to third parties in others, but for the same purpose, and needs are assessed, we will recognise they have an impact on State budgets. Where we are unable to observe this, we will not be able to judge whether they impact on State budgets and they will not be brought in.</w:t>
      </w:r>
      <w:r w:rsidRPr="006A198D">
        <w:rPr>
          <w:rStyle w:val="FootnoteReference"/>
        </w:rPr>
        <w:t xml:space="preserve"> </w:t>
      </w:r>
      <w:r w:rsidRPr="006A198D">
        <w:rPr>
          <w:rStyle w:val="FootnoteReference"/>
        </w:rPr>
        <w:footnoteReference w:id="14"/>
      </w:r>
    </w:p>
    <w:p w:rsidR="003225E4" w:rsidRPr="006A198D" w:rsidRDefault="003225E4" w:rsidP="003225E4">
      <w:pPr>
        <w:pStyle w:val="CGCNumberedPara"/>
        <w:numPr>
          <w:ilvl w:val="1"/>
          <w:numId w:val="2"/>
        </w:numPr>
      </w:pPr>
      <w:r w:rsidRPr="006A198D">
        <w:t xml:space="preserve">In the 2015 Review, we could not obtain reliable data for payments to </w:t>
      </w:r>
      <w:r w:rsidR="00E83075">
        <w:t>NGOs</w:t>
      </w:r>
      <w:r w:rsidRPr="006A198D">
        <w:t>. No COPEs to NGOs were assessed in that review.</w:t>
      </w:r>
      <w:r w:rsidRPr="006A198D">
        <w:rPr>
          <w:rStyle w:val="FootnoteReference"/>
        </w:rPr>
        <w:t xml:space="preserve"> </w:t>
      </w:r>
      <w:r w:rsidRPr="006A198D">
        <w:rPr>
          <w:rStyle w:val="FootnoteReference"/>
        </w:rPr>
        <w:footnoteReference w:id="15"/>
      </w:r>
      <w:r w:rsidRPr="006A198D">
        <w:t xml:space="preserve"> </w:t>
      </w:r>
      <w:r w:rsidR="000F712D" w:rsidRPr="006A198D">
        <w:t>PM&amp;C has</w:t>
      </w:r>
      <w:r w:rsidRPr="006A198D">
        <w:t xml:space="preserve"> provided us with data for 2014</w:t>
      </w:r>
      <w:r w:rsidR="002E7FC7" w:rsidRPr="006A198D">
        <w:noBreakHyphen/>
      </w:r>
      <w:r w:rsidRPr="006A198D">
        <w:t>15.</w:t>
      </w:r>
    </w:p>
    <w:p w:rsidR="00932DAF" w:rsidRPr="006A198D" w:rsidRDefault="00932DAF" w:rsidP="00932DAF">
      <w:pPr>
        <w:pStyle w:val="CGCNumberedPara"/>
        <w:numPr>
          <w:ilvl w:val="1"/>
          <w:numId w:val="2"/>
        </w:numPr>
      </w:pPr>
      <w:r w:rsidRPr="006A198D">
        <w:t xml:space="preserve">We have decided to treat these COPEs paid to State NGOs for Indigenous purposes as having no impact on the GST distribution because there is not enough information available to decide how they should be treated. </w:t>
      </w:r>
      <w:r w:rsidR="004B2E96" w:rsidRPr="006A198D">
        <w:t>While adopting this approach will result in a materially different outcome from treating some or all of them as impacting, w</w:t>
      </w:r>
      <w:r w:rsidRPr="006A198D">
        <w:t xml:space="preserve">e cannot be certain that needs have been assessed for the services funded by them. </w:t>
      </w:r>
      <w:r w:rsidR="004B2E96" w:rsidRPr="006A198D">
        <w:t>Nor can we ascertain</w:t>
      </w:r>
      <w:r w:rsidRPr="006A198D">
        <w:t xml:space="preserve"> whether similar payments to NGOs were made to the general government sector of some States. It is impossible to determine if these payments have any impact on State budgets.</w:t>
      </w:r>
    </w:p>
    <w:p w:rsidR="00932DAF" w:rsidRPr="006A198D" w:rsidRDefault="00932DAF" w:rsidP="00932DAF">
      <w:pPr>
        <w:pStyle w:val="CGCNumberedPara"/>
        <w:numPr>
          <w:ilvl w:val="1"/>
          <w:numId w:val="2"/>
        </w:numPr>
      </w:pPr>
      <w:r w:rsidRPr="006A198D">
        <w:t>Only New South Wales proposed an alternative approach. It argued that some components of the COPEs to NGOs should impact on the relativities. It suggested that they be treated in the same way as COPEs to State governments.</w:t>
      </w:r>
    </w:p>
    <w:p w:rsidR="00932DAF" w:rsidRPr="006A198D" w:rsidRDefault="00932DAF" w:rsidP="003225E4">
      <w:pPr>
        <w:pStyle w:val="CGCNumberedPara"/>
        <w:numPr>
          <w:ilvl w:val="1"/>
          <w:numId w:val="2"/>
        </w:numPr>
      </w:pPr>
      <w:r w:rsidRPr="006A198D">
        <w:t xml:space="preserve">However, we consider New South Wales’ proposed approach to be too broad brush. Unless we can be certain that the payments relieve State budgets, it would be inappropriate to have them impact on State GST shares. Unless terms of reference advise otherwise, we do not propose to collect this information for future updates and these COPEs to NGOs will not impact on the relativities. </w:t>
      </w:r>
    </w:p>
    <w:p w:rsidR="00C449D2" w:rsidRPr="006A198D" w:rsidRDefault="0014211E" w:rsidP="00C449D2">
      <w:pPr>
        <w:pStyle w:val="CGCTableHeading"/>
      </w:pPr>
      <w:bookmarkStart w:id="766" w:name="_Ref437852032"/>
      <w:r w:rsidRPr="006A198D">
        <w:lastRenderedPageBreak/>
        <w:t xml:space="preserve">Table </w:t>
      </w:r>
      <w:r w:rsidR="0014378B">
        <w:fldChar w:fldCharType="begin"/>
      </w:r>
      <w:r w:rsidR="0014378B">
        <w:instrText xml:space="preserve"> STYLEREF 1 \s </w:instrText>
      </w:r>
      <w:r w:rsidR="0014378B">
        <w:fldChar w:fldCharType="separate"/>
      </w:r>
      <w:r w:rsidR="007A6AF0">
        <w:rPr>
          <w:noProof/>
        </w:rPr>
        <w:t>2</w:t>
      </w:r>
      <w:r w:rsidR="0014378B">
        <w:rPr>
          <w:noProof/>
        </w:rPr>
        <w:fldChar w:fldCharType="end"/>
      </w:r>
      <w:r w:rsidRPr="006A198D">
        <w:noBreakHyphen/>
      </w:r>
      <w:r w:rsidR="0014378B">
        <w:fldChar w:fldCharType="begin"/>
      </w:r>
      <w:r w:rsidR="0014378B">
        <w:instrText xml:space="preserve"> SEQ Table \* ARABIC \s 1 </w:instrText>
      </w:r>
      <w:r w:rsidR="0014378B">
        <w:fldChar w:fldCharType="separate"/>
      </w:r>
      <w:r w:rsidR="007A6AF0">
        <w:rPr>
          <w:noProof/>
        </w:rPr>
        <w:t>7</w:t>
      </w:r>
      <w:r w:rsidR="0014378B">
        <w:rPr>
          <w:noProof/>
        </w:rPr>
        <w:fldChar w:fldCharType="end"/>
      </w:r>
      <w:bookmarkEnd w:id="766"/>
      <w:r w:rsidR="00C449D2" w:rsidRPr="006A198D">
        <w:tab/>
        <w:t xml:space="preserve">COPEs paid to </w:t>
      </w:r>
      <w:r w:rsidR="009013B3">
        <w:t>NGOs</w:t>
      </w:r>
      <w:r w:rsidR="00C449D2" w:rsidRPr="006A198D">
        <w:t xml:space="preserve"> for Indigenous purposes, 2014-15</w:t>
      </w:r>
    </w:p>
    <w:tbl>
      <w:tblPr>
        <w:tblW w:w="9040" w:type="dxa"/>
        <w:tblInd w:w="93" w:type="dxa"/>
        <w:tblLook w:val="04A0" w:firstRow="1" w:lastRow="0" w:firstColumn="1" w:lastColumn="0" w:noHBand="0" w:noVBand="1"/>
      </w:tblPr>
      <w:tblGrid>
        <w:gridCol w:w="2740"/>
        <w:gridCol w:w="700"/>
        <w:gridCol w:w="700"/>
        <w:gridCol w:w="700"/>
        <w:gridCol w:w="700"/>
        <w:gridCol w:w="700"/>
        <w:gridCol w:w="700"/>
        <w:gridCol w:w="700"/>
        <w:gridCol w:w="700"/>
        <w:gridCol w:w="700"/>
      </w:tblGrid>
      <w:tr w:rsidR="007C3726" w:rsidRPr="007C3726" w:rsidTr="007C3726">
        <w:trPr>
          <w:trHeight w:val="375"/>
        </w:trPr>
        <w:tc>
          <w:tcPr>
            <w:tcW w:w="2740" w:type="dxa"/>
            <w:tcBorders>
              <w:top w:val="single" w:sz="4" w:space="0" w:color="auto"/>
              <w:left w:val="nil"/>
              <w:bottom w:val="single" w:sz="4" w:space="0" w:color="auto"/>
              <w:right w:val="nil"/>
            </w:tcBorders>
            <w:shd w:val="clear" w:color="auto" w:fill="auto"/>
            <w:vAlign w:val="center"/>
            <w:hideMark/>
          </w:tcPr>
          <w:p w:rsidR="007C3726" w:rsidRPr="007C3726" w:rsidRDefault="007C3726" w:rsidP="007C3726">
            <w:pPr>
              <w:keepNext/>
              <w:tabs>
                <w:tab w:val="clear" w:pos="567"/>
              </w:tabs>
              <w:spacing w:after="0" w:line="240" w:lineRule="auto"/>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Indigenous Advance Strategy</w:t>
            </w:r>
          </w:p>
        </w:tc>
        <w:tc>
          <w:tcPr>
            <w:tcW w:w="700" w:type="dxa"/>
            <w:tcBorders>
              <w:top w:val="single" w:sz="4" w:space="0" w:color="auto"/>
              <w:left w:val="nil"/>
              <w:bottom w:val="single" w:sz="4" w:space="0" w:color="auto"/>
              <w:right w:val="nil"/>
            </w:tcBorders>
            <w:shd w:val="clear" w:color="auto" w:fill="auto"/>
            <w:vAlign w:val="center"/>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NSW</w:t>
            </w:r>
          </w:p>
        </w:tc>
        <w:tc>
          <w:tcPr>
            <w:tcW w:w="700" w:type="dxa"/>
            <w:tcBorders>
              <w:top w:val="single" w:sz="4" w:space="0" w:color="auto"/>
              <w:left w:val="nil"/>
              <w:bottom w:val="single" w:sz="4" w:space="0" w:color="auto"/>
              <w:right w:val="nil"/>
            </w:tcBorders>
            <w:shd w:val="clear" w:color="auto" w:fill="auto"/>
            <w:vAlign w:val="center"/>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Vic</w:t>
            </w:r>
          </w:p>
        </w:tc>
        <w:tc>
          <w:tcPr>
            <w:tcW w:w="700" w:type="dxa"/>
            <w:tcBorders>
              <w:top w:val="single" w:sz="4" w:space="0" w:color="auto"/>
              <w:left w:val="nil"/>
              <w:bottom w:val="single" w:sz="4" w:space="0" w:color="auto"/>
              <w:right w:val="nil"/>
            </w:tcBorders>
            <w:shd w:val="clear" w:color="auto" w:fill="auto"/>
            <w:vAlign w:val="center"/>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Qld</w:t>
            </w:r>
          </w:p>
        </w:tc>
        <w:tc>
          <w:tcPr>
            <w:tcW w:w="700" w:type="dxa"/>
            <w:tcBorders>
              <w:top w:val="single" w:sz="4" w:space="0" w:color="auto"/>
              <w:left w:val="nil"/>
              <w:bottom w:val="single" w:sz="4" w:space="0" w:color="auto"/>
              <w:right w:val="nil"/>
            </w:tcBorders>
            <w:shd w:val="clear" w:color="auto" w:fill="auto"/>
            <w:vAlign w:val="center"/>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WA</w:t>
            </w:r>
          </w:p>
        </w:tc>
        <w:tc>
          <w:tcPr>
            <w:tcW w:w="700" w:type="dxa"/>
            <w:tcBorders>
              <w:top w:val="single" w:sz="4" w:space="0" w:color="auto"/>
              <w:left w:val="nil"/>
              <w:bottom w:val="single" w:sz="4" w:space="0" w:color="auto"/>
              <w:right w:val="nil"/>
            </w:tcBorders>
            <w:shd w:val="clear" w:color="auto" w:fill="auto"/>
            <w:vAlign w:val="center"/>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SA</w:t>
            </w:r>
          </w:p>
        </w:tc>
        <w:tc>
          <w:tcPr>
            <w:tcW w:w="700" w:type="dxa"/>
            <w:tcBorders>
              <w:top w:val="single" w:sz="4" w:space="0" w:color="auto"/>
              <w:left w:val="nil"/>
              <w:bottom w:val="single" w:sz="4" w:space="0" w:color="auto"/>
              <w:right w:val="nil"/>
            </w:tcBorders>
            <w:shd w:val="clear" w:color="auto" w:fill="auto"/>
            <w:vAlign w:val="center"/>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Tas</w:t>
            </w:r>
          </w:p>
        </w:tc>
        <w:tc>
          <w:tcPr>
            <w:tcW w:w="700" w:type="dxa"/>
            <w:tcBorders>
              <w:top w:val="single" w:sz="4" w:space="0" w:color="auto"/>
              <w:left w:val="nil"/>
              <w:bottom w:val="single" w:sz="4" w:space="0" w:color="auto"/>
              <w:right w:val="nil"/>
            </w:tcBorders>
            <w:shd w:val="clear" w:color="auto" w:fill="auto"/>
            <w:vAlign w:val="center"/>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ACT</w:t>
            </w:r>
          </w:p>
        </w:tc>
        <w:tc>
          <w:tcPr>
            <w:tcW w:w="700" w:type="dxa"/>
            <w:tcBorders>
              <w:top w:val="single" w:sz="4" w:space="0" w:color="auto"/>
              <w:left w:val="nil"/>
              <w:bottom w:val="single" w:sz="4" w:space="0" w:color="auto"/>
              <w:right w:val="nil"/>
            </w:tcBorders>
            <w:shd w:val="clear" w:color="auto" w:fill="auto"/>
            <w:vAlign w:val="center"/>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NT</w:t>
            </w:r>
          </w:p>
        </w:tc>
        <w:tc>
          <w:tcPr>
            <w:tcW w:w="700" w:type="dxa"/>
            <w:tcBorders>
              <w:top w:val="single" w:sz="4" w:space="0" w:color="auto"/>
              <w:left w:val="nil"/>
              <w:bottom w:val="single" w:sz="4" w:space="0" w:color="auto"/>
              <w:right w:val="nil"/>
            </w:tcBorders>
            <w:shd w:val="clear" w:color="auto" w:fill="auto"/>
            <w:vAlign w:val="center"/>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Total</w:t>
            </w:r>
          </w:p>
        </w:tc>
      </w:tr>
      <w:tr w:rsidR="007C3726" w:rsidRPr="007C3726" w:rsidTr="007C3726">
        <w:trPr>
          <w:trHeight w:val="259"/>
        </w:trPr>
        <w:tc>
          <w:tcPr>
            <w:tcW w:w="274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$m</w:t>
            </w:r>
          </w:p>
        </w:tc>
      </w:tr>
      <w:tr w:rsidR="007C3726" w:rsidRPr="007C3726" w:rsidTr="007C3726">
        <w:trPr>
          <w:trHeight w:val="315"/>
        </w:trPr>
        <w:tc>
          <w:tcPr>
            <w:tcW w:w="274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Jobs, Land and Economy</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r>
      <w:tr w:rsidR="007C3726" w:rsidRPr="007C3726" w:rsidTr="007C3726">
        <w:trPr>
          <w:trHeight w:val="315"/>
        </w:trPr>
        <w:tc>
          <w:tcPr>
            <w:tcW w:w="274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 xml:space="preserve">Other expenses </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64</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117</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139</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32</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2</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138</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502</w:t>
            </w:r>
          </w:p>
        </w:tc>
      </w:tr>
      <w:tr w:rsidR="007C3726" w:rsidRPr="007C3726" w:rsidTr="007C3726">
        <w:trPr>
          <w:trHeight w:val="315"/>
        </w:trPr>
        <w:tc>
          <w:tcPr>
            <w:tcW w:w="274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Children and Schooling</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r>
      <w:tr w:rsidR="007C3726" w:rsidRPr="007C3726" w:rsidTr="007C3726">
        <w:trPr>
          <w:trHeight w:val="315"/>
        </w:trPr>
        <w:tc>
          <w:tcPr>
            <w:tcW w:w="274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Schools education</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7</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7</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6</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4</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26</w:t>
            </w:r>
          </w:p>
        </w:tc>
      </w:tr>
      <w:tr w:rsidR="007C3726" w:rsidRPr="007C3726" w:rsidTr="007C3726">
        <w:trPr>
          <w:trHeight w:val="315"/>
        </w:trPr>
        <w:tc>
          <w:tcPr>
            <w:tcW w:w="274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Post-secondary</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2</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3</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4</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3</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2</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15</w:t>
            </w:r>
          </w:p>
        </w:tc>
      </w:tr>
      <w:tr w:rsidR="007C3726" w:rsidRPr="007C3726" w:rsidTr="007C3726">
        <w:trPr>
          <w:trHeight w:val="315"/>
        </w:trPr>
        <w:tc>
          <w:tcPr>
            <w:tcW w:w="274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Health</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2</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6</w:t>
            </w:r>
          </w:p>
        </w:tc>
      </w:tr>
      <w:tr w:rsidR="007C3726" w:rsidRPr="007C3726" w:rsidTr="007C3726">
        <w:trPr>
          <w:trHeight w:val="315"/>
        </w:trPr>
        <w:tc>
          <w:tcPr>
            <w:tcW w:w="274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Housing</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w:t>
            </w:r>
          </w:p>
        </w:tc>
      </w:tr>
      <w:tr w:rsidR="007C3726" w:rsidRPr="007C3726" w:rsidTr="007C3726">
        <w:trPr>
          <w:trHeight w:val="315"/>
        </w:trPr>
        <w:tc>
          <w:tcPr>
            <w:tcW w:w="274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Welfare</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17</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8</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13</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23</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6</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33</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102</w:t>
            </w:r>
          </w:p>
        </w:tc>
      </w:tr>
      <w:tr w:rsidR="007C3726" w:rsidRPr="007C3726" w:rsidTr="007C3726">
        <w:trPr>
          <w:trHeight w:val="315"/>
        </w:trPr>
        <w:tc>
          <w:tcPr>
            <w:tcW w:w="274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Other expenses</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35</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12</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31</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12</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9</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2</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4</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21</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126</w:t>
            </w:r>
          </w:p>
        </w:tc>
      </w:tr>
      <w:tr w:rsidR="007C3726" w:rsidRPr="007C3726" w:rsidTr="007C3726">
        <w:trPr>
          <w:trHeight w:val="315"/>
        </w:trPr>
        <w:tc>
          <w:tcPr>
            <w:tcW w:w="274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Safety and Wellbeing</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r>
      <w:tr w:rsidR="007C3726" w:rsidRPr="007C3726" w:rsidTr="007C3726">
        <w:trPr>
          <w:trHeight w:val="315"/>
        </w:trPr>
        <w:tc>
          <w:tcPr>
            <w:tcW w:w="274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Schools education</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r>
      <w:tr w:rsidR="007C3726" w:rsidRPr="007C3726" w:rsidTr="007C3726">
        <w:trPr>
          <w:trHeight w:val="315"/>
        </w:trPr>
        <w:tc>
          <w:tcPr>
            <w:tcW w:w="274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Post-secondary</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3</w:t>
            </w:r>
          </w:p>
        </w:tc>
      </w:tr>
      <w:tr w:rsidR="007C3726" w:rsidRPr="007C3726" w:rsidTr="007C3726">
        <w:trPr>
          <w:trHeight w:val="315"/>
        </w:trPr>
        <w:tc>
          <w:tcPr>
            <w:tcW w:w="274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Health</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12</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2</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13</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8</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6</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51</w:t>
            </w:r>
          </w:p>
        </w:tc>
      </w:tr>
      <w:tr w:rsidR="007C3726" w:rsidRPr="007C3726" w:rsidTr="007C3726">
        <w:trPr>
          <w:trHeight w:val="315"/>
        </w:trPr>
        <w:tc>
          <w:tcPr>
            <w:tcW w:w="274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Housing</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r>
      <w:tr w:rsidR="007C3726" w:rsidRPr="007C3726" w:rsidTr="007C3726">
        <w:trPr>
          <w:trHeight w:val="315"/>
        </w:trPr>
        <w:tc>
          <w:tcPr>
            <w:tcW w:w="274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Welfare</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20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9</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12</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19</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8</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3</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46</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119</w:t>
            </w:r>
          </w:p>
        </w:tc>
      </w:tr>
      <w:tr w:rsidR="007C3726" w:rsidRPr="007C3726" w:rsidTr="007C3726">
        <w:trPr>
          <w:trHeight w:val="315"/>
        </w:trPr>
        <w:tc>
          <w:tcPr>
            <w:tcW w:w="274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Other expenses</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4</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3</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8</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4</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11</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31</w:t>
            </w:r>
          </w:p>
        </w:tc>
      </w:tr>
      <w:tr w:rsidR="007C3726" w:rsidRPr="007C3726" w:rsidTr="007C3726">
        <w:trPr>
          <w:trHeight w:val="315"/>
        </w:trPr>
        <w:tc>
          <w:tcPr>
            <w:tcW w:w="274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Culture and Capability</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r>
      <w:tr w:rsidR="007C3726" w:rsidRPr="007C3726" w:rsidTr="007C3726">
        <w:trPr>
          <w:trHeight w:val="315"/>
        </w:trPr>
        <w:tc>
          <w:tcPr>
            <w:tcW w:w="274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 xml:space="preserve">Other expenses </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2</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5</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5</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28</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11</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53</w:t>
            </w:r>
          </w:p>
        </w:tc>
      </w:tr>
      <w:tr w:rsidR="007C3726" w:rsidRPr="007C3726" w:rsidTr="007C3726">
        <w:trPr>
          <w:trHeight w:val="315"/>
        </w:trPr>
        <w:tc>
          <w:tcPr>
            <w:tcW w:w="274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 xml:space="preserve">Remote Australia Strategy </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b/>
                <w:bCs/>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p>
        </w:tc>
      </w:tr>
      <w:tr w:rsidR="007C3726" w:rsidRPr="007C3726" w:rsidTr="007C3726">
        <w:trPr>
          <w:trHeight w:val="315"/>
        </w:trPr>
        <w:tc>
          <w:tcPr>
            <w:tcW w:w="274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Post-secondary</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r>
      <w:tr w:rsidR="007C3726" w:rsidRPr="007C3726" w:rsidTr="007C3726">
        <w:trPr>
          <w:trHeight w:val="315"/>
        </w:trPr>
        <w:tc>
          <w:tcPr>
            <w:tcW w:w="274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Health</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r>
      <w:tr w:rsidR="007C3726" w:rsidRPr="007C3726" w:rsidTr="007C3726">
        <w:trPr>
          <w:trHeight w:val="315"/>
        </w:trPr>
        <w:tc>
          <w:tcPr>
            <w:tcW w:w="274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Welfare</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6</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20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3</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17</w:t>
            </w:r>
          </w:p>
        </w:tc>
        <w:tc>
          <w:tcPr>
            <w:tcW w:w="70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46</w:t>
            </w:r>
          </w:p>
        </w:tc>
      </w:tr>
      <w:tr w:rsidR="007C3726" w:rsidRPr="007C3726" w:rsidTr="007C3726">
        <w:trPr>
          <w:trHeight w:val="315"/>
        </w:trPr>
        <w:tc>
          <w:tcPr>
            <w:tcW w:w="2740" w:type="dxa"/>
            <w:tcBorders>
              <w:top w:val="nil"/>
              <w:left w:val="nil"/>
              <w:bottom w:val="nil"/>
              <w:right w:val="nil"/>
            </w:tcBorders>
            <w:shd w:val="clear" w:color="auto" w:fill="auto"/>
            <w:noWrap/>
            <w:vAlign w:val="bottom"/>
            <w:hideMark/>
          </w:tcPr>
          <w:p w:rsidR="007C3726" w:rsidRPr="007C3726" w:rsidRDefault="007C3726" w:rsidP="007C3726">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Other expenses</w:t>
            </w:r>
          </w:p>
        </w:tc>
        <w:tc>
          <w:tcPr>
            <w:tcW w:w="700" w:type="dxa"/>
            <w:tcBorders>
              <w:top w:val="nil"/>
              <w:left w:val="nil"/>
              <w:bottom w:val="single" w:sz="4" w:space="0" w:color="auto"/>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single" w:sz="4" w:space="0" w:color="auto"/>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single" w:sz="4" w:space="0" w:color="auto"/>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single" w:sz="4" w:space="0" w:color="auto"/>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single" w:sz="4" w:space="0" w:color="auto"/>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single" w:sz="4" w:space="0" w:color="auto"/>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single" w:sz="4" w:space="0" w:color="auto"/>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0</w:t>
            </w:r>
          </w:p>
        </w:tc>
        <w:tc>
          <w:tcPr>
            <w:tcW w:w="700" w:type="dxa"/>
            <w:tcBorders>
              <w:top w:val="nil"/>
              <w:left w:val="nil"/>
              <w:bottom w:val="single" w:sz="4" w:space="0" w:color="auto"/>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2</w:t>
            </w:r>
          </w:p>
        </w:tc>
        <w:tc>
          <w:tcPr>
            <w:tcW w:w="700" w:type="dxa"/>
            <w:tcBorders>
              <w:top w:val="nil"/>
              <w:left w:val="nil"/>
              <w:bottom w:val="single" w:sz="4" w:space="0" w:color="auto"/>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2</w:t>
            </w:r>
          </w:p>
        </w:tc>
      </w:tr>
      <w:tr w:rsidR="007C3726" w:rsidRPr="007C3726" w:rsidTr="007C3726">
        <w:trPr>
          <w:trHeight w:val="315"/>
        </w:trPr>
        <w:tc>
          <w:tcPr>
            <w:tcW w:w="2740" w:type="dxa"/>
            <w:tcBorders>
              <w:top w:val="nil"/>
              <w:left w:val="nil"/>
              <w:bottom w:val="single" w:sz="4" w:space="0" w:color="auto"/>
              <w:right w:val="nil"/>
            </w:tcBorders>
            <w:shd w:val="clear" w:color="auto" w:fill="auto"/>
            <w:noWrap/>
            <w:vAlign w:val="bottom"/>
            <w:hideMark/>
          </w:tcPr>
          <w:p w:rsidR="007C3726" w:rsidRPr="007C3726" w:rsidRDefault="007C3726" w:rsidP="007C3726">
            <w:pPr>
              <w:keepNext/>
              <w:tabs>
                <w:tab w:val="clear" w:pos="567"/>
              </w:tabs>
              <w:spacing w:after="0" w:line="240" w:lineRule="auto"/>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Total</w:t>
            </w:r>
          </w:p>
        </w:tc>
        <w:tc>
          <w:tcPr>
            <w:tcW w:w="700" w:type="dxa"/>
            <w:tcBorders>
              <w:top w:val="nil"/>
              <w:left w:val="nil"/>
              <w:bottom w:val="single" w:sz="4" w:space="0" w:color="auto"/>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165</w:t>
            </w:r>
          </w:p>
        </w:tc>
        <w:tc>
          <w:tcPr>
            <w:tcW w:w="700" w:type="dxa"/>
            <w:tcBorders>
              <w:top w:val="nil"/>
              <w:left w:val="nil"/>
              <w:bottom w:val="single" w:sz="4" w:space="0" w:color="auto"/>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51</w:t>
            </w:r>
          </w:p>
        </w:tc>
        <w:tc>
          <w:tcPr>
            <w:tcW w:w="700" w:type="dxa"/>
            <w:tcBorders>
              <w:top w:val="nil"/>
              <w:left w:val="nil"/>
              <w:bottom w:val="single" w:sz="4" w:space="0" w:color="auto"/>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219</w:t>
            </w:r>
          </w:p>
        </w:tc>
        <w:tc>
          <w:tcPr>
            <w:tcW w:w="700" w:type="dxa"/>
            <w:tcBorders>
              <w:top w:val="nil"/>
              <w:left w:val="nil"/>
              <w:bottom w:val="single" w:sz="4" w:space="0" w:color="auto"/>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240</w:t>
            </w:r>
          </w:p>
        </w:tc>
        <w:tc>
          <w:tcPr>
            <w:tcW w:w="700" w:type="dxa"/>
            <w:tcBorders>
              <w:top w:val="nil"/>
              <w:left w:val="nil"/>
              <w:bottom w:val="single" w:sz="4" w:space="0" w:color="auto"/>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66</w:t>
            </w:r>
          </w:p>
        </w:tc>
        <w:tc>
          <w:tcPr>
            <w:tcW w:w="700" w:type="dxa"/>
            <w:tcBorders>
              <w:top w:val="nil"/>
              <w:left w:val="nil"/>
              <w:bottom w:val="single" w:sz="4" w:space="0" w:color="auto"/>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9</w:t>
            </w:r>
          </w:p>
        </w:tc>
        <w:tc>
          <w:tcPr>
            <w:tcW w:w="700" w:type="dxa"/>
            <w:tcBorders>
              <w:top w:val="nil"/>
              <w:left w:val="nil"/>
              <w:bottom w:val="single" w:sz="4" w:space="0" w:color="auto"/>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35</w:t>
            </w:r>
          </w:p>
        </w:tc>
        <w:tc>
          <w:tcPr>
            <w:tcW w:w="700" w:type="dxa"/>
            <w:tcBorders>
              <w:top w:val="nil"/>
              <w:left w:val="nil"/>
              <w:bottom w:val="single" w:sz="4" w:space="0" w:color="auto"/>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298</w:t>
            </w:r>
          </w:p>
        </w:tc>
        <w:tc>
          <w:tcPr>
            <w:tcW w:w="700" w:type="dxa"/>
            <w:tcBorders>
              <w:top w:val="nil"/>
              <w:left w:val="nil"/>
              <w:bottom w:val="single" w:sz="4" w:space="0" w:color="auto"/>
              <w:right w:val="nil"/>
            </w:tcBorders>
            <w:shd w:val="clear" w:color="auto" w:fill="auto"/>
            <w:noWrap/>
            <w:vAlign w:val="bottom"/>
            <w:hideMark/>
          </w:tcPr>
          <w:p w:rsidR="007C3726" w:rsidRPr="007C3726" w:rsidRDefault="007C3726" w:rsidP="007C3726">
            <w:pPr>
              <w:keepNext/>
              <w:tabs>
                <w:tab w:val="clear" w:pos="567"/>
              </w:tabs>
              <w:spacing w:after="0" w:line="240" w:lineRule="auto"/>
              <w:jc w:val="right"/>
              <w:rPr>
                <w:rFonts w:ascii="Calibri" w:eastAsia="Times New Roman" w:hAnsi="Calibri" w:cs="Times New Roman"/>
                <w:sz w:val="20"/>
                <w:szCs w:val="20"/>
                <w:lang w:eastAsia="en-AU"/>
              </w:rPr>
            </w:pPr>
            <w:r w:rsidRPr="007C3726">
              <w:rPr>
                <w:rFonts w:ascii="Calibri" w:eastAsia="Times New Roman" w:hAnsi="Calibri" w:cs="Times New Roman"/>
                <w:sz w:val="20"/>
                <w:szCs w:val="20"/>
                <w:lang w:eastAsia="en-AU"/>
              </w:rPr>
              <w:t>1 082</w:t>
            </w:r>
          </w:p>
        </w:tc>
      </w:tr>
    </w:tbl>
    <w:p w:rsidR="003C4656" w:rsidRDefault="00E46F37" w:rsidP="00C449D2">
      <w:pPr>
        <w:pStyle w:val="CGCTableFootnote"/>
        <w:keepNext/>
        <w:keepLines/>
        <w:rPr>
          <w:szCs w:val="20"/>
        </w:rPr>
      </w:pPr>
      <w:r w:rsidRPr="006A198D">
        <w:rPr>
          <w:szCs w:val="20"/>
        </w:rPr>
        <w:t>Note:</w:t>
      </w:r>
      <w:r w:rsidRPr="006A198D">
        <w:rPr>
          <w:szCs w:val="20"/>
        </w:rPr>
        <w:tab/>
        <w:t>The allocation of the payments to the Commission’s assessment categories are based on the recipients’ name</w:t>
      </w:r>
      <w:r w:rsidR="00E83075">
        <w:rPr>
          <w:szCs w:val="20"/>
        </w:rPr>
        <w:t>s</w:t>
      </w:r>
      <w:r w:rsidRPr="006A198D">
        <w:rPr>
          <w:szCs w:val="20"/>
        </w:rPr>
        <w:t xml:space="preserve"> and information from their websites. Payments to a State might be spent on national projects (for example, the majority of the payment to the ACT under the Culture and Capability program are to Reconciliation Australia). </w:t>
      </w:r>
      <w:r w:rsidR="003C4656">
        <w:rPr>
          <w:szCs w:val="20"/>
        </w:rPr>
        <w:t xml:space="preserve"> NGOs </w:t>
      </w:r>
      <w:r w:rsidR="00C449D2" w:rsidRPr="006A198D">
        <w:rPr>
          <w:szCs w:val="20"/>
        </w:rPr>
        <w:t xml:space="preserve">include State statutory corporations and other incorporated entities, local governments, private organisations and individuals. </w:t>
      </w:r>
    </w:p>
    <w:p w:rsidR="00C449D2" w:rsidRPr="006A198D" w:rsidRDefault="003C4656" w:rsidP="00C449D2">
      <w:pPr>
        <w:pStyle w:val="CGCTableFootnote"/>
        <w:keepNext/>
        <w:keepLines/>
        <w:rPr>
          <w:szCs w:val="20"/>
        </w:rPr>
      </w:pPr>
      <w:r>
        <w:rPr>
          <w:szCs w:val="20"/>
        </w:rPr>
        <w:tab/>
      </w:r>
      <w:r w:rsidR="001A2C99" w:rsidRPr="006A198D">
        <w:rPr>
          <w:szCs w:val="20"/>
        </w:rPr>
        <w:t>COPEs</w:t>
      </w:r>
      <w:r w:rsidR="00C449D2" w:rsidRPr="006A198D">
        <w:rPr>
          <w:szCs w:val="20"/>
        </w:rPr>
        <w:t xml:space="preserve"> </w:t>
      </w:r>
      <w:r w:rsidR="00E46F37" w:rsidRPr="006A198D">
        <w:rPr>
          <w:szCs w:val="20"/>
        </w:rPr>
        <w:t xml:space="preserve">in the table </w:t>
      </w:r>
      <w:r w:rsidR="00C449D2" w:rsidRPr="006A198D">
        <w:rPr>
          <w:szCs w:val="20"/>
        </w:rPr>
        <w:t>exclude payments for Stronger Futures in the Northern Territory.</w:t>
      </w:r>
    </w:p>
    <w:p w:rsidR="00C449D2" w:rsidRPr="006A198D" w:rsidRDefault="00C449D2" w:rsidP="00893FE8">
      <w:pPr>
        <w:pStyle w:val="CGCTableFootnote"/>
        <w:keepNext/>
        <w:keepLines/>
      </w:pPr>
      <w:r w:rsidRPr="006A198D">
        <w:t>Source:</w:t>
      </w:r>
      <w:r w:rsidRPr="006A198D">
        <w:tab/>
      </w:r>
      <w:r w:rsidR="00893FE8" w:rsidRPr="006A198D">
        <w:t>Commission calculation based on data provided by PM&amp;C.</w:t>
      </w:r>
    </w:p>
    <w:p w:rsidR="006E6B6B" w:rsidRPr="006A198D" w:rsidRDefault="006E6B6B">
      <w:pPr>
        <w:tabs>
          <w:tab w:val="clear" w:pos="567"/>
        </w:tabs>
        <w:spacing w:after="200" w:line="276" w:lineRule="auto"/>
        <w:rPr>
          <w:rFonts w:eastAsiaTheme="majorEastAsia" w:cstheme="majorBidi"/>
          <w:b/>
          <w:bCs/>
          <w:iCs/>
          <w:color w:val="2C8558"/>
          <w:sz w:val="32"/>
        </w:rPr>
      </w:pPr>
      <w:bookmarkStart w:id="767" w:name="_Toc441241600"/>
      <w:bookmarkStart w:id="768" w:name="_Toc441499270"/>
      <w:bookmarkStart w:id="769" w:name="_Toc442191942"/>
      <w:bookmarkStart w:id="770" w:name="_Toc442192198"/>
      <w:bookmarkStart w:id="771" w:name="_Toc442192263"/>
      <w:r w:rsidRPr="006A198D">
        <w:br w:type="page"/>
      </w:r>
    </w:p>
    <w:p w:rsidR="00932779" w:rsidRPr="006A198D" w:rsidRDefault="00932779" w:rsidP="00932779">
      <w:pPr>
        <w:pStyle w:val="Heading4"/>
      </w:pPr>
      <w:bookmarkStart w:id="772" w:name="_Toc442772845"/>
      <w:bookmarkStart w:id="773" w:name="_Toc442773076"/>
      <w:bookmarkStart w:id="774" w:name="_Toc442773244"/>
      <w:bookmarkStart w:id="775" w:name="_Toc442883311"/>
      <w:bookmarkStart w:id="776" w:name="_Toc442949181"/>
      <w:r w:rsidRPr="006A198D">
        <w:lastRenderedPageBreak/>
        <w:t xml:space="preserve">National </w:t>
      </w:r>
      <w:r w:rsidR="00BC671E">
        <w:t>P</w:t>
      </w:r>
      <w:r w:rsidR="00BC671E" w:rsidRPr="006A198D">
        <w:t xml:space="preserve">artnership </w:t>
      </w:r>
      <w:r w:rsidR="00BC671E">
        <w:t>A</w:t>
      </w:r>
      <w:r w:rsidR="00BC671E" w:rsidRPr="006A198D">
        <w:t xml:space="preserve">greement </w:t>
      </w:r>
      <w:r w:rsidRPr="006A198D">
        <w:t xml:space="preserve">on </w:t>
      </w:r>
      <w:r w:rsidR="00BC671E">
        <w:t>R</w:t>
      </w:r>
      <w:r w:rsidR="00BC671E" w:rsidRPr="006A198D">
        <w:t xml:space="preserve">emote </w:t>
      </w:r>
      <w:r w:rsidRPr="006A198D">
        <w:t xml:space="preserve">Indigenous </w:t>
      </w:r>
      <w:bookmarkEnd w:id="767"/>
      <w:bookmarkEnd w:id="768"/>
      <w:bookmarkEnd w:id="769"/>
      <w:bookmarkEnd w:id="770"/>
      <w:bookmarkEnd w:id="771"/>
      <w:bookmarkEnd w:id="772"/>
      <w:bookmarkEnd w:id="773"/>
      <w:bookmarkEnd w:id="774"/>
      <w:r w:rsidR="00BC671E">
        <w:t>H</w:t>
      </w:r>
      <w:r w:rsidR="00BC671E" w:rsidRPr="006A198D">
        <w:t>ousing</w:t>
      </w:r>
      <w:bookmarkEnd w:id="775"/>
      <w:bookmarkEnd w:id="776"/>
      <w:r w:rsidR="00BC671E" w:rsidRPr="006A198D">
        <w:t xml:space="preserve"> </w:t>
      </w:r>
      <w:r w:rsidR="00E83075">
        <w:t>(NPARIH)</w:t>
      </w:r>
    </w:p>
    <w:p w:rsidR="00932779" w:rsidRPr="006A198D" w:rsidRDefault="00932779" w:rsidP="00932779">
      <w:pPr>
        <w:pStyle w:val="Heading5"/>
      </w:pPr>
      <w:bookmarkStart w:id="777" w:name="_Toc442949182"/>
      <w:r w:rsidRPr="006A198D">
        <w:t>Background</w:t>
      </w:r>
      <w:bookmarkEnd w:id="777"/>
    </w:p>
    <w:p w:rsidR="00932779" w:rsidRPr="006A198D" w:rsidRDefault="00932779" w:rsidP="00932779">
      <w:pPr>
        <w:pStyle w:val="CGCNumberedPara"/>
        <w:numPr>
          <w:ilvl w:val="1"/>
          <w:numId w:val="2"/>
        </w:numPr>
      </w:pPr>
      <w:r w:rsidRPr="006A198D">
        <w:t>The NPARIH is a ten year funding agreement between the Commonwealth and the States, commencing in 2008-09. Under the agreement the Commonwealth has agreed to fund additional housing and some community infrastructure, while the States have agreed to accept responsibility for remote Indigenous housing and to be the major service provider for housing in these areas.</w:t>
      </w:r>
    </w:p>
    <w:p w:rsidR="00932779" w:rsidRPr="006A198D" w:rsidRDefault="00932779" w:rsidP="00932779">
      <w:pPr>
        <w:pStyle w:val="CGCNumberedPara"/>
        <w:numPr>
          <w:ilvl w:val="1"/>
          <w:numId w:val="2"/>
        </w:numPr>
      </w:pPr>
      <w:r w:rsidRPr="006A198D">
        <w:t>It involves a major program of construction, repair and replacement of remote Indigenous housing and housing-related infrastructure. It is aimed at increasing remote Indigenous housing (quantity and quality) to mainstream standards before it is transferred over a period of time to State responsibility (management if not ownership). Funding is also provided to assist in transfer arrangements, such as leasing of properties and other operating expenses, on-going management costs and the provision of employment related accommodation.</w:t>
      </w:r>
    </w:p>
    <w:p w:rsidR="00932779" w:rsidRPr="006A198D" w:rsidRDefault="00932779" w:rsidP="00932779">
      <w:pPr>
        <w:pStyle w:val="CGCNumberedPara"/>
        <w:numPr>
          <w:ilvl w:val="1"/>
          <w:numId w:val="2"/>
        </w:numPr>
      </w:pPr>
      <w:r w:rsidRPr="006A198D">
        <w:t>A new program relating to on-going funding of remote Indigenous programs is currently being negotiated with the States.</w:t>
      </w:r>
    </w:p>
    <w:p w:rsidR="00932779" w:rsidRPr="006A198D" w:rsidRDefault="00932779" w:rsidP="00932779">
      <w:pPr>
        <w:pStyle w:val="CGCNumberedPara"/>
        <w:numPr>
          <w:ilvl w:val="1"/>
          <w:numId w:val="2"/>
        </w:numPr>
      </w:pPr>
      <w:r w:rsidRPr="006A198D">
        <w:t>As noted in the NPARIH:</w:t>
      </w:r>
    </w:p>
    <w:p w:rsidR="00932779" w:rsidRPr="006A198D" w:rsidRDefault="00932779" w:rsidP="00932779">
      <w:pPr>
        <w:pStyle w:val="CGCQuotation"/>
      </w:pPr>
      <w:r w:rsidRPr="006A198D">
        <w:t>The NPARIH has reformed responsibilities between the Commonwealth, the states and the Northern Territory in the provision of housing for Indigenous people in remote communities. It established the Commonwealth as the major funder of remote Indigenous housing over the life of the 10-year strategy, with state and the Northern Territory governments responsible for service delivery against a set of agreed objectives.</w:t>
      </w:r>
      <w:r w:rsidRPr="006A198D">
        <w:rPr>
          <w:rStyle w:val="FootnoteReference"/>
          <w:rFonts w:ascii="Arial" w:hAnsi="Arial" w:cs="Arial"/>
          <w:szCs w:val="20"/>
        </w:rPr>
        <w:footnoteReference w:id="16"/>
      </w:r>
    </w:p>
    <w:p w:rsidR="00932779" w:rsidRPr="006A198D" w:rsidRDefault="00932779" w:rsidP="00932779">
      <w:pPr>
        <w:pStyle w:val="CGCNumberedPara"/>
        <w:numPr>
          <w:ilvl w:val="1"/>
          <w:numId w:val="2"/>
        </w:numPr>
      </w:pPr>
      <w:r w:rsidRPr="006A198D">
        <w:t>In the 2015 Review, the Commission decided to change the treatment of payments under NPARIH so that they would impact on the GST distribution from 2013</w:t>
      </w:r>
      <w:r w:rsidRPr="006A198D">
        <w:noBreakHyphen/>
        <w:t>14.</w:t>
      </w:r>
    </w:p>
    <w:p w:rsidR="00932779" w:rsidRPr="006A198D" w:rsidRDefault="00932779" w:rsidP="00932779">
      <w:pPr>
        <w:pStyle w:val="CGCNumberedPara"/>
        <w:numPr>
          <w:ilvl w:val="1"/>
          <w:numId w:val="2"/>
        </w:numPr>
      </w:pPr>
      <w:r w:rsidRPr="006A198D">
        <w:t>The changed treatment was introduced to reflect the gradual transfer of responsibility of remote Indigenous housing to State governments. This is happening at different rates in different States but by 2015</w:t>
      </w:r>
      <w:r w:rsidRPr="006A198D">
        <w:noBreakHyphen/>
        <w:t xml:space="preserve">16, between a third and a half of houses </w:t>
      </w:r>
      <w:r w:rsidR="00BE4EB5" w:rsidRPr="006A198D">
        <w:t>will</w:t>
      </w:r>
      <w:r w:rsidRPr="006A198D">
        <w:t xml:space="preserve"> be covered by this transfer of responsibility and the majority will be covered by 2017</w:t>
      </w:r>
      <w:r w:rsidRPr="006A198D">
        <w:noBreakHyphen/>
        <w:t xml:space="preserve">18. </w:t>
      </w:r>
    </w:p>
    <w:p w:rsidR="00932779" w:rsidRPr="006A198D" w:rsidRDefault="00932779" w:rsidP="00932779">
      <w:pPr>
        <w:pStyle w:val="CGCNumberedPara"/>
        <w:numPr>
          <w:ilvl w:val="1"/>
          <w:numId w:val="2"/>
        </w:numPr>
      </w:pPr>
      <w:r w:rsidRPr="006A198D">
        <w:t xml:space="preserve">The Commission considered that, as the States accepted responsibility for the delivery of remote Indigenous housing and made decisions about how that would be done, it was appropriate to consider expenditure and investment on remote </w:t>
      </w:r>
      <w:r w:rsidRPr="006A198D">
        <w:lastRenderedPageBreak/>
        <w:t>Indigenous housing a State responsibility, even if the Commonwealth was a major funder of that activity.</w:t>
      </w:r>
    </w:p>
    <w:p w:rsidR="00932779" w:rsidRPr="006A198D" w:rsidRDefault="00932779" w:rsidP="00932779">
      <w:pPr>
        <w:pStyle w:val="CGCNumberedPara"/>
        <w:numPr>
          <w:ilvl w:val="1"/>
          <w:numId w:val="2"/>
        </w:numPr>
      </w:pPr>
      <w:r w:rsidRPr="006A198D">
        <w:t xml:space="preserve">In these circumstances the Commission considered that NPARIH payments should impact on State GST shares because payments are for services usually provided by States and needs are assessed in the Housing category, and also in relation to housing infrastructure. In particular, these two assessments include allowances for differences in use and cost, of managing, maintaining and constructing remote Indigenous housing. </w:t>
      </w:r>
    </w:p>
    <w:p w:rsidR="00932779" w:rsidRPr="006A198D" w:rsidRDefault="00932779" w:rsidP="00932779">
      <w:pPr>
        <w:pStyle w:val="CGCNumberedPara"/>
        <w:numPr>
          <w:ilvl w:val="1"/>
          <w:numId w:val="2"/>
        </w:numPr>
      </w:pPr>
      <w:r w:rsidRPr="006A198D">
        <w:t xml:space="preserve">Since then, the Commission has become aware of concerns that, at least for some elements of NPARIH, our changed assessment method may be inappropriate. This is because the interstate distribution of those funds was addressing differences among the States beyond their control which were not captured in the Commission’s assessment methods. </w:t>
      </w:r>
    </w:p>
    <w:p w:rsidR="00932779" w:rsidRPr="006A198D" w:rsidRDefault="00932779" w:rsidP="00932779">
      <w:pPr>
        <w:pStyle w:val="CGCNumberedPara"/>
        <w:numPr>
          <w:ilvl w:val="1"/>
          <w:numId w:val="2"/>
        </w:numPr>
      </w:pPr>
      <w:r w:rsidRPr="006A198D">
        <w:t>The Commission has consulted further with the States, including seeking data from them on the use of NPARIH, so that it could better understand how NPARIH operates in practice.</w:t>
      </w:r>
    </w:p>
    <w:p w:rsidR="00932779" w:rsidRPr="006A198D" w:rsidRDefault="00932779" w:rsidP="00932779">
      <w:pPr>
        <w:pStyle w:val="Heading5"/>
      </w:pPr>
      <w:bookmarkStart w:id="778" w:name="_Toc442949183"/>
      <w:r w:rsidRPr="006A198D">
        <w:t>State views</w:t>
      </w:r>
      <w:bookmarkEnd w:id="778"/>
    </w:p>
    <w:p w:rsidR="00932779" w:rsidRPr="006A198D" w:rsidRDefault="00932779" w:rsidP="00932779">
      <w:pPr>
        <w:pStyle w:val="CGCNumberedPara"/>
        <w:numPr>
          <w:ilvl w:val="1"/>
          <w:numId w:val="2"/>
        </w:numPr>
        <w:rPr>
          <w:lang w:val="en-US"/>
        </w:rPr>
      </w:pPr>
      <w:r w:rsidRPr="006A198D">
        <w:rPr>
          <w:lang w:val="en-US"/>
        </w:rPr>
        <w:t xml:space="preserve">Queensland, Western Australia and the Northern Territory did not support continuing the 2015 Review treatment of NPARIH payments. Other States supported the current treatment. South Australia and Tasmania did not comment. </w:t>
      </w:r>
    </w:p>
    <w:p w:rsidR="00932779" w:rsidRPr="006A198D" w:rsidRDefault="00932779" w:rsidP="00932779">
      <w:pPr>
        <w:pStyle w:val="CGCNumberedPara"/>
        <w:numPr>
          <w:ilvl w:val="1"/>
          <w:numId w:val="2"/>
        </w:numPr>
        <w:rPr>
          <w:lang w:val="en-US"/>
        </w:rPr>
      </w:pPr>
      <w:r w:rsidRPr="006A198D">
        <w:rPr>
          <w:lang w:val="en-US"/>
        </w:rPr>
        <w:t>Queensland, Western Australia and the Northern Territory mainly argued that a significant proportion of NPARIH funding was to rectify past under</w:t>
      </w:r>
      <w:r w:rsidRPr="006A198D">
        <w:rPr>
          <w:lang w:val="en-US"/>
        </w:rPr>
        <w:noBreakHyphen/>
        <w:t xml:space="preserve">investment in remote Indigenous housing and that the associated needs were not </w:t>
      </w:r>
      <w:r w:rsidRPr="006A198D">
        <w:t>recognised</w:t>
      </w:r>
      <w:r w:rsidRPr="006A198D">
        <w:rPr>
          <w:lang w:val="en-US"/>
        </w:rPr>
        <w:t xml:space="preserve"> in the Commission’s assessments. Queensland and Western Australia doubted it would be possible for the Commission to assess needs reliably for such legacy issues. As a result, Western Australia and the Northern Territory argued that the payment should be treated as having no impact. Queensland said the Commission should treat the proportion of the payments targeted at the construction of new houses as having no impact. However, acknowledging the lack of information on this, it suggested that the Commission treat 50% of the payment as having no impact. </w:t>
      </w:r>
    </w:p>
    <w:p w:rsidR="00932779" w:rsidRPr="006A198D" w:rsidRDefault="00932779" w:rsidP="00932779">
      <w:pPr>
        <w:pStyle w:val="CGCNumberedPara"/>
        <w:numPr>
          <w:ilvl w:val="1"/>
          <w:numId w:val="2"/>
        </w:numPr>
      </w:pPr>
      <w:r w:rsidRPr="006A198D">
        <w:rPr>
          <w:lang w:val="en-US"/>
        </w:rPr>
        <w:t>In addition to this, these Sta</w:t>
      </w:r>
      <w:r w:rsidR="00E83075">
        <w:rPr>
          <w:lang w:val="en-US"/>
        </w:rPr>
        <w:t>tes raised the following issues.</w:t>
      </w:r>
      <w:r w:rsidRPr="006A198D">
        <w:rPr>
          <w:lang w:val="en-US"/>
        </w:rPr>
        <w:t xml:space="preserve"> </w:t>
      </w:r>
    </w:p>
    <w:p w:rsidR="00932779" w:rsidRPr="006A198D" w:rsidRDefault="00932779" w:rsidP="00932779">
      <w:pPr>
        <w:pStyle w:val="CGCBulletlist"/>
      </w:pPr>
      <w:r w:rsidRPr="006A198D">
        <w:t>NPARIH funds are also used to purchase properties in regional centres under the Employmen</w:t>
      </w:r>
      <w:r w:rsidR="00A143BD" w:rsidRPr="006A198D">
        <w:t xml:space="preserve">t Related Accommodation program, </w:t>
      </w:r>
      <w:r w:rsidRPr="006A198D">
        <w:t>which provide people from remote areas with accommodation services in non-remote areas with high employment need, and needs for those expenses are not assessed.</w:t>
      </w:r>
    </w:p>
    <w:p w:rsidR="00932779" w:rsidRPr="006A198D" w:rsidRDefault="00932779" w:rsidP="00932779">
      <w:pPr>
        <w:pStyle w:val="CGCBulletlist"/>
      </w:pPr>
      <w:r w:rsidRPr="006A198D">
        <w:t>While States are expected to become the major deliverer of remote Indigenous housing, the Commonwealth would remain a major source of funding.</w:t>
      </w:r>
    </w:p>
    <w:p w:rsidR="00932779" w:rsidRPr="006A198D" w:rsidRDefault="00932779" w:rsidP="00932779">
      <w:pPr>
        <w:pStyle w:val="CGCBulletlist"/>
      </w:pPr>
      <w:r w:rsidRPr="006A198D">
        <w:lastRenderedPageBreak/>
        <w:t>The regional cost factor and Indigenous cost weight may not be representative for non</w:t>
      </w:r>
      <w:r w:rsidRPr="006A198D">
        <w:noBreakHyphen/>
        <w:t>mainstream Indigenous housing in remote and very remote areas.</w:t>
      </w:r>
    </w:p>
    <w:p w:rsidR="00932779" w:rsidRPr="006A198D" w:rsidRDefault="00932779" w:rsidP="00932779">
      <w:pPr>
        <w:pStyle w:val="CGCBulletlist"/>
      </w:pPr>
      <w:r w:rsidRPr="006A198D">
        <w:t>The shares of NPARIH funding that Western Australia and the Northern Territory received up to 2014</w:t>
      </w:r>
      <w:r w:rsidRPr="006A198D">
        <w:noBreakHyphen/>
        <w:t>15 were broadly in line with their shares of the remote and very remote Indigenous population. However, the shares of funding differ substantially throughout the agreement, with the Northern Territory receiving a higher share of the funding in earlier years, and Western Australia receiving a higher share in later years.</w:t>
      </w:r>
    </w:p>
    <w:p w:rsidR="00932779" w:rsidRPr="006A198D" w:rsidRDefault="00932779" w:rsidP="00932779">
      <w:pPr>
        <w:pStyle w:val="CGCBulletlist"/>
      </w:pPr>
      <w:r w:rsidRPr="006A198D">
        <w:t>NPARIH is the continuation of previous agreements, which were quarantined by the terms of reference.</w:t>
      </w:r>
    </w:p>
    <w:p w:rsidR="00932779" w:rsidRPr="006A198D" w:rsidRDefault="00932779" w:rsidP="00932779">
      <w:pPr>
        <w:pStyle w:val="CGCBulletlist"/>
      </w:pPr>
      <w:r w:rsidRPr="006A198D">
        <w:t xml:space="preserve">The current land tenure arrangements increase construction and tenancy management costs. </w:t>
      </w:r>
    </w:p>
    <w:p w:rsidR="00932779" w:rsidRPr="006A198D" w:rsidRDefault="00932779" w:rsidP="00932779">
      <w:pPr>
        <w:pStyle w:val="CGCNumberedPara"/>
        <w:numPr>
          <w:ilvl w:val="1"/>
          <w:numId w:val="2"/>
        </w:numPr>
        <w:rPr>
          <w:lang w:val="en-US"/>
        </w:rPr>
      </w:pPr>
      <w:r w:rsidRPr="006A198D">
        <w:t xml:space="preserve">New South Wales said </w:t>
      </w:r>
      <w:r w:rsidRPr="006A198D">
        <w:rPr>
          <w:lang w:val="en-US"/>
        </w:rPr>
        <w:t>the Commission should retain the 2015 Review assessment. It considered the Commission’s current assessments of social housing expenses and infrastructure already include recognition of disabilities related to providing remote Indigenous housing. Given this recognition, and the difficulty in the context of the 2016 Update of adequately investigating the issues, New South Wales considered changing the current treatments would be premature.</w:t>
      </w:r>
    </w:p>
    <w:p w:rsidR="00932779" w:rsidRPr="006A198D" w:rsidRDefault="00932779" w:rsidP="00932779">
      <w:pPr>
        <w:pStyle w:val="CGCNumberedPara"/>
        <w:numPr>
          <w:ilvl w:val="1"/>
          <w:numId w:val="2"/>
        </w:numPr>
        <w:rPr>
          <w:lang w:val="en-US"/>
        </w:rPr>
      </w:pPr>
      <w:r w:rsidRPr="006A198D">
        <w:rPr>
          <w:lang w:val="en-US"/>
        </w:rPr>
        <w:t>In any case, New South Wales expressed concerns about the validity of the past under-investment argument. It said that interstate differences between inherited housing stocks could be due to factors other than Commonwealth policy, such as jurisdiction policy on investment in and maintenance of State housing stock and State resource allocation decisions over time. It noted that, while the Commonwealth was the predominant funder of New South Wales remote housing prior to the NPARIH, the New South Wales Government has always had a commitment to the provision of affordable and appropriate housing State-wide.</w:t>
      </w:r>
    </w:p>
    <w:p w:rsidR="00932779" w:rsidRPr="006A198D" w:rsidRDefault="00932779" w:rsidP="00932779">
      <w:pPr>
        <w:pStyle w:val="CGCNumberedPara"/>
        <w:numPr>
          <w:ilvl w:val="1"/>
          <w:numId w:val="2"/>
        </w:numPr>
        <w:rPr>
          <w:lang w:val="en-US"/>
        </w:rPr>
      </w:pPr>
      <w:r w:rsidRPr="006A198D">
        <w:rPr>
          <w:lang w:val="en-US"/>
        </w:rPr>
        <w:t>It added that, during the period covered by NPARIH, the Commonwealth also has provided other remote housing funding to States under, for example, the housing components of the East Kimberley Development Package and the Stronger Futures for the Northern Territory program (the former treated as impacting on the GST distribution, and the latter, under terms of reference, treated as not impacting on the GST distribution).</w:t>
      </w:r>
    </w:p>
    <w:p w:rsidR="00932779" w:rsidRPr="006A198D" w:rsidRDefault="00932779" w:rsidP="00932779">
      <w:pPr>
        <w:pStyle w:val="CGCNumberedPara"/>
        <w:numPr>
          <w:ilvl w:val="1"/>
          <w:numId w:val="2"/>
        </w:numPr>
      </w:pPr>
      <w:r w:rsidRPr="006A198D">
        <w:t>Victoria considered that any change from the approach taken in the 2015 Review needed to be based on reliable evidence to establish that the current approach is not recognising needs and that this non-recognition will have a material impact.</w:t>
      </w:r>
    </w:p>
    <w:p w:rsidR="00932779" w:rsidRPr="006A198D" w:rsidRDefault="00932779" w:rsidP="00932779">
      <w:pPr>
        <w:pStyle w:val="Heading5"/>
        <w:rPr>
          <w:caps/>
        </w:rPr>
      </w:pPr>
      <w:bookmarkStart w:id="779" w:name="_Toc442949184"/>
      <w:r w:rsidRPr="006A198D">
        <w:t>Analysis</w:t>
      </w:r>
      <w:bookmarkEnd w:id="779"/>
    </w:p>
    <w:p w:rsidR="00932779" w:rsidRPr="006A198D" w:rsidRDefault="00932779" w:rsidP="00932779">
      <w:pPr>
        <w:pStyle w:val="CGCNumberedPara"/>
        <w:numPr>
          <w:ilvl w:val="1"/>
          <w:numId w:val="2"/>
        </w:numPr>
      </w:pPr>
      <w:r w:rsidRPr="006A198D">
        <w:fldChar w:fldCharType="begin"/>
      </w:r>
      <w:r w:rsidRPr="006A198D">
        <w:instrText xml:space="preserve"> REF _Ref437851025 \h  \* MERGEFORMAT </w:instrText>
      </w:r>
      <w:r w:rsidRPr="006A198D">
        <w:fldChar w:fldCharType="separate"/>
      </w:r>
      <w:r w:rsidR="007A6AF0" w:rsidRPr="006A198D">
        <w:t xml:space="preserve">Table </w:t>
      </w:r>
      <w:r w:rsidR="007A6AF0">
        <w:rPr>
          <w:noProof/>
        </w:rPr>
        <w:t>2</w:t>
      </w:r>
      <w:r w:rsidR="007A6AF0" w:rsidRPr="006A198D">
        <w:rPr>
          <w:noProof/>
        </w:rPr>
        <w:noBreakHyphen/>
      </w:r>
      <w:r w:rsidR="007A6AF0">
        <w:rPr>
          <w:noProof/>
        </w:rPr>
        <w:t>8</w:t>
      </w:r>
      <w:r w:rsidRPr="006A198D">
        <w:fldChar w:fldCharType="end"/>
      </w:r>
      <w:r w:rsidRPr="006A198D">
        <w:t xml:space="preserve"> shows the annual and total distribution of NPARIH funding. The total funding shares for the first seven years of the program are reasonably correlated with our assessment of State </w:t>
      </w:r>
      <w:r w:rsidRPr="006A198D">
        <w:rPr>
          <w:rFonts w:cstheme="minorHAnsi"/>
        </w:rPr>
        <w:t>shares of remote Indigenous households</w:t>
      </w:r>
      <w:r w:rsidRPr="006A198D">
        <w:t xml:space="preserve">, with only </w:t>
      </w:r>
      <w:r w:rsidRPr="006A198D">
        <w:lastRenderedPageBreak/>
        <w:t xml:space="preserve">Queensland and Western Australia receiving significantly lesser shares and the Northern Territory receiving a significantly greater share. </w:t>
      </w:r>
    </w:p>
    <w:p w:rsidR="00932779" w:rsidRPr="006A198D" w:rsidRDefault="00932779" w:rsidP="00932779">
      <w:pPr>
        <w:pStyle w:val="CGCTableHeading"/>
      </w:pPr>
      <w:bookmarkStart w:id="780" w:name="_Ref437851025"/>
      <w:r w:rsidRPr="006A198D">
        <w:t xml:space="preserve">Table </w:t>
      </w:r>
      <w:r w:rsidR="0014378B">
        <w:fldChar w:fldCharType="begin"/>
      </w:r>
      <w:r w:rsidR="0014378B">
        <w:instrText xml:space="preserve"> STYLEREF 1 \s </w:instrText>
      </w:r>
      <w:r w:rsidR="0014378B">
        <w:fldChar w:fldCharType="separate"/>
      </w:r>
      <w:r w:rsidR="007A6AF0">
        <w:rPr>
          <w:noProof/>
        </w:rPr>
        <w:t>2</w:t>
      </w:r>
      <w:r w:rsidR="0014378B">
        <w:rPr>
          <w:noProof/>
        </w:rPr>
        <w:fldChar w:fldCharType="end"/>
      </w:r>
      <w:r w:rsidRPr="006A198D">
        <w:noBreakHyphen/>
      </w:r>
      <w:r w:rsidR="0014378B">
        <w:fldChar w:fldCharType="begin"/>
      </w:r>
      <w:r w:rsidR="0014378B">
        <w:instrText xml:space="preserve"> SEQ Table \* ARABIC \s 1 </w:instrText>
      </w:r>
      <w:r w:rsidR="0014378B">
        <w:fldChar w:fldCharType="separate"/>
      </w:r>
      <w:r w:rsidR="007A6AF0">
        <w:rPr>
          <w:noProof/>
        </w:rPr>
        <w:t>8</w:t>
      </w:r>
      <w:r w:rsidR="0014378B">
        <w:rPr>
          <w:noProof/>
        </w:rPr>
        <w:fldChar w:fldCharType="end"/>
      </w:r>
      <w:bookmarkEnd w:id="780"/>
      <w:r w:rsidRPr="006A198D">
        <w:tab/>
        <w:t>N</w:t>
      </w:r>
      <w:r w:rsidR="006A198D">
        <w:t>PA</w:t>
      </w:r>
      <w:r w:rsidRPr="006A198D">
        <w:t>RIH funding, 2008-09 to 2017-18</w:t>
      </w:r>
    </w:p>
    <w:tbl>
      <w:tblPr>
        <w:tblW w:w="8980" w:type="dxa"/>
        <w:tblLayout w:type="fixed"/>
        <w:tblCellMar>
          <w:left w:w="0" w:type="dxa"/>
          <w:right w:w="0" w:type="dxa"/>
        </w:tblCellMar>
        <w:tblLook w:val="04A0" w:firstRow="1" w:lastRow="0" w:firstColumn="1" w:lastColumn="0" w:noHBand="0" w:noVBand="1"/>
      </w:tblPr>
      <w:tblGrid>
        <w:gridCol w:w="2127"/>
        <w:gridCol w:w="761"/>
        <w:gridCol w:w="761"/>
        <w:gridCol w:w="762"/>
        <w:gridCol w:w="761"/>
        <w:gridCol w:w="762"/>
        <w:gridCol w:w="761"/>
        <w:gridCol w:w="762"/>
        <w:gridCol w:w="761"/>
        <w:gridCol w:w="762"/>
      </w:tblGrid>
      <w:tr w:rsidR="00697ED2" w:rsidRPr="00697ED2" w:rsidTr="003C4656">
        <w:trPr>
          <w:trHeight w:val="379"/>
        </w:trPr>
        <w:tc>
          <w:tcPr>
            <w:tcW w:w="2127"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697ED2">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bookmarkStart w:id="781" w:name="RANGE!A3:J25"/>
            <w:r w:rsidRPr="00697ED2">
              <w:rPr>
                <w:rFonts w:ascii="Calibri" w:eastAsia="Times New Roman" w:hAnsi="Calibri" w:cs="Times New Roman"/>
                <w:sz w:val="20"/>
                <w:szCs w:val="20"/>
                <w:lang w:eastAsia="en-AU"/>
              </w:rPr>
              <w:t> </w:t>
            </w:r>
            <w:bookmarkEnd w:id="781"/>
          </w:p>
        </w:tc>
        <w:tc>
          <w:tcPr>
            <w:tcW w:w="761"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NSW</w:t>
            </w:r>
          </w:p>
        </w:tc>
        <w:tc>
          <w:tcPr>
            <w:tcW w:w="761"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Vic</w:t>
            </w:r>
          </w:p>
        </w:tc>
        <w:tc>
          <w:tcPr>
            <w:tcW w:w="762"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Qld</w:t>
            </w:r>
          </w:p>
        </w:tc>
        <w:tc>
          <w:tcPr>
            <w:tcW w:w="761"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WA</w:t>
            </w:r>
          </w:p>
        </w:tc>
        <w:tc>
          <w:tcPr>
            <w:tcW w:w="762"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SA</w:t>
            </w:r>
          </w:p>
        </w:tc>
        <w:tc>
          <w:tcPr>
            <w:tcW w:w="761"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Tas</w:t>
            </w:r>
          </w:p>
        </w:tc>
        <w:tc>
          <w:tcPr>
            <w:tcW w:w="762"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ACT</w:t>
            </w:r>
          </w:p>
        </w:tc>
        <w:tc>
          <w:tcPr>
            <w:tcW w:w="761"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NT</w:t>
            </w:r>
          </w:p>
        </w:tc>
        <w:tc>
          <w:tcPr>
            <w:tcW w:w="762"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Total</w:t>
            </w:r>
          </w:p>
        </w:tc>
      </w:tr>
      <w:tr w:rsidR="00697ED2" w:rsidRPr="00697ED2" w:rsidTr="003C4656">
        <w:trPr>
          <w:trHeight w:val="259"/>
        </w:trPr>
        <w:tc>
          <w:tcPr>
            <w:tcW w:w="2127"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ind w:left="193" w:hanging="142"/>
              <w:rPr>
                <w:rFonts w:ascii="Calibri" w:eastAsia="Times New Roman" w:hAnsi="Calibri" w:cs="Times New Roman"/>
                <w:sz w:val="20"/>
                <w:szCs w:val="20"/>
                <w:lang w:eastAsia="en-AU"/>
              </w:rPr>
            </w:pPr>
          </w:p>
        </w:tc>
        <w:tc>
          <w:tcPr>
            <w:tcW w:w="761"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$m</w:t>
            </w:r>
          </w:p>
        </w:tc>
        <w:tc>
          <w:tcPr>
            <w:tcW w:w="761"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$m</w:t>
            </w:r>
          </w:p>
        </w:tc>
        <w:tc>
          <w:tcPr>
            <w:tcW w:w="762"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$m</w:t>
            </w:r>
          </w:p>
        </w:tc>
        <w:tc>
          <w:tcPr>
            <w:tcW w:w="761"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$m</w:t>
            </w:r>
          </w:p>
        </w:tc>
        <w:tc>
          <w:tcPr>
            <w:tcW w:w="762"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$m</w:t>
            </w:r>
          </w:p>
        </w:tc>
        <w:tc>
          <w:tcPr>
            <w:tcW w:w="761"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$m</w:t>
            </w:r>
          </w:p>
        </w:tc>
        <w:tc>
          <w:tcPr>
            <w:tcW w:w="762"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$m</w:t>
            </w:r>
          </w:p>
        </w:tc>
        <w:tc>
          <w:tcPr>
            <w:tcW w:w="761"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$m</w:t>
            </w:r>
          </w:p>
        </w:tc>
        <w:tc>
          <w:tcPr>
            <w:tcW w:w="762"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$m</w:t>
            </w:r>
          </w:p>
        </w:tc>
      </w:tr>
      <w:tr w:rsidR="00697ED2" w:rsidRPr="00697ED2" w:rsidTr="003C4656">
        <w:trPr>
          <w:trHeight w:val="315"/>
        </w:trPr>
        <w:tc>
          <w:tcPr>
            <w:tcW w:w="2127"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2008-09</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30</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110</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50</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14</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147</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354</w:t>
            </w:r>
          </w:p>
        </w:tc>
      </w:tr>
      <w:tr w:rsidR="00697ED2" w:rsidRPr="00697ED2" w:rsidTr="003C4656">
        <w:trPr>
          <w:trHeight w:val="315"/>
        </w:trPr>
        <w:tc>
          <w:tcPr>
            <w:tcW w:w="2127"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2009-10</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140</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7</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63</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165</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98</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6</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132</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611</w:t>
            </w:r>
          </w:p>
        </w:tc>
      </w:tr>
      <w:tr w:rsidR="00697ED2" w:rsidRPr="00697ED2" w:rsidTr="003C4656">
        <w:trPr>
          <w:trHeight w:val="315"/>
        </w:trPr>
        <w:tc>
          <w:tcPr>
            <w:tcW w:w="2127"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2010-11</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23</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70</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86</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19</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471</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675</w:t>
            </w:r>
          </w:p>
        </w:tc>
      </w:tr>
      <w:tr w:rsidR="00697ED2" w:rsidRPr="00697ED2" w:rsidTr="003C4656">
        <w:trPr>
          <w:trHeight w:val="315"/>
        </w:trPr>
        <w:tc>
          <w:tcPr>
            <w:tcW w:w="2127"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2011-12</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36</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145</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172</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45</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390</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794</w:t>
            </w:r>
          </w:p>
        </w:tc>
      </w:tr>
      <w:tr w:rsidR="00697ED2" w:rsidRPr="00697ED2" w:rsidTr="003C4656">
        <w:trPr>
          <w:trHeight w:val="315"/>
        </w:trPr>
        <w:tc>
          <w:tcPr>
            <w:tcW w:w="2127"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2012-13</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19</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97</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55</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6</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122</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303</w:t>
            </w:r>
          </w:p>
        </w:tc>
      </w:tr>
      <w:tr w:rsidR="00697ED2" w:rsidRPr="00697ED2" w:rsidTr="003C4656">
        <w:trPr>
          <w:trHeight w:val="315"/>
        </w:trPr>
        <w:tc>
          <w:tcPr>
            <w:tcW w:w="2127"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2013-14</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45</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178</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191</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36</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86</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536</w:t>
            </w:r>
          </w:p>
        </w:tc>
      </w:tr>
      <w:tr w:rsidR="00697ED2" w:rsidRPr="00697ED2" w:rsidTr="003C4656">
        <w:trPr>
          <w:trHeight w:val="315"/>
        </w:trPr>
        <w:tc>
          <w:tcPr>
            <w:tcW w:w="2127"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2014-15</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61</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143</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147</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28</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71</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455</w:t>
            </w:r>
          </w:p>
        </w:tc>
      </w:tr>
      <w:tr w:rsidR="00697ED2" w:rsidRPr="00697ED2" w:rsidTr="003C4656">
        <w:trPr>
          <w:trHeight w:val="315"/>
        </w:trPr>
        <w:tc>
          <w:tcPr>
            <w:tcW w:w="2127"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2015-16 (a)</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363</w:t>
            </w:r>
          </w:p>
        </w:tc>
      </w:tr>
      <w:tr w:rsidR="00697ED2" w:rsidRPr="00697ED2" w:rsidTr="003C4656">
        <w:trPr>
          <w:trHeight w:val="315"/>
        </w:trPr>
        <w:tc>
          <w:tcPr>
            <w:tcW w:w="2127"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2016-17 (a)</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407</w:t>
            </w:r>
          </w:p>
        </w:tc>
      </w:tr>
      <w:tr w:rsidR="00697ED2" w:rsidRPr="00697ED2" w:rsidTr="003C4656">
        <w:trPr>
          <w:trHeight w:val="315"/>
        </w:trPr>
        <w:tc>
          <w:tcPr>
            <w:tcW w:w="2127"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2017-18 (a)</w:t>
            </w:r>
          </w:p>
        </w:tc>
        <w:tc>
          <w:tcPr>
            <w:tcW w:w="761" w:type="dxa"/>
            <w:tcBorders>
              <w:top w:val="nil"/>
              <w:left w:val="nil"/>
              <w:bottom w:val="single" w:sz="4" w:space="0" w:color="auto"/>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1" w:type="dxa"/>
            <w:tcBorders>
              <w:top w:val="nil"/>
              <w:left w:val="nil"/>
              <w:bottom w:val="single" w:sz="4" w:space="0" w:color="auto"/>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2" w:type="dxa"/>
            <w:tcBorders>
              <w:top w:val="nil"/>
              <w:left w:val="nil"/>
              <w:bottom w:val="single" w:sz="4" w:space="0" w:color="auto"/>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1" w:type="dxa"/>
            <w:tcBorders>
              <w:top w:val="nil"/>
              <w:left w:val="nil"/>
              <w:bottom w:val="single" w:sz="4" w:space="0" w:color="auto"/>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2" w:type="dxa"/>
            <w:tcBorders>
              <w:top w:val="nil"/>
              <w:left w:val="nil"/>
              <w:bottom w:val="single" w:sz="4" w:space="0" w:color="auto"/>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1" w:type="dxa"/>
            <w:tcBorders>
              <w:top w:val="nil"/>
              <w:left w:val="nil"/>
              <w:bottom w:val="single" w:sz="4" w:space="0" w:color="auto"/>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2" w:type="dxa"/>
            <w:tcBorders>
              <w:top w:val="nil"/>
              <w:left w:val="nil"/>
              <w:bottom w:val="single" w:sz="4" w:space="0" w:color="auto"/>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1" w:type="dxa"/>
            <w:tcBorders>
              <w:top w:val="nil"/>
              <w:left w:val="nil"/>
              <w:bottom w:val="single" w:sz="4" w:space="0" w:color="auto"/>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2" w:type="dxa"/>
            <w:tcBorders>
              <w:top w:val="nil"/>
              <w:left w:val="nil"/>
              <w:bottom w:val="single" w:sz="4" w:space="0" w:color="auto"/>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362</w:t>
            </w:r>
          </w:p>
        </w:tc>
      </w:tr>
      <w:tr w:rsidR="00697ED2" w:rsidRPr="00697ED2" w:rsidTr="003C4656">
        <w:trPr>
          <w:trHeight w:val="259"/>
        </w:trPr>
        <w:tc>
          <w:tcPr>
            <w:tcW w:w="2127"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ind w:left="193" w:hanging="142"/>
              <w:rPr>
                <w:rFonts w:ascii="Calibri" w:eastAsia="Times New Roman" w:hAnsi="Calibri" w:cs="Times New Roman"/>
                <w:sz w:val="20"/>
                <w:szCs w:val="20"/>
                <w:lang w:eastAsia="en-AU"/>
              </w:rPr>
            </w:pP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r>
      <w:tr w:rsidR="00697ED2" w:rsidRPr="00697ED2" w:rsidTr="003C4656">
        <w:trPr>
          <w:trHeight w:val="315"/>
        </w:trPr>
        <w:tc>
          <w:tcPr>
            <w:tcW w:w="2127"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2008-09</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8.6</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0.8</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30.9</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14.1</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4.0</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0.2</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0.1</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41.4</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100.0</w:t>
            </w:r>
          </w:p>
        </w:tc>
      </w:tr>
      <w:tr w:rsidR="00697ED2" w:rsidRPr="00697ED2" w:rsidTr="003C4656">
        <w:trPr>
          <w:trHeight w:val="315"/>
        </w:trPr>
        <w:tc>
          <w:tcPr>
            <w:tcW w:w="2127"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2009-10</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22.9</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1.1</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10.3</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27.0</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16.0</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1.0</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0.0</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21.7</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100.0</w:t>
            </w:r>
          </w:p>
        </w:tc>
      </w:tr>
      <w:tr w:rsidR="00697ED2" w:rsidRPr="00697ED2" w:rsidTr="003C4656">
        <w:trPr>
          <w:trHeight w:val="315"/>
        </w:trPr>
        <w:tc>
          <w:tcPr>
            <w:tcW w:w="2127"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2010-11</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3.4</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0.5</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10.4</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12.7</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2.9</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0.3</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0.0</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69.8</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100.0</w:t>
            </w:r>
          </w:p>
        </w:tc>
      </w:tr>
      <w:tr w:rsidR="00697ED2" w:rsidRPr="00697ED2" w:rsidTr="003C4656">
        <w:trPr>
          <w:trHeight w:val="315"/>
        </w:trPr>
        <w:tc>
          <w:tcPr>
            <w:tcW w:w="2127"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2011-12</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4.5</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0.3</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18.3</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21.6</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5.7</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0.4</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0.0</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49.1</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100.0</w:t>
            </w:r>
          </w:p>
        </w:tc>
      </w:tr>
      <w:tr w:rsidR="00697ED2" w:rsidRPr="00697ED2" w:rsidTr="003C4656">
        <w:trPr>
          <w:trHeight w:val="315"/>
        </w:trPr>
        <w:tc>
          <w:tcPr>
            <w:tcW w:w="2127"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2012-13</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6.1</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0.8</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32.0</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18.3</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1.9</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0.8</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0.0</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40.1</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100.0</w:t>
            </w:r>
          </w:p>
        </w:tc>
      </w:tr>
      <w:tr w:rsidR="00697ED2" w:rsidRPr="00697ED2" w:rsidTr="003C4656">
        <w:trPr>
          <w:trHeight w:val="315"/>
        </w:trPr>
        <w:tc>
          <w:tcPr>
            <w:tcW w:w="2127"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2013-14</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8.3</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0.0</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33.1</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35.7</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6.8</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0.0</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0.0</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16.0</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100.0</w:t>
            </w:r>
          </w:p>
        </w:tc>
      </w:tr>
      <w:tr w:rsidR="00697ED2" w:rsidRPr="00697ED2" w:rsidTr="003C4656">
        <w:trPr>
          <w:trHeight w:val="315"/>
        </w:trPr>
        <w:tc>
          <w:tcPr>
            <w:tcW w:w="2127"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2014-15</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13.3</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0.5</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31.6</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32.3</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6.1</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0.5</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0.0</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15.6</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100.0</w:t>
            </w:r>
          </w:p>
        </w:tc>
      </w:tr>
      <w:tr w:rsidR="00697ED2" w:rsidRPr="00697ED2" w:rsidTr="003C4656">
        <w:trPr>
          <w:trHeight w:val="315"/>
        </w:trPr>
        <w:tc>
          <w:tcPr>
            <w:tcW w:w="2127" w:type="dxa"/>
            <w:tcBorders>
              <w:top w:val="nil"/>
              <w:left w:val="nil"/>
              <w:bottom w:val="nil"/>
              <w:right w:val="nil"/>
            </w:tcBorders>
            <w:shd w:val="clear" w:color="auto" w:fill="auto"/>
            <w:vAlign w:val="bottom"/>
            <w:hideMark/>
          </w:tcPr>
          <w:p w:rsidR="00697ED2" w:rsidRPr="00697ED2" w:rsidRDefault="00697ED2" w:rsidP="00697ED2">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Total</w:t>
            </w:r>
          </w:p>
        </w:tc>
        <w:tc>
          <w:tcPr>
            <w:tcW w:w="761" w:type="dxa"/>
            <w:tcBorders>
              <w:top w:val="single" w:sz="4" w:space="0" w:color="auto"/>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9.5</w:t>
            </w:r>
          </w:p>
        </w:tc>
        <w:tc>
          <w:tcPr>
            <w:tcW w:w="761" w:type="dxa"/>
            <w:tcBorders>
              <w:top w:val="single" w:sz="4" w:space="0" w:color="auto"/>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0.5</w:t>
            </w:r>
          </w:p>
        </w:tc>
        <w:tc>
          <w:tcPr>
            <w:tcW w:w="762" w:type="dxa"/>
            <w:tcBorders>
              <w:top w:val="single" w:sz="4" w:space="0" w:color="auto"/>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21.6</w:t>
            </w:r>
          </w:p>
        </w:tc>
        <w:tc>
          <w:tcPr>
            <w:tcW w:w="761" w:type="dxa"/>
            <w:tcBorders>
              <w:top w:val="single" w:sz="4" w:space="0" w:color="auto"/>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23.2</w:t>
            </w:r>
          </w:p>
        </w:tc>
        <w:tc>
          <w:tcPr>
            <w:tcW w:w="762" w:type="dxa"/>
            <w:tcBorders>
              <w:top w:val="single" w:sz="4" w:space="0" w:color="auto"/>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6.6</w:t>
            </w:r>
          </w:p>
        </w:tc>
        <w:tc>
          <w:tcPr>
            <w:tcW w:w="761" w:type="dxa"/>
            <w:tcBorders>
              <w:top w:val="single" w:sz="4" w:space="0" w:color="auto"/>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0.5</w:t>
            </w:r>
          </w:p>
        </w:tc>
        <w:tc>
          <w:tcPr>
            <w:tcW w:w="762" w:type="dxa"/>
            <w:tcBorders>
              <w:top w:val="single" w:sz="4" w:space="0" w:color="auto"/>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0.0</w:t>
            </w:r>
          </w:p>
        </w:tc>
        <w:tc>
          <w:tcPr>
            <w:tcW w:w="761" w:type="dxa"/>
            <w:tcBorders>
              <w:top w:val="single" w:sz="4" w:space="0" w:color="auto"/>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38.1</w:t>
            </w:r>
          </w:p>
        </w:tc>
        <w:tc>
          <w:tcPr>
            <w:tcW w:w="762" w:type="dxa"/>
            <w:tcBorders>
              <w:top w:val="single" w:sz="4" w:space="0" w:color="auto"/>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100.0</w:t>
            </w:r>
          </w:p>
        </w:tc>
      </w:tr>
      <w:tr w:rsidR="00697ED2" w:rsidRPr="00697ED2" w:rsidTr="003C4656">
        <w:trPr>
          <w:trHeight w:val="259"/>
        </w:trPr>
        <w:tc>
          <w:tcPr>
            <w:tcW w:w="2127"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ind w:left="193" w:hanging="142"/>
              <w:rPr>
                <w:rFonts w:ascii="Calibri" w:eastAsia="Times New Roman" w:hAnsi="Calibri" w:cs="Times New Roman"/>
                <w:sz w:val="20"/>
                <w:szCs w:val="20"/>
                <w:lang w:eastAsia="en-AU"/>
              </w:rPr>
            </w:pP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1"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2" w:type="dxa"/>
            <w:tcBorders>
              <w:top w:val="nil"/>
              <w:left w:val="nil"/>
              <w:bottom w:val="nil"/>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r>
      <w:tr w:rsidR="00697ED2" w:rsidRPr="00697ED2" w:rsidTr="003C4656">
        <w:trPr>
          <w:trHeight w:val="795"/>
        </w:trPr>
        <w:tc>
          <w:tcPr>
            <w:tcW w:w="2127" w:type="dxa"/>
            <w:tcBorders>
              <w:top w:val="nil"/>
              <w:left w:val="nil"/>
              <w:bottom w:val="single" w:sz="4" w:space="0" w:color="auto"/>
              <w:right w:val="nil"/>
            </w:tcBorders>
            <w:shd w:val="clear" w:color="auto" w:fill="auto"/>
            <w:vAlign w:val="bottom"/>
            <w:hideMark/>
          </w:tcPr>
          <w:p w:rsidR="00697ED2" w:rsidRPr="00697ED2" w:rsidRDefault="00697ED2" w:rsidP="00697ED2">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Shares of assessed remote Indigenous households (2014</w:t>
            </w:r>
            <w:r w:rsidRPr="00697ED2">
              <w:rPr>
                <w:rFonts w:ascii="Calibri" w:eastAsia="Times New Roman" w:hAnsi="Calibri" w:cs="Times New Roman"/>
                <w:sz w:val="20"/>
                <w:szCs w:val="20"/>
                <w:lang w:eastAsia="en-AU"/>
              </w:rPr>
              <w:noBreakHyphen/>
              <w:t>15)</w:t>
            </w:r>
          </w:p>
        </w:tc>
        <w:tc>
          <w:tcPr>
            <w:tcW w:w="761" w:type="dxa"/>
            <w:tcBorders>
              <w:top w:val="nil"/>
              <w:left w:val="nil"/>
              <w:bottom w:val="single" w:sz="4" w:space="0" w:color="auto"/>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9.0</w:t>
            </w:r>
          </w:p>
        </w:tc>
        <w:tc>
          <w:tcPr>
            <w:tcW w:w="761" w:type="dxa"/>
            <w:tcBorders>
              <w:top w:val="nil"/>
              <w:left w:val="nil"/>
              <w:bottom w:val="single" w:sz="4" w:space="0" w:color="auto"/>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0.2</w:t>
            </w:r>
          </w:p>
        </w:tc>
        <w:tc>
          <w:tcPr>
            <w:tcW w:w="762" w:type="dxa"/>
            <w:tcBorders>
              <w:top w:val="nil"/>
              <w:left w:val="nil"/>
              <w:bottom w:val="single" w:sz="4" w:space="0" w:color="auto"/>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27.5</w:t>
            </w:r>
          </w:p>
        </w:tc>
        <w:tc>
          <w:tcPr>
            <w:tcW w:w="761" w:type="dxa"/>
            <w:tcBorders>
              <w:top w:val="nil"/>
              <w:left w:val="nil"/>
              <w:bottom w:val="single" w:sz="4" w:space="0" w:color="auto"/>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26.3</w:t>
            </w:r>
          </w:p>
        </w:tc>
        <w:tc>
          <w:tcPr>
            <w:tcW w:w="762" w:type="dxa"/>
            <w:tcBorders>
              <w:top w:val="nil"/>
              <w:left w:val="nil"/>
              <w:bottom w:val="single" w:sz="4" w:space="0" w:color="auto"/>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6.2</w:t>
            </w:r>
          </w:p>
        </w:tc>
        <w:tc>
          <w:tcPr>
            <w:tcW w:w="761" w:type="dxa"/>
            <w:tcBorders>
              <w:top w:val="nil"/>
              <w:left w:val="nil"/>
              <w:bottom w:val="single" w:sz="4" w:space="0" w:color="auto"/>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1.1</w:t>
            </w:r>
          </w:p>
        </w:tc>
        <w:tc>
          <w:tcPr>
            <w:tcW w:w="762" w:type="dxa"/>
            <w:tcBorders>
              <w:top w:val="nil"/>
              <w:left w:val="nil"/>
              <w:bottom w:val="single" w:sz="4" w:space="0" w:color="auto"/>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0.0</w:t>
            </w:r>
          </w:p>
        </w:tc>
        <w:tc>
          <w:tcPr>
            <w:tcW w:w="761" w:type="dxa"/>
            <w:tcBorders>
              <w:top w:val="nil"/>
              <w:left w:val="nil"/>
              <w:bottom w:val="single" w:sz="4" w:space="0" w:color="auto"/>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29.7</w:t>
            </w:r>
          </w:p>
        </w:tc>
        <w:tc>
          <w:tcPr>
            <w:tcW w:w="762" w:type="dxa"/>
            <w:tcBorders>
              <w:top w:val="nil"/>
              <w:left w:val="nil"/>
              <w:bottom w:val="single" w:sz="4" w:space="0" w:color="auto"/>
              <w:right w:val="nil"/>
            </w:tcBorders>
            <w:shd w:val="clear" w:color="auto" w:fill="auto"/>
            <w:noWrap/>
            <w:vAlign w:val="bottom"/>
            <w:hideMark/>
          </w:tcPr>
          <w:p w:rsidR="00697ED2" w:rsidRPr="00697ED2" w:rsidRDefault="00697ED2" w:rsidP="00697ED2">
            <w:pPr>
              <w:keepNext/>
              <w:keepLines/>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100.0</w:t>
            </w:r>
          </w:p>
        </w:tc>
      </w:tr>
    </w:tbl>
    <w:p w:rsidR="00932779" w:rsidRPr="006A198D" w:rsidRDefault="00932779" w:rsidP="00932779">
      <w:pPr>
        <w:pStyle w:val="CGCTableFootnote"/>
      </w:pPr>
      <w:r w:rsidRPr="006A198D">
        <w:t>(a)</w:t>
      </w:r>
      <w:r w:rsidRPr="006A198D">
        <w:tab/>
        <w:t>State allocations not available.</w:t>
      </w:r>
    </w:p>
    <w:p w:rsidR="00932779" w:rsidRPr="006A198D" w:rsidRDefault="00932779" w:rsidP="00932779">
      <w:pPr>
        <w:pStyle w:val="CGCTableFootnote"/>
      </w:pPr>
      <w:r w:rsidRPr="006A198D">
        <w:t>Source:</w:t>
      </w:r>
      <w:r w:rsidRPr="006A198D">
        <w:tab/>
      </w:r>
      <w:r w:rsidR="00E83075">
        <w:t xml:space="preserve">Commonwealth of Australia’s </w:t>
      </w:r>
      <w:r w:rsidRPr="006A198D">
        <w:rPr>
          <w:i/>
        </w:rPr>
        <w:t>Final Budget Outcome</w:t>
      </w:r>
      <w:r w:rsidRPr="006A198D">
        <w:t xml:space="preserve">, various years. </w:t>
      </w:r>
      <w:r w:rsidR="00E83075" w:rsidRPr="00E83075">
        <w:rPr>
          <w:i/>
        </w:rPr>
        <w:t xml:space="preserve">Commonwealth </w:t>
      </w:r>
      <w:r w:rsidRPr="006A198D">
        <w:rPr>
          <w:i/>
        </w:rPr>
        <w:t>Budget Paper no</w:t>
      </w:r>
      <w:r w:rsidR="00E83075">
        <w:rPr>
          <w:i/>
        </w:rPr>
        <w:t>.</w:t>
      </w:r>
      <w:r w:rsidRPr="006A198D">
        <w:rPr>
          <w:i/>
        </w:rPr>
        <w:t xml:space="preserve"> 3</w:t>
      </w:r>
      <w:r w:rsidRPr="006A198D">
        <w:t xml:space="preserve"> for 2015-16 to 2017-18. </w:t>
      </w:r>
    </w:p>
    <w:p w:rsidR="00932779" w:rsidRPr="006A198D" w:rsidRDefault="00932779" w:rsidP="00932779">
      <w:pPr>
        <w:pStyle w:val="NoSpacing"/>
      </w:pPr>
    </w:p>
    <w:p w:rsidR="00932779" w:rsidRPr="006A198D" w:rsidRDefault="00932779" w:rsidP="00932779">
      <w:pPr>
        <w:pStyle w:val="CGCNumberedPara"/>
        <w:numPr>
          <w:ilvl w:val="1"/>
          <w:numId w:val="2"/>
        </w:numPr>
      </w:pPr>
      <w:r w:rsidRPr="006A198D">
        <w:t>However the interstate distribution has changed over time. The Northern Territory received a greater share of funding in the earlier part of the period covered by the agreement. Queensland and Western Australia have received greater shares of the payments in more recent years. This view is supported by confidential State data on when new houses have been, or are being</w:t>
      </w:r>
      <w:r w:rsidR="00E83075">
        <w:t>,</w:t>
      </w:r>
      <w:r w:rsidRPr="006A198D">
        <w:t xml:space="preserve"> built.</w:t>
      </w:r>
      <w:r w:rsidRPr="006A198D">
        <w:rPr>
          <w:rStyle w:val="FootnoteReference"/>
        </w:rPr>
        <w:footnoteReference w:id="17"/>
      </w:r>
      <w:r w:rsidRPr="006A198D">
        <w:t xml:space="preserve"> These show that the building program in the Northern Territory has slowed while the programs in Queensland and Western Australia are increasing.</w:t>
      </w:r>
    </w:p>
    <w:p w:rsidR="00932779" w:rsidRPr="006A198D" w:rsidRDefault="00932779" w:rsidP="00932779">
      <w:pPr>
        <w:pStyle w:val="CGCNumberedPara"/>
        <w:numPr>
          <w:ilvl w:val="1"/>
          <w:numId w:val="2"/>
        </w:numPr>
      </w:pPr>
      <w:r w:rsidRPr="006A198D">
        <w:lastRenderedPageBreak/>
        <w:t>There are two issues which require further consideration and are discussed below.</w:t>
      </w:r>
    </w:p>
    <w:p w:rsidR="00932779" w:rsidRPr="006A198D" w:rsidRDefault="00932779" w:rsidP="00932779">
      <w:pPr>
        <w:pStyle w:val="CGCBulletlist"/>
      </w:pPr>
      <w:r w:rsidRPr="006A198D">
        <w:t>What is the appropriate treatment of NPARIH funding that is being used to address any past differential investment in the stock of remote Indigenous housing, prior to its transfer to the States?</w:t>
      </w:r>
    </w:p>
    <w:p w:rsidR="00932779" w:rsidRPr="006A198D" w:rsidRDefault="00932779" w:rsidP="00932779">
      <w:pPr>
        <w:pStyle w:val="CGCBulletlist"/>
      </w:pPr>
      <w:r w:rsidRPr="006A198D">
        <w:t>Should higher management costs experienced by some States be recognised in the assessment?</w:t>
      </w:r>
    </w:p>
    <w:p w:rsidR="00932779" w:rsidRPr="006A198D" w:rsidRDefault="00932779" w:rsidP="00932779">
      <w:pPr>
        <w:pStyle w:val="CGCNumberedPara"/>
        <w:numPr>
          <w:ilvl w:val="1"/>
          <w:numId w:val="2"/>
        </w:numPr>
      </w:pPr>
      <w:r w:rsidRPr="006A198D">
        <w:t xml:space="preserve">We do not consider it necessary to assess needs relating to NPARIH funds spent on the employment related accommodation program. As the proportion of funds spent on this purpose is very small, any needs assessed would be immaterial. </w:t>
      </w:r>
    </w:p>
    <w:p w:rsidR="00932779" w:rsidRPr="006A198D" w:rsidRDefault="00932779" w:rsidP="00932779">
      <w:pPr>
        <w:pStyle w:val="CGCNumberedPara"/>
        <w:numPr>
          <w:ilvl w:val="1"/>
          <w:numId w:val="2"/>
        </w:numPr>
      </w:pPr>
      <w:r w:rsidRPr="006A198D">
        <w:t>Nor do we consider it necessary to give further consideration to whether NPARIH is a continuation of previous agreements which were quarantined by terms of reference because this issue was dealt with in the 2015 Review Report (volume 2, page 248).</w:t>
      </w:r>
    </w:p>
    <w:p w:rsidR="00932779" w:rsidRPr="006A198D" w:rsidRDefault="00932779" w:rsidP="00932779">
      <w:pPr>
        <w:pStyle w:val="CGCNumberedPara"/>
        <w:numPr>
          <w:ilvl w:val="1"/>
          <w:numId w:val="2"/>
        </w:numPr>
      </w:pPr>
      <w:r w:rsidRPr="006A198D">
        <w:rPr>
          <w:rStyle w:val="Heading6Char"/>
        </w:rPr>
        <w:t>Past differential under</w:t>
      </w:r>
      <w:r w:rsidRPr="006A198D">
        <w:rPr>
          <w:rStyle w:val="Heading6Char"/>
        </w:rPr>
        <w:noBreakHyphen/>
        <w:t xml:space="preserve">investment. </w:t>
      </w:r>
      <w:r w:rsidRPr="006A198D">
        <w:t>We recognise that, historically, the Commonwealth’s funding of investment in remote Indigenous housing has varied across the States and the distribution of the resultant housing stock may not align with a distribution which would provide the same standard of housing services among the States. Differential overcrowding and reductions in crowding in locations where NPARIH investment has taken place are used to illustrate the success of NPARIH in the latest review of the program.</w:t>
      </w:r>
      <w:r w:rsidRPr="006A198D">
        <w:rPr>
          <w:rStyle w:val="FootnoteReference"/>
        </w:rPr>
        <w:footnoteReference w:id="18"/>
      </w:r>
    </w:p>
    <w:p w:rsidR="00932779" w:rsidRPr="006A198D" w:rsidRDefault="00932779" w:rsidP="00932779">
      <w:pPr>
        <w:pStyle w:val="CGCNumberedPara"/>
        <w:numPr>
          <w:ilvl w:val="1"/>
          <w:numId w:val="2"/>
        </w:numPr>
      </w:pPr>
      <w:r w:rsidRPr="006A198D">
        <w:fldChar w:fldCharType="begin"/>
      </w:r>
      <w:r w:rsidRPr="006A198D">
        <w:instrText xml:space="preserve"> REF _Ref437851082 \h  \* MERGEFORMAT </w:instrText>
      </w:r>
      <w:r w:rsidRPr="006A198D">
        <w:fldChar w:fldCharType="separate"/>
      </w:r>
      <w:r w:rsidR="007A6AF0" w:rsidRPr="006A198D">
        <w:t xml:space="preserve">Table </w:t>
      </w:r>
      <w:r w:rsidR="007A6AF0">
        <w:rPr>
          <w:noProof/>
        </w:rPr>
        <w:t>2</w:t>
      </w:r>
      <w:r w:rsidR="007A6AF0" w:rsidRPr="006A198D">
        <w:rPr>
          <w:noProof/>
        </w:rPr>
        <w:noBreakHyphen/>
      </w:r>
      <w:r w:rsidR="007A6AF0">
        <w:rPr>
          <w:noProof/>
        </w:rPr>
        <w:t>9</w:t>
      </w:r>
      <w:r w:rsidRPr="006A198D">
        <w:fldChar w:fldCharType="end"/>
      </w:r>
      <w:r w:rsidRPr="006A198D">
        <w:t xml:space="preserve"> shows </w:t>
      </w:r>
      <w:r w:rsidR="00E83075">
        <w:t>AIHW</w:t>
      </w:r>
      <w:r w:rsidRPr="006A198D">
        <w:t xml:space="preserve"> data on overcrowding in Indigenous households. The data indicate that the Indigenous populations of Queensland, Western Australia and especially the Northern Territory have high rates of overcrowding – the States receiving most of the NPARIH funding. The Progress Review report indicates the rates are much worse in remote areas but have decreased since the 2006 Census.</w:t>
      </w:r>
    </w:p>
    <w:p w:rsidR="00932779" w:rsidRPr="006A198D" w:rsidRDefault="00932779" w:rsidP="00932779">
      <w:pPr>
        <w:pStyle w:val="CGCNumberedPara"/>
        <w:numPr>
          <w:ilvl w:val="1"/>
          <w:numId w:val="2"/>
        </w:numPr>
      </w:pPr>
      <w:r w:rsidRPr="006A198D">
        <w:t xml:space="preserve">However, these differences in the proportion of Indigenous households across States which are overcrowded can be due to more than one influence. In its 2014 report </w:t>
      </w:r>
      <w:r w:rsidRPr="006A198D">
        <w:rPr>
          <w:i/>
        </w:rPr>
        <w:t>Housing circumstances and Indigenous households</w:t>
      </w:r>
      <w:r w:rsidRPr="006A198D">
        <w:t>, the AIHW noted the concept of overcrowding can be subjective and influenced by a number of factors including cultural and housing design considerations. In addition, the differential rates of overcrowding across States could be due to differences in State and Commonwealth policies. It is difficult to be certain of the main driver.</w:t>
      </w:r>
    </w:p>
    <w:p w:rsidR="00932779" w:rsidRPr="006A198D" w:rsidRDefault="00932779" w:rsidP="00932779">
      <w:pPr>
        <w:pStyle w:val="CGCTableHeading"/>
      </w:pPr>
      <w:bookmarkStart w:id="782" w:name="_Ref437851082"/>
      <w:r w:rsidRPr="006A198D">
        <w:t xml:space="preserve">Table </w:t>
      </w:r>
      <w:r w:rsidR="0014378B">
        <w:fldChar w:fldCharType="begin"/>
      </w:r>
      <w:r w:rsidR="0014378B">
        <w:instrText xml:space="preserve"> STYLEREF 1 \s </w:instrText>
      </w:r>
      <w:r w:rsidR="0014378B">
        <w:fldChar w:fldCharType="separate"/>
      </w:r>
      <w:r w:rsidR="007A6AF0">
        <w:rPr>
          <w:noProof/>
        </w:rPr>
        <w:t>2</w:t>
      </w:r>
      <w:r w:rsidR="0014378B">
        <w:rPr>
          <w:noProof/>
        </w:rPr>
        <w:fldChar w:fldCharType="end"/>
      </w:r>
      <w:r w:rsidRPr="006A198D">
        <w:noBreakHyphen/>
      </w:r>
      <w:r w:rsidR="0014378B">
        <w:fldChar w:fldCharType="begin"/>
      </w:r>
      <w:r w:rsidR="0014378B">
        <w:instrText xml:space="preserve"> SEQ Table \* ARABIC \s 1 </w:instrText>
      </w:r>
      <w:r w:rsidR="0014378B">
        <w:fldChar w:fldCharType="separate"/>
      </w:r>
      <w:r w:rsidR="007A6AF0">
        <w:rPr>
          <w:noProof/>
        </w:rPr>
        <w:t>9</w:t>
      </w:r>
      <w:r w:rsidR="0014378B">
        <w:rPr>
          <w:noProof/>
        </w:rPr>
        <w:fldChar w:fldCharType="end"/>
      </w:r>
      <w:bookmarkEnd w:id="782"/>
      <w:r w:rsidRPr="006A198D">
        <w:tab/>
        <w:t>Overcrowding in Indigenous households, by State, 2011 Census</w:t>
      </w:r>
    </w:p>
    <w:tbl>
      <w:tblPr>
        <w:tblW w:w="9000" w:type="dxa"/>
        <w:tblInd w:w="93" w:type="dxa"/>
        <w:tblLook w:val="04A0" w:firstRow="1" w:lastRow="0" w:firstColumn="1" w:lastColumn="0" w:noHBand="0" w:noVBand="1"/>
      </w:tblPr>
      <w:tblGrid>
        <w:gridCol w:w="2340"/>
        <w:gridCol w:w="780"/>
        <w:gridCol w:w="640"/>
        <w:gridCol w:w="760"/>
        <w:gridCol w:w="760"/>
        <w:gridCol w:w="760"/>
        <w:gridCol w:w="680"/>
        <w:gridCol w:w="700"/>
        <w:gridCol w:w="760"/>
        <w:gridCol w:w="820"/>
      </w:tblGrid>
      <w:tr w:rsidR="00697ED2" w:rsidRPr="00697ED2" w:rsidTr="00697ED2">
        <w:trPr>
          <w:trHeight w:val="379"/>
        </w:trPr>
        <w:tc>
          <w:tcPr>
            <w:tcW w:w="2340"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bookmarkStart w:id="783" w:name="RANGE!A4:J6"/>
            <w:r w:rsidRPr="00697ED2">
              <w:rPr>
                <w:rFonts w:ascii="Calibri" w:eastAsia="Times New Roman" w:hAnsi="Calibri" w:cs="Times New Roman"/>
                <w:sz w:val="20"/>
                <w:szCs w:val="20"/>
                <w:lang w:eastAsia="en-AU"/>
              </w:rPr>
              <w:t> </w:t>
            </w:r>
            <w:bookmarkEnd w:id="783"/>
          </w:p>
        </w:tc>
        <w:tc>
          <w:tcPr>
            <w:tcW w:w="780"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NSW</w:t>
            </w:r>
          </w:p>
        </w:tc>
        <w:tc>
          <w:tcPr>
            <w:tcW w:w="640"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Vic</w:t>
            </w:r>
          </w:p>
        </w:tc>
        <w:tc>
          <w:tcPr>
            <w:tcW w:w="760"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Qld</w:t>
            </w:r>
          </w:p>
        </w:tc>
        <w:tc>
          <w:tcPr>
            <w:tcW w:w="760"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WA</w:t>
            </w:r>
          </w:p>
        </w:tc>
        <w:tc>
          <w:tcPr>
            <w:tcW w:w="760"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SA</w:t>
            </w:r>
          </w:p>
        </w:tc>
        <w:tc>
          <w:tcPr>
            <w:tcW w:w="680"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Tas</w:t>
            </w:r>
          </w:p>
        </w:tc>
        <w:tc>
          <w:tcPr>
            <w:tcW w:w="700"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ACT</w:t>
            </w:r>
          </w:p>
        </w:tc>
        <w:tc>
          <w:tcPr>
            <w:tcW w:w="760"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NT</w:t>
            </w:r>
          </w:p>
        </w:tc>
        <w:tc>
          <w:tcPr>
            <w:tcW w:w="820" w:type="dxa"/>
            <w:tcBorders>
              <w:top w:val="single" w:sz="4" w:space="0" w:color="auto"/>
              <w:left w:val="nil"/>
              <w:bottom w:val="single" w:sz="4" w:space="0" w:color="auto"/>
              <w:right w:val="nil"/>
            </w:tcBorders>
            <w:shd w:val="clear" w:color="auto" w:fill="auto"/>
            <w:noWrap/>
            <w:vAlign w:val="center"/>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Total</w:t>
            </w:r>
          </w:p>
        </w:tc>
      </w:tr>
      <w:tr w:rsidR="00697ED2" w:rsidRPr="00697ED2" w:rsidTr="00697ED2">
        <w:trPr>
          <w:trHeight w:val="259"/>
        </w:trPr>
        <w:tc>
          <w:tcPr>
            <w:tcW w:w="2340" w:type="dxa"/>
            <w:tcBorders>
              <w:top w:val="nil"/>
              <w:left w:val="nil"/>
              <w:bottom w:val="nil"/>
              <w:right w:val="nil"/>
            </w:tcBorders>
            <w:shd w:val="clear" w:color="auto" w:fill="auto"/>
            <w:noWrap/>
            <w:vAlign w:val="bottom"/>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p>
        </w:tc>
        <w:tc>
          <w:tcPr>
            <w:tcW w:w="780" w:type="dxa"/>
            <w:tcBorders>
              <w:top w:val="nil"/>
              <w:left w:val="nil"/>
              <w:bottom w:val="nil"/>
              <w:right w:val="nil"/>
            </w:tcBorders>
            <w:shd w:val="clear" w:color="auto" w:fill="auto"/>
            <w:noWrap/>
            <w:vAlign w:val="bottom"/>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640" w:type="dxa"/>
            <w:tcBorders>
              <w:top w:val="nil"/>
              <w:left w:val="nil"/>
              <w:bottom w:val="nil"/>
              <w:right w:val="nil"/>
            </w:tcBorders>
            <w:shd w:val="clear" w:color="auto" w:fill="auto"/>
            <w:noWrap/>
            <w:vAlign w:val="bottom"/>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0" w:type="dxa"/>
            <w:tcBorders>
              <w:top w:val="nil"/>
              <w:left w:val="nil"/>
              <w:bottom w:val="nil"/>
              <w:right w:val="nil"/>
            </w:tcBorders>
            <w:shd w:val="clear" w:color="auto" w:fill="auto"/>
            <w:noWrap/>
            <w:vAlign w:val="bottom"/>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0" w:type="dxa"/>
            <w:tcBorders>
              <w:top w:val="nil"/>
              <w:left w:val="nil"/>
              <w:bottom w:val="nil"/>
              <w:right w:val="nil"/>
            </w:tcBorders>
            <w:shd w:val="clear" w:color="auto" w:fill="auto"/>
            <w:noWrap/>
            <w:vAlign w:val="bottom"/>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0" w:type="dxa"/>
            <w:tcBorders>
              <w:top w:val="nil"/>
              <w:left w:val="nil"/>
              <w:bottom w:val="nil"/>
              <w:right w:val="nil"/>
            </w:tcBorders>
            <w:shd w:val="clear" w:color="auto" w:fill="auto"/>
            <w:noWrap/>
            <w:vAlign w:val="bottom"/>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680" w:type="dxa"/>
            <w:tcBorders>
              <w:top w:val="nil"/>
              <w:left w:val="nil"/>
              <w:bottom w:val="nil"/>
              <w:right w:val="nil"/>
            </w:tcBorders>
            <w:shd w:val="clear" w:color="auto" w:fill="auto"/>
            <w:noWrap/>
            <w:vAlign w:val="bottom"/>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00" w:type="dxa"/>
            <w:tcBorders>
              <w:top w:val="nil"/>
              <w:left w:val="nil"/>
              <w:bottom w:val="nil"/>
              <w:right w:val="nil"/>
            </w:tcBorders>
            <w:shd w:val="clear" w:color="auto" w:fill="auto"/>
            <w:noWrap/>
            <w:vAlign w:val="bottom"/>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760" w:type="dxa"/>
            <w:tcBorders>
              <w:top w:val="nil"/>
              <w:left w:val="nil"/>
              <w:bottom w:val="nil"/>
              <w:right w:val="nil"/>
            </w:tcBorders>
            <w:shd w:val="clear" w:color="auto" w:fill="auto"/>
            <w:noWrap/>
            <w:vAlign w:val="bottom"/>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c>
          <w:tcPr>
            <w:tcW w:w="820" w:type="dxa"/>
            <w:tcBorders>
              <w:top w:val="nil"/>
              <w:left w:val="nil"/>
              <w:bottom w:val="nil"/>
              <w:right w:val="nil"/>
            </w:tcBorders>
            <w:shd w:val="clear" w:color="auto" w:fill="auto"/>
            <w:noWrap/>
            <w:vAlign w:val="bottom"/>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w:t>
            </w:r>
          </w:p>
        </w:tc>
      </w:tr>
      <w:tr w:rsidR="00697ED2" w:rsidRPr="00697ED2" w:rsidTr="00697ED2">
        <w:trPr>
          <w:trHeight w:val="315"/>
        </w:trPr>
        <w:tc>
          <w:tcPr>
            <w:tcW w:w="2340" w:type="dxa"/>
            <w:tcBorders>
              <w:top w:val="nil"/>
              <w:left w:val="nil"/>
              <w:bottom w:val="single" w:sz="4" w:space="0" w:color="auto"/>
              <w:right w:val="nil"/>
            </w:tcBorders>
            <w:shd w:val="clear" w:color="auto" w:fill="auto"/>
            <w:vAlign w:val="bottom"/>
            <w:hideMark/>
          </w:tcPr>
          <w:p w:rsidR="00697ED2" w:rsidRPr="00697ED2" w:rsidRDefault="00697ED2" w:rsidP="00697ED2">
            <w:pPr>
              <w:tabs>
                <w:tab w:val="clear" w:pos="567"/>
              </w:tabs>
              <w:spacing w:after="0" w:line="240" w:lineRule="auto"/>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Indigenous households</w:t>
            </w:r>
          </w:p>
        </w:tc>
        <w:tc>
          <w:tcPr>
            <w:tcW w:w="780" w:type="dxa"/>
            <w:tcBorders>
              <w:top w:val="nil"/>
              <w:left w:val="nil"/>
              <w:bottom w:val="single" w:sz="4" w:space="0" w:color="auto"/>
              <w:right w:val="nil"/>
            </w:tcBorders>
            <w:shd w:val="clear" w:color="auto" w:fill="auto"/>
            <w:vAlign w:val="bottom"/>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9.9</w:t>
            </w:r>
          </w:p>
        </w:tc>
        <w:tc>
          <w:tcPr>
            <w:tcW w:w="640" w:type="dxa"/>
            <w:tcBorders>
              <w:top w:val="nil"/>
              <w:left w:val="nil"/>
              <w:bottom w:val="single" w:sz="4" w:space="0" w:color="auto"/>
              <w:right w:val="nil"/>
            </w:tcBorders>
            <w:shd w:val="clear" w:color="auto" w:fill="auto"/>
            <w:vAlign w:val="bottom"/>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9.0</w:t>
            </w:r>
          </w:p>
        </w:tc>
        <w:tc>
          <w:tcPr>
            <w:tcW w:w="760" w:type="dxa"/>
            <w:tcBorders>
              <w:top w:val="nil"/>
              <w:left w:val="nil"/>
              <w:bottom w:val="single" w:sz="4" w:space="0" w:color="auto"/>
              <w:right w:val="nil"/>
            </w:tcBorders>
            <w:shd w:val="clear" w:color="auto" w:fill="auto"/>
            <w:vAlign w:val="bottom"/>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13.6</w:t>
            </w:r>
          </w:p>
        </w:tc>
        <w:tc>
          <w:tcPr>
            <w:tcW w:w="760" w:type="dxa"/>
            <w:tcBorders>
              <w:top w:val="nil"/>
              <w:left w:val="nil"/>
              <w:bottom w:val="single" w:sz="4" w:space="0" w:color="auto"/>
              <w:right w:val="nil"/>
            </w:tcBorders>
            <w:shd w:val="clear" w:color="auto" w:fill="auto"/>
            <w:vAlign w:val="bottom"/>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15.6</w:t>
            </w:r>
          </w:p>
        </w:tc>
        <w:tc>
          <w:tcPr>
            <w:tcW w:w="760" w:type="dxa"/>
            <w:tcBorders>
              <w:top w:val="nil"/>
              <w:left w:val="nil"/>
              <w:bottom w:val="single" w:sz="4" w:space="0" w:color="auto"/>
              <w:right w:val="nil"/>
            </w:tcBorders>
            <w:shd w:val="clear" w:color="auto" w:fill="auto"/>
            <w:vAlign w:val="bottom"/>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10.7</w:t>
            </w:r>
          </w:p>
        </w:tc>
        <w:tc>
          <w:tcPr>
            <w:tcW w:w="680" w:type="dxa"/>
            <w:tcBorders>
              <w:top w:val="nil"/>
              <w:left w:val="nil"/>
              <w:bottom w:val="single" w:sz="4" w:space="0" w:color="auto"/>
              <w:right w:val="nil"/>
            </w:tcBorders>
            <w:shd w:val="clear" w:color="auto" w:fill="auto"/>
            <w:vAlign w:val="bottom"/>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6.4</w:t>
            </w:r>
          </w:p>
        </w:tc>
        <w:tc>
          <w:tcPr>
            <w:tcW w:w="700" w:type="dxa"/>
            <w:tcBorders>
              <w:top w:val="nil"/>
              <w:left w:val="nil"/>
              <w:bottom w:val="single" w:sz="4" w:space="0" w:color="auto"/>
              <w:right w:val="nil"/>
            </w:tcBorders>
            <w:shd w:val="clear" w:color="auto" w:fill="auto"/>
            <w:vAlign w:val="bottom"/>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6.9</w:t>
            </w:r>
          </w:p>
        </w:tc>
        <w:tc>
          <w:tcPr>
            <w:tcW w:w="760" w:type="dxa"/>
            <w:tcBorders>
              <w:top w:val="nil"/>
              <w:left w:val="nil"/>
              <w:bottom w:val="single" w:sz="4" w:space="0" w:color="auto"/>
              <w:right w:val="nil"/>
            </w:tcBorders>
            <w:shd w:val="clear" w:color="auto" w:fill="auto"/>
            <w:vAlign w:val="bottom"/>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37.5</w:t>
            </w:r>
          </w:p>
        </w:tc>
        <w:tc>
          <w:tcPr>
            <w:tcW w:w="820" w:type="dxa"/>
            <w:tcBorders>
              <w:top w:val="nil"/>
              <w:left w:val="nil"/>
              <w:bottom w:val="single" w:sz="4" w:space="0" w:color="auto"/>
              <w:right w:val="nil"/>
            </w:tcBorders>
            <w:shd w:val="clear" w:color="auto" w:fill="auto"/>
            <w:vAlign w:val="bottom"/>
            <w:hideMark/>
          </w:tcPr>
          <w:p w:rsidR="00697ED2" w:rsidRPr="00697ED2" w:rsidRDefault="00697ED2" w:rsidP="00697ED2">
            <w:pPr>
              <w:tabs>
                <w:tab w:val="clear" w:pos="567"/>
              </w:tabs>
              <w:spacing w:after="0" w:line="240" w:lineRule="auto"/>
              <w:jc w:val="right"/>
              <w:rPr>
                <w:rFonts w:ascii="Calibri" w:eastAsia="Times New Roman" w:hAnsi="Calibri" w:cs="Times New Roman"/>
                <w:sz w:val="20"/>
                <w:szCs w:val="20"/>
                <w:lang w:eastAsia="en-AU"/>
              </w:rPr>
            </w:pPr>
            <w:r w:rsidRPr="00697ED2">
              <w:rPr>
                <w:rFonts w:ascii="Calibri" w:eastAsia="Times New Roman" w:hAnsi="Calibri" w:cs="Times New Roman"/>
                <w:sz w:val="20"/>
                <w:szCs w:val="20"/>
                <w:lang w:eastAsia="en-AU"/>
              </w:rPr>
              <w:t>12.9</w:t>
            </w:r>
          </w:p>
        </w:tc>
      </w:tr>
    </w:tbl>
    <w:p w:rsidR="00932779" w:rsidRPr="006A198D" w:rsidRDefault="00932779" w:rsidP="00932779">
      <w:pPr>
        <w:pStyle w:val="CGCTableFootnote"/>
      </w:pPr>
      <w:r w:rsidRPr="006A198D">
        <w:t>Source:</w:t>
      </w:r>
      <w:r w:rsidRPr="006A198D">
        <w:tab/>
        <w:t>AIHW analyses of unpublished data from the ABS 2011 Census.</w:t>
      </w:r>
    </w:p>
    <w:p w:rsidR="00932779" w:rsidRPr="006A198D" w:rsidRDefault="00932779" w:rsidP="00932779">
      <w:pPr>
        <w:pStyle w:val="CGCNumberedPara"/>
        <w:numPr>
          <w:ilvl w:val="1"/>
          <w:numId w:val="2"/>
        </w:numPr>
      </w:pPr>
      <w:r w:rsidRPr="006A198D">
        <w:lastRenderedPageBreak/>
        <w:t>Nonetheless, at least part of the NPARIH funding appears to be directed to closing the gap so that each State has a common capacity to deliver services. Another part, according to NPARIH agreements, is directed to lifting the overall stock in each State so that service standards approach or equal those provided in non-remote communities.</w:t>
      </w:r>
    </w:p>
    <w:p w:rsidR="00932779" w:rsidRPr="006A198D" w:rsidRDefault="00932779" w:rsidP="00932779">
      <w:pPr>
        <w:pStyle w:val="CGCNumberedPara"/>
        <w:numPr>
          <w:ilvl w:val="1"/>
          <w:numId w:val="2"/>
        </w:numPr>
      </w:pPr>
      <w:r w:rsidRPr="006A198D">
        <w:t>While our investment assessment makes provision for investment designed to increase overall housing stocks, it makes no provision for investment designed to close gaps between actual stocks and the stock needed to provide average service levels. In most cases such gaps would be the result of past State policy choice and equalisation does not seek to compensate for those past policy decisions. Similarly</w:t>
      </w:r>
      <w:r w:rsidR="00E83075">
        <w:t>,</w:t>
      </w:r>
      <w:r w:rsidRPr="006A198D">
        <w:t xml:space="preserve"> Commonwealth funding to close such gaps, which were the result of State policy choice, would also be treated so that their fiscal impact was equalised.</w:t>
      </w:r>
    </w:p>
    <w:p w:rsidR="00932779" w:rsidRPr="006A198D" w:rsidRDefault="00932779" w:rsidP="00932779">
      <w:pPr>
        <w:pStyle w:val="CGCNumberedPara"/>
      </w:pPr>
      <w:r w:rsidRPr="006A198D">
        <w:t>However</w:t>
      </w:r>
      <w:r w:rsidR="00E83075">
        <w:t>,</w:t>
      </w:r>
      <w:r w:rsidRPr="006A198D">
        <w:t xml:space="preserve"> if such gaps were not the consequence of past State policy choice, then Commonwealth payments to close these gaps should not be treated in such a way as to equalise their fiscal impact, because the Commission’s investment assessment makes no provision for such differential investment. This is particularly apposite in this case when there is a transfer of responsibility and assets to the States. Unless the stock being transferred to State management, or the stock plus part of the Commonwealth payment, matches that needed to provide average service standards, States will not have the capacity to provide average service levels and fiscal equ</w:t>
      </w:r>
      <w:r w:rsidR="00256173">
        <w:t>alisation will not be achieved.</w:t>
      </w:r>
    </w:p>
    <w:p w:rsidR="00932779" w:rsidRPr="006A198D" w:rsidRDefault="00932779" w:rsidP="00932779">
      <w:pPr>
        <w:pStyle w:val="CGCNumberedPara"/>
        <w:numPr>
          <w:ilvl w:val="1"/>
          <w:numId w:val="2"/>
        </w:numPr>
      </w:pPr>
      <w:r w:rsidRPr="006A198D">
        <w:t>If there is a differential gap between the inherited stock and the stock that a State would be assessed to need to provide the average level of service, and this differential gap is the result of Commonwealth not State policy, then a disability should be assessed to recognise differential State needs. If assessing a disability is not possible, then the funding relating to this disability should not impact on the relativities.</w:t>
      </w:r>
    </w:p>
    <w:p w:rsidR="00932779" w:rsidRPr="006A198D" w:rsidRDefault="00932779" w:rsidP="00932779">
      <w:pPr>
        <w:pStyle w:val="CGCNumberedPara"/>
        <w:numPr>
          <w:ilvl w:val="1"/>
          <w:numId w:val="2"/>
        </w:numPr>
      </w:pPr>
      <w:bookmarkStart w:id="784" w:name="_Ref436036928"/>
      <w:r w:rsidRPr="006A198D">
        <w:t>After reviewing the data and other information provided by States, the Commission is concerned that it may be missing a disability associated with past differential investment by the Commonwealth which NPARIH is intended, among other purposes, to address. While it is not certain that the differences are the result of only Commonwealth policy, it is clear that there are observed differences in overcrowding and that the Commonwealth is providing larger shares of funding to States with the greatest problems as part of the process of transferring Commonwealth</w:t>
      </w:r>
      <w:r w:rsidRPr="006A198D">
        <w:noBreakHyphen/>
        <w:t>funded assets to the States.</w:t>
      </w:r>
    </w:p>
    <w:bookmarkEnd w:id="784"/>
    <w:p w:rsidR="00932779" w:rsidRPr="006A198D" w:rsidRDefault="00932779" w:rsidP="00932779">
      <w:pPr>
        <w:pStyle w:val="CGCNumberedPara"/>
        <w:numPr>
          <w:ilvl w:val="1"/>
          <w:numId w:val="2"/>
        </w:numPr>
      </w:pPr>
      <w:r w:rsidRPr="006A198D">
        <w:rPr>
          <w:rStyle w:val="Heading6Char"/>
        </w:rPr>
        <w:t>Management costs.</w:t>
      </w:r>
      <w:r w:rsidRPr="006A198D">
        <w:t xml:space="preserve"> Some States have argued that their individual circumstances, such as issues associated with land tenure, increase the costs of transfer and management. However, confidential State data do not seem to support this contention. The data show that the Northern Territory spends less per remote Indigenous house than the average amount.</w:t>
      </w:r>
    </w:p>
    <w:p w:rsidR="00932779" w:rsidRPr="006A198D" w:rsidRDefault="00932779" w:rsidP="00932779">
      <w:pPr>
        <w:pStyle w:val="Heading5"/>
        <w:rPr>
          <w:rStyle w:val="Heading6Char"/>
          <w:b/>
          <w:i/>
          <w:iCs w:val="0"/>
        </w:rPr>
      </w:pPr>
      <w:bookmarkStart w:id="785" w:name="_Toc442949185"/>
      <w:r w:rsidRPr="006A198D">
        <w:rPr>
          <w:rStyle w:val="Heading6Char"/>
          <w:b/>
          <w:i/>
          <w:iCs w:val="0"/>
        </w:rPr>
        <w:lastRenderedPageBreak/>
        <w:t>Commission decision</w:t>
      </w:r>
      <w:bookmarkEnd w:id="785"/>
    </w:p>
    <w:p w:rsidR="00932779" w:rsidRPr="006A198D" w:rsidRDefault="00932779" w:rsidP="00932779">
      <w:pPr>
        <w:pStyle w:val="CGCNumberedPara"/>
      </w:pPr>
      <w:r w:rsidRPr="006A198D">
        <w:t>The Commission notes that States are still expected to become the major deliverer of housing for remote Indigenous people by 2017</w:t>
      </w:r>
      <w:r w:rsidRPr="006A198D">
        <w:noBreakHyphen/>
        <w:t xml:space="preserve">18. We recognise that not all Indigenous housing will be under State control or regulation by then but that most of it will be. We therefore consider it appropriate to continue the phasing-in of the ‘impact’ treatment of NPARIH payments. As a result, when 2017-18 becomes the application year for the relativities produced for a 2017 Update, NPARIH will have an impact in all three years. For reasons of simplicity, we have not changed the assessment for housing and housing investment to remove the needs assessed for the years in which the payment does not impact (only one in the 2016 Update).  </w:t>
      </w:r>
    </w:p>
    <w:p w:rsidR="00932779" w:rsidRPr="006A198D" w:rsidRDefault="00932779" w:rsidP="00932779">
      <w:pPr>
        <w:pStyle w:val="CGCNumberedPara"/>
        <w:numPr>
          <w:ilvl w:val="1"/>
          <w:numId w:val="2"/>
        </w:numPr>
      </w:pPr>
      <w:r w:rsidRPr="006A198D">
        <w:t>The Commission is assessing State needs for an average level of operating expenses on, and investment in, remote Indigenous housing. While the regional and Indigenous cost weights may not be perfect, we have no further data to support a change to them. In addition, the evidence we have does not provide sufficient support for the argument that differences in individual State circumstances would result in greater spending on transfer and tenancy management responsibility, and by extension to maintenance. We have not adjusted our assessment for this either.</w:t>
      </w:r>
    </w:p>
    <w:p w:rsidR="00932779" w:rsidRPr="006A198D" w:rsidRDefault="00932779" w:rsidP="00932779">
      <w:pPr>
        <w:pStyle w:val="CGCNumberedPara"/>
        <w:numPr>
          <w:ilvl w:val="1"/>
          <w:numId w:val="2"/>
        </w:numPr>
      </w:pPr>
      <w:r w:rsidRPr="006A198D">
        <w:t>However, at least some part of NPARIH funding appears to be used to overcome differential levels of housing stock in remote Indigenous communities among the States as part of a transfer of these assets to State responsibility. Unless we change our investment assessment to recognise this disability, we will never adjust for any differences between assessed and actual levels of remote Indigenous housing in a State at the time of transfer of responsibility. While we are not certain all the differences are due to Commonwealth policy decisions, we have concluded that they are in part. If NPARIH funding is fixing this gap, then it should not impact on the relativities.</w:t>
      </w:r>
    </w:p>
    <w:p w:rsidR="00932779" w:rsidRPr="006A198D" w:rsidRDefault="00932779" w:rsidP="00932779">
      <w:pPr>
        <w:pStyle w:val="CGCNumberedPara"/>
        <w:numPr>
          <w:ilvl w:val="1"/>
          <w:numId w:val="2"/>
        </w:numPr>
      </w:pPr>
      <w:r w:rsidRPr="006A198D">
        <w:t>As we do not have sufficient evidence to assess a disability with a differential profile among States, we have decided that we will treat part of NPARIH payments to each State as not impacting on the relativities. Confidential State data show that investment in housing appears to constitute some 50% of NPARIH funds at the national level, but part of this represents lifting the average standard of remote Indigenous housing to that of other communities. We have no information on how large that part might be.</w:t>
      </w:r>
    </w:p>
    <w:p w:rsidR="00932779" w:rsidRPr="006A198D" w:rsidRDefault="00932779" w:rsidP="00932779">
      <w:pPr>
        <w:pStyle w:val="CGCNumberedPara"/>
        <w:numPr>
          <w:ilvl w:val="1"/>
          <w:numId w:val="2"/>
        </w:numPr>
      </w:pPr>
      <w:r w:rsidRPr="006A198D">
        <w:t xml:space="preserve">We consider that on balance an outcome closer to fiscal equalisation is reached if we exclude 25% of NPARIH funding from State investment spending and from the NPP treated as impacting on the GST distribution. The other 75% of the funding has been treated as having an impact. </w:t>
      </w:r>
    </w:p>
    <w:p w:rsidR="00932779" w:rsidRPr="006A198D" w:rsidRDefault="00932779" w:rsidP="00932779">
      <w:pPr>
        <w:pStyle w:val="CGCNumberedPara"/>
        <w:numPr>
          <w:ilvl w:val="1"/>
          <w:numId w:val="2"/>
        </w:numPr>
      </w:pPr>
      <w:r w:rsidRPr="006A198D">
        <w:t xml:space="preserve">We will review the treatment of Commonwealth payments for remote Indigenous housing when the replacement program for NPARIH has been negotiated. However, </w:t>
      </w:r>
      <w:r w:rsidRPr="006A198D">
        <w:lastRenderedPageBreak/>
        <w:t xml:space="preserve">we would expect the Commonwealth legacy issues to be resolved by the time the transfer of responsibility is complete in 2017-18 and there will no longer be any needs not assessed after that. </w:t>
      </w:r>
    </w:p>
    <w:p w:rsidR="00932779" w:rsidRPr="006A198D" w:rsidRDefault="00932779" w:rsidP="00C449D2">
      <w:pPr>
        <w:sectPr w:rsidR="00932779" w:rsidRPr="006A198D" w:rsidSect="003C3EBB">
          <w:headerReference w:type="default" r:id="rId70"/>
          <w:footerReference w:type="default" r:id="rId71"/>
          <w:headerReference w:type="first" r:id="rId72"/>
          <w:footnotePr>
            <w:numRestart w:val="eachSect"/>
          </w:footnotePr>
          <w:pgSz w:w="11906" w:h="16838" w:code="9"/>
          <w:pgMar w:top="1701" w:right="1474" w:bottom="1701" w:left="1474" w:header="709" w:footer="709" w:gutter="0"/>
          <w:cols w:space="708"/>
          <w:titlePg/>
          <w:docGrid w:linePitch="360"/>
        </w:sectPr>
      </w:pPr>
    </w:p>
    <w:p w:rsidR="00475B04" w:rsidRPr="006A198D" w:rsidRDefault="00475B04" w:rsidP="00475B04">
      <w:pPr>
        <w:pStyle w:val="Heading1"/>
        <w:numPr>
          <w:ilvl w:val="0"/>
          <w:numId w:val="4"/>
        </w:numPr>
      </w:pPr>
      <w:bookmarkStart w:id="786" w:name="_Toc442192199"/>
      <w:bookmarkStart w:id="787" w:name="_Toc442192264"/>
      <w:bookmarkStart w:id="788" w:name="_Toc442773077"/>
      <w:bookmarkStart w:id="789" w:name="_Toc442773574"/>
      <w:bookmarkStart w:id="790" w:name="_Toc442883312"/>
      <w:bookmarkStart w:id="791" w:name="_Toc442949186"/>
      <w:bookmarkStart w:id="792" w:name="_Ref441242519"/>
      <w:bookmarkStart w:id="793" w:name="_Toc440276301"/>
      <w:bookmarkStart w:id="794" w:name="_Toc440290219"/>
      <w:bookmarkStart w:id="795" w:name="_Toc440361174"/>
      <w:bookmarkEnd w:id="786"/>
      <w:bookmarkEnd w:id="787"/>
      <w:bookmarkEnd w:id="788"/>
      <w:bookmarkEnd w:id="789"/>
      <w:bookmarkEnd w:id="790"/>
      <w:bookmarkEnd w:id="791"/>
    </w:p>
    <w:p w:rsidR="00475B04" w:rsidRPr="00475B04" w:rsidRDefault="00475B04" w:rsidP="00475B04">
      <w:pPr>
        <w:pStyle w:val="Heading2"/>
      </w:pPr>
      <w:bookmarkStart w:id="796" w:name="_Ref441242497"/>
      <w:bookmarkStart w:id="797" w:name="_Toc441656035"/>
      <w:bookmarkStart w:id="798" w:name="_Toc442192200"/>
      <w:bookmarkStart w:id="799" w:name="_Toc442192265"/>
      <w:bookmarkStart w:id="800" w:name="_Toc442773078"/>
      <w:bookmarkStart w:id="801" w:name="_Toc442773575"/>
      <w:bookmarkStart w:id="802" w:name="_Toc442781607"/>
      <w:bookmarkStart w:id="803" w:name="_Toc442785904"/>
      <w:bookmarkStart w:id="804" w:name="_Toc442883313"/>
      <w:bookmarkStart w:id="805" w:name="_Toc442948760"/>
      <w:bookmarkStart w:id="806" w:name="_Toc442949187"/>
      <w:bookmarkEnd w:id="792"/>
      <w:r>
        <w:t>W</w:t>
      </w:r>
      <w:r w:rsidRPr="00475B04">
        <w:t>age costs</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rsidR="00475B04" w:rsidRPr="00475B04" w:rsidRDefault="0081267C" w:rsidP="00475B04">
      <w:pPr>
        <w:pStyle w:val="Heading3"/>
      </w:pPr>
      <w:bookmarkStart w:id="807" w:name="_Toc442772846"/>
      <w:bookmarkStart w:id="808" w:name="_Toc442773079"/>
      <w:bookmarkStart w:id="809" w:name="_Toc442773245"/>
      <w:bookmarkStart w:id="810" w:name="_Toc442773576"/>
      <w:bookmarkStart w:id="811" w:name="_Toc442883314"/>
      <w:bookmarkStart w:id="812" w:name="_Toc442949188"/>
      <w:r>
        <w:t>R</w:t>
      </w:r>
      <w:r w:rsidR="006A198D">
        <w:t>e</w:t>
      </w:r>
      <w:r>
        <w:t>view of the wage costs assessment</w:t>
      </w:r>
      <w:bookmarkEnd w:id="807"/>
      <w:bookmarkEnd w:id="808"/>
      <w:bookmarkEnd w:id="809"/>
      <w:bookmarkEnd w:id="810"/>
      <w:bookmarkEnd w:id="811"/>
      <w:bookmarkEnd w:id="812"/>
    </w:p>
    <w:p w:rsidR="00475B04" w:rsidRPr="00475B04" w:rsidRDefault="00475B04" w:rsidP="00475B04">
      <w:pPr>
        <w:numPr>
          <w:ilvl w:val="1"/>
          <w:numId w:val="2"/>
        </w:numPr>
        <w:tabs>
          <w:tab w:val="num" w:pos="1418"/>
        </w:tabs>
        <w:spacing w:before="120"/>
        <w:rPr>
          <w:szCs w:val="24"/>
        </w:rPr>
      </w:pPr>
      <w:r w:rsidRPr="00475B04">
        <w:rPr>
          <w:szCs w:val="24"/>
        </w:rPr>
        <w:t xml:space="preserve">The </w:t>
      </w:r>
      <w:r w:rsidR="00A143BD">
        <w:rPr>
          <w:szCs w:val="24"/>
        </w:rPr>
        <w:t>W</w:t>
      </w:r>
      <w:r w:rsidRPr="00475B04">
        <w:rPr>
          <w:szCs w:val="24"/>
        </w:rPr>
        <w:t>age costs assessment recognises that comparable public sector employees in different States are paid different wages, partly due to differences in labour markets beyond the control of State governments.</w:t>
      </w:r>
    </w:p>
    <w:p w:rsidR="00475B04" w:rsidRPr="00475B04" w:rsidRDefault="00475B04" w:rsidP="00475B04">
      <w:pPr>
        <w:numPr>
          <w:ilvl w:val="1"/>
          <w:numId w:val="2"/>
        </w:numPr>
        <w:tabs>
          <w:tab w:val="num" w:pos="1418"/>
        </w:tabs>
        <w:spacing w:before="120"/>
        <w:rPr>
          <w:szCs w:val="24"/>
        </w:rPr>
      </w:pPr>
      <w:r w:rsidRPr="00475B04">
        <w:rPr>
          <w:szCs w:val="24"/>
        </w:rPr>
        <w:t xml:space="preserve">In past reviews, this assessment has had a material impact on the distribution of GST revenue. It has been the focus of considerable research and consultation with the States. The evolution of this assessment is set out in a history paper on the </w:t>
      </w:r>
      <w:hyperlink r:id="rId73" w:history="1">
        <w:r w:rsidRPr="0047639F">
          <w:rPr>
            <w:rStyle w:val="Hyperlink"/>
            <w:szCs w:val="24"/>
          </w:rPr>
          <w:t>Commission’s website</w:t>
        </w:r>
      </w:hyperlink>
      <w:r w:rsidR="0047639F">
        <w:rPr>
          <w:szCs w:val="24"/>
        </w:rPr>
        <w:t xml:space="preserve"> (www.cgc.gov.au)</w:t>
      </w:r>
      <w:r w:rsidRPr="00475B04">
        <w:rPr>
          <w:szCs w:val="24"/>
        </w:rPr>
        <w:t xml:space="preserve">. </w:t>
      </w:r>
    </w:p>
    <w:p w:rsidR="00475B04" w:rsidRPr="00475B04" w:rsidRDefault="00475B04" w:rsidP="00475B04">
      <w:pPr>
        <w:numPr>
          <w:ilvl w:val="1"/>
          <w:numId w:val="2"/>
        </w:numPr>
        <w:spacing w:before="120"/>
        <w:rPr>
          <w:szCs w:val="24"/>
        </w:rPr>
      </w:pPr>
      <w:r w:rsidRPr="00475B04">
        <w:rPr>
          <w:szCs w:val="24"/>
        </w:rPr>
        <w:t xml:space="preserve">In its 2015 Methodology Review, the Commission concluded that the fiscal capacities of States continued to be affected by differences in interstate wage costs over which States had no control. It made an assessment using data from the ABS Survey of Education and Training (SET) undertaken in 2009, updated annually using the ABS Wage Price Index (WPI). </w:t>
      </w:r>
    </w:p>
    <w:p w:rsidR="00A143BD" w:rsidRDefault="00475B04" w:rsidP="00475B04">
      <w:pPr>
        <w:numPr>
          <w:ilvl w:val="1"/>
          <w:numId w:val="2"/>
        </w:numPr>
        <w:spacing w:before="120"/>
        <w:rPr>
          <w:szCs w:val="24"/>
        </w:rPr>
      </w:pPr>
      <w:r w:rsidRPr="00475B04">
        <w:rPr>
          <w:szCs w:val="24"/>
        </w:rPr>
        <w:t>The Commission noted that the SET survey was to be discontinued although a new similar survey would become available, which might form the basis of a suitable assessment method. Because the new data would not be available during the methodology review, the Commission committed to a deferred but comprehensive review of the</w:t>
      </w:r>
      <w:r w:rsidR="00A143BD">
        <w:rPr>
          <w:szCs w:val="24"/>
        </w:rPr>
        <w:t xml:space="preserve"> Wage costs assessment. It said:</w:t>
      </w:r>
    </w:p>
    <w:p w:rsidR="00475B04" w:rsidRPr="00475B04" w:rsidRDefault="00475B04" w:rsidP="00A143BD">
      <w:pPr>
        <w:pStyle w:val="CGCQuotation"/>
      </w:pPr>
      <w:proofErr w:type="gramStart"/>
      <w:r w:rsidRPr="00475B04">
        <w:t>when</w:t>
      </w:r>
      <w:proofErr w:type="gramEnd"/>
      <w:r w:rsidRPr="00475B04">
        <w:t xml:space="preserve"> the new data are available … we will need to review whether a conceptual case for the disability continues to exist, and if it does, the most appropriate method to assess it.</w:t>
      </w:r>
      <w:r w:rsidR="00A143BD">
        <w:rPr>
          <w:rStyle w:val="FootnoteReference"/>
        </w:rPr>
        <w:footnoteReference w:id="19"/>
      </w:r>
      <w:r w:rsidRPr="00475B04">
        <w:t xml:space="preserve"> </w:t>
      </w:r>
    </w:p>
    <w:p w:rsidR="00475B04" w:rsidRPr="00475B04" w:rsidRDefault="00475B04" w:rsidP="00475B04">
      <w:pPr>
        <w:numPr>
          <w:ilvl w:val="1"/>
          <w:numId w:val="2"/>
        </w:numPr>
        <w:spacing w:before="120"/>
        <w:rPr>
          <w:szCs w:val="24"/>
        </w:rPr>
      </w:pPr>
      <w:r w:rsidRPr="00475B04">
        <w:rPr>
          <w:szCs w:val="24"/>
        </w:rPr>
        <w:t xml:space="preserve">The Commission has engaged in extensive consultations with the States on both the conceptual case and on the most appropriate assessment method. These include consultations through the 2015 Review which covered conceptual and analytical issues, as well as during the 2016 Update. These are set </w:t>
      </w:r>
      <w:r w:rsidRPr="003546A7">
        <w:rPr>
          <w:szCs w:val="24"/>
        </w:rPr>
        <w:t>out in</w:t>
      </w:r>
      <w:r w:rsidR="003546A7" w:rsidRPr="003546A7">
        <w:rPr>
          <w:szCs w:val="24"/>
        </w:rPr>
        <w:t xml:space="preserve"> </w:t>
      </w:r>
      <w:r w:rsidR="003546A7" w:rsidRPr="003546A7">
        <w:rPr>
          <w:szCs w:val="24"/>
        </w:rPr>
        <w:fldChar w:fldCharType="begin"/>
      </w:r>
      <w:r w:rsidR="003546A7" w:rsidRPr="003546A7">
        <w:rPr>
          <w:szCs w:val="24"/>
        </w:rPr>
        <w:instrText xml:space="preserve"> REF _Ref442273175 \h  \* MERGEFORMAT </w:instrText>
      </w:r>
      <w:r w:rsidR="003546A7" w:rsidRPr="003546A7">
        <w:rPr>
          <w:szCs w:val="24"/>
        </w:rPr>
      </w:r>
      <w:r w:rsidR="003546A7" w:rsidRPr="003546A7">
        <w:rPr>
          <w:szCs w:val="24"/>
        </w:rPr>
        <w:fldChar w:fldCharType="separate"/>
      </w:r>
      <w:r w:rsidR="007A6AF0" w:rsidRPr="003546A7">
        <w:t>Box 3-</w:t>
      </w:r>
      <w:r w:rsidR="007A6AF0">
        <w:t>1</w:t>
      </w:r>
      <w:r w:rsidR="003546A7" w:rsidRPr="003546A7">
        <w:rPr>
          <w:szCs w:val="24"/>
        </w:rPr>
        <w:fldChar w:fldCharType="end"/>
      </w:r>
      <w:r w:rsidRPr="003546A7">
        <w:rPr>
          <w:szCs w:val="24"/>
        </w:rPr>
        <w:t>. The</w:t>
      </w:r>
      <w:r w:rsidRPr="00475B04">
        <w:rPr>
          <w:szCs w:val="24"/>
        </w:rPr>
        <w:t xml:space="preserve"> Commission also sought an external review of the conceptual basis of the assessment, the implications of which are also discussed in this chapter.</w:t>
      </w:r>
      <w:r w:rsidRPr="00475B04">
        <w:rPr>
          <w:szCs w:val="24"/>
          <w:vertAlign w:val="superscript"/>
        </w:rPr>
        <w:footnoteReference w:id="20"/>
      </w:r>
    </w:p>
    <w:p w:rsidR="00475B04" w:rsidRPr="00475B04" w:rsidRDefault="00475B04" w:rsidP="00475B04">
      <w:pPr>
        <w:numPr>
          <w:ilvl w:val="1"/>
          <w:numId w:val="2"/>
        </w:numPr>
        <w:spacing w:before="120"/>
        <w:rPr>
          <w:szCs w:val="24"/>
        </w:rPr>
      </w:pPr>
      <w:r w:rsidRPr="00475B04">
        <w:rPr>
          <w:szCs w:val="24"/>
        </w:rPr>
        <w:lastRenderedPageBreak/>
        <w:t xml:space="preserve">This chapter presents the outcome of the review of the assessment, deferred from the 2015 Review. </w:t>
      </w:r>
    </w:p>
    <w:tbl>
      <w:tblPr>
        <w:tblStyle w:val="TableGrid1"/>
        <w:tblW w:w="0" w:type="auto"/>
        <w:tblLook w:val="04A0" w:firstRow="1" w:lastRow="0" w:firstColumn="1" w:lastColumn="0" w:noHBand="0" w:noVBand="1"/>
      </w:tblPr>
      <w:tblGrid>
        <w:gridCol w:w="9167"/>
      </w:tblGrid>
      <w:tr w:rsidR="00475B04" w:rsidRPr="00475B04" w:rsidTr="00475B04">
        <w:tc>
          <w:tcPr>
            <w:tcW w:w="9167" w:type="dxa"/>
            <w:tcBorders>
              <w:top w:val="nil"/>
              <w:left w:val="nil"/>
              <w:bottom w:val="nil"/>
              <w:right w:val="nil"/>
            </w:tcBorders>
            <w:shd w:val="clear" w:color="auto" w:fill="D9F3E6"/>
          </w:tcPr>
          <w:p w:rsidR="00475B04" w:rsidRPr="003546A7" w:rsidRDefault="003546A7" w:rsidP="00035F33">
            <w:pPr>
              <w:pStyle w:val="Caption"/>
            </w:pPr>
            <w:bookmarkStart w:id="813" w:name="_Ref442273175"/>
            <w:r w:rsidRPr="003546A7">
              <w:t>Box 3-</w:t>
            </w:r>
            <w:r w:rsidR="0014378B">
              <w:fldChar w:fldCharType="begin"/>
            </w:r>
            <w:r w:rsidR="0014378B">
              <w:instrText xml:space="preserve"> SEQ Box \* ARABIC </w:instrText>
            </w:r>
            <w:r w:rsidR="0014378B">
              <w:fldChar w:fldCharType="separate"/>
            </w:r>
            <w:r w:rsidR="007A6AF0">
              <w:rPr>
                <w:noProof/>
              </w:rPr>
              <w:t>1</w:t>
            </w:r>
            <w:r w:rsidR="0014378B">
              <w:rPr>
                <w:noProof/>
              </w:rPr>
              <w:fldChar w:fldCharType="end"/>
            </w:r>
            <w:bookmarkEnd w:id="813"/>
            <w:r w:rsidR="00035F33" w:rsidRPr="006A198D">
              <w:tab/>
            </w:r>
            <w:r w:rsidR="00475B04" w:rsidRPr="003546A7">
              <w:t>Consultation on the Wage costs assessment</w:t>
            </w:r>
          </w:p>
          <w:tbl>
            <w:tblPr>
              <w:tblW w:w="8940" w:type="dxa"/>
              <w:tblLook w:val="04A0" w:firstRow="1" w:lastRow="0" w:firstColumn="1" w:lastColumn="0" w:noHBand="0" w:noVBand="1"/>
            </w:tblPr>
            <w:tblGrid>
              <w:gridCol w:w="1418"/>
              <w:gridCol w:w="7522"/>
            </w:tblGrid>
            <w:tr w:rsidR="00475B04" w:rsidRPr="00475B04" w:rsidTr="003546A7">
              <w:trPr>
                <w:trHeight w:val="375"/>
              </w:trPr>
              <w:tc>
                <w:tcPr>
                  <w:tcW w:w="1418" w:type="dxa"/>
                  <w:tcBorders>
                    <w:top w:val="single" w:sz="4" w:space="0" w:color="auto"/>
                    <w:left w:val="nil"/>
                    <w:bottom w:val="single" w:sz="4" w:space="0" w:color="auto"/>
                    <w:right w:val="nil"/>
                  </w:tcBorders>
                  <w:shd w:val="clear" w:color="auto" w:fill="auto"/>
                  <w:noWrap/>
                  <w:vAlign w:val="center"/>
                  <w:hideMark/>
                </w:tcPr>
                <w:p w:rsidR="00475B04" w:rsidRPr="00475B04" w:rsidRDefault="00475B04" w:rsidP="003546A7">
                  <w:pPr>
                    <w:tabs>
                      <w:tab w:val="clear" w:pos="567"/>
                    </w:tabs>
                    <w:spacing w:after="0" w:line="240" w:lineRule="auto"/>
                    <w:rPr>
                      <w:rFonts w:ascii="Calibri" w:eastAsia="Times New Roman" w:hAnsi="Calibri" w:cs="Times New Roman"/>
                      <w:color w:val="000000"/>
                      <w:sz w:val="20"/>
                      <w:szCs w:val="20"/>
                      <w:lang w:eastAsia="en-AU"/>
                    </w:rPr>
                  </w:pPr>
                  <w:bookmarkStart w:id="814" w:name="RANGE!C2:D22"/>
                  <w:r w:rsidRPr="00475B04">
                    <w:rPr>
                      <w:rFonts w:ascii="Calibri" w:eastAsia="Times New Roman" w:hAnsi="Calibri" w:cs="Times New Roman"/>
                      <w:color w:val="000000"/>
                      <w:sz w:val="20"/>
                      <w:szCs w:val="20"/>
                      <w:lang w:eastAsia="en-AU"/>
                    </w:rPr>
                    <w:t>Date</w:t>
                  </w:r>
                  <w:bookmarkEnd w:id="814"/>
                </w:p>
              </w:tc>
              <w:tc>
                <w:tcPr>
                  <w:tcW w:w="7522" w:type="dxa"/>
                  <w:tcBorders>
                    <w:top w:val="single" w:sz="4" w:space="0" w:color="auto"/>
                    <w:left w:val="nil"/>
                    <w:bottom w:val="single" w:sz="4" w:space="0" w:color="auto"/>
                    <w:right w:val="nil"/>
                  </w:tcBorders>
                  <w:shd w:val="clear" w:color="auto" w:fill="auto"/>
                  <w:noWrap/>
                  <w:vAlign w:val="center"/>
                  <w:hideMark/>
                </w:tcPr>
                <w:p w:rsidR="00475B04" w:rsidRPr="00475B04" w:rsidRDefault="00475B04" w:rsidP="003546A7">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Action</w:t>
                  </w:r>
                </w:p>
              </w:tc>
            </w:tr>
            <w:tr w:rsidR="00475B04" w:rsidRPr="00475B04" w:rsidTr="003546A7">
              <w:trPr>
                <w:trHeight w:val="315"/>
              </w:trPr>
              <w:tc>
                <w:tcPr>
                  <w:tcW w:w="1418" w:type="dxa"/>
                  <w:tcBorders>
                    <w:top w:val="nil"/>
                    <w:left w:val="nil"/>
                    <w:bottom w:val="nil"/>
                    <w:right w:val="nil"/>
                  </w:tcBorders>
                  <w:shd w:val="clear" w:color="auto" w:fill="auto"/>
                  <w:noWrap/>
                  <w:vAlign w:val="center"/>
                  <w:hideMark/>
                </w:tcPr>
                <w:p w:rsidR="00475B04" w:rsidRPr="00475B04" w:rsidRDefault="00475B04" w:rsidP="003546A7">
                  <w:pPr>
                    <w:tabs>
                      <w:tab w:val="clear" w:pos="567"/>
                    </w:tabs>
                    <w:spacing w:after="0" w:line="240" w:lineRule="auto"/>
                    <w:rPr>
                      <w:rFonts w:ascii="Calibri" w:eastAsia="Times New Roman" w:hAnsi="Calibri" w:cs="Times New Roman"/>
                      <w:b/>
                      <w:bCs/>
                      <w:color w:val="000000"/>
                      <w:sz w:val="20"/>
                      <w:szCs w:val="20"/>
                      <w:lang w:eastAsia="en-AU"/>
                    </w:rPr>
                  </w:pPr>
                  <w:r w:rsidRPr="00475B04">
                    <w:rPr>
                      <w:rFonts w:ascii="Calibri" w:eastAsia="Times New Roman" w:hAnsi="Calibri" w:cs="Times New Roman"/>
                      <w:b/>
                      <w:bCs/>
                      <w:color w:val="000000"/>
                      <w:sz w:val="20"/>
                      <w:szCs w:val="20"/>
                      <w:lang w:eastAsia="en-AU"/>
                    </w:rPr>
                    <w:t>2015 Review</w:t>
                  </w:r>
                </w:p>
              </w:tc>
              <w:tc>
                <w:tcPr>
                  <w:tcW w:w="7522" w:type="dxa"/>
                  <w:tcBorders>
                    <w:top w:val="nil"/>
                    <w:left w:val="nil"/>
                    <w:bottom w:val="nil"/>
                    <w:right w:val="nil"/>
                  </w:tcBorders>
                  <w:shd w:val="clear" w:color="auto" w:fill="auto"/>
                  <w:noWrap/>
                  <w:vAlign w:val="bottom"/>
                  <w:hideMark/>
                </w:tcPr>
                <w:p w:rsidR="00475B04" w:rsidRPr="00475B04" w:rsidRDefault="00475B04" w:rsidP="00475B04">
                  <w:pPr>
                    <w:tabs>
                      <w:tab w:val="clear" w:pos="567"/>
                    </w:tabs>
                    <w:spacing w:after="0" w:line="240" w:lineRule="auto"/>
                    <w:jc w:val="right"/>
                    <w:rPr>
                      <w:rFonts w:ascii="Calibri" w:eastAsia="Times New Roman" w:hAnsi="Calibri" w:cs="Times New Roman"/>
                      <w:color w:val="000000"/>
                      <w:sz w:val="20"/>
                      <w:szCs w:val="20"/>
                      <w:lang w:eastAsia="en-AU"/>
                    </w:rPr>
                  </w:pPr>
                </w:p>
              </w:tc>
            </w:tr>
            <w:tr w:rsidR="00475B04" w:rsidRPr="00475B04" w:rsidTr="00475B04">
              <w:trPr>
                <w:trHeight w:val="555"/>
              </w:trPr>
              <w:tc>
                <w:tcPr>
                  <w:tcW w:w="1418"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Oct-13</w:t>
                  </w:r>
                </w:p>
              </w:tc>
              <w:tc>
                <w:tcPr>
                  <w:tcW w:w="7522" w:type="dxa"/>
                  <w:tcBorders>
                    <w:top w:val="nil"/>
                    <w:left w:val="nil"/>
                    <w:bottom w:val="nil"/>
                    <w:right w:val="nil"/>
                  </w:tcBorders>
                  <w:shd w:val="clear" w:color="auto" w:fill="auto"/>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A143BD">
                    <w:rPr>
                      <w:rFonts w:ascii="Calibri" w:eastAsia="Times New Roman" w:hAnsi="Calibri" w:cs="Times New Roman"/>
                      <w:i/>
                      <w:color w:val="000000"/>
                      <w:sz w:val="20"/>
                      <w:szCs w:val="20"/>
                      <w:lang w:eastAsia="en-AU"/>
                    </w:rPr>
                    <w:t>Discussion paper CGC 2013-07</w:t>
                  </w:r>
                  <w:r w:rsidR="00A143BD">
                    <w:rPr>
                      <w:rFonts w:ascii="Calibri" w:eastAsia="Times New Roman" w:hAnsi="Calibri" w:cs="Times New Roman"/>
                      <w:i/>
                      <w:color w:val="000000"/>
                      <w:sz w:val="20"/>
                      <w:szCs w:val="20"/>
                      <w:lang w:eastAsia="en-AU"/>
                    </w:rPr>
                    <w:t>-</w:t>
                  </w:r>
                  <w:r w:rsidRPr="00A143BD">
                    <w:rPr>
                      <w:rFonts w:ascii="Calibri" w:eastAsia="Times New Roman" w:hAnsi="Calibri" w:cs="Times New Roman"/>
                      <w:i/>
                      <w:color w:val="000000"/>
                      <w:sz w:val="20"/>
                      <w:szCs w:val="20"/>
                      <w:lang w:eastAsia="en-AU"/>
                    </w:rPr>
                    <w:t>S Proposed Assessments (Chapter 28 Interstate Wages)</w:t>
                  </w:r>
                  <w:r w:rsidRPr="00475B04">
                    <w:rPr>
                      <w:rFonts w:ascii="Calibri" w:eastAsia="Times New Roman" w:hAnsi="Calibri" w:cs="Times New Roman"/>
                      <w:color w:val="000000"/>
                      <w:sz w:val="20"/>
                      <w:szCs w:val="20"/>
                      <w:lang w:eastAsia="en-AU"/>
                    </w:rPr>
                    <w:t>, introducing concept of capital city-based wage differentials</w:t>
                  </w:r>
                </w:p>
              </w:tc>
            </w:tr>
            <w:tr w:rsidR="00475B04" w:rsidRPr="00475B04" w:rsidTr="00475B04">
              <w:trPr>
                <w:trHeight w:val="315"/>
              </w:trPr>
              <w:tc>
                <w:tcPr>
                  <w:tcW w:w="1418"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Nov-13</w:t>
                  </w:r>
                </w:p>
              </w:tc>
              <w:tc>
                <w:tcPr>
                  <w:tcW w:w="7522"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Multilateral telepresence with States to discuss CGC 2013-07</w:t>
                  </w:r>
                  <w:r w:rsidR="00A143BD">
                    <w:rPr>
                      <w:rFonts w:ascii="Calibri" w:eastAsia="Times New Roman" w:hAnsi="Calibri" w:cs="Times New Roman"/>
                      <w:color w:val="000000"/>
                      <w:sz w:val="20"/>
                      <w:szCs w:val="20"/>
                      <w:lang w:eastAsia="en-AU"/>
                    </w:rPr>
                    <w:t>-</w:t>
                  </w:r>
                  <w:r w:rsidRPr="00475B04">
                    <w:rPr>
                      <w:rFonts w:ascii="Calibri" w:eastAsia="Times New Roman" w:hAnsi="Calibri" w:cs="Times New Roman"/>
                      <w:color w:val="000000"/>
                      <w:sz w:val="20"/>
                      <w:szCs w:val="20"/>
                      <w:lang w:eastAsia="en-AU"/>
                    </w:rPr>
                    <w:t>S</w:t>
                  </w:r>
                </w:p>
              </w:tc>
            </w:tr>
            <w:tr w:rsidR="00475B04" w:rsidRPr="00475B04" w:rsidTr="00475B04">
              <w:trPr>
                <w:trHeight w:val="315"/>
              </w:trPr>
              <w:tc>
                <w:tcPr>
                  <w:tcW w:w="1418"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Jan-14</w:t>
                  </w:r>
                </w:p>
              </w:tc>
              <w:tc>
                <w:tcPr>
                  <w:tcW w:w="7522"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State submissions received on CGC 2013-07</w:t>
                  </w:r>
                  <w:r w:rsidR="00A143BD">
                    <w:rPr>
                      <w:rFonts w:ascii="Calibri" w:eastAsia="Times New Roman" w:hAnsi="Calibri" w:cs="Times New Roman"/>
                      <w:color w:val="000000"/>
                      <w:sz w:val="20"/>
                      <w:szCs w:val="20"/>
                      <w:lang w:eastAsia="en-AU"/>
                    </w:rPr>
                    <w:t>-</w:t>
                  </w:r>
                  <w:r w:rsidRPr="00475B04">
                    <w:rPr>
                      <w:rFonts w:ascii="Calibri" w:eastAsia="Times New Roman" w:hAnsi="Calibri" w:cs="Times New Roman"/>
                      <w:color w:val="000000"/>
                      <w:sz w:val="20"/>
                      <w:szCs w:val="20"/>
                      <w:lang w:eastAsia="en-AU"/>
                    </w:rPr>
                    <w:t>S</w:t>
                  </w:r>
                </w:p>
              </w:tc>
            </w:tr>
            <w:tr w:rsidR="00475B04" w:rsidRPr="00475B04" w:rsidTr="00475B04">
              <w:trPr>
                <w:trHeight w:val="315"/>
              </w:trPr>
              <w:tc>
                <w:tcPr>
                  <w:tcW w:w="1418"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Mar-14</w:t>
                  </w:r>
                </w:p>
              </w:tc>
              <w:tc>
                <w:tcPr>
                  <w:tcW w:w="7522" w:type="dxa"/>
                  <w:tcBorders>
                    <w:top w:val="nil"/>
                    <w:left w:val="nil"/>
                    <w:bottom w:val="nil"/>
                    <w:right w:val="nil"/>
                  </w:tcBorders>
                  <w:shd w:val="clear" w:color="auto" w:fill="auto"/>
                  <w:noWrap/>
                  <w:hideMark/>
                </w:tcPr>
                <w:p w:rsidR="00475B04" w:rsidRPr="00035F33" w:rsidRDefault="00475B04" w:rsidP="00475B04">
                  <w:pPr>
                    <w:tabs>
                      <w:tab w:val="clear" w:pos="567"/>
                    </w:tabs>
                    <w:spacing w:after="0" w:line="240" w:lineRule="auto"/>
                    <w:rPr>
                      <w:rFonts w:ascii="Calibri" w:eastAsia="Times New Roman" w:hAnsi="Calibri" w:cs="Times New Roman"/>
                      <w:i/>
                      <w:color w:val="000000"/>
                      <w:sz w:val="20"/>
                      <w:szCs w:val="20"/>
                      <w:lang w:eastAsia="en-AU"/>
                    </w:rPr>
                  </w:pPr>
                  <w:r w:rsidRPr="00035F33">
                    <w:rPr>
                      <w:rFonts w:ascii="Calibri" w:eastAsia="Times New Roman" w:hAnsi="Calibri" w:cs="Times New Roman"/>
                      <w:i/>
                      <w:color w:val="000000"/>
                      <w:sz w:val="20"/>
                      <w:szCs w:val="20"/>
                      <w:lang w:eastAsia="en-AU"/>
                    </w:rPr>
                    <w:t>Discussion paper CGC 2014-01-S Simplifying the Interstate Wages Regression Model</w:t>
                  </w:r>
                </w:p>
              </w:tc>
            </w:tr>
            <w:tr w:rsidR="00475B04" w:rsidRPr="00475B04" w:rsidTr="00475B04">
              <w:trPr>
                <w:trHeight w:val="315"/>
              </w:trPr>
              <w:tc>
                <w:tcPr>
                  <w:tcW w:w="1418"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Apr-14</w:t>
                  </w:r>
                </w:p>
              </w:tc>
              <w:tc>
                <w:tcPr>
                  <w:tcW w:w="7522"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State submissions received on CGC 2014-01</w:t>
                  </w:r>
                  <w:r w:rsidR="00A143BD">
                    <w:rPr>
                      <w:rFonts w:ascii="Calibri" w:eastAsia="Times New Roman" w:hAnsi="Calibri" w:cs="Times New Roman"/>
                      <w:color w:val="000000"/>
                      <w:sz w:val="20"/>
                      <w:szCs w:val="20"/>
                      <w:lang w:eastAsia="en-AU"/>
                    </w:rPr>
                    <w:t>-</w:t>
                  </w:r>
                  <w:r w:rsidRPr="00475B04">
                    <w:rPr>
                      <w:rFonts w:ascii="Calibri" w:eastAsia="Times New Roman" w:hAnsi="Calibri" w:cs="Times New Roman"/>
                      <w:color w:val="000000"/>
                      <w:sz w:val="20"/>
                      <w:szCs w:val="20"/>
                      <w:lang w:eastAsia="en-AU"/>
                    </w:rPr>
                    <w:t>S</w:t>
                  </w:r>
                </w:p>
              </w:tc>
            </w:tr>
            <w:tr w:rsidR="00475B04" w:rsidRPr="00475B04" w:rsidTr="00475B04">
              <w:trPr>
                <w:trHeight w:val="315"/>
              </w:trPr>
              <w:tc>
                <w:tcPr>
                  <w:tcW w:w="1418"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Sep-14</w:t>
                  </w:r>
                </w:p>
              </w:tc>
              <w:tc>
                <w:tcPr>
                  <w:tcW w:w="7522"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Further State submissions received</w:t>
                  </w:r>
                </w:p>
              </w:tc>
            </w:tr>
            <w:tr w:rsidR="00475B04" w:rsidRPr="00475B04" w:rsidTr="00475B04">
              <w:trPr>
                <w:trHeight w:val="555"/>
              </w:trPr>
              <w:tc>
                <w:tcPr>
                  <w:tcW w:w="1418"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Feb-15</w:t>
                  </w:r>
                </w:p>
              </w:tc>
              <w:tc>
                <w:tcPr>
                  <w:tcW w:w="7522" w:type="dxa"/>
                  <w:tcBorders>
                    <w:top w:val="nil"/>
                    <w:left w:val="nil"/>
                    <w:bottom w:val="nil"/>
                    <w:right w:val="nil"/>
                  </w:tcBorders>
                  <w:shd w:val="clear" w:color="auto" w:fill="auto"/>
                  <w:hideMark/>
                </w:tcPr>
                <w:p w:rsidR="00475B04" w:rsidRPr="00475B04" w:rsidRDefault="00475B04" w:rsidP="00A3065E">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 xml:space="preserve">2015 Review Report released. Commission committed to comprehensive review of </w:t>
                  </w:r>
                  <w:r w:rsidR="00A3065E">
                    <w:rPr>
                      <w:rFonts w:ascii="Calibri" w:eastAsia="Times New Roman" w:hAnsi="Calibri" w:cs="Times New Roman"/>
                      <w:color w:val="000000"/>
                      <w:sz w:val="20"/>
                      <w:szCs w:val="20"/>
                      <w:lang w:eastAsia="en-AU"/>
                    </w:rPr>
                    <w:t xml:space="preserve">the </w:t>
                  </w:r>
                  <w:r w:rsidRPr="00475B04">
                    <w:rPr>
                      <w:rFonts w:ascii="Calibri" w:eastAsia="Times New Roman" w:hAnsi="Calibri" w:cs="Times New Roman"/>
                      <w:color w:val="000000"/>
                      <w:sz w:val="20"/>
                      <w:szCs w:val="20"/>
                      <w:lang w:eastAsia="en-AU"/>
                    </w:rPr>
                    <w:t>Wage</w:t>
                  </w:r>
                  <w:r w:rsidR="00A3065E">
                    <w:rPr>
                      <w:rFonts w:ascii="Calibri" w:eastAsia="Times New Roman" w:hAnsi="Calibri" w:cs="Times New Roman"/>
                      <w:color w:val="000000"/>
                      <w:sz w:val="20"/>
                      <w:szCs w:val="20"/>
                      <w:lang w:eastAsia="en-AU"/>
                    </w:rPr>
                    <w:t xml:space="preserve"> costs assessment</w:t>
                  </w:r>
                  <w:r w:rsidRPr="00475B04">
                    <w:rPr>
                      <w:rFonts w:ascii="Calibri" w:eastAsia="Times New Roman" w:hAnsi="Calibri" w:cs="Times New Roman"/>
                      <w:color w:val="000000"/>
                      <w:sz w:val="20"/>
                      <w:szCs w:val="20"/>
                      <w:lang w:eastAsia="en-AU"/>
                    </w:rPr>
                    <w:t xml:space="preserve"> as part of the 2016 Update process</w:t>
                  </w:r>
                </w:p>
              </w:tc>
            </w:tr>
            <w:tr w:rsidR="00475B04" w:rsidRPr="00475B04" w:rsidTr="003546A7">
              <w:trPr>
                <w:trHeight w:val="315"/>
              </w:trPr>
              <w:tc>
                <w:tcPr>
                  <w:tcW w:w="1418" w:type="dxa"/>
                  <w:tcBorders>
                    <w:top w:val="nil"/>
                    <w:left w:val="nil"/>
                    <w:bottom w:val="nil"/>
                    <w:right w:val="nil"/>
                  </w:tcBorders>
                  <w:shd w:val="clear" w:color="auto" w:fill="auto"/>
                  <w:noWrap/>
                  <w:vAlign w:val="center"/>
                  <w:hideMark/>
                </w:tcPr>
                <w:p w:rsidR="00475B04" w:rsidRPr="00475B04" w:rsidRDefault="00475B04" w:rsidP="003546A7">
                  <w:pPr>
                    <w:tabs>
                      <w:tab w:val="clear" w:pos="567"/>
                    </w:tabs>
                    <w:spacing w:after="0" w:line="240" w:lineRule="auto"/>
                    <w:rPr>
                      <w:rFonts w:ascii="Calibri" w:eastAsia="Times New Roman" w:hAnsi="Calibri" w:cs="Times New Roman"/>
                      <w:b/>
                      <w:bCs/>
                      <w:color w:val="000000"/>
                      <w:sz w:val="20"/>
                      <w:szCs w:val="20"/>
                      <w:lang w:eastAsia="en-AU"/>
                    </w:rPr>
                  </w:pPr>
                  <w:r w:rsidRPr="00475B04">
                    <w:rPr>
                      <w:rFonts w:ascii="Calibri" w:eastAsia="Times New Roman" w:hAnsi="Calibri" w:cs="Times New Roman"/>
                      <w:b/>
                      <w:bCs/>
                      <w:color w:val="000000"/>
                      <w:sz w:val="20"/>
                      <w:szCs w:val="20"/>
                      <w:lang w:eastAsia="en-AU"/>
                    </w:rPr>
                    <w:t>2016 Update</w:t>
                  </w:r>
                </w:p>
              </w:tc>
              <w:tc>
                <w:tcPr>
                  <w:tcW w:w="7522"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p>
              </w:tc>
            </w:tr>
            <w:tr w:rsidR="00475B04" w:rsidRPr="00475B04" w:rsidTr="00475B04">
              <w:trPr>
                <w:trHeight w:val="315"/>
              </w:trPr>
              <w:tc>
                <w:tcPr>
                  <w:tcW w:w="1418"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Jun-15</w:t>
                  </w:r>
                </w:p>
              </w:tc>
              <w:tc>
                <w:tcPr>
                  <w:tcW w:w="7522"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 xml:space="preserve">States notified of Commission’s intention to engage academic consultants to review conceptual issues </w:t>
                  </w:r>
                </w:p>
              </w:tc>
            </w:tr>
            <w:tr w:rsidR="00475B04" w:rsidRPr="00475B04" w:rsidTr="00475B04">
              <w:trPr>
                <w:trHeight w:val="555"/>
              </w:trPr>
              <w:tc>
                <w:tcPr>
                  <w:tcW w:w="1418"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Jul-15</w:t>
                  </w:r>
                </w:p>
              </w:tc>
              <w:tc>
                <w:tcPr>
                  <w:tcW w:w="7522" w:type="dxa"/>
                  <w:tcBorders>
                    <w:top w:val="nil"/>
                    <w:left w:val="nil"/>
                    <w:bottom w:val="nil"/>
                    <w:right w:val="nil"/>
                  </w:tcBorders>
                  <w:shd w:val="clear" w:color="auto" w:fill="auto"/>
                  <w:hideMark/>
                </w:tcPr>
                <w:p w:rsidR="00475B04" w:rsidRPr="00475B04" w:rsidRDefault="00475B04" w:rsidP="00035F33">
                  <w:pPr>
                    <w:tabs>
                      <w:tab w:val="clear" w:pos="567"/>
                    </w:tabs>
                    <w:spacing w:after="0" w:line="240" w:lineRule="auto"/>
                    <w:rPr>
                      <w:rFonts w:ascii="Calibri" w:eastAsia="Times New Roman" w:hAnsi="Calibri" w:cs="Times New Roman"/>
                      <w:color w:val="000000"/>
                      <w:sz w:val="20"/>
                      <w:szCs w:val="20"/>
                      <w:lang w:eastAsia="en-AU"/>
                    </w:rPr>
                  </w:pPr>
                  <w:r w:rsidRPr="00035F33">
                    <w:rPr>
                      <w:rFonts w:ascii="Calibri" w:eastAsia="Times New Roman" w:hAnsi="Calibri" w:cs="Times New Roman"/>
                      <w:i/>
                      <w:color w:val="000000"/>
                      <w:sz w:val="20"/>
                      <w:szCs w:val="20"/>
                      <w:lang w:eastAsia="en-AU"/>
                    </w:rPr>
                    <w:t>Discussion paper CGC 2015-03-S Wage Costs Assessment</w:t>
                  </w:r>
                  <w:r w:rsidRPr="00475B04">
                    <w:rPr>
                      <w:rFonts w:ascii="Calibri" w:eastAsia="Times New Roman" w:hAnsi="Calibri" w:cs="Times New Roman"/>
                      <w:color w:val="000000"/>
                      <w:sz w:val="20"/>
                      <w:szCs w:val="20"/>
                      <w:lang w:eastAsia="en-AU"/>
                    </w:rPr>
                    <w:t>, providing summary of Commission views and State submissions thus far</w:t>
                  </w:r>
                </w:p>
              </w:tc>
            </w:tr>
            <w:tr w:rsidR="00475B04" w:rsidRPr="00475B04" w:rsidTr="00475B04">
              <w:trPr>
                <w:trHeight w:val="315"/>
              </w:trPr>
              <w:tc>
                <w:tcPr>
                  <w:tcW w:w="1418"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p>
              </w:tc>
              <w:tc>
                <w:tcPr>
                  <w:tcW w:w="7522"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 xml:space="preserve">Commission invited expressions of interest from selected academic experts to undertake review </w:t>
                  </w:r>
                </w:p>
              </w:tc>
            </w:tr>
            <w:tr w:rsidR="00475B04" w:rsidRPr="00475B04" w:rsidTr="00475B04">
              <w:trPr>
                <w:trHeight w:val="315"/>
              </w:trPr>
              <w:tc>
                <w:tcPr>
                  <w:tcW w:w="1418"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Aug-15</w:t>
                  </w:r>
                </w:p>
              </w:tc>
              <w:tc>
                <w:tcPr>
                  <w:tcW w:w="7522"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Bilateral telepresence with States</w:t>
                  </w:r>
                </w:p>
              </w:tc>
            </w:tr>
            <w:tr w:rsidR="00475B04" w:rsidRPr="00475B04" w:rsidTr="00475B04">
              <w:trPr>
                <w:trHeight w:val="315"/>
              </w:trPr>
              <w:tc>
                <w:tcPr>
                  <w:tcW w:w="1418"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p>
              </w:tc>
              <w:tc>
                <w:tcPr>
                  <w:tcW w:w="7522"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Mavromaras et al selected to perform review</w:t>
                  </w:r>
                </w:p>
              </w:tc>
            </w:tr>
            <w:tr w:rsidR="00475B04" w:rsidRPr="00475B04" w:rsidTr="00475B04">
              <w:trPr>
                <w:trHeight w:val="315"/>
              </w:trPr>
              <w:tc>
                <w:tcPr>
                  <w:tcW w:w="1418"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Sep-15</w:t>
                  </w:r>
                </w:p>
              </w:tc>
              <w:tc>
                <w:tcPr>
                  <w:tcW w:w="7522"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State submissions on CGC 2015-03-S received</w:t>
                  </w:r>
                </w:p>
              </w:tc>
            </w:tr>
            <w:tr w:rsidR="00475B04" w:rsidRPr="00475B04" w:rsidTr="00475B04">
              <w:trPr>
                <w:trHeight w:val="315"/>
              </w:trPr>
              <w:tc>
                <w:tcPr>
                  <w:tcW w:w="1418"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Nov-15</w:t>
                  </w:r>
                </w:p>
              </w:tc>
              <w:tc>
                <w:tcPr>
                  <w:tcW w:w="7522" w:type="dxa"/>
                  <w:tcBorders>
                    <w:top w:val="nil"/>
                    <w:left w:val="nil"/>
                    <w:bottom w:val="nil"/>
                    <w:right w:val="nil"/>
                  </w:tcBorders>
                  <w:shd w:val="clear" w:color="auto" w:fill="auto"/>
                  <w:noWrap/>
                  <w:hideMark/>
                </w:tcPr>
                <w:p w:rsidR="00475B04" w:rsidRPr="00475B04" w:rsidRDefault="00475B04" w:rsidP="00035F33">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Mavr</w:t>
                  </w:r>
                  <w:r w:rsidR="00035F33">
                    <w:rPr>
                      <w:rFonts w:ascii="Calibri" w:eastAsia="Times New Roman" w:hAnsi="Calibri" w:cs="Times New Roman"/>
                      <w:color w:val="000000"/>
                      <w:sz w:val="20"/>
                      <w:szCs w:val="20"/>
                      <w:lang w:eastAsia="en-AU"/>
                    </w:rPr>
                    <w:t>o</w:t>
                  </w:r>
                  <w:r w:rsidRPr="00475B04">
                    <w:rPr>
                      <w:rFonts w:ascii="Calibri" w:eastAsia="Times New Roman" w:hAnsi="Calibri" w:cs="Times New Roman"/>
                      <w:color w:val="000000"/>
                      <w:sz w:val="20"/>
                      <w:szCs w:val="20"/>
                      <w:lang w:eastAsia="en-AU"/>
                    </w:rPr>
                    <w:t>maras et al draft paper circulated to States</w:t>
                  </w:r>
                </w:p>
              </w:tc>
            </w:tr>
            <w:tr w:rsidR="00475B04" w:rsidRPr="00475B04" w:rsidTr="00475B04">
              <w:trPr>
                <w:trHeight w:val="315"/>
              </w:trPr>
              <w:tc>
                <w:tcPr>
                  <w:tcW w:w="1418"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p>
              </w:tc>
              <w:tc>
                <w:tcPr>
                  <w:tcW w:w="7522" w:type="dxa"/>
                  <w:tcBorders>
                    <w:top w:val="nil"/>
                    <w:left w:val="nil"/>
                    <w:bottom w:val="nil"/>
                    <w:right w:val="nil"/>
                  </w:tcBorders>
                  <w:shd w:val="clear" w:color="auto" w:fill="auto"/>
                  <w:noWrap/>
                  <w:hideMark/>
                </w:tcPr>
                <w:p w:rsidR="00475B04" w:rsidRPr="00475B04" w:rsidRDefault="00475B04" w:rsidP="000608BB">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C</w:t>
                  </w:r>
                  <w:r w:rsidR="000608BB">
                    <w:rPr>
                      <w:rFonts w:ascii="Calibri" w:eastAsia="Times New Roman" w:hAnsi="Calibri" w:cs="Times New Roman"/>
                      <w:color w:val="000000"/>
                      <w:sz w:val="20"/>
                      <w:szCs w:val="20"/>
                      <w:lang w:eastAsia="en-AU"/>
                    </w:rPr>
                    <w:t xml:space="preserve">haracteristics </w:t>
                  </w:r>
                  <w:r w:rsidR="00081DF3">
                    <w:rPr>
                      <w:rFonts w:ascii="Calibri" w:eastAsia="Times New Roman" w:hAnsi="Calibri" w:cs="Times New Roman"/>
                      <w:color w:val="000000"/>
                      <w:sz w:val="20"/>
                      <w:szCs w:val="20"/>
                      <w:lang w:eastAsia="en-AU"/>
                    </w:rPr>
                    <w:t>of Employment</w:t>
                  </w:r>
                  <w:r w:rsidRPr="00475B04">
                    <w:rPr>
                      <w:rFonts w:ascii="Calibri" w:eastAsia="Times New Roman" w:hAnsi="Calibri" w:cs="Times New Roman"/>
                      <w:color w:val="000000"/>
                      <w:sz w:val="20"/>
                      <w:szCs w:val="20"/>
                      <w:lang w:eastAsia="en-AU"/>
                    </w:rPr>
                    <w:t xml:space="preserve"> survey regression results circulated to States</w:t>
                  </w:r>
                </w:p>
              </w:tc>
            </w:tr>
            <w:tr w:rsidR="00475B04" w:rsidRPr="00475B04" w:rsidTr="00475B04">
              <w:trPr>
                <w:trHeight w:val="555"/>
              </w:trPr>
              <w:tc>
                <w:tcPr>
                  <w:tcW w:w="1418"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p>
              </w:tc>
              <w:tc>
                <w:tcPr>
                  <w:tcW w:w="7522" w:type="dxa"/>
                  <w:tcBorders>
                    <w:top w:val="nil"/>
                    <w:left w:val="nil"/>
                    <w:bottom w:val="nil"/>
                    <w:right w:val="nil"/>
                  </w:tcBorders>
                  <w:shd w:val="clear" w:color="auto" w:fill="auto"/>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035F33">
                    <w:rPr>
                      <w:rFonts w:ascii="Calibri" w:eastAsia="Times New Roman" w:hAnsi="Calibri" w:cs="Times New Roman"/>
                      <w:i/>
                      <w:color w:val="000000"/>
                      <w:sz w:val="20"/>
                      <w:szCs w:val="20"/>
                      <w:lang w:eastAsia="en-AU"/>
                    </w:rPr>
                    <w:t xml:space="preserve">Discussion paper CGC 2015-05-S </w:t>
                  </w:r>
                  <w:r w:rsidRPr="00035F33">
                    <w:rPr>
                      <w:rFonts w:ascii="Calibri" w:eastAsia="Times New Roman" w:hAnsi="Calibri" w:cs="Times New Roman"/>
                      <w:i/>
                      <w:iCs/>
                      <w:color w:val="000000"/>
                      <w:sz w:val="20"/>
                      <w:szCs w:val="20"/>
                      <w:lang w:eastAsia="en-AU"/>
                    </w:rPr>
                    <w:t>Wage Costs Assessment</w:t>
                  </w:r>
                  <w:r w:rsidRPr="00475B04">
                    <w:rPr>
                      <w:rFonts w:ascii="Calibri" w:eastAsia="Times New Roman" w:hAnsi="Calibri" w:cs="Times New Roman"/>
                      <w:color w:val="000000"/>
                      <w:sz w:val="20"/>
                      <w:szCs w:val="20"/>
                      <w:lang w:eastAsia="en-AU"/>
                    </w:rPr>
                    <w:t xml:space="preserve"> circulated to States, discussing possible assessment</w:t>
                  </w:r>
                </w:p>
              </w:tc>
            </w:tr>
            <w:tr w:rsidR="00475B04" w:rsidRPr="00475B04" w:rsidTr="00475B04">
              <w:trPr>
                <w:trHeight w:val="555"/>
              </w:trPr>
              <w:tc>
                <w:tcPr>
                  <w:tcW w:w="1418"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Dec-15</w:t>
                  </w:r>
                </w:p>
              </w:tc>
              <w:tc>
                <w:tcPr>
                  <w:tcW w:w="7522" w:type="dxa"/>
                  <w:tcBorders>
                    <w:top w:val="nil"/>
                    <w:left w:val="nil"/>
                    <w:bottom w:val="nil"/>
                    <w:right w:val="nil"/>
                  </w:tcBorders>
                  <w:shd w:val="clear" w:color="auto" w:fill="auto"/>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Australian Labour Market Research Workshop, including multilateral discussion with States and Mavromaras et al</w:t>
                  </w:r>
                </w:p>
              </w:tc>
            </w:tr>
            <w:tr w:rsidR="00475B04" w:rsidRPr="00475B04" w:rsidTr="00A966AB">
              <w:trPr>
                <w:trHeight w:val="315"/>
              </w:trPr>
              <w:tc>
                <w:tcPr>
                  <w:tcW w:w="1418"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Jan-16</w:t>
                  </w:r>
                </w:p>
              </w:tc>
              <w:tc>
                <w:tcPr>
                  <w:tcW w:w="7522" w:type="dxa"/>
                  <w:tcBorders>
                    <w:top w:val="nil"/>
                    <w:left w:val="nil"/>
                    <w:bottom w:val="nil"/>
                    <w:right w:val="nil"/>
                  </w:tcBorders>
                  <w:shd w:val="clear" w:color="auto" w:fill="auto"/>
                  <w:noWrap/>
                  <w:hideMark/>
                </w:tcPr>
                <w:p w:rsidR="00475B04" w:rsidRPr="00475B04" w:rsidRDefault="00475B04" w:rsidP="00475B04">
                  <w:pPr>
                    <w:tabs>
                      <w:tab w:val="clear" w:pos="567"/>
                    </w:tabs>
                    <w:spacing w:after="0" w:line="240" w:lineRule="auto"/>
                    <w:rPr>
                      <w:rFonts w:ascii="Calibri" w:eastAsia="Times New Roman" w:hAnsi="Calibri" w:cs="Times New Roman"/>
                      <w:color w:val="000000"/>
                      <w:sz w:val="20"/>
                      <w:szCs w:val="20"/>
                      <w:lang w:eastAsia="en-AU"/>
                    </w:rPr>
                  </w:pPr>
                  <w:r w:rsidRPr="00475B04">
                    <w:rPr>
                      <w:rFonts w:ascii="Calibri" w:eastAsia="Times New Roman" w:hAnsi="Calibri" w:cs="Times New Roman"/>
                      <w:color w:val="000000"/>
                      <w:sz w:val="20"/>
                      <w:szCs w:val="20"/>
                      <w:lang w:eastAsia="en-AU"/>
                    </w:rPr>
                    <w:t>Final State submissions received</w:t>
                  </w:r>
                </w:p>
              </w:tc>
            </w:tr>
            <w:tr w:rsidR="00A966AB" w:rsidRPr="00475B04" w:rsidTr="00475B04">
              <w:trPr>
                <w:trHeight w:val="315"/>
              </w:trPr>
              <w:tc>
                <w:tcPr>
                  <w:tcW w:w="1418" w:type="dxa"/>
                  <w:tcBorders>
                    <w:top w:val="nil"/>
                    <w:left w:val="nil"/>
                    <w:bottom w:val="single" w:sz="4" w:space="0" w:color="auto"/>
                    <w:right w:val="nil"/>
                  </w:tcBorders>
                  <w:shd w:val="clear" w:color="auto" w:fill="auto"/>
                  <w:noWrap/>
                </w:tcPr>
                <w:p w:rsidR="00A966AB" w:rsidRPr="00475B04" w:rsidRDefault="00A966AB" w:rsidP="00475B04">
                  <w:pPr>
                    <w:tabs>
                      <w:tab w:val="clear" w:pos="567"/>
                    </w:tabs>
                    <w:spacing w:after="0" w:line="240" w:lineRule="auto"/>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Feb-16</w:t>
                  </w:r>
                </w:p>
              </w:tc>
              <w:tc>
                <w:tcPr>
                  <w:tcW w:w="7522" w:type="dxa"/>
                  <w:tcBorders>
                    <w:top w:val="nil"/>
                    <w:left w:val="nil"/>
                    <w:bottom w:val="single" w:sz="4" w:space="0" w:color="auto"/>
                    <w:right w:val="nil"/>
                  </w:tcBorders>
                  <w:shd w:val="clear" w:color="auto" w:fill="auto"/>
                  <w:noWrap/>
                </w:tcPr>
                <w:p w:rsidR="00A966AB" w:rsidRPr="00475B04" w:rsidRDefault="00A966AB" w:rsidP="00475B04">
                  <w:pPr>
                    <w:tabs>
                      <w:tab w:val="clear" w:pos="567"/>
                    </w:tabs>
                    <w:spacing w:after="0" w:line="240" w:lineRule="auto"/>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Final Mavromaras et al report received</w:t>
                  </w:r>
                </w:p>
              </w:tc>
            </w:tr>
          </w:tbl>
          <w:p w:rsidR="00475B04" w:rsidRPr="00475B04" w:rsidRDefault="00475B04" w:rsidP="00475B04"/>
        </w:tc>
      </w:tr>
    </w:tbl>
    <w:p w:rsidR="00475B04" w:rsidRPr="0081267C" w:rsidRDefault="00475B04" w:rsidP="00475B04">
      <w:pPr>
        <w:numPr>
          <w:ilvl w:val="1"/>
          <w:numId w:val="2"/>
        </w:numPr>
        <w:tabs>
          <w:tab w:val="num" w:pos="1418"/>
        </w:tabs>
        <w:spacing w:before="120"/>
        <w:rPr>
          <w:szCs w:val="24"/>
        </w:rPr>
      </w:pPr>
      <w:r w:rsidRPr="00475B04">
        <w:rPr>
          <w:szCs w:val="24"/>
        </w:rPr>
        <w:t xml:space="preserve">In their final submissions, States have reiterated their concerns with the issues addressed throughout the life of this assessment. Two new issues have been raised: </w:t>
      </w:r>
      <w:r w:rsidR="0035011C">
        <w:rPr>
          <w:szCs w:val="24"/>
        </w:rPr>
        <w:t xml:space="preserve">whether the 2014 ABS survey data is fit for purpose because it excludes information </w:t>
      </w:r>
      <w:r w:rsidR="0035011C" w:rsidRPr="0081267C">
        <w:rPr>
          <w:szCs w:val="24"/>
        </w:rPr>
        <w:t>on educational attainment</w:t>
      </w:r>
      <w:r w:rsidRPr="0081267C">
        <w:rPr>
          <w:szCs w:val="24"/>
        </w:rPr>
        <w:t xml:space="preserve"> (discussed later in this chapter), and the time available for </w:t>
      </w:r>
      <w:r w:rsidR="0035011C" w:rsidRPr="0081267C">
        <w:rPr>
          <w:szCs w:val="24"/>
        </w:rPr>
        <w:t>consideration and consultation.</w:t>
      </w:r>
    </w:p>
    <w:p w:rsidR="00475B04" w:rsidRPr="0081267C" w:rsidRDefault="00475B04" w:rsidP="00475B04">
      <w:pPr>
        <w:numPr>
          <w:ilvl w:val="1"/>
          <w:numId w:val="2"/>
        </w:numPr>
        <w:tabs>
          <w:tab w:val="num" w:pos="1418"/>
        </w:tabs>
        <w:spacing w:before="120"/>
        <w:rPr>
          <w:szCs w:val="24"/>
        </w:rPr>
      </w:pPr>
      <w:r w:rsidRPr="0081267C">
        <w:rPr>
          <w:szCs w:val="24"/>
        </w:rPr>
        <w:t xml:space="preserve">We consider that we have given sufficient consideration to the issues associated with the </w:t>
      </w:r>
      <w:r w:rsidR="00A3065E" w:rsidRPr="0081267C">
        <w:rPr>
          <w:szCs w:val="24"/>
        </w:rPr>
        <w:t>W</w:t>
      </w:r>
      <w:r w:rsidRPr="0081267C">
        <w:rPr>
          <w:szCs w:val="24"/>
        </w:rPr>
        <w:t>age</w:t>
      </w:r>
      <w:r w:rsidR="00A3065E" w:rsidRPr="0081267C">
        <w:rPr>
          <w:szCs w:val="24"/>
        </w:rPr>
        <w:t xml:space="preserve"> costs </w:t>
      </w:r>
      <w:r w:rsidRPr="0081267C">
        <w:rPr>
          <w:szCs w:val="24"/>
        </w:rPr>
        <w:t xml:space="preserve">assessment, and that States appear to have given considerable and detailed thought to these issues in their various submissions. We acknowledge that the results of the consultancy and the data from the ABS came late in the process. However, it is our view that the consultancy represents an incremental development </w:t>
      </w:r>
      <w:r w:rsidRPr="0081267C">
        <w:rPr>
          <w:szCs w:val="24"/>
        </w:rPr>
        <w:lastRenderedPageBreak/>
        <w:t>in the conceptual thinking that has supported this assessment over several reviews</w:t>
      </w:r>
      <w:r w:rsidR="00A3065E" w:rsidRPr="0081267C">
        <w:rPr>
          <w:szCs w:val="24"/>
        </w:rPr>
        <w:t>.</w:t>
      </w:r>
      <w:r w:rsidRPr="0081267C">
        <w:rPr>
          <w:szCs w:val="24"/>
        </w:rPr>
        <w:t xml:space="preserve"> </w:t>
      </w:r>
      <w:r w:rsidR="00A3065E" w:rsidRPr="0081267C">
        <w:rPr>
          <w:szCs w:val="24"/>
        </w:rPr>
        <w:t>T</w:t>
      </w:r>
      <w:r w:rsidRPr="0081267C">
        <w:rPr>
          <w:szCs w:val="24"/>
        </w:rPr>
        <w:t>he C</w:t>
      </w:r>
      <w:r w:rsidR="00F82150" w:rsidRPr="0081267C">
        <w:rPr>
          <w:szCs w:val="24"/>
        </w:rPr>
        <w:t>haracteristics</w:t>
      </w:r>
      <w:r w:rsidRPr="0081267C">
        <w:rPr>
          <w:szCs w:val="24"/>
        </w:rPr>
        <w:t xml:space="preserve"> of Employ</w:t>
      </w:r>
      <w:r w:rsidR="00081DF3" w:rsidRPr="0081267C">
        <w:rPr>
          <w:szCs w:val="24"/>
        </w:rPr>
        <w:t>ment</w:t>
      </w:r>
      <w:r w:rsidRPr="0081267C">
        <w:rPr>
          <w:szCs w:val="24"/>
        </w:rPr>
        <w:t xml:space="preserve"> </w:t>
      </w:r>
      <w:r w:rsidR="00431F3D">
        <w:rPr>
          <w:szCs w:val="24"/>
        </w:rPr>
        <w:t>S</w:t>
      </w:r>
      <w:r w:rsidR="00F82150" w:rsidRPr="0081267C">
        <w:rPr>
          <w:szCs w:val="24"/>
        </w:rPr>
        <w:t xml:space="preserve">urvey </w:t>
      </w:r>
      <w:r w:rsidRPr="0081267C">
        <w:rPr>
          <w:szCs w:val="24"/>
        </w:rPr>
        <w:t>(CoE</w:t>
      </w:r>
      <w:r w:rsidR="00F82150" w:rsidRPr="0081267C">
        <w:rPr>
          <w:szCs w:val="24"/>
        </w:rPr>
        <w:t>S</w:t>
      </w:r>
      <w:r w:rsidRPr="0081267C">
        <w:rPr>
          <w:szCs w:val="24"/>
        </w:rPr>
        <w:t>) data, very similar to the SET, have been used in an established and thoroughly reviewed approach. We consider it unlikely that further time or consultation would have led us to a different conclusion.</w:t>
      </w:r>
    </w:p>
    <w:p w:rsidR="00475B04" w:rsidRPr="0081267C" w:rsidRDefault="00475B04" w:rsidP="00475B04">
      <w:pPr>
        <w:pStyle w:val="Heading3"/>
      </w:pPr>
      <w:bookmarkStart w:id="815" w:name="_Toc440361176"/>
      <w:bookmarkStart w:id="816" w:name="_Toc441241618"/>
      <w:bookmarkStart w:id="817" w:name="_Toc441499288"/>
      <w:bookmarkStart w:id="818" w:name="_Toc441656037"/>
      <w:bookmarkStart w:id="819" w:name="_Toc442191944"/>
      <w:bookmarkStart w:id="820" w:name="_Toc442192202"/>
      <w:bookmarkStart w:id="821" w:name="_Toc442192267"/>
      <w:bookmarkStart w:id="822" w:name="_Toc442772847"/>
      <w:bookmarkStart w:id="823" w:name="_Toc442773080"/>
      <w:bookmarkStart w:id="824" w:name="_Toc442773246"/>
      <w:bookmarkStart w:id="825" w:name="_Toc442773577"/>
      <w:bookmarkStart w:id="826" w:name="_Toc442883315"/>
      <w:bookmarkStart w:id="827" w:name="_Toc442949189"/>
      <w:r w:rsidRPr="0081267C">
        <w:t>Approach</w:t>
      </w:r>
      <w:bookmarkEnd w:id="815"/>
      <w:bookmarkEnd w:id="816"/>
      <w:bookmarkEnd w:id="817"/>
      <w:bookmarkEnd w:id="818"/>
      <w:bookmarkEnd w:id="819"/>
      <w:bookmarkEnd w:id="820"/>
      <w:bookmarkEnd w:id="821"/>
      <w:bookmarkEnd w:id="822"/>
      <w:bookmarkEnd w:id="823"/>
      <w:bookmarkEnd w:id="824"/>
      <w:bookmarkEnd w:id="825"/>
      <w:bookmarkEnd w:id="826"/>
      <w:bookmarkEnd w:id="827"/>
    </w:p>
    <w:p w:rsidR="00475B04" w:rsidRPr="0081267C" w:rsidRDefault="00475B04" w:rsidP="00475B04">
      <w:pPr>
        <w:numPr>
          <w:ilvl w:val="1"/>
          <w:numId w:val="2"/>
        </w:numPr>
        <w:tabs>
          <w:tab w:val="num" w:pos="1418"/>
        </w:tabs>
        <w:spacing w:before="120"/>
        <w:rPr>
          <w:szCs w:val="24"/>
        </w:rPr>
      </w:pPr>
      <w:r w:rsidRPr="0081267C">
        <w:rPr>
          <w:szCs w:val="24"/>
        </w:rPr>
        <w:t>The Commission’s approach to any assessment of differences in State fiscal capacities comes in two parts. It first seeks to establish if there is a conceptual case for the existence of some difference among States which would impact on their fiscal capacity. Having established such a case, it then determines if a reliable, practical and material method can be found to estimate the size of the impact on different States.</w:t>
      </w:r>
    </w:p>
    <w:p w:rsidR="00475B04" w:rsidRPr="0081267C" w:rsidRDefault="00475B04" w:rsidP="00475B04">
      <w:pPr>
        <w:numPr>
          <w:ilvl w:val="1"/>
          <w:numId w:val="2"/>
        </w:numPr>
        <w:tabs>
          <w:tab w:val="num" w:pos="1418"/>
        </w:tabs>
        <w:spacing w:before="120"/>
        <w:rPr>
          <w:szCs w:val="24"/>
        </w:rPr>
      </w:pPr>
      <w:r w:rsidRPr="0081267C">
        <w:rPr>
          <w:szCs w:val="24"/>
        </w:rPr>
        <w:t>A key consideration in this approach is to remove or minimise the impact that State policy has on the assessment and on the resulting GST distribution. To do this, the Commission seeks a policy neutral measure of what States do.</w:t>
      </w:r>
    </w:p>
    <w:p w:rsidR="00475B04" w:rsidRPr="0081267C" w:rsidRDefault="00A3065E" w:rsidP="00475B04">
      <w:pPr>
        <w:numPr>
          <w:ilvl w:val="1"/>
          <w:numId w:val="2"/>
        </w:numPr>
        <w:tabs>
          <w:tab w:val="num" w:pos="1418"/>
        </w:tabs>
        <w:spacing w:before="120"/>
        <w:rPr>
          <w:szCs w:val="24"/>
        </w:rPr>
      </w:pPr>
      <w:r w:rsidRPr="0081267C">
        <w:rPr>
          <w:szCs w:val="24"/>
        </w:rPr>
        <w:t>Such a policy neutral measure</w:t>
      </w:r>
      <w:r w:rsidR="00475B04" w:rsidRPr="0081267C">
        <w:rPr>
          <w:szCs w:val="24"/>
        </w:rPr>
        <w:t xml:space="preserve"> could be achieved in various ways. Following the Commission’s general approach to most assessments, we could attempt to determine the average industrial relations policy of the States and apply that to each State’s conditions to determine what each would remunerate its employees. It is not clear how we would adopt such an approach in the area of State wage policy. Another approach is to identify some underlying conditions affecting remuneration, independent of State policy, and to use the impact of those as an indicator of how remuneration would differ if there were no policy differences among the States. We use the second approach because it is practical.</w:t>
      </w:r>
    </w:p>
    <w:p w:rsidR="00475B04" w:rsidRPr="0081267C" w:rsidRDefault="00475B04" w:rsidP="00475B04">
      <w:pPr>
        <w:numPr>
          <w:ilvl w:val="1"/>
          <w:numId w:val="2"/>
        </w:numPr>
        <w:tabs>
          <w:tab w:val="num" w:pos="1418"/>
        </w:tabs>
        <w:spacing w:before="120"/>
        <w:rPr>
          <w:szCs w:val="24"/>
        </w:rPr>
      </w:pPr>
      <w:r w:rsidRPr="0081267C">
        <w:rPr>
          <w:szCs w:val="24"/>
        </w:rPr>
        <w:t xml:space="preserve">While we understand that in practice States faced with above average employee costs may seek to moderate that cost by changing the way services are delivered, we assume that States deliver services in a common way, using the average mix of inputs including the time and skill of their employees. This forms the analytical basis for determining service delivery costs which are to be equalised. </w:t>
      </w:r>
    </w:p>
    <w:p w:rsidR="00475B04" w:rsidRPr="00475B04" w:rsidRDefault="00475B04" w:rsidP="00475B04">
      <w:pPr>
        <w:numPr>
          <w:ilvl w:val="1"/>
          <w:numId w:val="2"/>
        </w:numPr>
        <w:tabs>
          <w:tab w:val="num" w:pos="1418"/>
        </w:tabs>
        <w:spacing w:before="120"/>
        <w:rPr>
          <w:szCs w:val="24"/>
        </w:rPr>
      </w:pPr>
      <w:r w:rsidRPr="0081267C">
        <w:rPr>
          <w:szCs w:val="24"/>
        </w:rPr>
        <w:t xml:space="preserve">We approach the question of differences in employee remuneration </w:t>
      </w:r>
      <w:r w:rsidR="00A3065E" w:rsidRPr="0081267C">
        <w:rPr>
          <w:szCs w:val="24"/>
        </w:rPr>
        <w:t>such</w:t>
      </w:r>
      <w:r w:rsidRPr="0081267C">
        <w:rPr>
          <w:szCs w:val="24"/>
        </w:rPr>
        <w:t xml:space="preserve"> that the GST distribution we recommend is as close as we can reliably make it to that which would equalise fiscal capacities. We understand that it may not capture all remuneration related influences on fiscal capacities. However, while other non</w:t>
      </w:r>
      <w:r w:rsidRPr="00475B04">
        <w:rPr>
          <w:szCs w:val="24"/>
        </w:rPr>
        <w:t xml:space="preserve">-policy differences that are not captured in our measure may affect remuneration costs, we are not </w:t>
      </w:r>
      <w:r w:rsidR="00431F3D">
        <w:rPr>
          <w:szCs w:val="24"/>
        </w:rPr>
        <w:t>convinced there is a</w:t>
      </w:r>
      <w:r w:rsidRPr="00475B04">
        <w:rPr>
          <w:szCs w:val="24"/>
        </w:rPr>
        <w:t xml:space="preserve"> conceptual case or evidence for any particular direction or bias to such influences. </w:t>
      </w:r>
    </w:p>
    <w:p w:rsidR="00475B04" w:rsidRPr="0081267C" w:rsidRDefault="00475B04" w:rsidP="00475B04">
      <w:pPr>
        <w:numPr>
          <w:ilvl w:val="1"/>
          <w:numId w:val="2"/>
        </w:numPr>
        <w:tabs>
          <w:tab w:val="num" w:pos="1418"/>
        </w:tabs>
        <w:spacing w:before="120"/>
        <w:rPr>
          <w:szCs w:val="24"/>
        </w:rPr>
      </w:pPr>
      <w:r w:rsidRPr="0081267C">
        <w:rPr>
          <w:szCs w:val="24"/>
        </w:rPr>
        <w:t xml:space="preserve">We also recognise, as noted by Victoria and Queensland, the remuneration a State actually sets will be influenced by a range of factors such as its fiscal environment and its policy on the public sector. Our objective is to determine relative remuneration </w:t>
      </w:r>
      <w:r w:rsidRPr="0081267C">
        <w:rPr>
          <w:szCs w:val="24"/>
        </w:rPr>
        <w:lastRenderedPageBreak/>
        <w:t>independent of these State policy considerations, so that only those non-policy differences are reflected in the GST distribution.</w:t>
      </w:r>
    </w:p>
    <w:p w:rsidR="00475B04" w:rsidRPr="0081267C" w:rsidRDefault="00475B04" w:rsidP="00475B04">
      <w:pPr>
        <w:pStyle w:val="Heading3"/>
      </w:pPr>
      <w:bookmarkStart w:id="828" w:name="_Toc440361177"/>
      <w:bookmarkStart w:id="829" w:name="_Toc441241619"/>
      <w:bookmarkStart w:id="830" w:name="_Toc441499289"/>
      <w:bookmarkStart w:id="831" w:name="_Toc441656038"/>
      <w:bookmarkStart w:id="832" w:name="_Toc442191945"/>
      <w:bookmarkStart w:id="833" w:name="_Toc442192203"/>
      <w:bookmarkStart w:id="834" w:name="_Toc442192268"/>
      <w:bookmarkStart w:id="835" w:name="_Toc442772848"/>
      <w:bookmarkStart w:id="836" w:name="_Toc442773081"/>
      <w:bookmarkStart w:id="837" w:name="_Toc442773247"/>
      <w:bookmarkStart w:id="838" w:name="_Toc442773578"/>
      <w:bookmarkStart w:id="839" w:name="_Toc442883316"/>
      <w:bookmarkStart w:id="840" w:name="_Toc442949190"/>
      <w:r w:rsidRPr="0081267C">
        <w:t>Conceptual case for an assessment</w:t>
      </w:r>
      <w:bookmarkEnd w:id="828"/>
      <w:bookmarkEnd w:id="829"/>
      <w:bookmarkEnd w:id="830"/>
      <w:bookmarkEnd w:id="831"/>
      <w:bookmarkEnd w:id="832"/>
      <w:bookmarkEnd w:id="833"/>
      <w:bookmarkEnd w:id="834"/>
      <w:bookmarkEnd w:id="835"/>
      <w:bookmarkEnd w:id="836"/>
      <w:bookmarkEnd w:id="837"/>
      <w:bookmarkEnd w:id="838"/>
      <w:bookmarkEnd w:id="839"/>
      <w:bookmarkEnd w:id="840"/>
      <w:r w:rsidRPr="0081267C">
        <w:t xml:space="preserve"> </w:t>
      </w:r>
    </w:p>
    <w:p w:rsidR="00475B04" w:rsidRPr="0081267C" w:rsidRDefault="00475B04" w:rsidP="00475B04">
      <w:pPr>
        <w:numPr>
          <w:ilvl w:val="1"/>
          <w:numId w:val="2"/>
        </w:numPr>
        <w:tabs>
          <w:tab w:val="num" w:pos="1418"/>
        </w:tabs>
        <w:spacing w:before="120"/>
        <w:rPr>
          <w:szCs w:val="24"/>
        </w:rPr>
      </w:pPr>
      <w:r w:rsidRPr="0081267C">
        <w:rPr>
          <w:szCs w:val="24"/>
        </w:rPr>
        <w:t xml:space="preserve">Past Commissions have observed, and we continue to observe, that public sector employees in the same occupation in different States are paid different wages. These differences may arise from policy choices made by the States, from influences beyond their control, or both. </w:t>
      </w:r>
    </w:p>
    <w:p w:rsidR="00475B04" w:rsidRPr="0081267C" w:rsidRDefault="00475B04" w:rsidP="00475B04">
      <w:pPr>
        <w:numPr>
          <w:ilvl w:val="1"/>
          <w:numId w:val="2"/>
        </w:numPr>
        <w:tabs>
          <w:tab w:val="num" w:pos="1418"/>
        </w:tabs>
        <w:spacing w:before="120"/>
        <w:rPr>
          <w:szCs w:val="24"/>
        </w:rPr>
      </w:pPr>
      <w:r w:rsidRPr="0081267C">
        <w:rPr>
          <w:szCs w:val="24"/>
        </w:rPr>
        <w:t xml:space="preserve">Some economic theories may suggest that markets will act to reduce remuneration disparities between regions. However, we are also aware that there are reasons why this might not occur and so disparities continue to exist. Various strands of economic theory support the persistence of differences in nominal wages for comparable private and public sector employees across regional labour markets. </w:t>
      </w:r>
      <w:r w:rsidR="00A3065E" w:rsidRPr="0081267C">
        <w:rPr>
          <w:szCs w:val="24"/>
        </w:rPr>
        <w:t>Some examples of these are as follows.</w:t>
      </w:r>
    </w:p>
    <w:p w:rsidR="00475B04" w:rsidRPr="0081267C" w:rsidRDefault="00475B04" w:rsidP="00475B04">
      <w:pPr>
        <w:numPr>
          <w:ilvl w:val="0"/>
          <w:numId w:val="1"/>
        </w:numPr>
        <w:tabs>
          <w:tab w:val="clear" w:pos="567"/>
          <w:tab w:val="clear" w:pos="927"/>
          <w:tab w:val="left" w:pos="1134"/>
        </w:tabs>
        <w:spacing w:before="80" w:line="300" w:lineRule="atLeast"/>
        <w:ind w:left="1134" w:hanging="567"/>
        <w:rPr>
          <w:szCs w:val="20"/>
        </w:rPr>
      </w:pPr>
      <w:r w:rsidRPr="0081267C">
        <w:rPr>
          <w:i/>
          <w:szCs w:val="20"/>
        </w:rPr>
        <w:t>Compensating differentials</w:t>
      </w:r>
      <w:r w:rsidRPr="0081267C">
        <w:rPr>
          <w:szCs w:val="20"/>
        </w:rPr>
        <w:t xml:space="preserve">: The theory of compensating differentials suggests that real wages will equalise between regions but that nominal wages may not. In determining what nominal wage to accept in a particular region, workers take account of housing costs, other cost of living differences, and positive or negative region-specific amenities. As many of these factors are not traded across regions, nominal wages adjust to take account of them. </w:t>
      </w:r>
    </w:p>
    <w:p w:rsidR="00475B04" w:rsidRPr="0081267C" w:rsidRDefault="00475B04" w:rsidP="00475B04">
      <w:pPr>
        <w:numPr>
          <w:ilvl w:val="0"/>
          <w:numId w:val="1"/>
        </w:numPr>
        <w:tabs>
          <w:tab w:val="clear" w:pos="567"/>
          <w:tab w:val="clear" w:pos="927"/>
          <w:tab w:val="left" w:pos="1134"/>
        </w:tabs>
        <w:spacing w:before="80" w:line="300" w:lineRule="atLeast"/>
        <w:ind w:left="1134" w:hanging="567"/>
        <w:rPr>
          <w:szCs w:val="20"/>
        </w:rPr>
      </w:pPr>
      <w:r w:rsidRPr="0081267C">
        <w:rPr>
          <w:i/>
          <w:szCs w:val="20"/>
        </w:rPr>
        <w:t xml:space="preserve">Macroeconomic factors: </w:t>
      </w:r>
      <w:r w:rsidRPr="0081267C">
        <w:rPr>
          <w:szCs w:val="20"/>
        </w:rPr>
        <w:t xml:space="preserve">At any particular time, regions within an economy may be at different stages of their business cycles. As a result, some may have excess labour demand and others excess labour supply. This can cause wages in high demand regions to </w:t>
      </w:r>
      <w:proofErr w:type="gramStart"/>
      <w:r w:rsidRPr="0081267C">
        <w:rPr>
          <w:szCs w:val="20"/>
        </w:rPr>
        <w:t>rise</w:t>
      </w:r>
      <w:proofErr w:type="gramEnd"/>
      <w:r w:rsidRPr="0081267C">
        <w:rPr>
          <w:szCs w:val="20"/>
        </w:rPr>
        <w:t xml:space="preserve"> relative to low demand regions, especially in the short run.</w:t>
      </w:r>
    </w:p>
    <w:p w:rsidR="00475B04" w:rsidRPr="0081267C" w:rsidRDefault="00475B04" w:rsidP="00475B04">
      <w:pPr>
        <w:numPr>
          <w:ilvl w:val="0"/>
          <w:numId w:val="1"/>
        </w:numPr>
        <w:tabs>
          <w:tab w:val="clear" w:pos="567"/>
          <w:tab w:val="clear" w:pos="927"/>
          <w:tab w:val="left" w:pos="1134"/>
        </w:tabs>
        <w:spacing w:before="80" w:line="300" w:lineRule="atLeast"/>
        <w:ind w:left="1134" w:hanging="567"/>
        <w:rPr>
          <w:szCs w:val="20"/>
        </w:rPr>
      </w:pPr>
      <w:r w:rsidRPr="0081267C">
        <w:rPr>
          <w:i/>
          <w:szCs w:val="20"/>
        </w:rPr>
        <w:t>Attachment and migration costs:</w:t>
      </w:r>
      <w:r w:rsidRPr="0081267C">
        <w:rPr>
          <w:szCs w:val="20"/>
        </w:rPr>
        <w:t xml:space="preserve"> People can also be attached to the place they live in (known as attachment to place), due to family, cultural or other social factors. This means they may be resistant to migration to take advantage of wage differentials across regions. In addition, the costs of migrating to high wage regions may be relatively high. It is well known that both attachment to place and migration costs can contribute to wage differentials between regions. The implication is that an economy’s labour market can behave as separate regional labour markets.</w:t>
      </w:r>
    </w:p>
    <w:p w:rsidR="00475B04" w:rsidRPr="0081267C" w:rsidRDefault="00475B04" w:rsidP="00475B04">
      <w:pPr>
        <w:numPr>
          <w:ilvl w:val="1"/>
          <w:numId w:val="2"/>
        </w:numPr>
        <w:tabs>
          <w:tab w:val="num" w:pos="1418"/>
        </w:tabs>
        <w:spacing w:before="120"/>
        <w:rPr>
          <w:szCs w:val="24"/>
        </w:rPr>
      </w:pPr>
      <w:r w:rsidRPr="0081267C">
        <w:rPr>
          <w:szCs w:val="24"/>
        </w:rPr>
        <w:t>So conceptually, observed differences may not necessarily be due only to policy choice.</w:t>
      </w:r>
    </w:p>
    <w:p w:rsidR="00475B04" w:rsidRPr="0081267C" w:rsidRDefault="00475B04" w:rsidP="00475B04">
      <w:pPr>
        <w:numPr>
          <w:ilvl w:val="1"/>
          <w:numId w:val="2"/>
        </w:numPr>
        <w:tabs>
          <w:tab w:val="num" w:pos="1418"/>
        </w:tabs>
        <w:spacing w:before="120"/>
        <w:rPr>
          <w:szCs w:val="24"/>
        </w:rPr>
      </w:pPr>
      <w:r w:rsidRPr="0081267C">
        <w:rPr>
          <w:szCs w:val="24"/>
        </w:rPr>
        <w:t xml:space="preserve">We also observe that private labour markets display differences in remuneration for comparable employees; we generally consider these to be broadly independent of State wage policy choices. The persistence of State specific differentials supports a </w:t>
      </w:r>
      <w:r w:rsidRPr="0081267C">
        <w:rPr>
          <w:szCs w:val="24"/>
        </w:rPr>
        <w:lastRenderedPageBreak/>
        <w:t xml:space="preserve">view that labour markets do not clear fully, and that private remuneration differentials are determined at least in part by State specific conditions. </w:t>
      </w:r>
    </w:p>
    <w:p w:rsidR="00475B04" w:rsidRPr="0081267C" w:rsidRDefault="00475B04" w:rsidP="00475B04">
      <w:pPr>
        <w:numPr>
          <w:ilvl w:val="1"/>
          <w:numId w:val="2"/>
        </w:numPr>
        <w:tabs>
          <w:tab w:val="num" w:pos="1418"/>
        </w:tabs>
        <w:spacing w:before="120"/>
        <w:rPr>
          <w:szCs w:val="24"/>
        </w:rPr>
      </w:pPr>
      <w:r w:rsidRPr="0081267C">
        <w:rPr>
          <w:szCs w:val="24"/>
        </w:rPr>
        <w:t xml:space="preserve">Data on public and private wages also suggest that not only are there differences in the remuneration of comparable employees within these sectors, but that differences in remuneration are responding to the same factors. </w:t>
      </w:r>
      <w:r w:rsidR="00C11CB8" w:rsidRPr="0081267C">
        <w:rPr>
          <w:szCs w:val="24"/>
        </w:rPr>
        <w:fldChar w:fldCharType="begin"/>
      </w:r>
      <w:r w:rsidR="00C11CB8" w:rsidRPr="0081267C">
        <w:rPr>
          <w:szCs w:val="24"/>
        </w:rPr>
        <w:instrText xml:space="preserve"> REF  _Ref441241409 \h  \* MERGEFORMAT </w:instrText>
      </w:r>
      <w:r w:rsidR="00C11CB8" w:rsidRPr="0081267C">
        <w:rPr>
          <w:szCs w:val="24"/>
        </w:rPr>
      </w:r>
      <w:r w:rsidR="00C11CB8" w:rsidRPr="0081267C">
        <w:rPr>
          <w:szCs w:val="24"/>
        </w:rPr>
        <w:fldChar w:fldCharType="separate"/>
      </w:r>
      <w:r w:rsidR="007A6AF0" w:rsidRPr="0081267C">
        <w:t>Figure</w:t>
      </w:r>
      <w:r w:rsidR="007A6AF0" w:rsidRPr="007A6AF0">
        <w:rPr>
          <w:b/>
        </w:rPr>
        <w:t xml:space="preserve"> </w:t>
      </w:r>
      <w:r w:rsidR="007A6AF0">
        <w:rPr>
          <w:noProof/>
        </w:rPr>
        <w:t>3</w:t>
      </w:r>
      <w:r w:rsidR="007A6AF0" w:rsidRPr="0081267C">
        <w:rPr>
          <w:noProof/>
        </w:rPr>
        <w:noBreakHyphen/>
      </w:r>
      <w:r w:rsidR="007A6AF0">
        <w:rPr>
          <w:noProof/>
        </w:rPr>
        <w:t>1</w:t>
      </w:r>
      <w:r w:rsidR="00C11CB8" w:rsidRPr="0081267C">
        <w:rPr>
          <w:szCs w:val="24"/>
        </w:rPr>
        <w:fldChar w:fldCharType="end"/>
      </w:r>
      <w:r w:rsidRPr="0081267C">
        <w:rPr>
          <w:szCs w:val="24"/>
        </w:rPr>
        <w:t xml:space="preserve"> shows average differentials for comparable public and private employees from a succession of ABS survey results from </w:t>
      </w:r>
      <w:r w:rsidR="00081DF3" w:rsidRPr="0081267C">
        <w:rPr>
          <w:szCs w:val="24"/>
        </w:rPr>
        <w:t>2001</w:t>
      </w:r>
      <w:r w:rsidRPr="0081267C">
        <w:rPr>
          <w:szCs w:val="24"/>
        </w:rPr>
        <w:t xml:space="preserve"> to 2014. </w:t>
      </w:r>
    </w:p>
    <w:p w:rsidR="00475B04" w:rsidRPr="0081267C" w:rsidRDefault="00475B04" w:rsidP="00475B04">
      <w:pPr>
        <w:numPr>
          <w:ilvl w:val="1"/>
          <w:numId w:val="2"/>
        </w:numPr>
        <w:tabs>
          <w:tab w:val="num" w:pos="1418"/>
        </w:tabs>
        <w:spacing w:before="120"/>
        <w:rPr>
          <w:szCs w:val="24"/>
        </w:rPr>
      </w:pPr>
      <w:r w:rsidRPr="0081267C">
        <w:rPr>
          <w:szCs w:val="24"/>
        </w:rPr>
        <w:t xml:space="preserve">The apparent strength of the relationship has varied over time. The relationship has been positive in all years, and </w:t>
      </w:r>
      <w:r w:rsidR="00A3065E" w:rsidRPr="0081267C">
        <w:rPr>
          <w:szCs w:val="24"/>
        </w:rPr>
        <w:t xml:space="preserve">for </w:t>
      </w:r>
      <w:r w:rsidRPr="0081267C">
        <w:rPr>
          <w:szCs w:val="24"/>
        </w:rPr>
        <w:t>all but 2009</w:t>
      </w:r>
      <w:r w:rsidR="00FB265C">
        <w:rPr>
          <w:szCs w:val="24"/>
        </w:rPr>
        <w:t>,</w:t>
      </w:r>
      <w:r w:rsidRPr="0081267C">
        <w:rPr>
          <w:szCs w:val="24"/>
        </w:rPr>
        <w:t xml:space="preserve"> were statistically significant. </w:t>
      </w:r>
    </w:p>
    <w:p w:rsidR="00475B04" w:rsidRPr="0081267C" w:rsidRDefault="00475B04" w:rsidP="00C11CB8">
      <w:pPr>
        <w:pStyle w:val="CGCTableHeading"/>
      </w:pPr>
      <w:bookmarkStart w:id="841" w:name="_Ref438716820"/>
      <w:bookmarkStart w:id="842" w:name="_Ref441241409"/>
      <w:r w:rsidRPr="0081267C">
        <w:t>Figure</w:t>
      </w:r>
      <w:bookmarkEnd w:id="841"/>
      <w:r w:rsidR="00C11CB8" w:rsidRPr="0081267C">
        <w:t xml:space="preserve"> </w:t>
      </w:r>
      <w:r w:rsidR="0014378B">
        <w:fldChar w:fldCharType="begin"/>
      </w:r>
      <w:r w:rsidR="0014378B">
        <w:instrText xml:space="preserve"> STYLEREF 1 \s </w:instrText>
      </w:r>
      <w:r w:rsidR="0014378B">
        <w:fldChar w:fldCharType="separate"/>
      </w:r>
      <w:r w:rsidR="007A6AF0">
        <w:rPr>
          <w:noProof/>
        </w:rPr>
        <w:t>3</w:t>
      </w:r>
      <w:r w:rsidR="0014378B">
        <w:rPr>
          <w:noProof/>
        </w:rPr>
        <w:fldChar w:fldCharType="end"/>
      </w:r>
      <w:r w:rsidR="00C11CB8" w:rsidRPr="0081267C">
        <w:noBreakHyphen/>
      </w:r>
      <w:r w:rsidR="0014378B">
        <w:fldChar w:fldCharType="begin"/>
      </w:r>
      <w:r w:rsidR="0014378B">
        <w:instrText xml:space="preserve"> SEQ Figure \* ARABIC \s 1 </w:instrText>
      </w:r>
      <w:r w:rsidR="0014378B">
        <w:fldChar w:fldCharType="separate"/>
      </w:r>
      <w:r w:rsidR="007A6AF0">
        <w:rPr>
          <w:noProof/>
        </w:rPr>
        <w:t>1</w:t>
      </w:r>
      <w:r w:rsidR="0014378B">
        <w:rPr>
          <w:noProof/>
        </w:rPr>
        <w:fldChar w:fldCharType="end"/>
      </w:r>
      <w:bookmarkEnd w:id="842"/>
      <w:r w:rsidRPr="0081267C">
        <w:tab/>
        <w:t xml:space="preserve">Public </w:t>
      </w:r>
      <w:r w:rsidR="00081DF3" w:rsidRPr="0081267C">
        <w:t>and private relative wages, 2001</w:t>
      </w:r>
      <w:r w:rsidRPr="0081267C">
        <w:t xml:space="preserve"> to 2014</w:t>
      </w:r>
    </w:p>
    <w:p w:rsidR="00475B04" w:rsidRPr="0081267C" w:rsidRDefault="00081DF3" w:rsidP="00475B04">
      <w:pPr>
        <w:keepNext/>
        <w:keepLines/>
        <w:tabs>
          <w:tab w:val="clear" w:pos="567"/>
          <w:tab w:val="left" w:pos="1420"/>
        </w:tabs>
        <w:spacing w:before="240" w:after="120" w:line="240" w:lineRule="auto"/>
        <w:ind w:left="1418" w:hanging="1418"/>
        <w:rPr>
          <w:b/>
          <w:szCs w:val="20"/>
        </w:rPr>
      </w:pPr>
      <w:r w:rsidRPr="0081267C">
        <w:rPr>
          <w:noProof/>
          <w:lang w:eastAsia="en-AU"/>
        </w:rPr>
        <w:drawing>
          <wp:inline distT="0" distB="0" distL="0" distR="0" wp14:anchorId="11A26F73" wp14:editId="1F9A4BEC">
            <wp:extent cx="5666740" cy="3736340"/>
            <wp:effectExtent l="0" t="0" r="0" b="0"/>
            <wp:docPr id="18" name="Picture 18" descr="This figure shows average differentials for comparable public and private employees from a succession of ABS survey results from SET and C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66740" cy="3736340"/>
                    </a:xfrm>
                    <a:prstGeom prst="rect">
                      <a:avLst/>
                    </a:prstGeom>
                    <a:noFill/>
                    <a:ln>
                      <a:noFill/>
                    </a:ln>
                  </pic:spPr>
                </pic:pic>
              </a:graphicData>
            </a:graphic>
          </wp:inline>
        </w:drawing>
      </w:r>
    </w:p>
    <w:p w:rsidR="00475B04" w:rsidRPr="0081267C" w:rsidRDefault="00475B04" w:rsidP="00475B04">
      <w:pPr>
        <w:tabs>
          <w:tab w:val="clear" w:pos="567"/>
          <w:tab w:val="left" w:pos="851"/>
        </w:tabs>
        <w:spacing w:after="0" w:line="240" w:lineRule="auto"/>
        <w:ind w:left="851" w:hanging="851"/>
        <w:rPr>
          <w:sz w:val="20"/>
          <w:szCs w:val="24"/>
        </w:rPr>
      </w:pPr>
      <w:r w:rsidRPr="0081267C">
        <w:rPr>
          <w:sz w:val="20"/>
          <w:szCs w:val="24"/>
        </w:rPr>
        <w:t>Note:</w:t>
      </w:r>
      <w:r w:rsidRPr="0081267C">
        <w:rPr>
          <w:sz w:val="20"/>
          <w:szCs w:val="24"/>
        </w:rPr>
        <w:tab/>
        <w:t>The y-axis shows relative public sector wages, and the x-axis relative private sector wages.</w:t>
      </w:r>
    </w:p>
    <w:p w:rsidR="00475B04" w:rsidRPr="0081267C" w:rsidRDefault="00475B04" w:rsidP="00475B04">
      <w:pPr>
        <w:tabs>
          <w:tab w:val="clear" w:pos="567"/>
          <w:tab w:val="left" w:pos="851"/>
        </w:tabs>
        <w:spacing w:after="0" w:line="240" w:lineRule="auto"/>
        <w:ind w:left="851" w:hanging="851"/>
        <w:rPr>
          <w:sz w:val="20"/>
          <w:szCs w:val="24"/>
        </w:rPr>
      </w:pPr>
      <w:r w:rsidRPr="0081267C">
        <w:rPr>
          <w:sz w:val="20"/>
          <w:szCs w:val="24"/>
        </w:rPr>
        <w:t xml:space="preserve">Source: </w:t>
      </w:r>
      <w:r w:rsidRPr="0081267C">
        <w:rPr>
          <w:sz w:val="20"/>
          <w:szCs w:val="24"/>
        </w:rPr>
        <w:tab/>
        <w:t xml:space="preserve">Commission analysis of ABS SET and </w:t>
      </w:r>
      <w:r w:rsidR="00F82150" w:rsidRPr="0081267C">
        <w:rPr>
          <w:sz w:val="20"/>
          <w:szCs w:val="24"/>
        </w:rPr>
        <w:t>CoES</w:t>
      </w:r>
      <w:r w:rsidR="00A3065E" w:rsidRPr="0081267C">
        <w:rPr>
          <w:sz w:val="20"/>
          <w:szCs w:val="24"/>
        </w:rPr>
        <w:t xml:space="preserve"> data</w:t>
      </w:r>
      <w:r w:rsidR="00F82150" w:rsidRPr="0081267C">
        <w:rPr>
          <w:sz w:val="20"/>
          <w:szCs w:val="24"/>
        </w:rPr>
        <w:t>.</w:t>
      </w:r>
      <w:r w:rsidRPr="0081267C">
        <w:rPr>
          <w:sz w:val="20"/>
          <w:szCs w:val="24"/>
        </w:rPr>
        <w:t xml:space="preserve"> </w:t>
      </w:r>
    </w:p>
    <w:p w:rsidR="00475B04" w:rsidRPr="0081267C" w:rsidRDefault="00475B04" w:rsidP="00475B04">
      <w:pPr>
        <w:numPr>
          <w:ilvl w:val="1"/>
          <w:numId w:val="2"/>
        </w:numPr>
        <w:tabs>
          <w:tab w:val="num" w:pos="1418"/>
        </w:tabs>
        <w:spacing w:before="120"/>
        <w:rPr>
          <w:szCs w:val="24"/>
        </w:rPr>
      </w:pPr>
      <w:r w:rsidRPr="0081267C">
        <w:rPr>
          <w:szCs w:val="24"/>
        </w:rPr>
        <w:t>States have differing views on the weight which should be placed on the observed relationships in deciding if there is a conceptual case which warrants an assessment.</w:t>
      </w:r>
    </w:p>
    <w:p w:rsidR="00475B04" w:rsidRPr="0081267C" w:rsidRDefault="00475B04" w:rsidP="00475B04">
      <w:pPr>
        <w:numPr>
          <w:ilvl w:val="1"/>
          <w:numId w:val="2"/>
        </w:numPr>
        <w:tabs>
          <w:tab w:val="num" w:pos="1418"/>
        </w:tabs>
        <w:spacing w:before="120"/>
        <w:rPr>
          <w:szCs w:val="24"/>
        </w:rPr>
      </w:pPr>
      <w:r w:rsidRPr="0081267C">
        <w:rPr>
          <w:szCs w:val="24"/>
        </w:rPr>
        <w:t>Queensland has argued in recent submissions that the relationship in the 2009 data was less strong than previously observed (R</w:t>
      </w:r>
      <w:r w:rsidRPr="0081267C">
        <w:rPr>
          <w:szCs w:val="24"/>
          <w:vertAlign w:val="superscript"/>
        </w:rPr>
        <w:t>2</w:t>
      </w:r>
      <w:r w:rsidRPr="0081267C">
        <w:rPr>
          <w:szCs w:val="24"/>
        </w:rPr>
        <w:t>= 0.1</w:t>
      </w:r>
      <w:r w:rsidR="0035011C" w:rsidRPr="0081267C">
        <w:rPr>
          <w:szCs w:val="24"/>
        </w:rPr>
        <w:t>5</w:t>
      </w:r>
      <w:r w:rsidRPr="0081267C">
        <w:rPr>
          <w:szCs w:val="24"/>
        </w:rPr>
        <w:t xml:space="preserve">), not statistically significant, and that therefore the assessment should be discontinued or heavily discounted. </w:t>
      </w:r>
    </w:p>
    <w:p w:rsidR="00475B04" w:rsidRPr="0081267C" w:rsidRDefault="00475B04" w:rsidP="00475B04">
      <w:pPr>
        <w:numPr>
          <w:ilvl w:val="1"/>
          <w:numId w:val="2"/>
        </w:numPr>
        <w:tabs>
          <w:tab w:val="num" w:pos="1418"/>
        </w:tabs>
        <w:spacing w:before="120"/>
        <w:rPr>
          <w:szCs w:val="24"/>
        </w:rPr>
      </w:pPr>
      <w:r w:rsidRPr="0081267C">
        <w:rPr>
          <w:szCs w:val="24"/>
        </w:rPr>
        <w:t xml:space="preserve">Western Australia has stated that the statistical strength of this relationship is not relevant at all. It considers that the conceptual case is valid, and that the statistical </w:t>
      </w:r>
      <w:r w:rsidRPr="0081267C">
        <w:rPr>
          <w:szCs w:val="24"/>
        </w:rPr>
        <w:lastRenderedPageBreak/>
        <w:t xml:space="preserve">relationship is only measuring how closely States follow average policy, which is irrelevant to fiscal equalisation. </w:t>
      </w:r>
    </w:p>
    <w:p w:rsidR="00475B04" w:rsidRPr="0081267C" w:rsidRDefault="00475B04" w:rsidP="00475B04">
      <w:pPr>
        <w:numPr>
          <w:ilvl w:val="1"/>
          <w:numId w:val="2"/>
        </w:numPr>
        <w:tabs>
          <w:tab w:val="num" w:pos="1418"/>
        </w:tabs>
        <w:spacing w:before="120"/>
        <w:rPr>
          <w:szCs w:val="24"/>
        </w:rPr>
      </w:pPr>
      <w:r w:rsidRPr="0081267C">
        <w:rPr>
          <w:szCs w:val="24"/>
        </w:rPr>
        <w:t>We accept that the observed strength of the relationship has varied over time, but that when taken together the data suggest that the factors driving differences in private sector wages for comparable employees also hav</w:t>
      </w:r>
      <w:r w:rsidR="003352A5">
        <w:rPr>
          <w:szCs w:val="24"/>
        </w:rPr>
        <w:t>e</w:t>
      </w:r>
      <w:r w:rsidRPr="0081267C">
        <w:rPr>
          <w:szCs w:val="24"/>
        </w:rPr>
        <w:t xml:space="preserve"> an impact on public sector wage differentials. At a conceptual level it is difficult to rule out a view that observed differences in remuneration are more than just differences in State policy.</w:t>
      </w:r>
    </w:p>
    <w:p w:rsidR="00475B04" w:rsidRPr="0081267C" w:rsidRDefault="00475B04" w:rsidP="00475B04">
      <w:pPr>
        <w:numPr>
          <w:ilvl w:val="1"/>
          <w:numId w:val="2"/>
        </w:numPr>
        <w:tabs>
          <w:tab w:val="num" w:pos="1418"/>
        </w:tabs>
        <w:spacing w:before="120"/>
        <w:rPr>
          <w:szCs w:val="24"/>
        </w:rPr>
      </w:pPr>
      <w:r w:rsidRPr="0081267C">
        <w:rPr>
          <w:szCs w:val="24"/>
        </w:rPr>
        <w:t>During consultations, some States have argued that they respond to national labour market pressures, and they explicitly compare their wage levels with those in other States. To the extent that this is the average policy, and it results in uniform interstate wage levels, it could mean that the fiscal capacities of States do not diverge for wage related reasons.</w:t>
      </w:r>
    </w:p>
    <w:p w:rsidR="00475B04" w:rsidRPr="0081267C" w:rsidRDefault="00475B04" w:rsidP="00475B04">
      <w:pPr>
        <w:numPr>
          <w:ilvl w:val="1"/>
          <w:numId w:val="2"/>
        </w:numPr>
        <w:tabs>
          <w:tab w:val="num" w:pos="1418"/>
        </w:tabs>
        <w:spacing w:before="120"/>
        <w:rPr>
          <w:szCs w:val="24"/>
        </w:rPr>
      </w:pPr>
      <w:r w:rsidRPr="0081267C">
        <w:rPr>
          <w:szCs w:val="24"/>
        </w:rPr>
        <w:t>On the other hand, Western Australia has argued that even if States paid uniform wages for some or all State government employees, the conceptual case would still be valid. In its view, higher-cost States would effectively be offering lower real wages, and so would be constrained to accept lower productivity workers, leading to differences in fiscal capacity.</w:t>
      </w:r>
    </w:p>
    <w:p w:rsidR="00475B04" w:rsidRPr="0081267C" w:rsidRDefault="00475B04" w:rsidP="00475B04">
      <w:pPr>
        <w:numPr>
          <w:ilvl w:val="1"/>
          <w:numId w:val="2"/>
        </w:numPr>
        <w:tabs>
          <w:tab w:val="num" w:pos="1418"/>
        </w:tabs>
        <w:spacing w:before="120"/>
        <w:rPr>
          <w:szCs w:val="24"/>
        </w:rPr>
      </w:pPr>
      <w:r w:rsidRPr="0081267C">
        <w:rPr>
          <w:szCs w:val="24"/>
        </w:rPr>
        <w:t>If we were to observe such uniform wage levels across States, we would need to reflect on these issues at that time. We do not consider the available data are consistent with uniform interstate wage levels.</w:t>
      </w:r>
    </w:p>
    <w:p w:rsidR="00475B04" w:rsidRPr="0081267C" w:rsidDel="0011058F" w:rsidRDefault="00475B04" w:rsidP="00475B04">
      <w:pPr>
        <w:numPr>
          <w:ilvl w:val="1"/>
          <w:numId w:val="2"/>
        </w:numPr>
        <w:tabs>
          <w:tab w:val="num" w:pos="1418"/>
        </w:tabs>
        <w:spacing w:before="120"/>
        <w:rPr>
          <w:szCs w:val="24"/>
        </w:rPr>
      </w:pPr>
      <w:r w:rsidRPr="0081267C" w:rsidDel="0011058F">
        <w:rPr>
          <w:szCs w:val="24"/>
        </w:rPr>
        <w:t>The results of Mavromaras et al</w:t>
      </w:r>
      <w:r w:rsidRPr="0081267C">
        <w:rPr>
          <w:szCs w:val="24"/>
          <w:vertAlign w:val="superscript"/>
        </w:rPr>
        <w:footnoteReference w:id="21"/>
      </w:r>
      <w:r w:rsidRPr="0081267C" w:rsidDel="0011058F">
        <w:rPr>
          <w:szCs w:val="24"/>
        </w:rPr>
        <w:t xml:space="preserve"> suggest that the same levels of labour quality are </w:t>
      </w:r>
      <w:r w:rsidR="00B46E70" w:rsidRPr="0081267C" w:rsidDel="0011058F">
        <w:rPr>
          <w:szCs w:val="24"/>
        </w:rPr>
        <w:t>re</w:t>
      </w:r>
      <w:r w:rsidR="00B46E70">
        <w:rPr>
          <w:szCs w:val="24"/>
        </w:rPr>
        <w:t>m</w:t>
      </w:r>
      <w:r w:rsidR="00B46E70" w:rsidRPr="0081267C" w:rsidDel="0011058F">
        <w:rPr>
          <w:szCs w:val="24"/>
        </w:rPr>
        <w:t>u</w:t>
      </w:r>
      <w:r w:rsidR="00B46E70">
        <w:rPr>
          <w:szCs w:val="24"/>
        </w:rPr>
        <w:t>n</w:t>
      </w:r>
      <w:r w:rsidR="00B46E70" w:rsidRPr="0081267C" w:rsidDel="0011058F">
        <w:rPr>
          <w:szCs w:val="24"/>
        </w:rPr>
        <w:t xml:space="preserve">erated </w:t>
      </w:r>
      <w:r w:rsidRPr="0081267C" w:rsidDel="0011058F">
        <w:rPr>
          <w:szCs w:val="24"/>
        </w:rPr>
        <w:t xml:space="preserve">differently by different State governments. Their view is that States compete in both a national and a local labour market simultaneously, so that States pay attention to the wages paid to private sector workers in their own State as well as the wages paid to comparable public sector workers in other States. </w:t>
      </w:r>
    </w:p>
    <w:p w:rsidR="00475B04" w:rsidRDefault="00475B04" w:rsidP="00475B04">
      <w:pPr>
        <w:numPr>
          <w:ilvl w:val="1"/>
          <w:numId w:val="2"/>
        </w:numPr>
        <w:tabs>
          <w:tab w:val="num" w:pos="1418"/>
        </w:tabs>
        <w:spacing w:before="120"/>
        <w:rPr>
          <w:szCs w:val="24"/>
        </w:rPr>
      </w:pPr>
      <w:r w:rsidRPr="0081267C" w:rsidDel="0011058F">
        <w:rPr>
          <w:szCs w:val="24"/>
        </w:rPr>
        <w:t>The relative importance of these two influences is difficult to gauge. However, analysis of Longitudinal Census data show that 60% of people joining the State public service between 2006 and 2011 moved from the private sector in their State, while only 3% moved from the State public sector in another State. This suggests that the direct impact of competition for labour is stronger from other sectors within a State than from a national labour market of State public service employees.</w:t>
      </w:r>
      <w:r w:rsidRPr="0081267C">
        <w:rPr>
          <w:szCs w:val="24"/>
        </w:rPr>
        <w:t xml:space="preserve"> </w:t>
      </w:r>
    </w:p>
    <w:p w:rsidR="00431F3D" w:rsidRPr="0081267C" w:rsidRDefault="00431F3D" w:rsidP="00431F3D">
      <w:pPr>
        <w:pStyle w:val="CGCNumberedPara"/>
      </w:pPr>
      <w:r w:rsidRPr="00431F3D">
        <w:t xml:space="preserve">We are also concerned that the higher public sector premiums in low wage States cited by Mavromaras et al as evidence of the operation of a national market may, rather, reflect the influence of the Commonwealth public sector. The public sector </w:t>
      </w:r>
      <w:r w:rsidRPr="00431F3D">
        <w:lastRenderedPageBreak/>
        <w:t>data used in the analysis include Commonwealth public sector data as well as State public sector data.</w:t>
      </w:r>
    </w:p>
    <w:tbl>
      <w:tblPr>
        <w:tblStyle w:val="TableGrid1"/>
        <w:tblW w:w="0" w:type="auto"/>
        <w:tblLook w:val="04A0" w:firstRow="1" w:lastRow="0" w:firstColumn="1" w:lastColumn="0" w:noHBand="0" w:noVBand="1"/>
      </w:tblPr>
      <w:tblGrid>
        <w:gridCol w:w="9167"/>
      </w:tblGrid>
      <w:tr w:rsidR="00475B04" w:rsidRPr="0081267C" w:rsidTr="00475B04">
        <w:tc>
          <w:tcPr>
            <w:tcW w:w="9167" w:type="dxa"/>
            <w:tcBorders>
              <w:top w:val="nil"/>
              <w:left w:val="nil"/>
              <w:bottom w:val="nil"/>
              <w:right w:val="nil"/>
            </w:tcBorders>
            <w:shd w:val="clear" w:color="auto" w:fill="D9F3E6"/>
          </w:tcPr>
          <w:p w:rsidR="00475B04" w:rsidRPr="0081267C" w:rsidRDefault="003546A7" w:rsidP="003546A7">
            <w:pPr>
              <w:pStyle w:val="Caption"/>
              <w:rPr>
                <w:b w:val="0"/>
              </w:rPr>
            </w:pPr>
            <w:bookmarkStart w:id="843" w:name="_Ref442273105"/>
            <w:r>
              <w:t>Box 3-</w:t>
            </w:r>
            <w:r w:rsidR="0014378B">
              <w:fldChar w:fldCharType="begin"/>
            </w:r>
            <w:r w:rsidR="0014378B">
              <w:instrText xml:space="preserve"> SEQ Box \* ARABIC </w:instrText>
            </w:r>
            <w:r w:rsidR="0014378B">
              <w:fldChar w:fldCharType="separate"/>
            </w:r>
            <w:r w:rsidR="007A6AF0">
              <w:rPr>
                <w:noProof/>
              </w:rPr>
              <w:t>2</w:t>
            </w:r>
            <w:r w:rsidR="0014378B">
              <w:rPr>
                <w:noProof/>
              </w:rPr>
              <w:fldChar w:fldCharType="end"/>
            </w:r>
            <w:bookmarkEnd w:id="843"/>
            <w:r w:rsidR="00475B04" w:rsidRPr="0081267C">
              <w:tab/>
              <w:t>Implications of the consultants’ report</w:t>
            </w:r>
          </w:p>
          <w:p w:rsidR="00475B04" w:rsidRPr="0081267C" w:rsidRDefault="00475B04" w:rsidP="00475B04">
            <w:pPr>
              <w:rPr>
                <w:sz w:val="22"/>
              </w:rPr>
            </w:pPr>
            <w:r w:rsidRPr="0081267C">
              <w:rPr>
                <w:sz w:val="22"/>
              </w:rPr>
              <w:t>Mavromaras et al found that State governments pay different wages to comparable workers in different States. The report also suggested that both the public and private sectors are responsive to the same underlying influences in labour markets, albeit with the public sector perhaps moderated in timing and degree. While Queensland contends that the private sector wage levels play no explicit role in their wage setting strategies, most States accept that this is at least one of many influences on the wages they pay. These findings lead us to conclude that an assessment of a wage costs disability remains warranted, and that the private sector is a suitable proxy for the influences faced by the States in paying wages.</w:t>
            </w:r>
          </w:p>
          <w:p w:rsidR="00475B04" w:rsidRPr="0081267C" w:rsidRDefault="00475B04" w:rsidP="00475B04">
            <w:pPr>
              <w:rPr>
                <w:sz w:val="22"/>
              </w:rPr>
            </w:pPr>
            <w:r w:rsidRPr="0081267C">
              <w:rPr>
                <w:sz w:val="22"/>
              </w:rPr>
              <w:t xml:space="preserve">Mavromaras et al found that the public sector pays a premium above that paid for comparable people in the private sector, and that this premium is higher in States with low private sector wages. The consultants have taken this as evidence for national labour markets influencing State wages, and several States have concurred with this interpretation, calling for a significant increase to the discount on the basis of this conclusion. Western Australia questions whether this result is due to the model being overly </w:t>
            </w:r>
            <w:proofErr w:type="gramStart"/>
            <w:r w:rsidRPr="0081267C">
              <w:rPr>
                <w:sz w:val="22"/>
              </w:rPr>
              <w:t>simplistic,</w:t>
            </w:r>
            <w:proofErr w:type="gramEnd"/>
            <w:r w:rsidRPr="0081267C">
              <w:rPr>
                <w:sz w:val="22"/>
              </w:rPr>
              <w:t xml:space="preserve"> and a more complete analysis may find a different result. It also questions whether alternative theories may also explain the relationship found in the data. The ACT notes that the existence of national markets does not eliminate the possibility of State differences in wages due to local influences. It argues these could be an add-on to a national base rate. </w:t>
            </w:r>
          </w:p>
          <w:p w:rsidR="00475B04" w:rsidRPr="0081267C" w:rsidRDefault="00475B04" w:rsidP="003546A7">
            <w:pPr>
              <w:keepNext/>
            </w:pPr>
            <w:r w:rsidRPr="0081267C">
              <w:rPr>
                <w:sz w:val="22"/>
              </w:rPr>
              <w:t>The report found that public sector wages in capital cities are higher than those in regional areas, and that this difference is similar to that found in the private sector. Most States agree that this refutes the case for a capital city based assessment. New South Wales remains convinced that a capital city model is conce</w:t>
            </w:r>
            <w:r w:rsidR="005918AF" w:rsidRPr="0081267C">
              <w:rPr>
                <w:sz w:val="22"/>
              </w:rPr>
              <w:t>ptually superior to a whole of s</w:t>
            </w:r>
            <w:r w:rsidRPr="0081267C">
              <w:rPr>
                <w:sz w:val="22"/>
              </w:rPr>
              <w:t>tate approach to measuring public sector wage pressures. However it accepts that a change of this magnitude should be undertaken in the context of a review rather than in an update.</w:t>
            </w:r>
          </w:p>
        </w:tc>
      </w:tr>
    </w:tbl>
    <w:p w:rsidR="00475B04" w:rsidRPr="0081267C" w:rsidRDefault="00475B04" w:rsidP="00475B04">
      <w:pPr>
        <w:numPr>
          <w:ilvl w:val="1"/>
          <w:numId w:val="2"/>
        </w:numPr>
        <w:tabs>
          <w:tab w:val="num" w:pos="1418"/>
        </w:tabs>
        <w:spacing w:before="120"/>
        <w:rPr>
          <w:szCs w:val="24"/>
        </w:rPr>
      </w:pPr>
      <w:r w:rsidRPr="0081267C">
        <w:rPr>
          <w:szCs w:val="24"/>
        </w:rPr>
        <w:t>South Australia has argued that ‘material wage differentials do not exist in public sector occupations where States are the dominant employer and where local private sector employment opportunities are limited (teachers, nurses, police)’</w:t>
      </w:r>
      <w:r w:rsidRPr="0081267C">
        <w:rPr>
          <w:szCs w:val="24"/>
          <w:vertAlign w:val="superscript"/>
        </w:rPr>
        <w:footnoteReference w:id="22"/>
      </w:r>
      <w:r w:rsidRPr="0081267C">
        <w:rPr>
          <w:szCs w:val="24"/>
        </w:rPr>
        <w:t xml:space="preserve">. </w:t>
      </w:r>
      <w:r w:rsidR="00E86EC7" w:rsidRPr="0081267C">
        <w:rPr>
          <w:szCs w:val="24"/>
        </w:rPr>
        <w:fldChar w:fldCharType="begin"/>
      </w:r>
      <w:r w:rsidR="00E86EC7" w:rsidRPr="0081267C">
        <w:rPr>
          <w:szCs w:val="24"/>
        </w:rPr>
        <w:instrText xml:space="preserve"> REF  _Ref441241490 \h  \* MERGEFORMAT </w:instrText>
      </w:r>
      <w:r w:rsidR="00E86EC7" w:rsidRPr="0081267C">
        <w:rPr>
          <w:szCs w:val="24"/>
        </w:rPr>
      </w:r>
      <w:r w:rsidR="00E86EC7" w:rsidRPr="0081267C">
        <w:rPr>
          <w:szCs w:val="24"/>
        </w:rPr>
        <w:fldChar w:fldCharType="separate"/>
      </w:r>
      <w:r w:rsidR="007A6AF0" w:rsidRPr="007A6AF0">
        <w:rPr>
          <w:szCs w:val="20"/>
        </w:rPr>
        <w:t xml:space="preserve">Table </w:t>
      </w:r>
      <w:r w:rsidR="007A6AF0">
        <w:rPr>
          <w:noProof/>
        </w:rPr>
        <w:t>3</w:t>
      </w:r>
      <w:r w:rsidR="007A6AF0" w:rsidRPr="0081267C">
        <w:rPr>
          <w:noProof/>
        </w:rPr>
        <w:noBreakHyphen/>
      </w:r>
      <w:r w:rsidR="007A6AF0">
        <w:rPr>
          <w:noProof/>
        </w:rPr>
        <w:t>1</w:t>
      </w:r>
      <w:r w:rsidR="00E86EC7" w:rsidRPr="0081267C">
        <w:rPr>
          <w:szCs w:val="24"/>
        </w:rPr>
        <w:fldChar w:fldCharType="end"/>
      </w:r>
      <w:r w:rsidRPr="0081267C">
        <w:rPr>
          <w:szCs w:val="24"/>
        </w:rPr>
        <w:t xml:space="preserve"> lists the annual salaries of comparable nurses, police officers and teachers in each State. It is clear that there are significant differences in the wages of these employees. </w:t>
      </w:r>
    </w:p>
    <w:p w:rsidR="00475B04" w:rsidRPr="0081267C" w:rsidRDefault="00475B04" w:rsidP="00475B04">
      <w:pPr>
        <w:numPr>
          <w:ilvl w:val="1"/>
          <w:numId w:val="2"/>
        </w:numPr>
        <w:tabs>
          <w:tab w:val="num" w:pos="1418"/>
        </w:tabs>
        <w:spacing w:before="120"/>
        <w:rPr>
          <w:szCs w:val="24"/>
        </w:rPr>
      </w:pPr>
      <w:r w:rsidRPr="0081267C">
        <w:rPr>
          <w:szCs w:val="24"/>
        </w:rPr>
        <w:t xml:space="preserve">We do not accept the argument that there exists a significant suite of public sector roles where wages are set at a purely national level. </w:t>
      </w:r>
      <w:r w:rsidR="003352A5">
        <w:rPr>
          <w:szCs w:val="24"/>
        </w:rPr>
        <w:t>W</w:t>
      </w:r>
      <w:r w:rsidRPr="0081267C" w:rsidDel="00461D7E">
        <w:rPr>
          <w:szCs w:val="24"/>
        </w:rPr>
        <w:t xml:space="preserve">e do accept Victoria and Queensland’s evidence that one of the factors States consider in setting wages is the wages paid for comparable employees in other States. However, the extent to which </w:t>
      </w:r>
      <w:r w:rsidRPr="0081267C" w:rsidDel="00461D7E">
        <w:rPr>
          <w:szCs w:val="24"/>
        </w:rPr>
        <w:lastRenderedPageBreak/>
        <w:t>this occurs, whether it also occurs in some private sector occupations, or the impact it should have on the wages assessment</w:t>
      </w:r>
      <w:r w:rsidR="003352A5">
        <w:rPr>
          <w:szCs w:val="24"/>
        </w:rPr>
        <w:t xml:space="preserve"> is not yet clear</w:t>
      </w:r>
      <w:r w:rsidRPr="0081267C" w:rsidDel="00461D7E">
        <w:rPr>
          <w:szCs w:val="24"/>
        </w:rPr>
        <w:t xml:space="preserve">. A number of States have argued </w:t>
      </w:r>
      <w:r w:rsidR="00A3065E" w:rsidRPr="0081267C">
        <w:rPr>
          <w:szCs w:val="24"/>
        </w:rPr>
        <w:t xml:space="preserve">that </w:t>
      </w:r>
      <w:r w:rsidRPr="0081267C" w:rsidDel="00461D7E">
        <w:rPr>
          <w:szCs w:val="24"/>
        </w:rPr>
        <w:t>th</w:t>
      </w:r>
      <w:r w:rsidRPr="0081267C">
        <w:rPr>
          <w:szCs w:val="24"/>
        </w:rPr>
        <w:t>e</w:t>
      </w:r>
      <w:r w:rsidRPr="0081267C" w:rsidDel="00461D7E">
        <w:rPr>
          <w:szCs w:val="24"/>
        </w:rPr>
        <w:t xml:space="preserve"> question </w:t>
      </w:r>
      <w:r w:rsidRPr="0081267C">
        <w:rPr>
          <w:szCs w:val="24"/>
        </w:rPr>
        <w:t xml:space="preserve">of national labour market dynamics </w:t>
      </w:r>
      <w:r w:rsidRPr="0081267C" w:rsidDel="00461D7E">
        <w:rPr>
          <w:szCs w:val="24"/>
        </w:rPr>
        <w:t>requires further consideration and we agree it should form part of the next review.</w:t>
      </w:r>
    </w:p>
    <w:p w:rsidR="00475B04" w:rsidRPr="0081267C" w:rsidRDefault="00475B04" w:rsidP="00262935">
      <w:pPr>
        <w:pStyle w:val="Caption"/>
      </w:pPr>
      <w:bookmarkStart w:id="844" w:name="_Ref420059032"/>
      <w:bookmarkStart w:id="845" w:name="_Ref441241490"/>
      <w:bookmarkStart w:id="846" w:name="_Ref422230820"/>
      <w:r w:rsidRPr="0081267C">
        <w:t xml:space="preserve">Table </w:t>
      </w:r>
      <w:bookmarkEnd w:id="844"/>
      <w:r w:rsidR="00E86EC7" w:rsidRPr="0081267C">
        <w:fldChar w:fldCharType="begin"/>
      </w:r>
      <w:r w:rsidR="00E86EC7" w:rsidRPr="0081267C">
        <w:instrText xml:space="preserve"> STYLEREF 1 \s </w:instrText>
      </w:r>
      <w:r w:rsidR="00E86EC7" w:rsidRPr="0081267C">
        <w:fldChar w:fldCharType="separate"/>
      </w:r>
      <w:r w:rsidR="007A6AF0">
        <w:rPr>
          <w:noProof/>
        </w:rPr>
        <w:t>3</w:t>
      </w:r>
      <w:r w:rsidR="00E86EC7" w:rsidRPr="0081267C">
        <w:rPr>
          <w:noProof/>
        </w:rPr>
        <w:fldChar w:fldCharType="end"/>
      </w:r>
      <w:r w:rsidR="00E86EC7" w:rsidRPr="0081267C">
        <w:noBreakHyphen/>
      </w:r>
      <w:r w:rsidR="0014378B">
        <w:fldChar w:fldCharType="begin"/>
      </w:r>
      <w:r w:rsidR="0014378B">
        <w:instrText xml:space="preserve"> SEQ</w:instrText>
      </w:r>
      <w:r w:rsidR="0014378B">
        <w:instrText xml:space="preserve"> Table \* ARABIC \s 1 </w:instrText>
      </w:r>
      <w:r w:rsidR="0014378B">
        <w:fldChar w:fldCharType="separate"/>
      </w:r>
      <w:r w:rsidR="007A6AF0">
        <w:rPr>
          <w:noProof/>
        </w:rPr>
        <w:t>1</w:t>
      </w:r>
      <w:r w:rsidR="0014378B">
        <w:rPr>
          <w:noProof/>
        </w:rPr>
        <w:fldChar w:fldCharType="end"/>
      </w:r>
      <w:bookmarkEnd w:id="845"/>
      <w:r w:rsidRPr="0081267C">
        <w:t xml:space="preserve"> </w:t>
      </w:r>
      <w:r w:rsidRPr="0081267C">
        <w:tab/>
        <w:t>State government salary comparison (selected occupations) annual base salaries</w:t>
      </w:r>
      <w:bookmarkEnd w:id="846"/>
    </w:p>
    <w:tbl>
      <w:tblPr>
        <w:tblW w:w="8940" w:type="dxa"/>
        <w:tblLayout w:type="fixed"/>
        <w:tblCellMar>
          <w:left w:w="0" w:type="dxa"/>
          <w:right w:w="0" w:type="dxa"/>
        </w:tblCellMar>
        <w:tblLook w:val="04A0" w:firstRow="1" w:lastRow="0" w:firstColumn="1" w:lastColumn="0" w:noHBand="0" w:noVBand="1"/>
      </w:tblPr>
      <w:tblGrid>
        <w:gridCol w:w="1960"/>
        <w:gridCol w:w="880"/>
        <w:gridCol w:w="880"/>
        <w:gridCol w:w="880"/>
        <w:gridCol w:w="880"/>
        <w:gridCol w:w="880"/>
        <w:gridCol w:w="860"/>
        <w:gridCol w:w="860"/>
        <w:gridCol w:w="860"/>
      </w:tblGrid>
      <w:tr w:rsidR="00CA788A" w:rsidRPr="00CA788A" w:rsidTr="00CA788A">
        <w:trPr>
          <w:trHeight w:val="379"/>
        </w:trPr>
        <w:tc>
          <w:tcPr>
            <w:tcW w:w="1960" w:type="dxa"/>
            <w:tcBorders>
              <w:top w:val="single" w:sz="4" w:space="0" w:color="auto"/>
              <w:left w:val="nil"/>
              <w:bottom w:val="single" w:sz="4" w:space="0" w:color="auto"/>
              <w:right w:val="nil"/>
            </w:tcBorders>
            <w:shd w:val="clear" w:color="auto" w:fill="auto"/>
            <w:noWrap/>
            <w:vAlign w:val="center"/>
            <w:hideMark/>
          </w:tcPr>
          <w:p w:rsidR="00CA788A" w:rsidRPr="00CA788A" w:rsidRDefault="00CA788A" w:rsidP="00CA788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bookmarkStart w:id="847" w:name="RANGE!A3:I19"/>
            <w:r w:rsidRPr="00CA788A">
              <w:rPr>
                <w:rFonts w:ascii="Calibri" w:eastAsia="Times New Roman" w:hAnsi="Calibri" w:cs="Times New Roman"/>
                <w:color w:val="000000"/>
                <w:sz w:val="20"/>
                <w:szCs w:val="20"/>
                <w:lang w:eastAsia="en-AU"/>
              </w:rPr>
              <w:t> </w:t>
            </w:r>
            <w:bookmarkEnd w:id="847"/>
          </w:p>
        </w:tc>
        <w:tc>
          <w:tcPr>
            <w:tcW w:w="880" w:type="dxa"/>
            <w:tcBorders>
              <w:top w:val="single" w:sz="4" w:space="0" w:color="auto"/>
              <w:left w:val="nil"/>
              <w:bottom w:val="single" w:sz="4" w:space="0" w:color="auto"/>
              <w:right w:val="nil"/>
            </w:tcBorders>
            <w:shd w:val="clear" w:color="auto" w:fill="auto"/>
            <w:noWrap/>
            <w:vAlign w:val="center"/>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NSW</w:t>
            </w:r>
          </w:p>
        </w:tc>
        <w:tc>
          <w:tcPr>
            <w:tcW w:w="880" w:type="dxa"/>
            <w:tcBorders>
              <w:top w:val="single" w:sz="4" w:space="0" w:color="auto"/>
              <w:left w:val="nil"/>
              <w:bottom w:val="single" w:sz="4" w:space="0" w:color="auto"/>
              <w:right w:val="nil"/>
            </w:tcBorders>
            <w:shd w:val="clear" w:color="auto" w:fill="auto"/>
            <w:noWrap/>
            <w:vAlign w:val="center"/>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Vic</w:t>
            </w:r>
          </w:p>
        </w:tc>
        <w:tc>
          <w:tcPr>
            <w:tcW w:w="880" w:type="dxa"/>
            <w:tcBorders>
              <w:top w:val="single" w:sz="4" w:space="0" w:color="auto"/>
              <w:left w:val="nil"/>
              <w:bottom w:val="single" w:sz="4" w:space="0" w:color="auto"/>
              <w:right w:val="nil"/>
            </w:tcBorders>
            <w:shd w:val="clear" w:color="auto" w:fill="auto"/>
            <w:noWrap/>
            <w:vAlign w:val="center"/>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Qld</w:t>
            </w:r>
          </w:p>
        </w:tc>
        <w:tc>
          <w:tcPr>
            <w:tcW w:w="880" w:type="dxa"/>
            <w:tcBorders>
              <w:top w:val="single" w:sz="4" w:space="0" w:color="auto"/>
              <w:left w:val="nil"/>
              <w:bottom w:val="single" w:sz="4" w:space="0" w:color="auto"/>
              <w:right w:val="nil"/>
            </w:tcBorders>
            <w:shd w:val="clear" w:color="auto" w:fill="auto"/>
            <w:noWrap/>
            <w:vAlign w:val="center"/>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WA</w:t>
            </w:r>
          </w:p>
        </w:tc>
        <w:tc>
          <w:tcPr>
            <w:tcW w:w="880" w:type="dxa"/>
            <w:tcBorders>
              <w:top w:val="single" w:sz="4" w:space="0" w:color="auto"/>
              <w:left w:val="nil"/>
              <w:bottom w:val="single" w:sz="4" w:space="0" w:color="auto"/>
              <w:right w:val="nil"/>
            </w:tcBorders>
            <w:shd w:val="clear" w:color="auto" w:fill="auto"/>
            <w:noWrap/>
            <w:vAlign w:val="center"/>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SA</w:t>
            </w:r>
          </w:p>
        </w:tc>
        <w:tc>
          <w:tcPr>
            <w:tcW w:w="860" w:type="dxa"/>
            <w:tcBorders>
              <w:top w:val="single" w:sz="4" w:space="0" w:color="auto"/>
              <w:left w:val="nil"/>
              <w:bottom w:val="single" w:sz="4" w:space="0" w:color="auto"/>
              <w:right w:val="nil"/>
            </w:tcBorders>
            <w:shd w:val="clear" w:color="auto" w:fill="auto"/>
            <w:noWrap/>
            <w:vAlign w:val="center"/>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Tas</w:t>
            </w:r>
          </w:p>
        </w:tc>
        <w:tc>
          <w:tcPr>
            <w:tcW w:w="860" w:type="dxa"/>
            <w:tcBorders>
              <w:top w:val="single" w:sz="4" w:space="0" w:color="auto"/>
              <w:left w:val="nil"/>
              <w:bottom w:val="single" w:sz="4" w:space="0" w:color="auto"/>
              <w:right w:val="nil"/>
            </w:tcBorders>
            <w:shd w:val="clear" w:color="auto" w:fill="auto"/>
            <w:noWrap/>
            <w:vAlign w:val="center"/>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ACT</w:t>
            </w:r>
          </w:p>
        </w:tc>
        <w:tc>
          <w:tcPr>
            <w:tcW w:w="860" w:type="dxa"/>
            <w:tcBorders>
              <w:top w:val="single" w:sz="4" w:space="0" w:color="auto"/>
              <w:left w:val="nil"/>
              <w:bottom w:val="single" w:sz="4" w:space="0" w:color="auto"/>
              <w:right w:val="nil"/>
            </w:tcBorders>
            <w:shd w:val="clear" w:color="auto" w:fill="auto"/>
            <w:noWrap/>
            <w:vAlign w:val="center"/>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NT</w:t>
            </w:r>
          </w:p>
        </w:tc>
      </w:tr>
      <w:tr w:rsidR="00CA788A" w:rsidRPr="00CA788A" w:rsidTr="00CA788A">
        <w:trPr>
          <w:trHeight w:val="259"/>
        </w:trPr>
        <w:tc>
          <w:tcPr>
            <w:tcW w:w="19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w:t>
            </w: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w:t>
            </w: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w:t>
            </w: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w:t>
            </w:r>
          </w:p>
        </w:tc>
      </w:tr>
      <w:tr w:rsidR="00CA788A" w:rsidRPr="00CA788A" w:rsidTr="00CA788A">
        <w:trPr>
          <w:trHeight w:val="315"/>
        </w:trPr>
        <w:tc>
          <w:tcPr>
            <w:tcW w:w="19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Nurses</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sz w:val="20"/>
                <w:szCs w:val="20"/>
                <w:lang w:eastAsia="en-AU"/>
              </w:rPr>
            </w:pPr>
          </w:p>
        </w:tc>
      </w:tr>
      <w:tr w:rsidR="00CA788A" w:rsidRPr="00CA788A" w:rsidTr="00CA788A">
        <w:trPr>
          <w:trHeight w:val="315"/>
        </w:trPr>
        <w:tc>
          <w:tcPr>
            <w:tcW w:w="19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ind w:left="426" w:hanging="142"/>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Enrolled Nurse</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49 852</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46 972</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53 293</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52 230</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49 750</w:t>
            </w: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51 727</w:t>
            </w: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53 501</w:t>
            </w: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52 564</w:t>
            </w:r>
          </w:p>
        </w:tc>
      </w:tr>
      <w:tr w:rsidR="00CA788A" w:rsidRPr="00CA788A" w:rsidTr="00CA788A">
        <w:trPr>
          <w:trHeight w:val="555"/>
        </w:trPr>
        <w:tc>
          <w:tcPr>
            <w:tcW w:w="1960" w:type="dxa"/>
            <w:tcBorders>
              <w:top w:val="nil"/>
              <w:left w:val="nil"/>
              <w:bottom w:val="nil"/>
              <w:right w:val="nil"/>
            </w:tcBorders>
            <w:shd w:val="clear" w:color="auto" w:fill="auto"/>
            <w:vAlign w:val="bottom"/>
            <w:hideMark/>
          </w:tcPr>
          <w:p w:rsidR="00CA788A" w:rsidRPr="00CA788A" w:rsidRDefault="00CA788A" w:rsidP="00CA788A">
            <w:pPr>
              <w:keepNext/>
              <w:keepLines/>
              <w:tabs>
                <w:tab w:val="clear" w:pos="567"/>
              </w:tabs>
              <w:spacing w:after="0" w:line="240" w:lineRule="auto"/>
              <w:ind w:left="426" w:hanging="142"/>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Registered Nurse/Midwife</w:t>
            </w:r>
          </w:p>
        </w:tc>
        <w:tc>
          <w:tcPr>
            <w:tcW w:w="880" w:type="dxa"/>
            <w:tcBorders>
              <w:top w:val="nil"/>
              <w:left w:val="nil"/>
              <w:bottom w:val="nil"/>
              <w:right w:val="nil"/>
            </w:tcBorders>
            <w:shd w:val="clear" w:color="auto" w:fill="auto"/>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56 529</w:t>
            </w:r>
          </w:p>
        </w:tc>
        <w:tc>
          <w:tcPr>
            <w:tcW w:w="880" w:type="dxa"/>
            <w:tcBorders>
              <w:top w:val="nil"/>
              <w:left w:val="nil"/>
              <w:bottom w:val="nil"/>
              <w:right w:val="nil"/>
            </w:tcBorders>
            <w:shd w:val="clear" w:color="auto" w:fill="auto"/>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52 473</w:t>
            </w:r>
          </w:p>
        </w:tc>
        <w:tc>
          <w:tcPr>
            <w:tcW w:w="880" w:type="dxa"/>
            <w:tcBorders>
              <w:top w:val="nil"/>
              <w:left w:val="nil"/>
              <w:bottom w:val="nil"/>
              <w:right w:val="nil"/>
            </w:tcBorders>
            <w:shd w:val="clear" w:color="auto" w:fill="auto"/>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61 988</w:t>
            </w:r>
          </w:p>
        </w:tc>
        <w:tc>
          <w:tcPr>
            <w:tcW w:w="880" w:type="dxa"/>
            <w:tcBorders>
              <w:top w:val="nil"/>
              <w:left w:val="nil"/>
              <w:bottom w:val="nil"/>
              <w:right w:val="nil"/>
            </w:tcBorders>
            <w:shd w:val="clear" w:color="auto" w:fill="auto"/>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60 734</w:t>
            </w:r>
          </w:p>
        </w:tc>
        <w:tc>
          <w:tcPr>
            <w:tcW w:w="880" w:type="dxa"/>
            <w:tcBorders>
              <w:top w:val="nil"/>
              <w:left w:val="nil"/>
              <w:bottom w:val="nil"/>
              <w:right w:val="nil"/>
            </w:tcBorders>
            <w:shd w:val="clear" w:color="auto" w:fill="auto"/>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58 178</w:t>
            </w:r>
          </w:p>
        </w:tc>
        <w:tc>
          <w:tcPr>
            <w:tcW w:w="860" w:type="dxa"/>
            <w:tcBorders>
              <w:top w:val="nil"/>
              <w:left w:val="nil"/>
              <w:bottom w:val="nil"/>
              <w:right w:val="nil"/>
            </w:tcBorders>
            <w:shd w:val="clear" w:color="auto" w:fill="auto"/>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57 286</w:t>
            </w:r>
          </w:p>
        </w:tc>
        <w:tc>
          <w:tcPr>
            <w:tcW w:w="860" w:type="dxa"/>
            <w:tcBorders>
              <w:top w:val="nil"/>
              <w:left w:val="nil"/>
              <w:bottom w:val="nil"/>
              <w:right w:val="nil"/>
            </w:tcBorders>
            <w:shd w:val="clear" w:color="auto" w:fill="auto"/>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58 989</w:t>
            </w:r>
          </w:p>
        </w:tc>
        <w:tc>
          <w:tcPr>
            <w:tcW w:w="860" w:type="dxa"/>
            <w:tcBorders>
              <w:top w:val="nil"/>
              <w:left w:val="nil"/>
              <w:bottom w:val="nil"/>
              <w:right w:val="nil"/>
            </w:tcBorders>
            <w:shd w:val="clear" w:color="auto" w:fill="auto"/>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59 419</w:t>
            </w:r>
          </w:p>
        </w:tc>
      </w:tr>
      <w:tr w:rsidR="00CA788A" w:rsidRPr="00CA788A" w:rsidTr="00CA788A">
        <w:trPr>
          <w:trHeight w:val="555"/>
        </w:trPr>
        <w:tc>
          <w:tcPr>
            <w:tcW w:w="1960" w:type="dxa"/>
            <w:tcBorders>
              <w:top w:val="nil"/>
              <w:left w:val="nil"/>
              <w:bottom w:val="nil"/>
              <w:right w:val="nil"/>
            </w:tcBorders>
            <w:shd w:val="clear" w:color="auto" w:fill="auto"/>
            <w:vAlign w:val="bottom"/>
            <w:hideMark/>
          </w:tcPr>
          <w:p w:rsidR="00CA788A" w:rsidRPr="00CA788A" w:rsidRDefault="00CA788A" w:rsidP="00CA788A">
            <w:pPr>
              <w:keepNext/>
              <w:keepLines/>
              <w:tabs>
                <w:tab w:val="clear" w:pos="567"/>
              </w:tabs>
              <w:spacing w:after="0" w:line="240" w:lineRule="auto"/>
              <w:ind w:left="426" w:hanging="142"/>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Clinical Nurse/Midwives</w:t>
            </w:r>
          </w:p>
        </w:tc>
        <w:tc>
          <w:tcPr>
            <w:tcW w:w="880" w:type="dxa"/>
            <w:tcBorders>
              <w:top w:val="nil"/>
              <w:left w:val="nil"/>
              <w:bottom w:val="nil"/>
              <w:right w:val="nil"/>
            </w:tcBorders>
            <w:shd w:val="clear" w:color="auto" w:fill="auto"/>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82 612</w:t>
            </w:r>
          </w:p>
        </w:tc>
        <w:tc>
          <w:tcPr>
            <w:tcW w:w="880" w:type="dxa"/>
            <w:tcBorders>
              <w:top w:val="nil"/>
              <w:left w:val="nil"/>
              <w:bottom w:val="nil"/>
              <w:right w:val="nil"/>
            </w:tcBorders>
            <w:shd w:val="clear" w:color="auto" w:fill="auto"/>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71 495</w:t>
            </w:r>
          </w:p>
        </w:tc>
        <w:tc>
          <w:tcPr>
            <w:tcW w:w="880" w:type="dxa"/>
            <w:tcBorders>
              <w:top w:val="nil"/>
              <w:left w:val="nil"/>
              <w:bottom w:val="nil"/>
              <w:right w:val="nil"/>
            </w:tcBorders>
            <w:shd w:val="clear" w:color="auto" w:fill="auto"/>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81 025</w:t>
            </w:r>
          </w:p>
        </w:tc>
        <w:tc>
          <w:tcPr>
            <w:tcW w:w="880" w:type="dxa"/>
            <w:tcBorders>
              <w:top w:val="nil"/>
              <w:left w:val="nil"/>
              <w:bottom w:val="nil"/>
              <w:right w:val="nil"/>
            </w:tcBorders>
            <w:shd w:val="clear" w:color="auto" w:fill="auto"/>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82 433</w:t>
            </w:r>
          </w:p>
        </w:tc>
        <w:tc>
          <w:tcPr>
            <w:tcW w:w="880" w:type="dxa"/>
            <w:tcBorders>
              <w:top w:val="nil"/>
              <w:left w:val="nil"/>
              <w:bottom w:val="nil"/>
              <w:right w:val="nil"/>
            </w:tcBorders>
            <w:shd w:val="clear" w:color="auto" w:fill="auto"/>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67 149</w:t>
            </w:r>
          </w:p>
        </w:tc>
        <w:tc>
          <w:tcPr>
            <w:tcW w:w="860" w:type="dxa"/>
            <w:tcBorders>
              <w:top w:val="nil"/>
              <w:left w:val="nil"/>
              <w:bottom w:val="nil"/>
              <w:right w:val="nil"/>
            </w:tcBorders>
            <w:shd w:val="clear" w:color="auto" w:fill="auto"/>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74 129</w:t>
            </w:r>
          </w:p>
        </w:tc>
        <w:tc>
          <w:tcPr>
            <w:tcW w:w="860" w:type="dxa"/>
            <w:tcBorders>
              <w:top w:val="nil"/>
              <w:left w:val="nil"/>
              <w:bottom w:val="nil"/>
              <w:right w:val="nil"/>
            </w:tcBorders>
            <w:shd w:val="clear" w:color="auto" w:fill="auto"/>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81 918</w:t>
            </w:r>
          </w:p>
        </w:tc>
        <w:tc>
          <w:tcPr>
            <w:tcW w:w="860" w:type="dxa"/>
            <w:tcBorders>
              <w:top w:val="nil"/>
              <w:left w:val="nil"/>
              <w:bottom w:val="nil"/>
              <w:right w:val="nil"/>
            </w:tcBorders>
            <w:shd w:val="clear" w:color="auto" w:fill="auto"/>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81 894</w:t>
            </w:r>
          </w:p>
        </w:tc>
      </w:tr>
      <w:tr w:rsidR="00CA788A" w:rsidRPr="00CA788A" w:rsidTr="00CA788A">
        <w:trPr>
          <w:trHeight w:val="315"/>
        </w:trPr>
        <w:tc>
          <w:tcPr>
            <w:tcW w:w="19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ind w:left="426" w:hanging="142"/>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Nurse Practitioner</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109 439</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96 252</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112 213</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102 171</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102 762</w:t>
            </w: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101 357</w:t>
            </w: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113 699</w:t>
            </w: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106 466</w:t>
            </w:r>
          </w:p>
        </w:tc>
      </w:tr>
      <w:tr w:rsidR="00CA788A" w:rsidRPr="00CA788A" w:rsidTr="00CA788A">
        <w:trPr>
          <w:trHeight w:val="315"/>
        </w:trPr>
        <w:tc>
          <w:tcPr>
            <w:tcW w:w="19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ind w:left="426" w:hanging="142"/>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Nurse Unit Manager</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99 304</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88 520</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99 606</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98 993</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97 325</w:t>
            </w: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89 075</w:t>
            </w: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93 917</w:t>
            </w: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CA788A">
              <w:rPr>
                <w:rFonts w:ascii="Calibri" w:eastAsia="Times New Roman" w:hAnsi="Calibri" w:cs="Times New Roman"/>
                <w:color w:val="000000"/>
                <w:sz w:val="20"/>
                <w:szCs w:val="20"/>
                <w:lang w:eastAsia="en-AU"/>
              </w:rPr>
              <w:t>n.a</w:t>
            </w:r>
            <w:proofErr w:type="spellEnd"/>
          </w:p>
        </w:tc>
      </w:tr>
      <w:tr w:rsidR="00CA788A" w:rsidRPr="00CA788A" w:rsidTr="00CA788A">
        <w:trPr>
          <w:trHeight w:val="315"/>
        </w:trPr>
        <w:tc>
          <w:tcPr>
            <w:tcW w:w="19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Police</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sz w:val="20"/>
                <w:szCs w:val="20"/>
                <w:lang w:eastAsia="en-AU"/>
              </w:rPr>
            </w:pPr>
          </w:p>
        </w:tc>
      </w:tr>
      <w:tr w:rsidR="00CA788A" w:rsidRPr="00CA788A" w:rsidTr="00CA788A">
        <w:trPr>
          <w:trHeight w:val="315"/>
        </w:trPr>
        <w:tc>
          <w:tcPr>
            <w:tcW w:w="19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ind w:left="426" w:hanging="142"/>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Constable</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63 615</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57 035</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52 823</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66 960</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59 225</w:t>
            </w: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55 865</w:t>
            </w: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CA788A">
              <w:rPr>
                <w:rFonts w:ascii="Calibri" w:eastAsia="Times New Roman" w:hAnsi="Calibri" w:cs="Times New Roman"/>
                <w:color w:val="000000"/>
                <w:sz w:val="20"/>
                <w:szCs w:val="20"/>
                <w:lang w:eastAsia="en-AU"/>
              </w:rPr>
              <w:t>n.a</w:t>
            </w:r>
            <w:proofErr w:type="spellEnd"/>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60 202</w:t>
            </w:r>
          </w:p>
        </w:tc>
      </w:tr>
      <w:tr w:rsidR="00CA788A" w:rsidRPr="00CA788A" w:rsidTr="00CA788A">
        <w:trPr>
          <w:trHeight w:val="315"/>
        </w:trPr>
        <w:tc>
          <w:tcPr>
            <w:tcW w:w="19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ind w:left="426" w:hanging="142"/>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Senior Constable</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79 223</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69 648</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65 962</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84 187</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71 585</w:t>
            </w: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CA788A">
              <w:rPr>
                <w:rFonts w:ascii="Calibri" w:eastAsia="Times New Roman" w:hAnsi="Calibri" w:cs="Times New Roman"/>
                <w:color w:val="000000"/>
                <w:sz w:val="20"/>
                <w:szCs w:val="20"/>
                <w:lang w:eastAsia="en-AU"/>
              </w:rPr>
              <w:t>n.a</w:t>
            </w:r>
            <w:proofErr w:type="spellEnd"/>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CA788A">
              <w:rPr>
                <w:rFonts w:ascii="Calibri" w:eastAsia="Times New Roman" w:hAnsi="Calibri" w:cs="Times New Roman"/>
                <w:color w:val="000000"/>
                <w:sz w:val="20"/>
                <w:szCs w:val="20"/>
                <w:lang w:eastAsia="en-AU"/>
              </w:rPr>
              <w:t>n.a</w:t>
            </w:r>
            <w:proofErr w:type="spellEnd"/>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75 545</w:t>
            </w:r>
          </w:p>
        </w:tc>
      </w:tr>
      <w:tr w:rsidR="00CA788A" w:rsidRPr="00CA788A" w:rsidTr="00CA788A">
        <w:trPr>
          <w:trHeight w:val="315"/>
        </w:trPr>
        <w:tc>
          <w:tcPr>
            <w:tcW w:w="19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ind w:left="426" w:hanging="142"/>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Sergeant</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93 623</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87 272</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79 486</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93 724</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87 035</w:t>
            </w: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80 819</w:t>
            </w: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CA788A">
              <w:rPr>
                <w:rFonts w:ascii="Calibri" w:eastAsia="Times New Roman" w:hAnsi="Calibri" w:cs="Times New Roman"/>
                <w:color w:val="000000"/>
                <w:sz w:val="20"/>
                <w:szCs w:val="20"/>
                <w:lang w:eastAsia="en-AU"/>
              </w:rPr>
              <w:t>n.a</w:t>
            </w:r>
            <w:proofErr w:type="spellEnd"/>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90 270</w:t>
            </w:r>
          </w:p>
        </w:tc>
      </w:tr>
      <w:tr w:rsidR="00CA788A" w:rsidRPr="00CA788A" w:rsidTr="00CA788A">
        <w:trPr>
          <w:trHeight w:val="315"/>
        </w:trPr>
        <w:tc>
          <w:tcPr>
            <w:tcW w:w="19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ind w:left="426" w:hanging="142"/>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Senior Sergeant</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106 826</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97 784</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92 667</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104 941</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97 850</w:t>
            </w: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CA788A">
              <w:rPr>
                <w:rFonts w:ascii="Calibri" w:eastAsia="Times New Roman" w:hAnsi="Calibri" w:cs="Times New Roman"/>
                <w:color w:val="000000"/>
                <w:sz w:val="20"/>
                <w:szCs w:val="20"/>
                <w:lang w:eastAsia="en-AU"/>
              </w:rPr>
              <w:t>n.a</w:t>
            </w:r>
            <w:proofErr w:type="spellEnd"/>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CA788A">
              <w:rPr>
                <w:rFonts w:ascii="Calibri" w:eastAsia="Times New Roman" w:hAnsi="Calibri" w:cs="Times New Roman"/>
                <w:color w:val="000000"/>
                <w:sz w:val="20"/>
                <w:szCs w:val="20"/>
                <w:lang w:eastAsia="en-AU"/>
              </w:rPr>
              <w:t>n.a</w:t>
            </w:r>
            <w:proofErr w:type="spellEnd"/>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99 554</w:t>
            </w:r>
          </w:p>
        </w:tc>
      </w:tr>
      <w:tr w:rsidR="00CA788A" w:rsidRPr="00CA788A" w:rsidTr="00CA788A">
        <w:trPr>
          <w:trHeight w:val="315"/>
        </w:trPr>
        <w:tc>
          <w:tcPr>
            <w:tcW w:w="19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ind w:left="426" w:hanging="142"/>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Inspector</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119 710</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115 783</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123 003</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128 977</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122 055</w:t>
            </w: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123 204</w:t>
            </w: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CA788A">
              <w:rPr>
                <w:rFonts w:ascii="Calibri" w:eastAsia="Times New Roman" w:hAnsi="Calibri" w:cs="Times New Roman"/>
                <w:color w:val="000000"/>
                <w:sz w:val="20"/>
                <w:szCs w:val="20"/>
                <w:lang w:eastAsia="en-AU"/>
              </w:rPr>
              <w:t>n.a</w:t>
            </w:r>
            <w:proofErr w:type="spellEnd"/>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CA788A">
              <w:rPr>
                <w:rFonts w:ascii="Calibri" w:eastAsia="Times New Roman" w:hAnsi="Calibri" w:cs="Times New Roman"/>
                <w:color w:val="000000"/>
                <w:sz w:val="20"/>
                <w:szCs w:val="20"/>
                <w:lang w:eastAsia="en-AU"/>
              </w:rPr>
              <w:t>n.a</w:t>
            </w:r>
            <w:proofErr w:type="spellEnd"/>
          </w:p>
        </w:tc>
      </w:tr>
      <w:tr w:rsidR="00CA788A" w:rsidRPr="00CA788A" w:rsidTr="00CA788A">
        <w:trPr>
          <w:trHeight w:val="315"/>
        </w:trPr>
        <w:tc>
          <w:tcPr>
            <w:tcW w:w="19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Teachers</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sz w:val="20"/>
                <w:szCs w:val="20"/>
                <w:lang w:eastAsia="en-AU"/>
              </w:rPr>
            </w:pPr>
          </w:p>
        </w:tc>
      </w:tr>
      <w:tr w:rsidR="00CA788A" w:rsidRPr="00CA788A" w:rsidTr="00CA788A">
        <w:trPr>
          <w:trHeight w:val="315"/>
        </w:trPr>
        <w:tc>
          <w:tcPr>
            <w:tcW w:w="19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ind w:left="426" w:hanging="142"/>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Graduate Teacher</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64 008</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63 356</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53 992</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68 137</w:t>
            </w:r>
          </w:p>
        </w:tc>
        <w:tc>
          <w:tcPr>
            <w:tcW w:w="88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63 261</w:t>
            </w: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56 944</w:t>
            </w: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64 089</w:t>
            </w:r>
          </w:p>
        </w:tc>
        <w:tc>
          <w:tcPr>
            <w:tcW w:w="860" w:type="dxa"/>
            <w:tcBorders>
              <w:top w:val="nil"/>
              <w:left w:val="nil"/>
              <w:bottom w:val="nil"/>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69 801</w:t>
            </w:r>
          </w:p>
        </w:tc>
      </w:tr>
      <w:tr w:rsidR="00CA788A" w:rsidRPr="00CA788A" w:rsidTr="00CA788A">
        <w:trPr>
          <w:trHeight w:val="315"/>
        </w:trPr>
        <w:tc>
          <w:tcPr>
            <w:tcW w:w="1960" w:type="dxa"/>
            <w:tcBorders>
              <w:top w:val="nil"/>
              <w:left w:val="nil"/>
              <w:bottom w:val="single" w:sz="4" w:space="0" w:color="auto"/>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ind w:left="426" w:hanging="142"/>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3rd Year Teacher</w:t>
            </w:r>
          </w:p>
        </w:tc>
        <w:tc>
          <w:tcPr>
            <w:tcW w:w="880" w:type="dxa"/>
            <w:tcBorders>
              <w:top w:val="nil"/>
              <w:left w:val="nil"/>
              <w:bottom w:val="single" w:sz="4" w:space="0" w:color="auto"/>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57 720</w:t>
            </w:r>
            <w:r w:rsidR="00220D14">
              <w:rPr>
                <w:rFonts w:ascii="Calibri" w:eastAsia="Times New Roman" w:hAnsi="Calibri" w:cs="Times New Roman"/>
                <w:color w:val="000000"/>
                <w:sz w:val="20"/>
                <w:szCs w:val="20"/>
                <w:lang w:eastAsia="en-AU"/>
              </w:rPr>
              <w:t xml:space="preserve"> (a)</w:t>
            </w:r>
          </w:p>
        </w:tc>
        <w:tc>
          <w:tcPr>
            <w:tcW w:w="880" w:type="dxa"/>
            <w:tcBorders>
              <w:top w:val="nil"/>
              <w:left w:val="nil"/>
              <w:bottom w:val="single" w:sz="4" w:space="0" w:color="auto"/>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68 118</w:t>
            </w:r>
          </w:p>
        </w:tc>
        <w:tc>
          <w:tcPr>
            <w:tcW w:w="880" w:type="dxa"/>
            <w:tcBorders>
              <w:top w:val="nil"/>
              <w:left w:val="nil"/>
              <w:bottom w:val="single" w:sz="4" w:space="0" w:color="auto"/>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57 391</w:t>
            </w:r>
          </w:p>
        </w:tc>
        <w:tc>
          <w:tcPr>
            <w:tcW w:w="880" w:type="dxa"/>
            <w:tcBorders>
              <w:top w:val="nil"/>
              <w:left w:val="nil"/>
              <w:bottom w:val="single" w:sz="4" w:space="0" w:color="auto"/>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81 820</w:t>
            </w:r>
          </w:p>
        </w:tc>
        <w:tc>
          <w:tcPr>
            <w:tcW w:w="880" w:type="dxa"/>
            <w:tcBorders>
              <w:top w:val="nil"/>
              <w:left w:val="nil"/>
              <w:bottom w:val="single" w:sz="4" w:space="0" w:color="auto"/>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69 787</w:t>
            </w:r>
          </w:p>
        </w:tc>
        <w:tc>
          <w:tcPr>
            <w:tcW w:w="860" w:type="dxa"/>
            <w:tcBorders>
              <w:top w:val="nil"/>
              <w:left w:val="nil"/>
              <w:bottom w:val="single" w:sz="4" w:space="0" w:color="auto"/>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60 526</w:t>
            </w:r>
          </w:p>
        </w:tc>
        <w:tc>
          <w:tcPr>
            <w:tcW w:w="860" w:type="dxa"/>
            <w:tcBorders>
              <w:top w:val="nil"/>
              <w:left w:val="nil"/>
              <w:bottom w:val="single" w:sz="4" w:space="0" w:color="auto"/>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70 913</w:t>
            </w:r>
          </w:p>
        </w:tc>
        <w:tc>
          <w:tcPr>
            <w:tcW w:w="860" w:type="dxa"/>
            <w:tcBorders>
              <w:top w:val="nil"/>
              <w:left w:val="nil"/>
              <w:bottom w:val="single" w:sz="4" w:space="0" w:color="auto"/>
              <w:right w:val="nil"/>
            </w:tcBorders>
            <w:shd w:val="clear" w:color="auto" w:fill="auto"/>
            <w:noWrap/>
            <w:vAlign w:val="bottom"/>
            <w:hideMark/>
          </w:tcPr>
          <w:p w:rsidR="00CA788A" w:rsidRPr="00CA788A" w:rsidRDefault="00CA788A" w:rsidP="00CA788A">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CA788A">
              <w:rPr>
                <w:rFonts w:ascii="Calibri" w:eastAsia="Times New Roman" w:hAnsi="Calibri" w:cs="Times New Roman"/>
                <w:color w:val="000000"/>
                <w:sz w:val="20"/>
                <w:szCs w:val="20"/>
                <w:lang w:eastAsia="en-AU"/>
              </w:rPr>
              <w:t xml:space="preserve"> 76 804</w:t>
            </w:r>
          </w:p>
        </w:tc>
      </w:tr>
    </w:tbl>
    <w:p w:rsidR="00475B04" w:rsidRDefault="00475B04" w:rsidP="00475B04">
      <w:pPr>
        <w:tabs>
          <w:tab w:val="clear" w:pos="567"/>
          <w:tab w:val="left" w:pos="851"/>
        </w:tabs>
        <w:spacing w:after="0" w:line="240" w:lineRule="auto"/>
        <w:ind w:left="851" w:hanging="851"/>
        <w:rPr>
          <w:sz w:val="20"/>
          <w:szCs w:val="24"/>
        </w:rPr>
      </w:pPr>
      <w:r w:rsidRPr="0081267C">
        <w:rPr>
          <w:sz w:val="20"/>
          <w:szCs w:val="24"/>
        </w:rPr>
        <w:t>Note</w:t>
      </w:r>
      <w:r w:rsidR="00692480" w:rsidRPr="0081267C">
        <w:rPr>
          <w:sz w:val="20"/>
          <w:szCs w:val="24"/>
        </w:rPr>
        <w:t>:</w:t>
      </w:r>
      <w:r w:rsidR="00692480" w:rsidRPr="0081267C">
        <w:rPr>
          <w:sz w:val="20"/>
          <w:szCs w:val="24"/>
        </w:rPr>
        <w:tab/>
        <w:t>Reference period 2013 and 2016</w:t>
      </w:r>
      <w:r w:rsidRPr="0081267C">
        <w:rPr>
          <w:sz w:val="20"/>
          <w:szCs w:val="24"/>
        </w:rPr>
        <w:t>.</w:t>
      </w:r>
    </w:p>
    <w:p w:rsidR="00220D14" w:rsidRPr="0081267C" w:rsidRDefault="00220D14" w:rsidP="00475B04">
      <w:pPr>
        <w:tabs>
          <w:tab w:val="clear" w:pos="567"/>
          <w:tab w:val="left" w:pos="851"/>
        </w:tabs>
        <w:spacing w:after="0" w:line="240" w:lineRule="auto"/>
        <w:ind w:left="851" w:hanging="851"/>
        <w:rPr>
          <w:sz w:val="20"/>
          <w:szCs w:val="24"/>
        </w:rPr>
      </w:pPr>
      <w:r>
        <w:rPr>
          <w:sz w:val="20"/>
          <w:szCs w:val="24"/>
        </w:rPr>
        <w:t>(a)</w:t>
      </w:r>
      <w:r>
        <w:rPr>
          <w:sz w:val="20"/>
          <w:szCs w:val="24"/>
        </w:rPr>
        <w:tab/>
      </w:r>
      <w:r w:rsidR="00216133">
        <w:rPr>
          <w:sz w:val="20"/>
          <w:szCs w:val="24"/>
        </w:rPr>
        <w:t>New South Wales</w:t>
      </w:r>
      <w:r>
        <w:rPr>
          <w:sz w:val="20"/>
          <w:szCs w:val="24"/>
        </w:rPr>
        <w:t xml:space="preserve"> has moved to a new professional standards-based scale, with no transition arrangements for 3</w:t>
      </w:r>
      <w:r w:rsidRPr="00220D14">
        <w:rPr>
          <w:sz w:val="20"/>
          <w:szCs w:val="24"/>
          <w:vertAlign w:val="superscript"/>
        </w:rPr>
        <w:t>rd</w:t>
      </w:r>
      <w:r>
        <w:rPr>
          <w:sz w:val="20"/>
          <w:szCs w:val="24"/>
        </w:rPr>
        <w:t xml:space="preserve"> year teachers or below, who remain on the old salary.</w:t>
      </w:r>
    </w:p>
    <w:p w:rsidR="00475B04" w:rsidRPr="0081267C" w:rsidRDefault="00475B04" w:rsidP="00475B04">
      <w:pPr>
        <w:tabs>
          <w:tab w:val="clear" w:pos="567"/>
          <w:tab w:val="left" w:pos="851"/>
        </w:tabs>
        <w:spacing w:after="0" w:line="240" w:lineRule="auto"/>
        <w:ind w:left="851" w:hanging="851"/>
        <w:rPr>
          <w:sz w:val="20"/>
          <w:szCs w:val="24"/>
        </w:rPr>
      </w:pPr>
      <w:r w:rsidRPr="0081267C">
        <w:rPr>
          <w:sz w:val="20"/>
          <w:szCs w:val="24"/>
        </w:rPr>
        <w:t>Source:</w:t>
      </w:r>
      <w:r w:rsidRPr="0081267C">
        <w:rPr>
          <w:sz w:val="20"/>
          <w:szCs w:val="24"/>
        </w:rPr>
        <w:tab/>
        <w:t>State enterprise agreements, compiled by Healthtimes.com.au (Apr 2015), Western Australian Parliament document tabled 24th February 2013, and Australian Education Union factsheet.</w:t>
      </w:r>
    </w:p>
    <w:p w:rsidR="00475B04" w:rsidRPr="0081267C" w:rsidRDefault="00475B04" w:rsidP="00475B04">
      <w:pPr>
        <w:numPr>
          <w:ilvl w:val="1"/>
          <w:numId w:val="2"/>
        </w:numPr>
        <w:tabs>
          <w:tab w:val="num" w:pos="1418"/>
        </w:tabs>
        <w:spacing w:before="120"/>
        <w:rPr>
          <w:szCs w:val="24"/>
        </w:rPr>
      </w:pPr>
      <w:r w:rsidRPr="0081267C">
        <w:rPr>
          <w:szCs w:val="24"/>
        </w:rPr>
        <w:t xml:space="preserve">We consider, based on the evidence available to us, that there is a conceptual case for differences in the wages States would pay for comparable employees. Because we are trying to provide States with the capacity to deliver the same service level if they all followed average policy, including public wage policy, we consider some allowance for any intrinsic differences in wages they have to pay represents a better GST distribution from a </w:t>
      </w:r>
      <w:r w:rsidR="003546A7">
        <w:rPr>
          <w:szCs w:val="24"/>
        </w:rPr>
        <w:t>horizontal fiscal equalisation (</w:t>
      </w:r>
      <w:r w:rsidR="005918AF" w:rsidRPr="0081267C">
        <w:rPr>
          <w:szCs w:val="24"/>
        </w:rPr>
        <w:t>HFE)</w:t>
      </w:r>
      <w:r w:rsidRPr="0081267C">
        <w:rPr>
          <w:szCs w:val="24"/>
        </w:rPr>
        <w:t xml:space="preserve"> perspective than one where no allowance for these differences is provided. </w:t>
      </w:r>
    </w:p>
    <w:p w:rsidR="00475B04" w:rsidRPr="0081267C" w:rsidRDefault="00475B04" w:rsidP="00475B04">
      <w:pPr>
        <w:numPr>
          <w:ilvl w:val="1"/>
          <w:numId w:val="2"/>
        </w:numPr>
        <w:tabs>
          <w:tab w:val="num" w:pos="1418"/>
        </w:tabs>
        <w:spacing w:before="120"/>
        <w:rPr>
          <w:szCs w:val="24"/>
        </w:rPr>
      </w:pPr>
      <w:r w:rsidRPr="0081267C">
        <w:rPr>
          <w:szCs w:val="24"/>
        </w:rPr>
        <w:t xml:space="preserve">As in the past, because these differences are evident in both public and private wages, we consider that the same pressures affect the wages paid by the State public sector and the wages of the larger community in which States operate. </w:t>
      </w:r>
    </w:p>
    <w:p w:rsidR="00475B04" w:rsidRPr="0081267C" w:rsidRDefault="00475B04" w:rsidP="00475B04">
      <w:pPr>
        <w:pStyle w:val="Heading3"/>
      </w:pPr>
      <w:bookmarkStart w:id="848" w:name="_Toc440361178"/>
      <w:bookmarkStart w:id="849" w:name="_Toc441241620"/>
      <w:bookmarkStart w:id="850" w:name="_Toc441499290"/>
      <w:bookmarkStart w:id="851" w:name="_Toc441656039"/>
      <w:bookmarkStart w:id="852" w:name="_Toc442191946"/>
      <w:bookmarkStart w:id="853" w:name="_Toc442192204"/>
      <w:bookmarkStart w:id="854" w:name="_Toc442192269"/>
      <w:bookmarkStart w:id="855" w:name="_Toc442772849"/>
      <w:bookmarkStart w:id="856" w:name="_Toc442773082"/>
      <w:bookmarkStart w:id="857" w:name="_Toc442773248"/>
      <w:bookmarkStart w:id="858" w:name="_Toc442773579"/>
      <w:bookmarkStart w:id="859" w:name="_Toc442883317"/>
      <w:bookmarkStart w:id="860" w:name="_Toc442949191"/>
      <w:r w:rsidRPr="0081267C">
        <w:lastRenderedPageBreak/>
        <w:t>Constructing the assessment</w:t>
      </w:r>
      <w:bookmarkEnd w:id="848"/>
      <w:bookmarkEnd w:id="849"/>
      <w:bookmarkEnd w:id="850"/>
      <w:bookmarkEnd w:id="851"/>
      <w:bookmarkEnd w:id="852"/>
      <w:bookmarkEnd w:id="853"/>
      <w:bookmarkEnd w:id="854"/>
      <w:bookmarkEnd w:id="855"/>
      <w:bookmarkEnd w:id="856"/>
      <w:bookmarkEnd w:id="857"/>
      <w:bookmarkEnd w:id="858"/>
      <w:bookmarkEnd w:id="859"/>
      <w:bookmarkEnd w:id="860"/>
    </w:p>
    <w:p w:rsidR="00475B04" w:rsidRPr="0081267C" w:rsidRDefault="00475B04" w:rsidP="00475B04">
      <w:pPr>
        <w:numPr>
          <w:ilvl w:val="1"/>
          <w:numId w:val="2"/>
        </w:numPr>
        <w:tabs>
          <w:tab w:val="num" w:pos="1418"/>
        </w:tabs>
        <w:spacing w:before="120"/>
        <w:rPr>
          <w:szCs w:val="24"/>
        </w:rPr>
      </w:pPr>
      <w:r w:rsidRPr="0081267C">
        <w:rPr>
          <w:szCs w:val="24"/>
        </w:rPr>
        <w:t>While we have data on the remuneration of both public and private sector employees on which we could base an assessment, our preference is not to use the public sector data because it is heavily influenced by the policy stance of individual States.</w:t>
      </w:r>
    </w:p>
    <w:p w:rsidR="00475B04" w:rsidRPr="0081267C" w:rsidRDefault="00475B04" w:rsidP="00475B04">
      <w:pPr>
        <w:numPr>
          <w:ilvl w:val="1"/>
          <w:numId w:val="2"/>
        </w:numPr>
        <w:tabs>
          <w:tab w:val="num" w:pos="1418"/>
        </w:tabs>
        <w:spacing w:before="120"/>
        <w:rPr>
          <w:szCs w:val="24"/>
        </w:rPr>
      </w:pPr>
      <w:r w:rsidRPr="0081267C">
        <w:rPr>
          <w:szCs w:val="24"/>
        </w:rPr>
        <w:t>As in the methodology used in past reviews, we propose to measure the relative private sector wage paid to comparable workers in different States and use the divergence of these from the average as an indicator of how public sector wages would diverge in each State. Our approach aims to capture the impact of State specific influences which would have a similar impact on the remuneration of both sectors.</w:t>
      </w:r>
    </w:p>
    <w:p w:rsidR="00475B04" w:rsidRPr="0081267C" w:rsidRDefault="00475B04" w:rsidP="00475B04">
      <w:pPr>
        <w:numPr>
          <w:ilvl w:val="1"/>
          <w:numId w:val="2"/>
        </w:numPr>
        <w:tabs>
          <w:tab w:val="num" w:pos="1418"/>
        </w:tabs>
        <w:spacing w:before="120"/>
        <w:rPr>
          <w:szCs w:val="24"/>
        </w:rPr>
      </w:pPr>
      <w:r w:rsidRPr="0081267C">
        <w:rPr>
          <w:szCs w:val="24"/>
        </w:rPr>
        <w:t>In adopting this approach we seek only to establish how a State private or public wage would diverge from the respective national average and make no comparison between the private and public wage within a State.</w:t>
      </w:r>
    </w:p>
    <w:p w:rsidR="00475B04" w:rsidRPr="0081267C" w:rsidRDefault="00475B04" w:rsidP="00475B04">
      <w:pPr>
        <w:numPr>
          <w:ilvl w:val="1"/>
          <w:numId w:val="2"/>
        </w:numPr>
        <w:tabs>
          <w:tab w:val="num" w:pos="1418"/>
        </w:tabs>
        <w:spacing w:before="120"/>
        <w:rPr>
          <w:szCs w:val="24"/>
        </w:rPr>
      </w:pPr>
      <w:r w:rsidRPr="0081267C">
        <w:rPr>
          <w:szCs w:val="24"/>
        </w:rPr>
        <w:t xml:space="preserve">We are also aware that we are capturing only those intrinsic differences which are revealed by the available data. It may always be possible to identify additional differences at the conceptual level, especially ones which impact on a narrow range of States, but without the data to quantify their impact they cannot be reliably incorporated into our assessment. </w:t>
      </w:r>
    </w:p>
    <w:p w:rsidR="00475B04" w:rsidRPr="0081267C" w:rsidRDefault="00475B04" w:rsidP="00475B04">
      <w:pPr>
        <w:numPr>
          <w:ilvl w:val="1"/>
          <w:numId w:val="2"/>
        </w:numPr>
        <w:tabs>
          <w:tab w:val="num" w:pos="1418"/>
        </w:tabs>
        <w:spacing w:before="120"/>
        <w:rPr>
          <w:szCs w:val="24"/>
        </w:rPr>
      </w:pPr>
      <w:r w:rsidRPr="0081267C">
        <w:rPr>
          <w:szCs w:val="24"/>
        </w:rPr>
        <w:t xml:space="preserve">We have noted the concern </w:t>
      </w:r>
      <w:proofErr w:type="gramStart"/>
      <w:r w:rsidRPr="0081267C">
        <w:rPr>
          <w:szCs w:val="24"/>
        </w:rPr>
        <w:t>raised</w:t>
      </w:r>
      <w:proofErr w:type="gramEnd"/>
      <w:r w:rsidRPr="0081267C">
        <w:rPr>
          <w:szCs w:val="24"/>
        </w:rPr>
        <w:t xml:space="preserve"> by Victoria that to the extent that a State’s amenity is a factor leading to remuneration differences, that amenity itself may be the result of State policy choice. We accept that all States adopt policies which seek to improve the amenity of their States and that some unmeasurable part of differences in amenity may be due to differences in past and present State policy. We consider that making an assessment based on the estimated differentials is closer to achieving HFE than making no assessment, and making an adjustment for the impact of different State policies on amenity is impractical.</w:t>
      </w:r>
    </w:p>
    <w:p w:rsidR="00475B04" w:rsidRPr="0081267C" w:rsidRDefault="00475B04" w:rsidP="00475B04">
      <w:pPr>
        <w:numPr>
          <w:ilvl w:val="1"/>
          <w:numId w:val="2"/>
        </w:numPr>
        <w:tabs>
          <w:tab w:val="num" w:pos="1418"/>
        </w:tabs>
        <w:spacing w:before="120"/>
        <w:rPr>
          <w:szCs w:val="24"/>
        </w:rPr>
      </w:pPr>
      <w:r w:rsidRPr="0081267C">
        <w:rPr>
          <w:szCs w:val="24"/>
        </w:rPr>
        <w:t>We note that our indicator is likely to be responsive to labour market pressures. Where a State is experiencing wage pressures</w:t>
      </w:r>
      <w:r w:rsidR="00A3065E" w:rsidRPr="0081267C">
        <w:rPr>
          <w:szCs w:val="24"/>
        </w:rPr>
        <w:t xml:space="preserve"> that flow</w:t>
      </w:r>
      <w:r w:rsidRPr="0081267C">
        <w:rPr>
          <w:szCs w:val="24"/>
        </w:rPr>
        <w:t xml:space="preserve"> through the private sector, our indicator will register a higher than average wage, and give States the capacity to pay higher than average public sector wages. </w:t>
      </w:r>
    </w:p>
    <w:p w:rsidR="00475B04" w:rsidRPr="0081267C" w:rsidRDefault="00475B04" w:rsidP="00475B04">
      <w:pPr>
        <w:numPr>
          <w:ilvl w:val="1"/>
          <w:numId w:val="2"/>
        </w:numPr>
        <w:tabs>
          <w:tab w:val="num" w:pos="1418"/>
        </w:tabs>
        <w:spacing w:before="120"/>
        <w:rPr>
          <w:szCs w:val="24"/>
        </w:rPr>
      </w:pPr>
      <w:r w:rsidRPr="0081267C">
        <w:rPr>
          <w:szCs w:val="24"/>
        </w:rPr>
        <w:t xml:space="preserve">Victoria considers the macro-economic factors are not uniform across all industries. It notes that different industries are likely to be in different stages of the business cycle at any given time, and that the degree to which this is likely to impact on the State sector is likely to vary depending on the types of industry affected by these cycles. We consider the average experience across the private sector to be the best proxy for the pressures affecting the public sector. This will account for wage pressure from one industry flowing across the State and the average impact on wages will then be incorporated into fiscal capacities. This ensures that isolated booms in industries </w:t>
      </w:r>
      <w:r w:rsidRPr="0081267C">
        <w:rPr>
          <w:szCs w:val="24"/>
        </w:rPr>
        <w:lastRenderedPageBreak/>
        <w:t>which have little flow-on impacts in other industries will not have a great impact on assessed State fiscal capacities.</w:t>
      </w:r>
    </w:p>
    <w:p w:rsidR="00475B04" w:rsidRPr="0081267C" w:rsidRDefault="00475B04" w:rsidP="00475B04">
      <w:pPr>
        <w:numPr>
          <w:ilvl w:val="1"/>
          <w:numId w:val="2"/>
        </w:numPr>
        <w:tabs>
          <w:tab w:val="num" w:pos="1418"/>
        </w:tabs>
        <w:spacing w:before="120"/>
        <w:rPr>
          <w:szCs w:val="24"/>
        </w:rPr>
      </w:pPr>
      <w:r w:rsidRPr="0081267C">
        <w:rPr>
          <w:szCs w:val="24"/>
        </w:rPr>
        <w:t>We also note that, to the extent that national labour markets exist, say for teachers and this carries over to teachers in private schools, our indicator will adjust and reduce differences between the States.</w:t>
      </w:r>
    </w:p>
    <w:p w:rsidR="00475B04" w:rsidRPr="0081267C" w:rsidRDefault="00475B04" w:rsidP="00475B04">
      <w:pPr>
        <w:numPr>
          <w:ilvl w:val="1"/>
          <w:numId w:val="2"/>
        </w:numPr>
        <w:tabs>
          <w:tab w:val="num" w:pos="1418"/>
        </w:tabs>
        <w:spacing w:before="120"/>
        <w:rPr>
          <w:szCs w:val="24"/>
        </w:rPr>
      </w:pPr>
      <w:r w:rsidRPr="0081267C">
        <w:rPr>
          <w:szCs w:val="24"/>
        </w:rPr>
        <w:t xml:space="preserve">To estimate the wage of a private sector worker relative to the national average, we use a regression model which controls for a large number of observable human capital attributes. In principle, we attempt to estimate the wage that a worker with the national average attributes would be paid in each State. </w:t>
      </w:r>
    </w:p>
    <w:p w:rsidR="00475B04" w:rsidRPr="0081267C" w:rsidRDefault="00475B04" w:rsidP="00CF17E4">
      <w:pPr>
        <w:pStyle w:val="CGCNumberedPara"/>
      </w:pPr>
      <w:r w:rsidRPr="0081267C">
        <w:t xml:space="preserve">We have observed that over a run of surveys the variation in public sector wages for comparable employees is smaller than for private sector employees and considered </w:t>
      </w:r>
      <w:r w:rsidR="00A3065E" w:rsidRPr="0081267C">
        <w:t>whether</w:t>
      </w:r>
      <w:r w:rsidRPr="0081267C">
        <w:t xml:space="preserve"> this observed compression should be included in our assessment.  However, that compression may only reflect the inclusion of Commonwealth employees, who are remunerated equally across the country, in the public sector data. In the absence of reliable data relating to State employees we have decided not to make an adjustment to observed private sector differentials.</w:t>
      </w:r>
    </w:p>
    <w:p w:rsidR="00475B04" w:rsidRPr="0081267C" w:rsidRDefault="00475B04" w:rsidP="00475B04">
      <w:pPr>
        <w:pStyle w:val="Heading3"/>
      </w:pPr>
      <w:bookmarkStart w:id="861" w:name="_Toc440361179"/>
      <w:bookmarkStart w:id="862" w:name="_Toc441241621"/>
      <w:bookmarkStart w:id="863" w:name="_Toc441499291"/>
      <w:bookmarkStart w:id="864" w:name="_Toc441656040"/>
      <w:bookmarkStart w:id="865" w:name="_Toc442191947"/>
      <w:bookmarkStart w:id="866" w:name="_Toc442192205"/>
      <w:bookmarkStart w:id="867" w:name="_Toc442192270"/>
      <w:bookmarkStart w:id="868" w:name="_Toc442772850"/>
      <w:bookmarkStart w:id="869" w:name="_Toc442773083"/>
      <w:bookmarkStart w:id="870" w:name="_Toc442773249"/>
      <w:bookmarkStart w:id="871" w:name="_Toc442773580"/>
      <w:bookmarkStart w:id="872" w:name="_Toc442883318"/>
      <w:bookmarkStart w:id="873" w:name="_Toc442949192"/>
      <w:r w:rsidRPr="0081267C">
        <w:t>Specific assessment issues</w:t>
      </w:r>
      <w:bookmarkEnd w:id="861"/>
      <w:bookmarkEnd w:id="862"/>
      <w:bookmarkEnd w:id="863"/>
      <w:bookmarkEnd w:id="864"/>
      <w:bookmarkEnd w:id="865"/>
      <w:bookmarkEnd w:id="866"/>
      <w:bookmarkEnd w:id="867"/>
      <w:bookmarkEnd w:id="868"/>
      <w:bookmarkEnd w:id="869"/>
      <w:bookmarkEnd w:id="870"/>
      <w:bookmarkEnd w:id="871"/>
      <w:bookmarkEnd w:id="872"/>
      <w:bookmarkEnd w:id="873"/>
    </w:p>
    <w:p w:rsidR="00475B04" w:rsidRPr="0081267C" w:rsidRDefault="00475B04" w:rsidP="00653924">
      <w:pPr>
        <w:pStyle w:val="Heading4"/>
      </w:pPr>
      <w:bookmarkStart w:id="874" w:name="_Toc440361180"/>
      <w:bookmarkStart w:id="875" w:name="_Toc442883319"/>
      <w:bookmarkStart w:id="876" w:name="_Toc442949193"/>
      <w:r w:rsidRPr="0081267C">
        <w:t>Capital city or whole-of-State assessment</w:t>
      </w:r>
      <w:bookmarkEnd w:id="874"/>
      <w:bookmarkEnd w:id="875"/>
      <w:bookmarkEnd w:id="876"/>
    </w:p>
    <w:p w:rsidR="00475B04" w:rsidRPr="0081267C" w:rsidRDefault="00475B04" w:rsidP="0035011C">
      <w:pPr>
        <w:numPr>
          <w:ilvl w:val="1"/>
          <w:numId w:val="2"/>
        </w:numPr>
        <w:tabs>
          <w:tab w:val="num" w:pos="1418"/>
        </w:tabs>
        <w:spacing w:before="120"/>
        <w:rPr>
          <w:szCs w:val="20"/>
        </w:rPr>
      </w:pPr>
      <w:r w:rsidRPr="0081267C">
        <w:rPr>
          <w:szCs w:val="24"/>
        </w:rPr>
        <w:t xml:space="preserve">Commission staff have raised the prospect that interstate differences in private sector remuneration in capital cities, where the bulk of public sector employment is located, might be a better proxy for differences in public sector remuneration than private sector differences across the whole State. </w:t>
      </w:r>
    </w:p>
    <w:p w:rsidR="00475B04" w:rsidRPr="0081267C" w:rsidRDefault="00475B04" w:rsidP="00475B04">
      <w:pPr>
        <w:numPr>
          <w:ilvl w:val="1"/>
          <w:numId w:val="2"/>
        </w:numPr>
        <w:tabs>
          <w:tab w:val="num" w:pos="1418"/>
        </w:tabs>
        <w:spacing w:before="120"/>
        <w:rPr>
          <w:szCs w:val="24"/>
        </w:rPr>
      </w:pPr>
      <w:r w:rsidRPr="0081267C">
        <w:rPr>
          <w:szCs w:val="24"/>
        </w:rPr>
        <w:t xml:space="preserve">While some States have made arguments for change, we consider that issues raised by other States should be further explored before any change is made. Western Australia, in particular, made arguments that such an assessment may conflict with the principles of HFE, and that to adopt a stricter interpretation of the ‘what States do’ supporting principle in this case would require a much more detailed investigation of State service delivery models. </w:t>
      </w:r>
    </w:p>
    <w:p w:rsidR="00475B04" w:rsidRPr="0081267C" w:rsidRDefault="00475B04" w:rsidP="00475B04">
      <w:pPr>
        <w:numPr>
          <w:ilvl w:val="1"/>
          <w:numId w:val="2"/>
        </w:numPr>
        <w:tabs>
          <w:tab w:val="num" w:pos="1418"/>
        </w:tabs>
        <w:spacing w:before="120"/>
        <w:rPr>
          <w:szCs w:val="24"/>
        </w:rPr>
      </w:pPr>
      <w:r w:rsidRPr="0081267C">
        <w:rPr>
          <w:szCs w:val="24"/>
        </w:rPr>
        <w:t xml:space="preserve">Queensland, South Australia and the ACT considered that there was little evidence to support the choice of the capital city region as the benchmark for any State. Queensland also noted that more dispersed States may have a greater focus on regional areas rather than capital cities. </w:t>
      </w:r>
    </w:p>
    <w:p w:rsidR="00475B04" w:rsidRPr="0081267C" w:rsidRDefault="00475B04" w:rsidP="00475B04">
      <w:pPr>
        <w:numPr>
          <w:ilvl w:val="1"/>
          <w:numId w:val="2"/>
        </w:numPr>
        <w:tabs>
          <w:tab w:val="num" w:pos="1418"/>
        </w:tabs>
        <w:spacing w:before="120"/>
        <w:rPr>
          <w:szCs w:val="24"/>
        </w:rPr>
      </w:pPr>
      <w:r w:rsidRPr="0081267C">
        <w:rPr>
          <w:szCs w:val="24"/>
        </w:rPr>
        <w:t xml:space="preserve">Mavromaras et al also examined the question of ‘Do State government wages vary between regions within a State to the same extent as the private sector?’ They found similar differences between capital cities and the balance of State wages in the public </w:t>
      </w:r>
      <w:r w:rsidRPr="0081267C">
        <w:rPr>
          <w:szCs w:val="24"/>
        </w:rPr>
        <w:lastRenderedPageBreak/>
        <w:t xml:space="preserve">and private sectors, which suggests that States may respond to sub-State regional labour markets, rather than having uniform pay rates across the State. </w:t>
      </w:r>
    </w:p>
    <w:p w:rsidR="0035011C" w:rsidRPr="0081267C" w:rsidRDefault="0035011C" w:rsidP="0035011C">
      <w:pPr>
        <w:numPr>
          <w:ilvl w:val="1"/>
          <w:numId w:val="2"/>
        </w:numPr>
        <w:tabs>
          <w:tab w:val="num" w:pos="1418"/>
        </w:tabs>
        <w:spacing w:before="120"/>
        <w:rPr>
          <w:szCs w:val="24"/>
        </w:rPr>
      </w:pPr>
      <w:r w:rsidRPr="0081267C">
        <w:rPr>
          <w:szCs w:val="24"/>
        </w:rPr>
        <w:t>While we have been able to find some evidence which supports the use of capital city wage differentials, we do not currently consider the empirical results compelling enough to support a change in method. In particular, evidence was not conclusive in regards to:</w:t>
      </w:r>
    </w:p>
    <w:p w:rsidR="0035011C" w:rsidRPr="0081267C" w:rsidRDefault="0035011C" w:rsidP="0035011C">
      <w:pPr>
        <w:numPr>
          <w:ilvl w:val="0"/>
          <w:numId w:val="1"/>
        </w:numPr>
        <w:tabs>
          <w:tab w:val="clear" w:pos="567"/>
          <w:tab w:val="clear" w:pos="927"/>
          <w:tab w:val="left" w:pos="1134"/>
        </w:tabs>
        <w:spacing w:before="80" w:line="300" w:lineRule="atLeast"/>
        <w:ind w:left="1134" w:hanging="567"/>
        <w:rPr>
          <w:szCs w:val="20"/>
        </w:rPr>
      </w:pPr>
      <w:r w:rsidRPr="0081267C">
        <w:rPr>
          <w:szCs w:val="20"/>
        </w:rPr>
        <w:t>public sector employees receiving the same wage everywhere in the State</w:t>
      </w:r>
    </w:p>
    <w:p w:rsidR="00475B04" w:rsidRPr="0081267C" w:rsidRDefault="0035011C" w:rsidP="00B405B5">
      <w:pPr>
        <w:pStyle w:val="CGCBulletlist"/>
        <w:rPr>
          <w:szCs w:val="24"/>
        </w:rPr>
      </w:pPr>
      <w:proofErr w:type="gramStart"/>
      <w:r w:rsidRPr="0081267C">
        <w:t>private</w:t>
      </w:r>
      <w:proofErr w:type="gramEnd"/>
      <w:r w:rsidRPr="0081267C">
        <w:t xml:space="preserve"> sector wage levels in capital cities producing a better measure than State wide wage levels of the community wage levels affecting the public sector.</w:t>
      </w:r>
    </w:p>
    <w:p w:rsidR="00475B04" w:rsidRPr="0081267C" w:rsidRDefault="00936AB4" w:rsidP="00653924">
      <w:pPr>
        <w:pStyle w:val="Heading4"/>
      </w:pPr>
      <w:bookmarkStart w:id="877" w:name="_Toc440361181"/>
      <w:bookmarkStart w:id="878" w:name="_Toc442883320"/>
      <w:bookmarkStart w:id="879" w:name="_Toc442949194"/>
      <w:r>
        <w:t>Are</w:t>
      </w:r>
      <w:r w:rsidRPr="0081267C">
        <w:t xml:space="preserve"> </w:t>
      </w:r>
      <w:r w:rsidR="00475B04" w:rsidRPr="0081267C">
        <w:t>the 2014 CoE</w:t>
      </w:r>
      <w:r w:rsidR="000608BB" w:rsidRPr="0081267C">
        <w:t>S</w:t>
      </w:r>
      <w:r w:rsidR="00475B04" w:rsidRPr="0081267C">
        <w:t xml:space="preserve"> data fit for purpose?</w:t>
      </w:r>
      <w:bookmarkEnd w:id="877"/>
      <w:bookmarkEnd w:id="878"/>
      <w:bookmarkEnd w:id="879"/>
    </w:p>
    <w:p w:rsidR="00475B04" w:rsidRPr="0081267C" w:rsidRDefault="000608BB" w:rsidP="00475B04">
      <w:pPr>
        <w:numPr>
          <w:ilvl w:val="1"/>
          <w:numId w:val="2"/>
        </w:numPr>
        <w:tabs>
          <w:tab w:val="num" w:pos="1418"/>
        </w:tabs>
        <w:spacing w:before="120"/>
        <w:rPr>
          <w:szCs w:val="24"/>
        </w:rPr>
      </w:pPr>
      <w:r w:rsidRPr="0081267C">
        <w:rPr>
          <w:szCs w:val="24"/>
        </w:rPr>
        <w:t>The 2014 CoES</w:t>
      </w:r>
      <w:r w:rsidR="00475B04" w:rsidRPr="0081267C">
        <w:rPr>
          <w:szCs w:val="24"/>
        </w:rPr>
        <w:t xml:space="preserve"> contained questions on education and qualifications, and our choice of this survey was partly based on their inclusion. However, these data are not available, due to a data processing </w:t>
      </w:r>
      <w:r w:rsidR="0035011C" w:rsidRPr="0081267C">
        <w:rPr>
          <w:szCs w:val="24"/>
        </w:rPr>
        <w:t>oversight</w:t>
      </w:r>
      <w:r w:rsidR="00475B04" w:rsidRPr="0081267C">
        <w:rPr>
          <w:szCs w:val="24"/>
        </w:rPr>
        <w:t xml:space="preserve"> by the ABS. The ABS assures us that the issue has now been resolved, and that future CoE</w:t>
      </w:r>
      <w:r w:rsidR="00F82150" w:rsidRPr="0081267C">
        <w:rPr>
          <w:szCs w:val="24"/>
        </w:rPr>
        <w:t>S</w:t>
      </w:r>
      <w:r w:rsidR="00475B04" w:rsidRPr="0081267C">
        <w:rPr>
          <w:szCs w:val="24"/>
        </w:rPr>
        <w:t xml:space="preserve"> data will contain this information. </w:t>
      </w:r>
      <w:r w:rsidR="00A3065E" w:rsidRPr="0081267C">
        <w:rPr>
          <w:szCs w:val="24"/>
        </w:rPr>
        <w:t>We also considered models using the Employee Earnings, Benefits, Training and Union Membership (EEBTUM) surveys, which also do not include education data.</w:t>
      </w:r>
    </w:p>
    <w:p w:rsidR="00475B04" w:rsidRPr="00CB2388" w:rsidRDefault="00475B04" w:rsidP="00CB2388">
      <w:pPr>
        <w:pStyle w:val="CGCNumberedPara"/>
        <w:numPr>
          <w:ilvl w:val="1"/>
          <w:numId w:val="2"/>
        </w:numPr>
        <w:tabs>
          <w:tab w:val="num" w:pos="1418"/>
        </w:tabs>
      </w:pPr>
      <w:r w:rsidRPr="0081267C">
        <w:t xml:space="preserve">We have found that models which do not include education or qualification variables but which instead include detailed industry and occupation data perform very similarly to the former models. Goodness-of-fit measures such as R-squared are similar when using detailed data or qualifications. It appears that information on detailed occupation is as effective in accounting for variation in an individual’s income as using broad occupation along with qualification information. </w:t>
      </w:r>
      <w:r w:rsidR="005B0A7A" w:rsidRPr="005B0A7A">
        <w:t>We can</w:t>
      </w:r>
      <w:r w:rsidR="005B0A7A">
        <w:t>not</w:t>
      </w:r>
      <w:r w:rsidR="005B0A7A" w:rsidRPr="005B0A7A">
        <w:t xml:space="preserve"> reliably estimate how we would adjust State coefficients for the missing data, but all evidence suggests the impact would be relatively small.</w:t>
      </w:r>
    </w:p>
    <w:p w:rsidR="00475B04" w:rsidRPr="0081267C" w:rsidRDefault="00475B04" w:rsidP="00475B04">
      <w:pPr>
        <w:numPr>
          <w:ilvl w:val="1"/>
          <w:numId w:val="2"/>
        </w:numPr>
        <w:tabs>
          <w:tab w:val="num" w:pos="1418"/>
        </w:tabs>
        <w:spacing w:before="120"/>
        <w:rPr>
          <w:szCs w:val="24"/>
        </w:rPr>
      </w:pPr>
      <w:r w:rsidRPr="0081267C">
        <w:rPr>
          <w:szCs w:val="24"/>
        </w:rPr>
        <w:t xml:space="preserve">There are two obvious strategies for measuring wages in this update: </w:t>
      </w:r>
    </w:p>
    <w:p w:rsidR="00475B04" w:rsidRPr="0081267C" w:rsidRDefault="00475B04" w:rsidP="00475B04">
      <w:pPr>
        <w:numPr>
          <w:ilvl w:val="0"/>
          <w:numId w:val="1"/>
        </w:numPr>
        <w:tabs>
          <w:tab w:val="clear" w:pos="567"/>
          <w:tab w:val="clear" w:pos="927"/>
          <w:tab w:val="left" w:pos="1134"/>
        </w:tabs>
        <w:spacing w:before="80" w:line="300" w:lineRule="atLeast"/>
        <w:ind w:left="1134" w:hanging="567"/>
        <w:rPr>
          <w:szCs w:val="20"/>
        </w:rPr>
      </w:pPr>
      <w:r w:rsidRPr="0081267C">
        <w:rPr>
          <w:szCs w:val="20"/>
        </w:rPr>
        <w:t>delay the introduction of new data and continue to index the SET 2009 estimates forward until we have survey data including qualifications, or</w:t>
      </w:r>
    </w:p>
    <w:p w:rsidR="00475B04" w:rsidRPr="0081267C" w:rsidRDefault="00475B04" w:rsidP="00475B04">
      <w:pPr>
        <w:numPr>
          <w:ilvl w:val="0"/>
          <w:numId w:val="1"/>
        </w:numPr>
        <w:tabs>
          <w:tab w:val="clear" w:pos="567"/>
          <w:tab w:val="clear" w:pos="927"/>
          <w:tab w:val="left" w:pos="1134"/>
        </w:tabs>
        <w:spacing w:before="80" w:line="300" w:lineRule="atLeast"/>
        <w:ind w:left="1134" w:hanging="567"/>
        <w:rPr>
          <w:szCs w:val="20"/>
        </w:rPr>
      </w:pPr>
      <w:proofErr w:type="gramStart"/>
      <w:r w:rsidRPr="0081267C">
        <w:rPr>
          <w:szCs w:val="20"/>
        </w:rPr>
        <w:t>decide</w:t>
      </w:r>
      <w:proofErr w:type="gramEnd"/>
      <w:r w:rsidRPr="0081267C">
        <w:rPr>
          <w:szCs w:val="20"/>
        </w:rPr>
        <w:t xml:space="preserve"> that the contemporaneity of the CoE</w:t>
      </w:r>
      <w:r w:rsidR="00F82150" w:rsidRPr="0081267C">
        <w:rPr>
          <w:szCs w:val="20"/>
        </w:rPr>
        <w:t>S</w:t>
      </w:r>
      <w:r w:rsidRPr="0081267C">
        <w:rPr>
          <w:szCs w:val="20"/>
        </w:rPr>
        <w:t xml:space="preserve">/EEBTUM surveys outweighs their lack of qualification data, given the improved results due to the inclusion of more detailed occupation and industry data. </w:t>
      </w:r>
    </w:p>
    <w:p w:rsidR="00475B04" w:rsidRPr="0081267C" w:rsidRDefault="00475B04" w:rsidP="00475B04">
      <w:pPr>
        <w:numPr>
          <w:ilvl w:val="1"/>
          <w:numId w:val="2"/>
        </w:numPr>
        <w:tabs>
          <w:tab w:val="num" w:pos="1418"/>
        </w:tabs>
        <w:spacing w:before="120"/>
        <w:rPr>
          <w:szCs w:val="24"/>
        </w:rPr>
      </w:pPr>
      <w:r w:rsidRPr="0081267C">
        <w:rPr>
          <w:szCs w:val="24"/>
        </w:rPr>
        <w:t xml:space="preserve">The first means no change to the method or data we would use. The second would mean a change in data source but no change in method. </w:t>
      </w:r>
    </w:p>
    <w:p w:rsidR="00475B04" w:rsidRPr="0081267C" w:rsidRDefault="00475B04" w:rsidP="00475B04">
      <w:pPr>
        <w:numPr>
          <w:ilvl w:val="1"/>
          <w:numId w:val="2"/>
        </w:numPr>
        <w:tabs>
          <w:tab w:val="num" w:pos="1418"/>
        </w:tabs>
        <w:spacing w:before="120"/>
        <w:rPr>
          <w:szCs w:val="24"/>
        </w:rPr>
      </w:pPr>
      <w:r w:rsidRPr="0081267C">
        <w:rPr>
          <w:szCs w:val="24"/>
        </w:rPr>
        <w:t>We consider that the lack of qualifications means that the new data are less than ideal, but we are also concerned with the age of the SET data which would be used for a further year under the indexing option. On balance, we think that the best overall HFE result is produced by using both, and so we have used the indexed SET in 2012-13 and 2013-14 (the same as was used in the 2015 Review) and CoE</w:t>
      </w:r>
      <w:r w:rsidR="00F82150" w:rsidRPr="0081267C">
        <w:rPr>
          <w:szCs w:val="24"/>
        </w:rPr>
        <w:t>S</w:t>
      </w:r>
      <w:r w:rsidRPr="0081267C">
        <w:rPr>
          <w:szCs w:val="24"/>
        </w:rPr>
        <w:t xml:space="preserve"> in </w:t>
      </w:r>
      <w:r w:rsidRPr="0081267C">
        <w:rPr>
          <w:szCs w:val="24"/>
        </w:rPr>
        <w:lastRenderedPageBreak/>
        <w:t>2014</w:t>
      </w:r>
      <w:r w:rsidR="00F82150" w:rsidRPr="0081267C">
        <w:rPr>
          <w:szCs w:val="24"/>
        </w:rPr>
        <w:noBreakHyphen/>
      </w:r>
      <w:r w:rsidRPr="0081267C">
        <w:rPr>
          <w:szCs w:val="24"/>
        </w:rPr>
        <w:t xml:space="preserve">15. We consider this gives the appropriate balance between estimating wages </w:t>
      </w:r>
      <w:r w:rsidR="00A3065E" w:rsidRPr="0081267C">
        <w:rPr>
          <w:szCs w:val="24"/>
        </w:rPr>
        <w:t>while</w:t>
      </w:r>
      <w:r w:rsidR="00B405B5" w:rsidRPr="0081267C">
        <w:rPr>
          <w:szCs w:val="24"/>
        </w:rPr>
        <w:t xml:space="preserve"> </w:t>
      </w:r>
      <w:r w:rsidRPr="0081267C">
        <w:rPr>
          <w:szCs w:val="24"/>
        </w:rPr>
        <w:t xml:space="preserve">controlling for all important differences among employees (including education), and using contemporaneous data. </w:t>
      </w:r>
    </w:p>
    <w:p w:rsidR="00475B04" w:rsidRPr="0081267C" w:rsidRDefault="00262935" w:rsidP="00475B04">
      <w:pPr>
        <w:numPr>
          <w:ilvl w:val="1"/>
          <w:numId w:val="2"/>
        </w:numPr>
        <w:tabs>
          <w:tab w:val="num" w:pos="1418"/>
        </w:tabs>
        <w:spacing w:before="120"/>
        <w:rPr>
          <w:szCs w:val="24"/>
        </w:rPr>
      </w:pPr>
      <w:r w:rsidRPr="0081267C">
        <w:rPr>
          <w:szCs w:val="24"/>
        </w:rPr>
        <w:fldChar w:fldCharType="begin"/>
      </w:r>
      <w:r w:rsidRPr="0081267C">
        <w:rPr>
          <w:szCs w:val="24"/>
        </w:rPr>
        <w:instrText xml:space="preserve"> REF _Ref441241639 \h  \* MERGEFORMAT </w:instrText>
      </w:r>
      <w:r w:rsidRPr="0081267C">
        <w:rPr>
          <w:szCs w:val="24"/>
        </w:rPr>
      </w:r>
      <w:r w:rsidRPr="0081267C">
        <w:rPr>
          <w:szCs w:val="24"/>
        </w:rPr>
        <w:fldChar w:fldCharType="separate"/>
      </w:r>
      <w:r w:rsidR="007A6AF0" w:rsidRPr="0081267C">
        <w:t>Table</w:t>
      </w:r>
      <w:r w:rsidR="007A6AF0" w:rsidRPr="007A6AF0">
        <w:rPr>
          <w:b/>
        </w:rPr>
        <w:t xml:space="preserve"> </w:t>
      </w:r>
      <w:r w:rsidR="007A6AF0">
        <w:rPr>
          <w:noProof/>
        </w:rPr>
        <w:t>3</w:t>
      </w:r>
      <w:r w:rsidR="007A6AF0" w:rsidRPr="0081267C">
        <w:rPr>
          <w:noProof/>
        </w:rPr>
        <w:noBreakHyphen/>
      </w:r>
      <w:r w:rsidR="007A6AF0">
        <w:rPr>
          <w:noProof/>
        </w:rPr>
        <w:t>2</w:t>
      </w:r>
      <w:r w:rsidRPr="0081267C">
        <w:rPr>
          <w:szCs w:val="24"/>
        </w:rPr>
        <w:fldChar w:fldCharType="end"/>
      </w:r>
      <w:r w:rsidR="00C22F29" w:rsidRPr="0081267C">
        <w:rPr>
          <w:szCs w:val="24"/>
        </w:rPr>
        <w:t xml:space="preserve"> </w:t>
      </w:r>
      <w:r w:rsidR="00475B04" w:rsidRPr="0081267C">
        <w:rPr>
          <w:szCs w:val="24"/>
        </w:rPr>
        <w:t>shows the estimated relative private sector wages paid for comparable employees in each State. It shows our measurement using the 2015 Review methodology which was based on the 2009 SET indexed forward to 2014-15 using the WPI, and the 2014-15 estimate produced from the CoE</w:t>
      </w:r>
      <w:r w:rsidR="00F82150" w:rsidRPr="0081267C">
        <w:rPr>
          <w:szCs w:val="24"/>
        </w:rPr>
        <w:t>S</w:t>
      </w:r>
      <w:r w:rsidR="00475B04" w:rsidRPr="0081267C">
        <w:rPr>
          <w:szCs w:val="24"/>
        </w:rPr>
        <w:t xml:space="preserve">. </w:t>
      </w:r>
    </w:p>
    <w:p w:rsidR="00475B04" w:rsidRPr="0081267C" w:rsidRDefault="00475B04" w:rsidP="00475B04">
      <w:pPr>
        <w:numPr>
          <w:ilvl w:val="1"/>
          <w:numId w:val="2"/>
        </w:numPr>
        <w:tabs>
          <w:tab w:val="num" w:pos="1418"/>
        </w:tabs>
        <w:spacing w:before="120"/>
        <w:rPr>
          <w:szCs w:val="24"/>
        </w:rPr>
      </w:pPr>
      <w:r w:rsidRPr="0081267C">
        <w:rPr>
          <w:szCs w:val="24"/>
        </w:rPr>
        <w:t xml:space="preserve">For the 2017 Update and beyond, we intend to bring in the incoming estimates from </w:t>
      </w:r>
      <w:r w:rsidR="00A3065E" w:rsidRPr="0081267C">
        <w:rPr>
          <w:szCs w:val="24"/>
        </w:rPr>
        <w:t xml:space="preserve">the </w:t>
      </w:r>
      <w:r w:rsidRPr="0081267C">
        <w:rPr>
          <w:szCs w:val="24"/>
        </w:rPr>
        <w:t>CoE</w:t>
      </w:r>
      <w:r w:rsidR="00F82150" w:rsidRPr="0081267C">
        <w:rPr>
          <w:szCs w:val="24"/>
        </w:rPr>
        <w:t>S</w:t>
      </w:r>
      <w:r w:rsidRPr="0081267C">
        <w:rPr>
          <w:szCs w:val="24"/>
        </w:rPr>
        <w:t xml:space="preserve"> as they become available. </w:t>
      </w:r>
    </w:p>
    <w:p w:rsidR="00475B04" w:rsidRPr="0081267C" w:rsidRDefault="00475B04" w:rsidP="00475B04">
      <w:pPr>
        <w:numPr>
          <w:ilvl w:val="1"/>
          <w:numId w:val="2"/>
        </w:numPr>
        <w:tabs>
          <w:tab w:val="num" w:pos="1418"/>
        </w:tabs>
        <w:spacing w:before="120"/>
        <w:rPr>
          <w:szCs w:val="24"/>
        </w:rPr>
      </w:pPr>
      <w:r w:rsidRPr="0081267C">
        <w:rPr>
          <w:szCs w:val="24"/>
        </w:rPr>
        <w:t>New South Wales, Victoria, Western Australia and the Northern Territory support using the latest CoE</w:t>
      </w:r>
      <w:r w:rsidR="00F82150" w:rsidRPr="0081267C">
        <w:rPr>
          <w:szCs w:val="24"/>
        </w:rPr>
        <w:t>S</w:t>
      </w:r>
      <w:r w:rsidRPr="0081267C">
        <w:rPr>
          <w:szCs w:val="24"/>
        </w:rPr>
        <w:t xml:space="preserve"> data for 2014-15, and retaining the SET for earlier years. South Australia, Tasmania and the ACT consider that we should not incorporate the CoE</w:t>
      </w:r>
      <w:r w:rsidR="00F82150" w:rsidRPr="0081267C">
        <w:rPr>
          <w:szCs w:val="24"/>
        </w:rPr>
        <w:t>S</w:t>
      </w:r>
      <w:r w:rsidRPr="0081267C">
        <w:rPr>
          <w:szCs w:val="24"/>
        </w:rPr>
        <w:t xml:space="preserve"> data until the 2017 Update on the grounds that the survey did not include qualifications data.</w:t>
      </w:r>
    </w:p>
    <w:p w:rsidR="00475B04" w:rsidRPr="0081267C" w:rsidRDefault="00475B04" w:rsidP="00262935">
      <w:pPr>
        <w:pStyle w:val="CGCTableHeading"/>
      </w:pPr>
      <w:bookmarkStart w:id="880" w:name="_Ref439768919"/>
      <w:bookmarkStart w:id="881" w:name="_Ref441241639"/>
      <w:r w:rsidRPr="0081267C">
        <w:t>Table</w:t>
      </w:r>
      <w:bookmarkEnd w:id="880"/>
      <w:r w:rsidR="00262935" w:rsidRPr="0081267C">
        <w:t xml:space="preserve"> </w:t>
      </w:r>
      <w:r w:rsidR="0014378B">
        <w:fldChar w:fldCharType="begin"/>
      </w:r>
      <w:r w:rsidR="0014378B">
        <w:instrText xml:space="preserve"> STYLEREF 1 \s </w:instrText>
      </w:r>
      <w:r w:rsidR="0014378B">
        <w:fldChar w:fldCharType="separate"/>
      </w:r>
      <w:r w:rsidR="007A6AF0">
        <w:rPr>
          <w:noProof/>
        </w:rPr>
        <w:t>3</w:t>
      </w:r>
      <w:r w:rsidR="0014378B">
        <w:rPr>
          <w:noProof/>
        </w:rPr>
        <w:fldChar w:fldCharType="end"/>
      </w:r>
      <w:r w:rsidR="00262935" w:rsidRPr="0081267C">
        <w:noBreakHyphen/>
      </w:r>
      <w:r w:rsidR="0014378B">
        <w:fldChar w:fldCharType="begin"/>
      </w:r>
      <w:r w:rsidR="0014378B">
        <w:instrText xml:space="preserve"> SEQ Table \* ARABIC \s 1 </w:instrText>
      </w:r>
      <w:r w:rsidR="0014378B">
        <w:fldChar w:fldCharType="separate"/>
      </w:r>
      <w:r w:rsidR="007A6AF0">
        <w:rPr>
          <w:noProof/>
        </w:rPr>
        <w:t>2</w:t>
      </w:r>
      <w:r w:rsidR="0014378B">
        <w:rPr>
          <w:noProof/>
        </w:rPr>
        <w:fldChar w:fldCharType="end"/>
      </w:r>
      <w:bookmarkEnd w:id="881"/>
      <w:r w:rsidRPr="0081267C">
        <w:tab/>
        <w:t xml:space="preserve">Relative private sector wages, </w:t>
      </w:r>
      <w:r w:rsidR="00A31185" w:rsidRPr="0081267C">
        <w:t>201</w:t>
      </w:r>
      <w:r w:rsidR="00A31185">
        <w:t>1</w:t>
      </w:r>
      <w:r w:rsidRPr="0081267C">
        <w:t>-</w:t>
      </w:r>
      <w:r w:rsidR="00A31185" w:rsidRPr="0081267C">
        <w:t>1</w:t>
      </w:r>
      <w:r w:rsidR="00A31185">
        <w:t>2</w:t>
      </w:r>
      <w:r w:rsidR="00A31185" w:rsidRPr="0081267C">
        <w:t xml:space="preserve"> </w:t>
      </w:r>
      <w:r w:rsidRPr="0081267C">
        <w:t>to 2014-15</w:t>
      </w:r>
    </w:p>
    <w:tbl>
      <w:tblPr>
        <w:tblW w:w="8920" w:type="dxa"/>
        <w:tblInd w:w="93" w:type="dxa"/>
        <w:tblLook w:val="04A0" w:firstRow="1" w:lastRow="0" w:firstColumn="1" w:lastColumn="0" w:noHBand="0" w:noVBand="1"/>
      </w:tblPr>
      <w:tblGrid>
        <w:gridCol w:w="1760"/>
        <w:gridCol w:w="940"/>
        <w:gridCol w:w="880"/>
        <w:gridCol w:w="880"/>
        <w:gridCol w:w="880"/>
        <w:gridCol w:w="880"/>
        <w:gridCol w:w="940"/>
        <w:gridCol w:w="880"/>
        <w:gridCol w:w="880"/>
      </w:tblGrid>
      <w:tr w:rsidR="00D458FC" w:rsidRPr="00D458FC" w:rsidTr="00D458FC">
        <w:trPr>
          <w:trHeight w:val="379"/>
        </w:trPr>
        <w:tc>
          <w:tcPr>
            <w:tcW w:w="1760" w:type="dxa"/>
            <w:tcBorders>
              <w:top w:val="single" w:sz="4" w:space="0" w:color="auto"/>
              <w:left w:val="nil"/>
              <w:bottom w:val="single" w:sz="4" w:space="0" w:color="auto"/>
              <w:right w:val="nil"/>
            </w:tcBorders>
            <w:shd w:val="clear" w:color="000000" w:fill="FFFFFF"/>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bookmarkStart w:id="882" w:name="RANGE!L40:T48"/>
            <w:r w:rsidRPr="00D458FC">
              <w:rPr>
                <w:rFonts w:ascii="Calibri" w:eastAsia="Times New Roman" w:hAnsi="Calibri" w:cs="Times New Roman"/>
                <w:sz w:val="20"/>
                <w:szCs w:val="20"/>
                <w:lang w:eastAsia="en-AU"/>
              </w:rPr>
              <w:t> </w:t>
            </w:r>
            <w:bookmarkEnd w:id="882"/>
          </w:p>
        </w:tc>
        <w:tc>
          <w:tcPr>
            <w:tcW w:w="940" w:type="dxa"/>
            <w:tcBorders>
              <w:top w:val="single" w:sz="4" w:space="0" w:color="auto"/>
              <w:left w:val="nil"/>
              <w:bottom w:val="single" w:sz="4" w:space="0" w:color="auto"/>
              <w:right w:val="nil"/>
            </w:tcBorders>
            <w:shd w:val="clear" w:color="000000" w:fill="FFFFFF"/>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NSW</w:t>
            </w:r>
          </w:p>
        </w:tc>
        <w:tc>
          <w:tcPr>
            <w:tcW w:w="880" w:type="dxa"/>
            <w:tcBorders>
              <w:top w:val="single" w:sz="4" w:space="0" w:color="auto"/>
              <w:left w:val="nil"/>
              <w:bottom w:val="single" w:sz="4" w:space="0" w:color="auto"/>
              <w:right w:val="nil"/>
            </w:tcBorders>
            <w:shd w:val="clear" w:color="000000" w:fill="FFFFFF"/>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Vic</w:t>
            </w:r>
          </w:p>
        </w:tc>
        <w:tc>
          <w:tcPr>
            <w:tcW w:w="880" w:type="dxa"/>
            <w:tcBorders>
              <w:top w:val="single" w:sz="4" w:space="0" w:color="auto"/>
              <w:left w:val="nil"/>
              <w:bottom w:val="single" w:sz="4" w:space="0" w:color="auto"/>
              <w:right w:val="nil"/>
            </w:tcBorders>
            <w:shd w:val="clear" w:color="000000" w:fill="FFFFFF"/>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Qld</w:t>
            </w:r>
          </w:p>
        </w:tc>
        <w:tc>
          <w:tcPr>
            <w:tcW w:w="880" w:type="dxa"/>
            <w:tcBorders>
              <w:top w:val="single" w:sz="4" w:space="0" w:color="auto"/>
              <w:left w:val="nil"/>
              <w:bottom w:val="single" w:sz="4" w:space="0" w:color="auto"/>
              <w:right w:val="nil"/>
            </w:tcBorders>
            <w:shd w:val="clear" w:color="000000" w:fill="FFFFFF"/>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WA</w:t>
            </w:r>
          </w:p>
        </w:tc>
        <w:tc>
          <w:tcPr>
            <w:tcW w:w="880" w:type="dxa"/>
            <w:tcBorders>
              <w:top w:val="single" w:sz="4" w:space="0" w:color="auto"/>
              <w:left w:val="nil"/>
              <w:bottom w:val="single" w:sz="4" w:space="0" w:color="auto"/>
              <w:right w:val="nil"/>
            </w:tcBorders>
            <w:shd w:val="clear" w:color="000000" w:fill="FFFFFF"/>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SA</w:t>
            </w:r>
          </w:p>
        </w:tc>
        <w:tc>
          <w:tcPr>
            <w:tcW w:w="940" w:type="dxa"/>
            <w:tcBorders>
              <w:top w:val="single" w:sz="4" w:space="0" w:color="auto"/>
              <w:left w:val="nil"/>
              <w:bottom w:val="single" w:sz="4" w:space="0" w:color="auto"/>
              <w:right w:val="nil"/>
            </w:tcBorders>
            <w:shd w:val="clear" w:color="000000" w:fill="FFFFFF"/>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Tas</w:t>
            </w:r>
          </w:p>
        </w:tc>
        <w:tc>
          <w:tcPr>
            <w:tcW w:w="880" w:type="dxa"/>
            <w:tcBorders>
              <w:top w:val="single" w:sz="4" w:space="0" w:color="auto"/>
              <w:left w:val="nil"/>
              <w:bottom w:val="single" w:sz="4" w:space="0" w:color="auto"/>
              <w:right w:val="nil"/>
            </w:tcBorders>
            <w:shd w:val="clear" w:color="000000" w:fill="FFFFFF"/>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ACT</w:t>
            </w:r>
          </w:p>
        </w:tc>
        <w:tc>
          <w:tcPr>
            <w:tcW w:w="880" w:type="dxa"/>
            <w:tcBorders>
              <w:top w:val="single" w:sz="4" w:space="0" w:color="auto"/>
              <w:left w:val="nil"/>
              <w:bottom w:val="single" w:sz="4" w:space="0" w:color="auto"/>
              <w:right w:val="nil"/>
            </w:tcBorders>
            <w:shd w:val="clear" w:color="000000" w:fill="FFFFFF"/>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NT</w:t>
            </w:r>
          </w:p>
        </w:tc>
      </w:tr>
      <w:tr w:rsidR="00D458FC" w:rsidRPr="00D458FC" w:rsidTr="00D458FC">
        <w:trPr>
          <w:trHeight w:val="259"/>
        </w:trPr>
        <w:tc>
          <w:tcPr>
            <w:tcW w:w="176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 </w:t>
            </w:r>
          </w:p>
        </w:tc>
        <w:tc>
          <w:tcPr>
            <w:tcW w:w="94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w:t>
            </w:r>
          </w:p>
        </w:tc>
        <w:tc>
          <w:tcPr>
            <w:tcW w:w="94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w:t>
            </w:r>
          </w:p>
        </w:tc>
      </w:tr>
      <w:tr w:rsidR="00D458FC" w:rsidRPr="00D458FC" w:rsidTr="00D458FC">
        <w:trPr>
          <w:trHeight w:val="315"/>
        </w:trPr>
        <w:tc>
          <w:tcPr>
            <w:tcW w:w="176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2011-12 (a)</w:t>
            </w:r>
          </w:p>
        </w:tc>
        <w:tc>
          <w:tcPr>
            <w:tcW w:w="94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1.3</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-2.4</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-2.0</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6.6</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-2.4</w:t>
            </w:r>
          </w:p>
        </w:tc>
        <w:tc>
          <w:tcPr>
            <w:tcW w:w="94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-4.6</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4.8</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7.7</w:t>
            </w:r>
          </w:p>
        </w:tc>
      </w:tr>
      <w:tr w:rsidR="00D458FC" w:rsidRPr="00D458FC" w:rsidTr="00D458FC">
        <w:trPr>
          <w:trHeight w:val="315"/>
        </w:trPr>
        <w:tc>
          <w:tcPr>
            <w:tcW w:w="176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2012-13 (a)</w:t>
            </w:r>
          </w:p>
        </w:tc>
        <w:tc>
          <w:tcPr>
            <w:tcW w:w="94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-2.3</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-2.2</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7.3</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-2.3</w:t>
            </w:r>
          </w:p>
        </w:tc>
        <w:tc>
          <w:tcPr>
            <w:tcW w:w="94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-4.6</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4.4</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7.6</w:t>
            </w:r>
          </w:p>
        </w:tc>
      </w:tr>
      <w:tr w:rsidR="00D458FC" w:rsidRPr="00D458FC" w:rsidTr="00D458FC">
        <w:trPr>
          <w:trHeight w:val="315"/>
        </w:trPr>
        <w:tc>
          <w:tcPr>
            <w:tcW w:w="176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2013-14 (a)</w:t>
            </w:r>
          </w:p>
        </w:tc>
        <w:tc>
          <w:tcPr>
            <w:tcW w:w="94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0.9</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-2.3</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-2.1</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7.2</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-1.7</w:t>
            </w:r>
          </w:p>
        </w:tc>
        <w:tc>
          <w:tcPr>
            <w:tcW w:w="94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-5.0</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4.2</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7.9</w:t>
            </w:r>
          </w:p>
        </w:tc>
      </w:tr>
      <w:tr w:rsidR="00D458FC" w:rsidRPr="00D458FC" w:rsidTr="00D458FC">
        <w:trPr>
          <w:trHeight w:val="315"/>
        </w:trPr>
        <w:tc>
          <w:tcPr>
            <w:tcW w:w="176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2014-15</w:t>
            </w:r>
          </w:p>
        </w:tc>
        <w:tc>
          <w:tcPr>
            <w:tcW w:w="94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 </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 </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 </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 </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 </w:t>
            </w:r>
          </w:p>
        </w:tc>
        <w:tc>
          <w:tcPr>
            <w:tcW w:w="94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 </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 </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 </w:t>
            </w:r>
          </w:p>
        </w:tc>
      </w:tr>
      <w:tr w:rsidR="00D458FC" w:rsidRPr="00D458FC" w:rsidTr="00D458FC">
        <w:trPr>
          <w:trHeight w:val="315"/>
        </w:trPr>
        <w:tc>
          <w:tcPr>
            <w:tcW w:w="176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 xml:space="preserve">   SET indexed (a)</w:t>
            </w:r>
          </w:p>
        </w:tc>
        <w:tc>
          <w:tcPr>
            <w:tcW w:w="94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0.8</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-2.0</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-2.1</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6.8</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-1.5</w:t>
            </w:r>
          </w:p>
        </w:tc>
        <w:tc>
          <w:tcPr>
            <w:tcW w:w="94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-4.7</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4.1</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8.0</w:t>
            </w:r>
          </w:p>
        </w:tc>
      </w:tr>
      <w:tr w:rsidR="00D458FC" w:rsidRPr="00D458FC" w:rsidTr="00D458FC">
        <w:trPr>
          <w:trHeight w:val="315"/>
        </w:trPr>
        <w:tc>
          <w:tcPr>
            <w:tcW w:w="176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 xml:space="preserve">   CoES</w:t>
            </w:r>
          </w:p>
        </w:tc>
        <w:tc>
          <w:tcPr>
            <w:tcW w:w="94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0.9</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-1.5</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-1.8</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7.7</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-4.8</w:t>
            </w:r>
          </w:p>
        </w:tc>
        <w:tc>
          <w:tcPr>
            <w:tcW w:w="94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-8.9</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3.2</w:t>
            </w:r>
          </w:p>
        </w:tc>
        <w:tc>
          <w:tcPr>
            <w:tcW w:w="880" w:type="dxa"/>
            <w:tcBorders>
              <w:top w:val="nil"/>
              <w:left w:val="nil"/>
              <w:bottom w:val="nil"/>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9.2</w:t>
            </w:r>
          </w:p>
        </w:tc>
      </w:tr>
      <w:tr w:rsidR="00D458FC" w:rsidRPr="00D458FC" w:rsidTr="00D458FC">
        <w:trPr>
          <w:trHeight w:val="315"/>
        </w:trPr>
        <w:tc>
          <w:tcPr>
            <w:tcW w:w="1760" w:type="dxa"/>
            <w:tcBorders>
              <w:top w:val="nil"/>
              <w:left w:val="nil"/>
              <w:bottom w:val="single" w:sz="4" w:space="0" w:color="auto"/>
              <w:right w:val="nil"/>
            </w:tcBorders>
            <w:shd w:val="clear" w:color="000000" w:fill="FFFFFF"/>
            <w:noWrap/>
            <w:vAlign w:val="bottom"/>
            <w:hideMark/>
          </w:tcPr>
          <w:p w:rsidR="00D458FC" w:rsidRPr="00D458FC" w:rsidRDefault="00D458FC" w:rsidP="00D458FC">
            <w:pPr>
              <w:tabs>
                <w:tab w:val="clear" w:pos="567"/>
              </w:tabs>
              <w:spacing w:after="0" w:line="240" w:lineRule="auto"/>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 xml:space="preserve">   Difference</w:t>
            </w:r>
          </w:p>
        </w:tc>
        <w:tc>
          <w:tcPr>
            <w:tcW w:w="940" w:type="dxa"/>
            <w:tcBorders>
              <w:top w:val="nil"/>
              <w:left w:val="nil"/>
              <w:bottom w:val="single" w:sz="4" w:space="0" w:color="auto"/>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0.1</w:t>
            </w:r>
          </w:p>
        </w:tc>
        <w:tc>
          <w:tcPr>
            <w:tcW w:w="880" w:type="dxa"/>
            <w:tcBorders>
              <w:top w:val="nil"/>
              <w:left w:val="nil"/>
              <w:bottom w:val="single" w:sz="4" w:space="0" w:color="auto"/>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0.5</w:t>
            </w:r>
          </w:p>
        </w:tc>
        <w:tc>
          <w:tcPr>
            <w:tcW w:w="880" w:type="dxa"/>
            <w:tcBorders>
              <w:top w:val="nil"/>
              <w:left w:val="nil"/>
              <w:bottom w:val="single" w:sz="4" w:space="0" w:color="auto"/>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0.3</w:t>
            </w:r>
          </w:p>
        </w:tc>
        <w:tc>
          <w:tcPr>
            <w:tcW w:w="880" w:type="dxa"/>
            <w:tcBorders>
              <w:top w:val="nil"/>
              <w:left w:val="nil"/>
              <w:bottom w:val="single" w:sz="4" w:space="0" w:color="auto"/>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0.9</w:t>
            </w:r>
          </w:p>
        </w:tc>
        <w:tc>
          <w:tcPr>
            <w:tcW w:w="880" w:type="dxa"/>
            <w:tcBorders>
              <w:top w:val="nil"/>
              <w:left w:val="nil"/>
              <w:bottom w:val="single" w:sz="4" w:space="0" w:color="auto"/>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-3.4</w:t>
            </w:r>
          </w:p>
        </w:tc>
        <w:tc>
          <w:tcPr>
            <w:tcW w:w="940" w:type="dxa"/>
            <w:tcBorders>
              <w:top w:val="nil"/>
              <w:left w:val="nil"/>
              <w:bottom w:val="single" w:sz="4" w:space="0" w:color="auto"/>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-4.2</w:t>
            </w:r>
          </w:p>
        </w:tc>
        <w:tc>
          <w:tcPr>
            <w:tcW w:w="880" w:type="dxa"/>
            <w:tcBorders>
              <w:top w:val="nil"/>
              <w:left w:val="nil"/>
              <w:bottom w:val="single" w:sz="4" w:space="0" w:color="auto"/>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-0.9</w:t>
            </w:r>
          </w:p>
        </w:tc>
        <w:tc>
          <w:tcPr>
            <w:tcW w:w="880" w:type="dxa"/>
            <w:tcBorders>
              <w:top w:val="nil"/>
              <w:left w:val="nil"/>
              <w:bottom w:val="single" w:sz="4" w:space="0" w:color="auto"/>
              <w:right w:val="nil"/>
            </w:tcBorders>
            <w:shd w:val="clear" w:color="000000" w:fill="FFFFFF"/>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1.2</w:t>
            </w:r>
          </w:p>
        </w:tc>
      </w:tr>
    </w:tbl>
    <w:p w:rsidR="00475B04" w:rsidRPr="0081267C" w:rsidRDefault="00475B04" w:rsidP="00475B04">
      <w:pPr>
        <w:tabs>
          <w:tab w:val="clear" w:pos="567"/>
          <w:tab w:val="left" w:pos="851"/>
        </w:tabs>
        <w:spacing w:after="0" w:line="240" w:lineRule="auto"/>
        <w:ind w:left="851" w:hanging="851"/>
        <w:rPr>
          <w:sz w:val="20"/>
          <w:szCs w:val="24"/>
        </w:rPr>
      </w:pPr>
      <w:r w:rsidRPr="0081267C">
        <w:rPr>
          <w:sz w:val="20"/>
          <w:szCs w:val="24"/>
        </w:rPr>
        <w:t xml:space="preserve">(a) </w:t>
      </w:r>
      <w:r w:rsidRPr="0081267C">
        <w:rPr>
          <w:sz w:val="20"/>
          <w:szCs w:val="24"/>
        </w:rPr>
        <w:tab/>
        <w:t>2009 SET data indexed by relative change in the ABS Wage Price Index.</w:t>
      </w:r>
    </w:p>
    <w:p w:rsidR="00475B04" w:rsidRPr="0081267C" w:rsidRDefault="00475B04" w:rsidP="00475B04">
      <w:pPr>
        <w:tabs>
          <w:tab w:val="clear" w:pos="567"/>
          <w:tab w:val="left" w:pos="851"/>
        </w:tabs>
        <w:spacing w:after="0" w:line="240" w:lineRule="auto"/>
        <w:ind w:left="851" w:hanging="851"/>
        <w:rPr>
          <w:sz w:val="20"/>
          <w:szCs w:val="24"/>
        </w:rPr>
      </w:pPr>
      <w:r w:rsidRPr="0081267C">
        <w:rPr>
          <w:sz w:val="20"/>
          <w:szCs w:val="24"/>
        </w:rPr>
        <w:t xml:space="preserve">Source: </w:t>
      </w:r>
      <w:r w:rsidRPr="0081267C">
        <w:rPr>
          <w:sz w:val="20"/>
          <w:szCs w:val="24"/>
        </w:rPr>
        <w:tab/>
        <w:t>Commission analysis of ABS surveys and WPI data.</w:t>
      </w:r>
    </w:p>
    <w:p w:rsidR="00475B04" w:rsidRPr="0081267C" w:rsidRDefault="00475B04" w:rsidP="00653924">
      <w:pPr>
        <w:pStyle w:val="Heading4"/>
      </w:pPr>
      <w:bookmarkStart w:id="883" w:name="_Toc440361182"/>
      <w:bookmarkStart w:id="884" w:name="_Toc442883321"/>
      <w:bookmarkStart w:id="885" w:name="_Toc442949195"/>
      <w:r w:rsidRPr="0081267C">
        <w:t>Omitted variables</w:t>
      </w:r>
      <w:bookmarkEnd w:id="883"/>
      <w:bookmarkEnd w:id="884"/>
      <w:bookmarkEnd w:id="885"/>
    </w:p>
    <w:p w:rsidR="00475B04" w:rsidRPr="0081267C" w:rsidRDefault="00475B04" w:rsidP="00475B04">
      <w:pPr>
        <w:numPr>
          <w:ilvl w:val="1"/>
          <w:numId w:val="2"/>
        </w:numPr>
        <w:tabs>
          <w:tab w:val="num" w:pos="1418"/>
        </w:tabs>
        <w:spacing w:before="120"/>
        <w:rPr>
          <w:szCs w:val="24"/>
        </w:rPr>
      </w:pPr>
      <w:r w:rsidRPr="0081267C">
        <w:rPr>
          <w:szCs w:val="24"/>
        </w:rPr>
        <w:t xml:space="preserve">Our approach seeks to determine what comparable individuals in different States would earn, so that these differences can be used as an indicator of the differences between States. This requires us to account for as many differences as possible between individuals, </w:t>
      </w:r>
      <w:r w:rsidR="00DD7620" w:rsidRPr="0081267C">
        <w:rPr>
          <w:szCs w:val="24"/>
        </w:rPr>
        <w:t xml:space="preserve">for example, </w:t>
      </w:r>
      <w:r w:rsidRPr="0081267C">
        <w:rPr>
          <w:szCs w:val="24"/>
        </w:rPr>
        <w:t>differences in education or experience. Our ability to do that is limited by the personal characteristics data collected as part of the CoE</w:t>
      </w:r>
      <w:r w:rsidR="00F82150" w:rsidRPr="0081267C">
        <w:rPr>
          <w:szCs w:val="24"/>
        </w:rPr>
        <w:t>S</w:t>
      </w:r>
      <w:r w:rsidRPr="0081267C">
        <w:rPr>
          <w:szCs w:val="24"/>
        </w:rPr>
        <w:t>.</w:t>
      </w:r>
    </w:p>
    <w:p w:rsidR="00475B04" w:rsidRPr="0081267C" w:rsidRDefault="00475B04" w:rsidP="00475B04">
      <w:pPr>
        <w:numPr>
          <w:ilvl w:val="1"/>
          <w:numId w:val="2"/>
        </w:numPr>
        <w:tabs>
          <w:tab w:val="num" w:pos="1418"/>
        </w:tabs>
        <w:spacing w:before="120"/>
        <w:rPr>
          <w:szCs w:val="24"/>
        </w:rPr>
      </w:pPr>
      <w:r w:rsidRPr="0081267C">
        <w:rPr>
          <w:szCs w:val="24"/>
        </w:rPr>
        <w:t>It is possible that there are some uncaptured differences among individuals which we have not been able to identify and that those differences are reflected in and bias our measures of differences among States. Queensland has expressed concern over the omission of education and health status variables in the CoE</w:t>
      </w:r>
      <w:r w:rsidR="00F82150" w:rsidRPr="0081267C">
        <w:rPr>
          <w:szCs w:val="24"/>
        </w:rPr>
        <w:t>S</w:t>
      </w:r>
      <w:r w:rsidRPr="0081267C">
        <w:rPr>
          <w:szCs w:val="24"/>
        </w:rPr>
        <w:t xml:space="preserve"> 2014 dataset.</w:t>
      </w:r>
    </w:p>
    <w:p w:rsidR="00475B04" w:rsidRPr="0081267C" w:rsidRDefault="00475B04" w:rsidP="00475B04">
      <w:pPr>
        <w:numPr>
          <w:ilvl w:val="1"/>
          <w:numId w:val="2"/>
        </w:numPr>
        <w:tabs>
          <w:tab w:val="num" w:pos="1418"/>
        </w:tabs>
        <w:spacing w:before="120"/>
        <w:rPr>
          <w:szCs w:val="24"/>
        </w:rPr>
      </w:pPr>
      <w:r w:rsidRPr="0081267C">
        <w:rPr>
          <w:szCs w:val="24"/>
        </w:rPr>
        <w:t>Two other specific scenarios</w:t>
      </w:r>
      <w:r w:rsidR="00DD7620" w:rsidRPr="0081267C">
        <w:rPr>
          <w:szCs w:val="24"/>
        </w:rPr>
        <w:t xml:space="preserve"> have been raised by the States.</w:t>
      </w:r>
    </w:p>
    <w:p w:rsidR="00475B04" w:rsidRPr="0081267C" w:rsidRDefault="00475B04" w:rsidP="00475B04">
      <w:pPr>
        <w:numPr>
          <w:ilvl w:val="0"/>
          <w:numId w:val="1"/>
        </w:numPr>
        <w:tabs>
          <w:tab w:val="clear" w:pos="567"/>
          <w:tab w:val="clear" w:pos="927"/>
          <w:tab w:val="left" w:pos="1134"/>
        </w:tabs>
        <w:spacing w:before="80" w:line="300" w:lineRule="atLeast"/>
        <w:ind w:left="1134" w:hanging="567"/>
        <w:rPr>
          <w:szCs w:val="20"/>
        </w:rPr>
      </w:pPr>
      <w:r w:rsidRPr="0081267C">
        <w:rPr>
          <w:szCs w:val="20"/>
        </w:rPr>
        <w:lastRenderedPageBreak/>
        <w:t>If people with a greater willingness to accept risk move from States with low employment prospects to other States then the average willingness to accept risk may vary among States. That might be a characteristic which could account for observed differences in remuneration between individuals we would otherwise treat as comparable.</w:t>
      </w:r>
    </w:p>
    <w:p w:rsidR="00475B04" w:rsidRPr="0081267C" w:rsidRDefault="00475B04" w:rsidP="00475B04">
      <w:pPr>
        <w:numPr>
          <w:ilvl w:val="0"/>
          <w:numId w:val="1"/>
        </w:numPr>
        <w:tabs>
          <w:tab w:val="clear" w:pos="567"/>
          <w:tab w:val="clear" w:pos="927"/>
          <w:tab w:val="left" w:pos="1134"/>
        </w:tabs>
        <w:spacing w:before="80" w:line="300" w:lineRule="atLeast"/>
        <w:ind w:left="1134" w:hanging="567"/>
        <w:rPr>
          <w:szCs w:val="20"/>
        </w:rPr>
      </w:pPr>
      <w:r w:rsidRPr="0081267C">
        <w:rPr>
          <w:szCs w:val="20"/>
        </w:rPr>
        <w:t>In States with labour shortages people may secure employment in positions they would not be considered suitable for in other States. Because suitability for a job may not be a measurable characteristic, the wage required to attract a person of national average standard would be higher than the wage measured in the regression model.</w:t>
      </w:r>
    </w:p>
    <w:p w:rsidR="00475B04" w:rsidRPr="0081267C" w:rsidRDefault="00475B04" w:rsidP="00475B04">
      <w:pPr>
        <w:numPr>
          <w:ilvl w:val="1"/>
          <w:numId w:val="2"/>
        </w:numPr>
        <w:tabs>
          <w:tab w:val="num" w:pos="1418"/>
        </w:tabs>
        <w:spacing w:before="120"/>
        <w:rPr>
          <w:szCs w:val="24"/>
        </w:rPr>
      </w:pPr>
      <w:r w:rsidRPr="0081267C">
        <w:rPr>
          <w:szCs w:val="24"/>
        </w:rPr>
        <w:t xml:space="preserve">Using the Household Income and Labour Dynamics in Australia (HILDA) Survey, we have compared our current model with one that also includes measures of cognitive ability, achievement motivation, personality scales and health status. The results provide no indication that the exclusion of these variables leads to systematic bias for any State, and in most cases even to a materially different distribution. </w:t>
      </w:r>
    </w:p>
    <w:p w:rsidR="00475B04" w:rsidRPr="0081267C" w:rsidRDefault="00475B04" w:rsidP="00475B04">
      <w:pPr>
        <w:numPr>
          <w:ilvl w:val="1"/>
          <w:numId w:val="2"/>
        </w:numPr>
        <w:tabs>
          <w:tab w:val="num" w:pos="1418"/>
        </w:tabs>
        <w:spacing w:before="120"/>
        <w:rPr>
          <w:szCs w:val="24"/>
        </w:rPr>
      </w:pPr>
      <w:r w:rsidRPr="0081267C">
        <w:rPr>
          <w:szCs w:val="24"/>
        </w:rPr>
        <w:t>We accept that there may be some characteristics which have not been captured and that other influences may be having an impact on our estimates of wages paid to comparable individuals. However, our research into this issue does not provide any indication that a bias exists for any State, and therefore we do not consider it appropriate to adjust the results in any way.</w:t>
      </w:r>
    </w:p>
    <w:p w:rsidR="00475B04" w:rsidRPr="0081267C" w:rsidRDefault="00475B04" w:rsidP="00653924">
      <w:pPr>
        <w:pStyle w:val="Heading4"/>
      </w:pPr>
      <w:bookmarkStart w:id="886" w:name="_Toc440361183"/>
      <w:bookmarkStart w:id="887" w:name="_Toc442883322"/>
      <w:bookmarkStart w:id="888" w:name="_Toc442949196"/>
      <w:bookmarkStart w:id="889" w:name="_Ref422232363"/>
      <w:bookmarkStart w:id="890" w:name="_Toc423962570"/>
      <w:r w:rsidRPr="0081267C">
        <w:t>Impact of industry structure</w:t>
      </w:r>
      <w:bookmarkEnd w:id="886"/>
      <w:bookmarkEnd w:id="887"/>
      <w:bookmarkEnd w:id="888"/>
    </w:p>
    <w:bookmarkEnd w:id="889"/>
    <w:bookmarkEnd w:id="890"/>
    <w:p w:rsidR="00475B04" w:rsidRPr="0081267C" w:rsidRDefault="00475B04" w:rsidP="0035011C">
      <w:pPr>
        <w:pStyle w:val="CGCNumberedPara"/>
      </w:pPr>
      <w:r w:rsidRPr="0081267C">
        <w:t>The data suggest that a person’s earnings are determined by a range of factors, such as education, experience and industry of employment. So otherwise comparable people in different industries earn different remuneration. This could be because they do different work, or industries remunerate at different rates, or a mixture of both.</w:t>
      </w:r>
    </w:p>
    <w:p w:rsidR="00475B04" w:rsidRPr="0081267C" w:rsidRDefault="00475B04" w:rsidP="00475B04">
      <w:pPr>
        <w:numPr>
          <w:ilvl w:val="1"/>
          <w:numId w:val="2"/>
        </w:numPr>
        <w:spacing w:before="120"/>
        <w:rPr>
          <w:szCs w:val="24"/>
        </w:rPr>
      </w:pPr>
      <w:r w:rsidRPr="0081267C">
        <w:rPr>
          <w:szCs w:val="24"/>
        </w:rPr>
        <w:t>Our model ensures that differences in State average wages which are the direct result of differences in the industrial composition of State private sector employment are not captured in our measure of the innate differences in average State private sector remuneration.</w:t>
      </w:r>
    </w:p>
    <w:p w:rsidR="00475B04" w:rsidRPr="0081267C" w:rsidRDefault="00475B04" w:rsidP="00475B04">
      <w:pPr>
        <w:numPr>
          <w:ilvl w:val="1"/>
          <w:numId w:val="2"/>
        </w:numPr>
        <w:spacing w:before="120"/>
        <w:rPr>
          <w:szCs w:val="24"/>
        </w:rPr>
      </w:pPr>
      <w:r w:rsidRPr="0081267C">
        <w:rPr>
          <w:szCs w:val="24"/>
        </w:rPr>
        <w:t>New South Wales and Western Australia consider that this is inappropriate because they consider that having an industry structure with a high proportion of industries which pay high wages, even for otherwise comparable employees, means that they need to have the capacity to pay higher wages than States where high wage industries are less prevalent.</w:t>
      </w:r>
    </w:p>
    <w:p w:rsidR="00475B04" w:rsidRPr="0081267C" w:rsidRDefault="00475B04" w:rsidP="00475B04">
      <w:pPr>
        <w:numPr>
          <w:ilvl w:val="1"/>
          <w:numId w:val="2"/>
        </w:numPr>
        <w:spacing w:before="120"/>
        <w:rPr>
          <w:szCs w:val="24"/>
        </w:rPr>
      </w:pPr>
      <w:r w:rsidRPr="0081267C">
        <w:rPr>
          <w:szCs w:val="24"/>
        </w:rPr>
        <w:t xml:space="preserve">We consider that our regression model deals with this issue in an appropriate way. It recognises that high wage industries exert an indirect effect on State remuneration. Where an industry which pays high wages for comparable employees is concentrated in a few States, affecting the wage the public sector would need to pay to retain </w:t>
      </w:r>
      <w:r w:rsidRPr="0081267C">
        <w:rPr>
          <w:szCs w:val="24"/>
        </w:rPr>
        <w:lastRenderedPageBreak/>
        <w:t>comparable public sector employees in those States, our indicator captures this. This is because the high wage industry will have a spill-over effect on the wages paid by other private sector industries in the State as well. If this influence increases the general wage of comparable employees in a State, rather than being quarantined to select high wage industries, then we consider it an innate factor which should apply to public sector remuneration and one captured in our indicator. If it does not spill over to other private sector industries, then it should not be captured in our indicator.</w:t>
      </w:r>
    </w:p>
    <w:p w:rsidR="00475B04" w:rsidRPr="0081267C" w:rsidRDefault="00475B04" w:rsidP="003A0DCA">
      <w:pPr>
        <w:pStyle w:val="Heading4"/>
      </w:pPr>
      <w:bookmarkStart w:id="891" w:name="_Toc442883323"/>
      <w:bookmarkStart w:id="892" w:name="_Toc442949197"/>
      <w:bookmarkStart w:id="893" w:name="_Toc440361184"/>
      <w:r w:rsidRPr="0081267C">
        <w:t>Remote area employment</w:t>
      </w:r>
      <w:bookmarkEnd w:id="891"/>
      <w:bookmarkEnd w:id="892"/>
    </w:p>
    <w:p w:rsidR="00475B04" w:rsidRPr="0081267C" w:rsidRDefault="00475B04" w:rsidP="00F82150">
      <w:pPr>
        <w:pStyle w:val="CGCNumberedPara"/>
      </w:pPr>
      <w:r w:rsidRPr="0081267C">
        <w:t>Western Australia has raised two issues in relation to employment in remote areas.</w:t>
      </w:r>
    </w:p>
    <w:p w:rsidR="00475B04" w:rsidRPr="0081267C" w:rsidRDefault="00475B04" w:rsidP="00F82150">
      <w:pPr>
        <w:pStyle w:val="CGCNumberedPara"/>
      </w:pPr>
      <w:r w:rsidRPr="0081267C">
        <w:t>It notes that neither the SET nor CoE</w:t>
      </w:r>
      <w:r w:rsidR="00F82150" w:rsidRPr="0081267C">
        <w:t>S</w:t>
      </w:r>
      <w:r w:rsidRPr="0081267C">
        <w:t xml:space="preserve"> are collected in very remote areas. It argues that, if private sector workers in </w:t>
      </w:r>
      <w:r w:rsidR="009A5DB5">
        <w:t xml:space="preserve">its very remote </w:t>
      </w:r>
      <w:r w:rsidRPr="0081267C">
        <w:t xml:space="preserve">areas receive higher wages than comparable workers </w:t>
      </w:r>
      <w:r w:rsidR="009A5DB5">
        <w:t>elsewhere</w:t>
      </w:r>
      <w:r w:rsidRPr="0081267C">
        <w:t xml:space="preserve">, then by excluding this population from our data we may be underestimating Western Australia’s wage pressure. </w:t>
      </w:r>
    </w:p>
    <w:p w:rsidR="00475B04" w:rsidRPr="0081267C" w:rsidRDefault="00475B04" w:rsidP="00F82150">
      <w:pPr>
        <w:pStyle w:val="CGCNumberedPara"/>
      </w:pPr>
      <w:r w:rsidRPr="0081267C">
        <w:t>The omission of these data may affect Western Australia’s and other States’ measured wage differentials. However, Census data suggest the profile of workers in this area is very different from those in other parts of the country</w:t>
      </w:r>
      <w:r w:rsidR="00DD7620" w:rsidRPr="0081267C">
        <w:t>.</w:t>
      </w:r>
      <w:r w:rsidRPr="0081267C">
        <w:rPr>
          <w:rFonts w:ascii="Calibri" w:hAnsi="Calibri"/>
          <w:vertAlign w:val="superscript"/>
        </w:rPr>
        <w:footnoteReference w:id="23"/>
      </w:r>
      <w:r w:rsidRPr="0081267C">
        <w:t xml:space="preserve"> Therefore, it would be necessary to remove the contribution of these other differences to regional wages to derive wage levels for comparable people.</w:t>
      </w:r>
      <w:r w:rsidRPr="0081267C">
        <w:rPr>
          <w:rFonts w:ascii="Calibri" w:hAnsi="Calibri"/>
          <w:vertAlign w:val="superscript"/>
        </w:rPr>
        <w:footnoteReference w:id="24"/>
      </w:r>
      <w:r w:rsidRPr="0081267C">
        <w:t xml:space="preserve"> As we cannot reliably determine the size or in some cases the direction of such an adjustment for all States, we </w:t>
      </w:r>
      <w:r w:rsidR="003F0074" w:rsidRPr="0081267C">
        <w:t>do not consider an adjustment appropriate</w:t>
      </w:r>
      <w:r w:rsidRPr="0081267C">
        <w:t>.</w:t>
      </w:r>
    </w:p>
    <w:p w:rsidR="00475B04" w:rsidRPr="0081267C" w:rsidRDefault="00475B04" w:rsidP="00F82150">
      <w:pPr>
        <w:pStyle w:val="CGCNumberedPara"/>
      </w:pPr>
      <w:r w:rsidRPr="0081267C">
        <w:t>Like Western Australia, we consider it desirable to appropriately capture the full impact of all employees and of their intra-state location, in part because it would act to further reduce a</w:t>
      </w:r>
      <w:r w:rsidR="00DD7620" w:rsidRPr="0081267C">
        <w:t>ny double counting between the W</w:t>
      </w:r>
      <w:r w:rsidRPr="0081267C">
        <w:t>age</w:t>
      </w:r>
      <w:r w:rsidR="00DD7620" w:rsidRPr="0081267C">
        <w:t xml:space="preserve"> costs and R</w:t>
      </w:r>
      <w:r w:rsidRPr="0081267C">
        <w:t>egional cost</w:t>
      </w:r>
      <w:r w:rsidR="00DD7620" w:rsidRPr="0081267C">
        <w:t>s</w:t>
      </w:r>
      <w:r w:rsidRPr="0081267C">
        <w:t xml:space="preserve"> assessment</w:t>
      </w:r>
      <w:r w:rsidR="00DD7620" w:rsidRPr="0081267C">
        <w:t>s</w:t>
      </w:r>
      <w:r w:rsidRPr="0081267C">
        <w:t>. However neither available SET nor CoE</w:t>
      </w:r>
      <w:r w:rsidR="00F82150" w:rsidRPr="0081267C">
        <w:t>S</w:t>
      </w:r>
      <w:r w:rsidRPr="0081267C">
        <w:t xml:space="preserve"> data allow us to investigate the impact of intra-state location independent of other characteristic</w:t>
      </w:r>
      <w:r w:rsidR="00442791" w:rsidRPr="0081267C">
        <w:t>s like industry of employment. I</w:t>
      </w:r>
      <w:r w:rsidRPr="0081267C">
        <w:t>n the absence of such data we consider that the most reliable indicator is one based on the available SET/CoE</w:t>
      </w:r>
      <w:r w:rsidR="00F82150" w:rsidRPr="0081267C">
        <w:t>S</w:t>
      </w:r>
      <w:r w:rsidRPr="0081267C">
        <w:t xml:space="preserve"> data, without ad hoc adjustments</w:t>
      </w:r>
      <w:r w:rsidR="003F0074" w:rsidRPr="0081267C">
        <w:t>.</w:t>
      </w:r>
    </w:p>
    <w:p w:rsidR="00475B04" w:rsidRPr="0081267C" w:rsidRDefault="00475B04" w:rsidP="00475B04">
      <w:pPr>
        <w:numPr>
          <w:ilvl w:val="1"/>
          <w:numId w:val="2"/>
        </w:numPr>
        <w:tabs>
          <w:tab w:val="num" w:pos="1418"/>
        </w:tabs>
        <w:spacing w:before="120"/>
        <w:rPr>
          <w:szCs w:val="24"/>
        </w:rPr>
      </w:pPr>
      <w:r w:rsidRPr="0081267C">
        <w:rPr>
          <w:szCs w:val="24"/>
        </w:rPr>
        <w:t>Western Australia also provided material in its submission</w:t>
      </w:r>
      <w:r w:rsidRPr="0081267C">
        <w:rPr>
          <w:szCs w:val="24"/>
          <w:vertAlign w:val="superscript"/>
        </w:rPr>
        <w:footnoteReference w:id="25"/>
      </w:r>
      <w:r w:rsidRPr="0081267C">
        <w:rPr>
          <w:szCs w:val="24"/>
        </w:rPr>
        <w:t xml:space="preserve"> which suggested it was compelled to pay substantial additional compensation to workers in regional and remote areas. The Commission has accepted the conceptual case that such costs are higher in remote areas and recognises this in the Regional costs assessment. We note </w:t>
      </w:r>
      <w:r w:rsidRPr="0081267C">
        <w:rPr>
          <w:szCs w:val="24"/>
        </w:rPr>
        <w:lastRenderedPageBreak/>
        <w:t>that many of the items described by Western Australia are already cover</w:t>
      </w:r>
      <w:r w:rsidR="00DD7620" w:rsidRPr="0081267C">
        <w:rPr>
          <w:szCs w:val="24"/>
        </w:rPr>
        <w:t>ed</w:t>
      </w:r>
      <w:r w:rsidRPr="0081267C">
        <w:rPr>
          <w:szCs w:val="24"/>
        </w:rPr>
        <w:t xml:space="preserve"> by this assessment. </w:t>
      </w:r>
    </w:p>
    <w:p w:rsidR="00475B04" w:rsidRPr="0081267C" w:rsidRDefault="00475B04" w:rsidP="003A0DCA">
      <w:pPr>
        <w:pStyle w:val="Heading4"/>
      </w:pPr>
      <w:bookmarkStart w:id="894" w:name="_Toc442883324"/>
      <w:bookmarkStart w:id="895" w:name="_Toc442949198"/>
      <w:r w:rsidRPr="0081267C">
        <w:t>Discounting</w:t>
      </w:r>
      <w:bookmarkEnd w:id="893"/>
      <w:bookmarkEnd w:id="894"/>
      <w:bookmarkEnd w:id="895"/>
    </w:p>
    <w:p w:rsidR="00475B04" w:rsidRPr="0081267C" w:rsidRDefault="00475B04" w:rsidP="00475B04">
      <w:pPr>
        <w:numPr>
          <w:ilvl w:val="1"/>
          <w:numId w:val="2"/>
        </w:numPr>
        <w:tabs>
          <w:tab w:val="num" w:pos="1418"/>
        </w:tabs>
        <w:spacing w:before="120"/>
        <w:rPr>
          <w:szCs w:val="24"/>
        </w:rPr>
      </w:pPr>
      <w:r w:rsidRPr="0081267C">
        <w:rPr>
          <w:szCs w:val="24"/>
        </w:rPr>
        <w:t>In the 2010 Review the Commission said:</w:t>
      </w:r>
    </w:p>
    <w:p w:rsidR="00475B04" w:rsidRPr="0081267C" w:rsidRDefault="00475B04" w:rsidP="00442791">
      <w:pPr>
        <w:pStyle w:val="CGCQuotation"/>
      </w:pPr>
      <w:r w:rsidRPr="0081267C">
        <w:t>We acknowledge that there could be some uncertainty in our approach — how accurately SET data measure wage costs; how accurately our econometric model controls for differences in productivity; and how well private sector wages proxy wage pressures in the public sector. We have decided to apply the low discount (12.5%) because of data uncertainty.</w:t>
      </w:r>
      <w:r w:rsidR="008A61AF" w:rsidRPr="0081267C">
        <w:rPr>
          <w:rStyle w:val="FootnoteReference"/>
        </w:rPr>
        <w:footnoteReference w:id="26"/>
      </w:r>
    </w:p>
    <w:p w:rsidR="00475B04" w:rsidRPr="0081267C" w:rsidRDefault="00475B04" w:rsidP="00475B04">
      <w:pPr>
        <w:numPr>
          <w:ilvl w:val="1"/>
          <w:numId w:val="2"/>
        </w:numPr>
        <w:tabs>
          <w:tab w:val="num" w:pos="1418"/>
        </w:tabs>
        <w:spacing w:before="120"/>
        <w:rPr>
          <w:szCs w:val="24"/>
        </w:rPr>
      </w:pPr>
      <w:r w:rsidRPr="0081267C">
        <w:rPr>
          <w:szCs w:val="24"/>
        </w:rPr>
        <w:t>Several States argued for changes to the discount based on the Mavromaras et al report, missing qualification data in CoE</w:t>
      </w:r>
      <w:r w:rsidR="00F82150" w:rsidRPr="0081267C">
        <w:rPr>
          <w:szCs w:val="24"/>
        </w:rPr>
        <w:t>S</w:t>
      </w:r>
      <w:r w:rsidRPr="0081267C">
        <w:rPr>
          <w:szCs w:val="24"/>
        </w:rPr>
        <w:t>, and general data concerns. Victoria, Queensland, South Australia, and Tasmania all argued for an increase</w:t>
      </w:r>
      <w:r w:rsidR="00B405B5" w:rsidRPr="0081267C">
        <w:rPr>
          <w:szCs w:val="24"/>
        </w:rPr>
        <w:t>d discount. New </w:t>
      </w:r>
      <w:r w:rsidR="00DD7620" w:rsidRPr="0081267C">
        <w:rPr>
          <w:szCs w:val="24"/>
        </w:rPr>
        <w:t>S</w:t>
      </w:r>
      <w:r w:rsidRPr="0081267C">
        <w:rPr>
          <w:szCs w:val="24"/>
        </w:rPr>
        <w:t>outh Wales, Western Australia, the ACT and the Northern Territory all argued that the discount should be removed either immediately or progressively as the CoE</w:t>
      </w:r>
      <w:r w:rsidR="00F82150" w:rsidRPr="0081267C">
        <w:rPr>
          <w:szCs w:val="24"/>
        </w:rPr>
        <w:t>S</w:t>
      </w:r>
      <w:r w:rsidRPr="0081267C">
        <w:rPr>
          <w:szCs w:val="24"/>
        </w:rPr>
        <w:t xml:space="preserve"> data are phased into the assessment. Western Australia argued that the rationale for discounting in this assessment is unclear, and suggested that unless evidence were provided that discounting improves the HFE outcome, it should be scrapped. </w:t>
      </w:r>
    </w:p>
    <w:p w:rsidR="00475B04" w:rsidRPr="0081267C" w:rsidRDefault="00475B04" w:rsidP="00475B04">
      <w:pPr>
        <w:numPr>
          <w:ilvl w:val="1"/>
          <w:numId w:val="2"/>
        </w:numPr>
        <w:tabs>
          <w:tab w:val="num" w:pos="1418"/>
        </w:tabs>
        <w:spacing w:before="120"/>
        <w:rPr>
          <w:szCs w:val="24"/>
        </w:rPr>
      </w:pPr>
      <w:r w:rsidRPr="0081267C">
        <w:rPr>
          <w:szCs w:val="24"/>
        </w:rPr>
        <w:t xml:space="preserve">We do not consider the uncertainty of this assessment has markedly changed, and so have not changed the discount. Any marginal increase in uncertainty by not including education variables is offset by the increased contemporaneity. We also note that we expect in the next few updates to incorporate higher quality contemporaneous data, and so increasing the discount for a single year seems unwarranted. </w:t>
      </w:r>
    </w:p>
    <w:p w:rsidR="00475B04" w:rsidRPr="0081267C" w:rsidRDefault="00475B04" w:rsidP="00475B04">
      <w:pPr>
        <w:numPr>
          <w:ilvl w:val="1"/>
          <w:numId w:val="2"/>
        </w:numPr>
        <w:tabs>
          <w:tab w:val="num" w:pos="1418"/>
        </w:tabs>
        <w:spacing w:before="120"/>
        <w:rPr>
          <w:szCs w:val="24"/>
        </w:rPr>
      </w:pPr>
      <w:r w:rsidRPr="0081267C">
        <w:rPr>
          <w:szCs w:val="24"/>
        </w:rPr>
        <w:t>In the 2015 Review we said:</w:t>
      </w:r>
    </w:p>
    <w:p w:rsidR="00475B04" w:rsidRPr="0081267C" w:rsidRDefault="00475B04" w:rsidP="008A61AF">
      <w:pPr>
        <w:pStyle w:val="CGCQuotation"/>
      </w:pPr>
      <w:r w:rsidRPr="0081267C">
        <w:t xml:space="preserve">…the Commission may adopt discounting or other case specific adjustment processes to deal with instances where there is a conceptual case for including an influence which differentially affects State fiscal capacities, but where the measure of that influence is affected by imperfect data or methods. In such instances, the Commission must choose between letting the data influence the GST distribution in proportion to its quality </w:t>
      </w:r>
      <w:proofErr w:type="gramStart"/>
      <w:r w:rsidRPr="0081267C">
        <w:t>or</w:t>
      </w:r>
      <w:proofErr w:type="gramEnd"/>
      <w:r w:rsidRPr="0081267C">
        <w:t xml:space="preserve"> ignoring the data completely. It considered a better HFE outcome is achieved by partially recognising the disability, consistent with the confidence it has in its measurement.</w:t>
      </w:r>
      <w:r w:rsidR="008A61AF" w:rsidRPr="0081267C">
        <w:rPr>
          <w:vertAlign w:val="superscript"/>
        </w:rPr>
        <w:t xml:space="preserve"> </w:t>
      </w:r>
      <w:r w:rsidR="008A61AF" w:rsidRPr="0081267C">
        <w:rPr>
          <w:vertAlign w:val="superscript"/>
        </w:rPr>
        <w:footnoteReference w:id="27"/>
      </w:r>
    </w:p>
    <w:p w:rsidR="00475B04" w:rsidRPr="0081267C" w:rsidRDefault="00475B04" w:rsidP="00475B04">
      <w:pPr>
        <w:numPr>
          <w:ilvl w:val="1"/>
          <w:numId w:val="2"/>
        </w:numPr>
        <w:tabs>
          <w:tab w:val="num" w:pos="1418"/>
        </w:tabs>
        <w:spacing w:before="120"/>
        <w:rPr>
          <w:szCs w:val="24"/>
        </w:rPr>
      </w:pPr>
      <w:r w:rsidRPr="0081267C">
        <w:rPr>
          <w:szCs w:val="24"/>
        </w:rPr>
        <w:t>We consider that the discount we propose is consistent with this view and is consistent with the confidence we have in the assessment.</w:t>
      </w:r>
    </w:p>
    <w:p w:rsidR="00475B04" w:rsidRPr="0081267C" w:rsidRDefault="00475B04" w:rsidP="003A0DCA">
      <w:pPr>
        <w:pStyle w:val="Heading4"/>
      </w:pPr>
      <w:bookmarkStart w:id="896" w:name="_Toc440361185"/>
      <w:bookmarkStart w:id="897" w:name="_Toc442883325"/>
      <w:bookmarkStart w:id="898" w:name="_Toc442949199"/>
      <w:r w:rsidRPr="0081267C">
        <w:lastRenderedPageBreak/>
        <w:t>State specific adjustments</w:t>
      </w:r>
      <w:bookmarkEnd w:id="896"/>
      <w:bookmarkEnd w:id="897"/>
      <w:bookmarkEnd w:id="898"/>
      <w:r w:rsidRPr="0081267C">
        <w:t xml:space="preserve"> </w:t>
      </w:r>
    </w:p>
    <w:p w:rsidR="00475B04" w:rsidRPr="0081267C" w:rsidRDefault="00475B04" w:rsidP="003A0DCA">
      <w:pPr>
        <w:pStyle w:val="Heading5"/>
      </w:pPr>
      <w:bookmarkStart w:id="899" w:name="_Toc440361186"/>
      <w:bookmarkStart w:id="900" w:name="_Toc442949200"/>
      <w:r w:rsidRPr="0081267C">
        <w:t>Tasmania</w:t>
      </w:r>
      <w:bookmarkEnd w:id="899"/>
      <w:bookmarkEnd w:id="900"/>
    </w:p>
    <w:p w:rsidR="00475B04" w:rsidRPr="0081267C" w:rsidRDefault="00475B04" w:rsidP="00475B04">
      <w:pPr>
        <w:numPr>
          <w:ilvl w:val="1"/>
          <w:numId w:val="2"/>
        </w:numPr>
        <w:tabs>
          <w:tab w:val="num" w:pos="1418"/>
        </w:tabs>
        <w:spacing w:before="120"/>
        <w:rPr>
          <w:szCs w:val="24"/>
        </w:rPr>
      </w:pPr>
      <w:r w:rsidRPr="0081267C">
        <w:rPr>
          <w:szCs w:val="24"/>
        </w:rPr>
        <w:t>In the 2010 Review, we applied a 25% discount to Tasmania’s modelled wage outcome. We considered data from the 1997, 2001 and 2005 SET ‘indicates there are constraints on the variation of public sector wages, and that there are likely to be bounds within which public sector wages lie.’</w:t>
      </w:r>
      <w:r w:rsidRPr="0081267C">
        <w:rPr>
          <w:szCs w:val="24"/>
          <w:vertAlign w:val="superscript"/>
        </w:rPr>
        <w:footnoteReference w:id="28"/>
      </w:r>
      <w:r w:rsidRPr="0081267C">
        <w:rPr>
          <w:szCs w:val="24"/>
        </w:rPr>
        <w:t xml:space="preserve"> The Commission suggested relative public sector wages in Tasmania could not fall as low as the SET data suggested Tasmania’s relative private sector wages had fallen. </w:t>
      </w:r>
    </w:p>
    <w:p w:rsidR="00475B04" w:rsidRPr="0081267C" w:rsidRDefault="00475B04" w:rsidP="00475B04">
      <w:pPr>
        <w:numPr>
          <w:ilvl w:val="1"/>
          <w:numId w:val="2"/>
        </w:numPr>
        <w:tabs>
          <w:tab w:val="num" w:pos="1418"/>
        </w:tabs>
        <w:spacing w:before="120"/>
        <w:rPr>
          <w:szCs w:val="24"/>
        </w:rPr>
      </w:pPr>
      <w:r w:rsidRPr="0081267C">
        <w:rPr>
          <w:szCs w:val="24"/>
        </w:rPr>
        <w:t xml:space="preserve">In the 2011 Update, with the release of the 2009 SET, the Commission discontinued this adjustment, as Tasmanian private sector wages were no longer outside the bounds within which public sector wages lay. </w:t>
      </w:r>
    </w:p>
    <w:p w:rsidR="00475B04" w:rsidRPr="0081267C" w:rsidRDefault="00475B04" w:rsidP="00475B04">
      <w:pPr>
        <w:numPr>
          <w:ilvl w:val="1"/>
          <w:numId w:val="2"/>
        </w:numPr>
        <w:tabs>
          <w:tab w:val="num" w:pos="1418"/>
        </w:tabs>
        <w:spacing w:before="120"/>
        <w:rPr>
          <w:szCs w:val="24"/>
        </w:rPr>
      </w:pPr>
      <w:r w:rsidRPr="0081267C">
        <w:rPr>
          <w:szCs w:val="24"/>
        </w:rPr>
        <w:t>With the release of the CoE</w:t>
      </w:r>
      <w:r w:rsidR="00F82150" w:rsidRPr="0081267C">
        <w:rPr>
          <w:szCs w:val="24"/>
        </w:rPr>
        <w:t>S</w:t>
      </w:r>
      <w:r w:rsidRPr="0081267C">
        <w:rPr>
          <w:szCs w:val="24"/>
        </w:rPr>
        <w:t xml:space="preserve"> data, we again find that Tasmania’s private sector wages for a comparable employee (8.</w:t>
      </w:r>
      <w:r w:rsidR="00BA21DA" w:rsidRPr="0081267C">
        <w:rPr>
          <w:szCs w:val="24"/>
        </w:rPr>
        <w:t>9</w:t>
      </w:r>
      <w:r w:rsidRPr="0081267C">
        <w:rPr>
          <w:szCs w:val="24"/>
        </w:rPr>
        <w:t>% below average) are well outside the range found for any public sector wage relativities (Victoria being the lowest at 5.</w:t>
      </w:r>
      <w:r w:rsidR="00BA21DA" w:rsidRPr="0081267C">
        <w:rPr>
          <w:szCs w:val="24"/>
        </w:rPr>
        <w:t>7</w:t>
      </w:r>
      <w:r w:rsidRPr="0081267C">
        <w:rPr>
          <w:szCs w:val="24"/>
        </w:rPr>
        <w:t xml:space="preserve">% below average). </w:t>
      </w:r>
    </w:p>
    <w:p w:rsidR="00475B04" w:rsidRPr="0081267C" w:rsidRDefault="00475B04" w:rsidP="00475B04">
      <w:pPr>
        <w:numPr>
          <w:ilvl w:val="1"/>
          <w:numId w:val="2"/>
        </w:numPr>
        <w:tabs>
          <w:tab w:val="num" w:pos="1418"/>
        </w:tabs>
        <w:spacing w:before="120"/>
        <w:rPr>
          <w:szCs w:val="24"/>
        </w:rPr>
      </w:pPr>
      <w:r w:rsidRPr="0081267C">
        <w:rPr>
          <w:szCs w:val="24"/>
        </w:rPr>
        <w:t>The Mavromaras et al report also suggests that States with relatively low private sector wage levels, such as Tasmania and South Australia, may come under more pressure to pay high premiums to their public sector in order to attract sufficiently high quality workers. Tasmania argues that this constitutes sufficient evidence to justify increasing the general discount, and also to apply a Tasmania-specific discount. It argues that public servants in that State must be paid an isolation premium which does not apply to the private sector. Tasmania suggests that this could be recognised by setting its wage factor equal to the next lowest State in each update.</w:t>
      </w:r>
    </w:p>
    <w:p w:rsidR="00475B04" w:rsidRPr="0081267C" w:rsidRDefault="00475B04" w:rsidP="00475B04">
      <w:pPr>
        <w:numPr>
          <w:ilvl w:val="1"/>
          <w:numId w:val="2"/>
        </w:numPr>
        <w:tabs>
          <w:tab w:val="num" w:pos="1418"/>
        </w:tabs>
        <w:spacing w:before="120"/>
        <w:rPr>
          <w:szCs w:val="24"/>
        </w:rPr>
      </w:pPr>
      <w:r w:rsidRPr="0081267C">
        <w:rPr>
          <w:szCs w:val="24"/>
        </w:rPr>
        <w:t xml:space="preserve">We have given careful consideration to the question of whether it is feasible for a State to be able to deliver the average level of services to its residents if it remunerated its employees at the bottom end of private sector wage differentials revealed by our analysis. In doing this we have been mindful of Tasmania’s and others’ views on the importance of national markets and national wages for important elements of its workforce. </w:t>
      </w:r>
    </w:p>
    <w:p w:rsidR="00475B04" w:rsidRPr="0081267C" w:rsidRDefault="00475B04" w:rsidP="00475B04">
      <w:pPr>
        <w:numPr>
          <w:ilvl w:val="1"/>
          <w:numId w:val="2"/>
        </w:numPr>
        <w:tabs>
          <w:tab w:val="num" w:pos="1418"/>
        </w:tabs>
        <w:spacing w:before="120"/>
        <w:rPr>
          <w:szCs w:val="24"/>
        </w:rPr>
      </w:pPr>
      <w:r w:rsidRPr="0081267C">
        <w:rPr>
          <w:szCs w:val="24"/>
        </w:rPr>
        <w:t>Tasmania contends that its private sector does not face an isolation premium like its public sector does, as the private sector does not recruit significantly from other States, while its public sector does. We note, however, that the longitudinal census indicates that 13.</w:t>
      </w:r>
      <w:r w:rsidR="00BA21DA" w:rsidRPr="0081267C">
        <w:rPr>
          <w:szCs w:val="24"/>
        </w:rPr>
        <w:t>0</w:t>
      </w:r>
      <w:r w:rsidRPr="0081267C">
        <w:rPr>
          <w:szCs w:val="24"/>
        </w:rPr>
        <w:t>% of Tasmania’s State government employees had lived interstate 5 years earlier, compared with 13.</w:t>
      </w:r>
      <w:r w:rsidR="00BA21DA" w:rsidRPr="0081267C">
        <w:rPr>
          <w:szCs w:val="24"/>
        </w:rPr>
        <w:t>1</w:t>
      </w:r>
      <w:r w:rsidRPr="0081267C">
        <w:rPr>
          <w:szCs w:val="24"/>
        </w:rPr>
        <w:t>% of Tasmania’s private sector employees. As such, we consider that there is little evidence that this phenomenon should be impacting the public sector differently from the private sector.</w:t>
      </w:r>
    </w:p>
    <w:p w:rsidR="00475B04" w:rsidRPr="0081267C" w:rsidRDefault="00475B04" w:rsidP="00475B04">
      <w:pPr>
        <w:numPr>
          <w:ilvl w:val="1"/>
          <w:numId w:val="2"/>
        </w:numPr>
        <w:tabs>
          <w:tab w:val="num" w:pos="1418"/>
        </w:tabs>
        <w:spacing w:before="120"/>
        <w:rPr>
          <w:szCs w:val="24"/>
        </w:rPr>
      </w:pPr>
      <w:r w:rsidRPr="0081267C">
        <w:rPr>
          <w:szCs w:val="24"/>
        </w:rPr>
        <w:lastRenderedPageBreak/>
        <w:t>We agree with Tasmania’s contention that the structure of its private sector is very different from its public sector. However, we consider that the regression, which controls for such structural differences</w:t>
      </w:r>
      <w:r w:rsidR="00754B18" w:rsidRPr="0081267C">
        <w:rPr>
          <w:szCs w:val="24"/>
        </w:rPr>
        <w:t>,</w:t>
      </w:r>
      <w:r w:rsidRPr="0081267C">
        <w:rPr>
          <w:szCs w:val="24"/>
        </w:rPr>
        <w:t xml:space="preserve"> should resolve this. We consider that using the indexed SET numbers for the first two assessment years mitigates the effect of the new data, putting the average Tasmanian private sector wage for the three years at 6.</w:t>
      </w:r>
      <w:r w:rsidR="00DD7620" w:rsidRPr="0081267C">
        <w:rPr>
          <w:szCs w:val="24"/>
        </w:rPr>
        <w:t>2</w:t>
      </w:r>
      <w:r w:rsidRPr="0081267C">
        <w:rPr>
          <w:szCs w:val="24"/>
        </w:rPr>
        <w:t>% below average. This is below the public sector wage differential for a comparable employee observed in Victoria in 2014 of 5.</w:t>
      </w:r>
      <w:r w:rsidR="00BA21DA" w:rsidRPr="0081267C">
        <w:rPr>
          <w:szCs w:val="24"/>
        </w:rPr>
        <w:t>7</w:t>
      </w:r>
      <w:r w:rsidRPr="0081267C">
        <w:rPr>
          <w:szCs w:val="24"/>
        </w:rPr>
        <w:t>% below average, but not so far below so as to suggest it is infeasible to have remuneration at the level suggested by the indicator. As such we consider that no adjustment is required in this update.</w:t>
      </w:r>
    </w:p>
    <w:p w:rsidR="00475B04" w:rsidRPr="0081267C" w:rsidRDefault="00475B04" w:rsidP="003A0DCA">
      <w:pPr>
        <w:pStyle w:val="Heading5"/>
      </w:pPr>
      <w:bookmarkStart w:id="901" w:name="_Toc440361187"/>
      <w:bookmarkStart w:id="902" w:name="_Toc442949201"/>
      <w:r w:rsidRPr="0081267C">
        <w:t>Australian Capital Territory</w:t>
      </w:r>
      <w:bookmarkEnd w:id="901"/>
      <w:bookmarkEnd w:id="902"/>
    </w:p>
    <w:p w:rsidR="00475B04" w:rsidRPr="0081267C" w:rsidRDefault="00475B04" w:rsidP="00475B04">
      <w:pPr>
        <w:numPr>
          <w:ilvl w:val="1"/>
          <w:numId w:val="2"/>
        </w:numPr>
        <w:tabs>
          <w:tab w:val="num" w:pos="1418"/>
        </w:tabs>
        <w:spacing w:before="120"/>
        <w:rPr>
          <w:szCs w:val="24"/>
        </w:rPr>
      </w:pPr>
      <w:r w:rsidRPr="0081267C">
        <w:rPr>
          <w:szCs w:val="24"/>
        </w:rPr>
        <w:t xml:space="preserve">The ACT considers that the large influence of the Commonwealth government means that private sector wage levels do not fully reflect community wage pressures because of the influence of the Commonwealth Government with which it competes. </w:t>
      </w:r>
    </w:p>
    <w:p w:rsidR="00475B04" w:rsidRPr="0081267C" w:rsidRDefault="00475B04" w:rsidP="00475B04">
      <w:pPr>
        <w:numPr>
          <w:ilvl w:val="1"/>
          <w:numId w:val="2"/>
        </w:numPr>
        <w:tabs>
          <w:tab w:val="num" w:pos="1418"/>
        </w:tabs>
        <w:spacing w:before="120"/>
        <w:rPr>
          <w:szCs w:val="24"/>
        </w:rPr>
      </w:pPr>
      <w:r w:rsidRPr="0081267C">
        <w:rPr>
          <w:szCs w:val="24"/>
        </w:rPr>
        <w:t>The new data show that the public sector relativities in the ACT (driven primarily by the Commonwealth) are considerably higher than the private sector wage relativities:</w:t>
      </w:r>
    </w:p>
    <w:p w:rsidR="00475B04" w:rsidRPr="0081267C" w:rsidRDefault="00475B04" w:rsidP="00475B04">
      <w:pPr>
        <w:numPr>
          <w:ilvl w:val="0"/>
          <w:numId w:val="1"/>
        </w:numPr>
        <w:tabs>
          <w:tab w:val="clear" w:pos="567"/>
          <w:tab w:val="clear" w:pos="927"/>
          <w:tab w:val="left" w:pos="1134"/>
        </w:tabs>
        <w:spacing w:before="80" w:line="300" w:lineRule="atLeast"/>
        <w:ind w:left="1134" w:hanging="567"/>
        <w:rPr>
          <w:szCs w:val="20"/>
        </w:rPr>
      </w:pPr>
      <w:r w:rsidRPr="0081267C">
        <w:rPr>
          <w:szCs w:val="20"/>
        </w:rPr>
        <w:t>2012 EEBTUM – 16% for public and 4% for private</w:t>
      </w:r>
    </w:p>
    <w:p w:rsidR="00475B04" w:rsidRPr="0081267C" w:rsidRDefault="00475B04" w:rsidP="00475B04">
      <w:pPr>
        <w:numPr>
          <w:ilvl w:val="0"/>
          <w:numId w:val="1"/>
        </w:numPr>
        <w:tabs>
          <w:tab w:val="clear" w:pos="567"/>
          <w:tab w:val="clear" w:pos="927"/>
          <w:tab w:val="left" w:pos="1134"/>
        </w:tabs>
        <w:spacing w:before="80" w:line="300" w:lineRule="atLeast"/>
        <w:ind w:left="1134" w:hanging="567"/>
        <w:rPr>
          <w:szCs w:val="20"/>
        </w:rPr>
      </w:pPr>
      <w:r w:rsidRPr="0081267C">
        <w:rPr>
          <w:szCs w:val="20"/>
        </w:rPr>
        <w:t>2013 EEBTUM – 11% for public and 6% for private</w:t>
      </w:r>
    </w:p>
    <w:p w:rsidR="00475B04" w:rsidRPr="0081267C" w:rsidRDefault="00475B04" w:rsidP="00475B04">
      <w:pPr>
        <w:numPr>
          <w:ilvl w:val="0"/>
          <w:numId w:val="1"/>
        </w:numPr>
        <w:tabs>
          <w:tab w:val="clear" w:pos="567"/>
          <w:tab w:val="clear" w:pos="927"/>
          <w:tab w:val="left" w:pos="1134"/>
        </w:tabs>
        <w:spacing w:before="80" w:line="300" w:lineRule="atLeast"/>
        <w:ind w:left="1134" w:hanging="567"/>
        <w:rPr>
          <w:szCs w:val="20"/>
        </w:rPr>
      </w:pPr>
      <w:r w:rsidRPr="0081267C">
        <w:rPr>
          <w:szCs w:val="20"/>
        </w:rPr>
        <w:t>2014 CoE</w:t>
      </w:r>
      <w:r w:rsidR="00F82150" w:rsidRPr="0081267C">
        <w:rPr>
          <w:szCs w:val="20"/>
        </w:rPr>
        <w:t>S</w:t>
      </w:r>
      <w:r w:rsidRPr="0081267C">
        <w:rPr>
          <w:szCs w:val="20"/>
        </w:rPr>
        <w:t xml:space="preserve"> – 12% for public and 3% for private.</w:t>
      </w:r>
    </w:p>
    <w:p w:rsidR="00475B04" w:rsidRPr="0081267C" w:rsidRDefault="00475B04" w:rsidP="00475B04">
      <w:pPr>
        <w:numPr>
          <w:ilvl w:val="1"/>
          <w:numId w:val="2"/>
        </w:numPr>
        <w:tabs>
          <w:tab w:val="num" w:pos="1418"/>
        </w:tabs>
        <w:spacing w:before="120"/>
        <w:rPr>
          <w:szCs w:val="24"/>
        </w:rPr>
      </w:pPr>
      <w:r w:rsidRPr="0081267C">
        <w:rPr>
          <w:szCs w:val="24"/>
        </w:rPr>
        <w:t xml:space="preserve">The Commission made an adjustment for the ACT until 2011, and ceased this on the basis that the gap between public and private relativities in the ACT had abated. With its return, the ACT considers the adjustment should be reinstated. </w:t>
      </w:r>
    </w:p>
    <w:p w:rsidR="00475B04" w:rsidRPr="0081267C" w:rsidRDefault="00475B04" w:rsidP="00475B04">
      <w:pPr>
        <w:numPr>
          <w:ilvl w:val="1"/>
          <w:numId w:val="2"/>
        </w:numPr>
        <w:tabs>
          <w:tab w:val="num" w:pos="1418"/>
        </w:tabs>
        <w:spacing w:before="120"/>
        <w:rPr>
          <w:szCs w:val="24"/>
        </w:rPr>
      </w:pPr>
      <w:r w:rsidRPr="0081267C">
        <w:rPr>
          <w:szCs w:val="24"/>
        </w:rPr>
        <w:t>The ACT case suggests that the direct impact of the Commonwealth on ACT public sector remuneration is much greater than an indirect effect through the impact of the Commonwealth on private sector remuneration in the ACT. That case would be strengthened if the Commonwealth and the ACT employed similar workforces and there was high mobility between them.</w:t>
      </w:r>
    </w:p>
    <w:p w:rsidR="00475B04" w:rsidRPr="0081267C" w:rsidRDefault="00475B04" w:rsidP="00475B04">
      <w:pPr>
        <w:numPr>
          <w:ilvl w:val="1"/>
          <w:numId w:val="2"/>
        </w:numPr>
        <w:tabs>
          <w:tab w:val="num" w:pos="1418"/>
        </w:tabs>
        <w:spacing w:before="120"/>
        <w:rPr>
          <w:szCs w:val="24"/>
        </w:rPr>
      </w:pPr>
      <w:r w:rsidRPr="0081267C">
        <w:rPr>
          <w:szCs w:val="24"/>
        </w:rPr>
        <w:t>While workforce composition may be similar, there will be some exceptions, for example in teaching and health care. Furthermore, the longitudinal census data show that the ACT government’s employees are twice as likely to be recruited from the local private sector as from the Australian government, and are more likely to leave the Territory sector for the local private sector than for a local Australian Government job.</w:t>
      </w:r>
    </w:p>
    <w:p w:rsidR="00475B04" w:rsidRPr="0081267C" w:rsidRDefault="00475B04" w:rsidP="00475B04">
      <w:pPr>
        <w:numPr>
          <w:ilvl w:val="1"/>
          <w:numId w:val="2"/>
        </w:numPr>
        <w:tabs>
          <w:tab w:val="num" w:pos="1418"/>
        </w:tabs>
        <w:spacing w:before="120"/>
        <w:rPr>
          <w:szCs w:val="24"/>
        </w:rPr>
      </w:pPr>
      <w:r w:rsidRPr="0081267C">
        <w:rPr>
          <w:szCs w:val="24"/>
        </w:rPr>
        <w:t>The ACT considers that the Mavromaras et al report supports special treatment for the ACT, as it has a relatively high proportion of Commonwealth employees. However, we note that the report simply says that this ‘confounds the story’, and makes no further recommendations regarding how the ACT results should be treated.</w:t>
      </w:r>
    </w:p>
    <w:p w:rsidR="00475B04" w:rsidRPr="0081267C" w:rsidRDefault="00475B04" w:rsidP="00475B04">
      <w:pPr>
        <w:numPr>
          <w:ilvl w:val="1"/>
          <w:numId w:val="2"/>
        </w:numPr>
        <w:tabs>
          <w:tab w:val="num" w:pos="1418"/>
        </w:tabs>
        <w:spacing w:before="120"/>
        <w:rPr>
          <w:szCs w:val="24"/>
        </w:rPr>
      </w:pPr>
      <w:r w:rsidRPr="0081267C">
        <w:rPr>
          <w:szCs w:val="24"/>
        </w:rPr>
        <w:lastRenderedPageBreak/>
        <w:t xml:space="preserve">We do not consider an adjustment is warranted because we consider that to the extent the Commonwealth remuneration is a factor affecting ACT remuneration it will also affect ACT private wages and be captured in our indicator. </w:t>
      </w:r>
    </w:p>
    <w:p w:rsidR="00475B04" w:rsidRPr="0081267C" w:rsidRDefault="00475B04" w:rsidP="003A0DCA">
      <w:pPr>
        <w:pStyle w:val="Heading4"/>
      </w:pPr>
      <w:bookmarkStart w:id="903" w:name="_Toc440361189"/>
      <w:bookmarkStart w:id="904" w:name="_Toc442883326"/>
      <w:bookmarkStart w:id="905" w:name="_Toc442949202"/>
      <w:r w:rsidRPr="0081267C">
        <w:t>Commonwealth Superannuation Scheme</w:t>
      </w:r>
      <w:bookmarkEnd w:id="903"/>
      <w:bookmarkEnd w:id="904"/>
      <w:bookmarkEnd w:id="905"/>
    </w:p>
    <w:p w:rsidR="00475B04" w:rsidRPr="0081267C" w:rsidRDefault="00475B04" w:rsidP="00475B04">
      <w:pPr>
        <w:numPr>
          <w:ilvl w:val="1"/>
          <w:numId w:val="2"/>
        </w:numPr>
        <w:tabs>
          <w:tab w:val="num" w:pos="1418"/>
        </w:tabs>
        <w:spacing w:before="120"/>
        <w:rPr>
          <w:szCs w:val="24"/>
        </w:rPr>
      </w:pPr>
      <w:r w:rsidRPr="0081267C">
        <w:rPr>
          <w:szCs w:val="24"/>
        </w:rPr>
        <w:t xml:space="preserve">At the time of self-government, many ACT and Northern Territory government employees were members of the Commonwealth Superannuation Scheme (CSS), which was a more generous scheme than those offered by State governments. In previous reviews we have adjusted the wage factors to allow for the higher labour costs in the two territories as a result of this unavoidable legacy cost. This adjustment is no longer material, redistributing $12 to the ACT, and $18 to the Northern Territory. </w:t>
      </w:r>
      <w:r w:rsidR="00A75F23" w:rsidRPr="0081267C">
        <w:rPr>
          <w:szCs w:val="24"/>
        </w:rPr>
        <w:t>As this immateriality was identified very late in our process, we have not had sufficient opportunity to consult States on this issue. We inten</w:t>
      </w:r>
      <w:r w:rsidR="003352A5">
        <w:rPr>
          <w:szCs w:val="24"/>
        </w:rPr>
        <w:t>d</w:t>
      </w:r>
      <w:r w:rsidR="00A75F23" w:rsidRPr="0081267C">
        <w:rPr>
          <w:szCs w:val="24"/>
        </w:rPr>
        <w:t xml:space="preserve"> to consult with </w:t>
      </w:r>
      <w:r w:rsidR="00E83075">
        <w:rPr>
          <w:szCs w:val="24"/>
        </w:rPr>
        <w:t xml:space="preserve">the </w:t>
      </w:r>
      <w:r w:rsidR="00A75F23" w:rsidRPr="0081267C">
        <w:rPr>
          <w:szCs w:val="24"/>
        </w:rPr>
        <w:t>States during 2016.</w:t>
      </w:r>
      <w:r w:rsidRPr="0081267C">
        <w:rPr>
          <w:szCs w:val="24"/>
        </w:rPr>
        <w:t xml:space="preserve"> </w:t>
      </w:r>
    </w:p>
    <w:p w:rsidR="00475B04" w:rsidRPr="0081267C" w:rsidRDefault="00475B04" w:rsidP="00E346F3">
      <w:pPr>
        <w:pStyle w:val="Heading3"/>
      </w:pPr>
      <w:bookmarkStart w:id="906" w:name="_Toc440361190"/>
      <w:bookmarkStart w:id="907" w:name="_Toc442773581"/>
      <w:bookmarkStart w:id="908" w:name="_Toc442883327"/>
      <w:bookmarkStart w:id="909" w:name="_Toc442949203"/>
      <w:r w:rsidRPr="0081267C">
        <w:t>Calculating the wage cost</w:t>
      </w:r>
      <w:r w:rsidR="004334D3">
        <w:t>s</w:t>
      </w:r>
      <w:r w:rsidRPr="0081267C">
        <w:t xml:space="preserve"> factor</w:t>
      </w:r>
      <w:bookmarkEnd w:id="906"/>
      <w:bookmarkEnd w:id="907"/>
      <w:bookmarkEnd w:id="908"/>
      <w:bookmarkEnd w:id="909"/>
    </w:p>
    <w:p w:rsidR="00475B04" w:rsidRPr="0081267C" w:rsidRDefault="00475B04" w:rsidP="00475B04">
      <w:pPr>
        <w:numPr>
          <w:ilvl w:val="1"/>
          <w:numId w:val="2"/>
        </w:numPr>
        <w:tabs>
          <w:tab w:val="num" w:pos="1418"/>
        </w:tabs>
        <w:spacing w:before="120"/>
        <w:rPr>
          <w:szCs w:val="24"/>
        </w:rPr>
      </w:pPr>
      <w:r w:rsidRPr="0081267C">
        <w:rPr>
          <w:szCs w:val="24"/>
        </w:rPr>
        <w:t>The wage costs factor was derived from the State coefficients for whole of State relative private sector wages output from the regression model based upon the 2009 SET data and the 2014 CoE</w:t>
      </w:r>
      <w:r w:rsidR="00F82150" w:rsidRPr="0081267C">
        <w:rPr>
          <w:szCs w:val="24"/>
        </w:rPr>
        <w:t>S</w:t>
      </w:r>
      <w:r w:rsidRPr="0081267C">
        <w:rPr>
          <w:szCs w:val="24"/>
        </w:rPr>
        <w:t xml:space="preserve">. </w:t>
      </w:r>
    </w:p>
    <w:p w:rsidR="00475B04" w:rsidRPr="0081267C" w:rsidRDefault="00475B04" w:rsidP="00475B04">
      <w:pPr>
        <w:numPr>
          <w:ilvl w:val="1"/>
          <w:numId w:val="2"/>
        </w:numPr>
        <w:tabs>
          <w:tab w:val="num" w:pos="1418"/>
        </w:tabs>
        <w:spacing w:before="120"/>
        <w:rPr>
          <w:szCs w:val="24"/>
        </w:rPr>
      </w:pPr>
      <w:r w:rsidRPr="0081267C">
        <w:rPr>
          <w:szCs w:val="24"/>
        </w:rPr>
        <w:t xml:space="preserve">We have applied the relative growth in the WPI from the SET survey year to the first two assessment years for each State. </w:t>
      </w:r>
    </w:p>
    <w:p w:rsidR="00475B04" w:rsidRPr="0081267C" w:rsidRDefault="00475B04" w:rsidP="008B4469">
      <w:pPr>
        <w:numPr>
          <w:ilvl w:val="1"/>
          <w:numId w:val="2"/>
        </w:numPr>
        <w:tabs>
          <w:tab w:val="num" w:pos="1418"/>
        </w:tabs>
        <w:spacing w:before="120"/>
        <w:rPr>
          <w:szCs w:val="24"/>
        </w:rPr>
      </w:pPr>
      <w:r w:rsidRPr="0081267C">
        <w:rPr>
          <w:szCs w:val="24"/>
        </w:rPr>
        <w:t xml:space="preserve">To allow for concerns about data quality </w:t>
      </w:r>
      <w:r w:rsidR="003352A5">
        <w:rPr>
          <w:szCs w:val="24"/>
        </w:rPr>
        <w:t xml:space="preserve">and </w:t>
      </w:r>
      <w:r w:rsidRPr="0081267C">
        <w:rPr>
          <w:szCs w:val="24"/>
        </w:rPr>
        <w:t xml:space="preserve">the </w:t>
      </w:r>
      <w:r w:rsidR="003352A5">
        <w:rPr>
          <w:szCs w:val="24"/>
        </w:rPr>
        <w:t xml:space="preserve">strength of the </w:t>
      </w:r>
      <w:r w:rsidRPr="0081267C">
        <w:rPr>
          <w:szCs w:val="24"/>
        </w:rPr>
        <w:t>relationship between public and private sector wages, these factors were discounted using the low discount (12.5%).</w:t>
      </w:r>
    </w:p>
    <w:p w:rsidR="00475B04" w:rsidRPr="0081267C" w:rsidRDefault="00262935" w:rsidP="00475B04">
      <w:pPr>
        <w:numPr>
          <w:ilvl w:val="1"/>
          <w:numId w:val="2"/>
        </w:numPr>
        <w:tabs>
          <w:tab w:val="num" w:pos="1418"/>
        </w:tabs>
        <w:spacing w:before="120"/>
        <w:rPr>
          <w:szCs w:val="24"/>
        </w:rPr>
      </w:pPr>
      <w:r w:rsidRPr="0081267C">
        <w:rPr>
          <w:szCs w:val="24"/>
        </w:rPr>
        <w:fldChar w:fldCharType="begin"/>
      </w:r>
      <w:r w:rsidRPr="0081267C">
        <w:rPr>
          <w:szCs w:val="24"/>
        </w:rPr>
        <w:instrText xml:space="preserve"> REF _Ref441241687 \h  \* MERGEFORMAT </w:instrText>
      </w:r>
      <w:r w:rsidRPr="0081267C">
        <w:rPr>
          <w:szCs w:val="24"/>
        </w:rPr>
      </w:r>
      <w:r w:rsidRPr="0081267C">
        <w:rPr>
          <w:szCs w:val="24"/>
        </w:rPr>
        <w:fldChar w:fldCharType="separate"/>
      </w:r>
      <w:r w:rsidR="007A6AF0" w:rsidRPr="0081267C">
        <w:t xml:space="preserve">Table </w:t>
      </w:r>
      <w:r w:rsidR="007A6AF0">
        <w:rPr>
          <w:noProof/>
        </w:rPr>
        <w:t>3</w:t>
      </w:r>
      <w:r w:rsidR="007A6AF0" w:rsidRPr="0081267C">
        <w:rPr>
          <w:noProof/>
        </w:rPr>
        <w:noBreakHyphen/>
      </w:r>
      <w:r w:rsidR="007A6AF0">
        <w:rPr>
          <w:noProof/>
        </w:rPr>
        <w:t>3</w:t>
      </w:r>
      <w:r w:rsidRPr="0081267C">
        <w:rPr>
          <w:szCs w:val="24"/>
        </w:rPr>
        <w:fldChar w:fldCharType="end"/>
      </w:r>
      <w:r w:rsidR="00475B04" w:rsidRPr="0081267C">
        <w:rPr>
          <w:szCs w:val="24"/>
        </w:rPr>
        <w:t xml:space="preserve"> shows the process for 2014-15. The calculation for 2014-15 uses CoE</w:t>
      </w:r>
      <w:r w:rsidR="00F82150" w:rsidRPr="0081267C">
        <w:rPr>
          <w:szCs w:val="24"/>
        </w:rPr>
        <w:t>S</w:t>
      </w:r>
      <w:r w:rsidR="00475B04" w:rsidRPr="0081267C">
        <w:rPr>
          <w:szCs w:val="24"/>
        </w:rPr>
        <w:t xml:space="preserve"> data for 2014-15, and so is not indexed by WPI.</w:t>
      </w:r>
    </w:p>
    <w:p w:rsidR="00475B04" w:rsidRPr="0081267C" w:rsidRDefault="00262935" w:rsidP="00262935">
      <w:pPr>
        <w:pStyle w:val="CGCTableHeading"/>
      </w:pPr>
      <w:bookmarkStart w:id="910" w:name="_Ref441241687"/>
      <w:r w:rsidRPr="0081267C">
        <w:t xml:space="preserve">Table </w:t>
      </w:r>
      <w:r w:rsidR="0014378B">
        <w:fldChar w:fldCharType="begin"/>
      </w:r>
      <w:r w:rsidR="0014378B">
        <w:instrText xml:space="preserve"> STYLEREF 1 \s </w:instrText>
      </w:r>
      <w:r w:rsidR="0014378B">
        <w:fldChar w:fldCharType="separate"/>
      </w:r>
      <w:r w:rsidR="007A6AF0">
        <w:rPr>
          <w:noProof/>
        </w:rPr>
        <w:t>3</w:t>
      </w:r>
      <w:r w:rsidR="0014378B">
        <w:rPr>
          <w:noProof/>
        </w:rPr>
        <w:fldChar w:fldCharType="end"/>
      </w:r>
      <w:r w:rsidRPr="0081267C">
        <w:noBreakHyphen/>
      </w:r>
      <w:r w:rsidR="0014378B">
        <w:fldChar w:fldCharType="begin"/>
      </w:r>
      <w:r w:rsidR="0014378B">
        <w:instrText xml:space="preserve"> SEQ Table \</w:instrText>
      </w:r>
      <w:r w:rsidR="0014378B">
        <w:instrText xml:space="preserve">* ARABIC \s 1 </w:instrText>
      </w:r>
      <w:r w:rsidR="0014378B">
        <w:fldChar w:fldCharType="separate"/>
      </w:r>
      <w:r w:rsidR="007A6AF0">
        <w:rPr>
          <w:noProof/>
        </w:rPr>
        <w:t>3</w:t>
      </w:r>
      <w:r w:rsidR="0014378B">
        <w:rPr>
          <w:noProof/>
        </w:rPr>
        <w:fldChar w:fldCharType="end"/>
      </w:r>
      <w:bookmarkEnd w:id="910"/>
      <w:r w:rsidR="00475B04" w:rsidRPr="0081267C">
        <w:tab/>
        <w:t>Wage costs factor calculation, 2014-15</w:t>
      </w:r>
    </w:p>
    <w:tbl>
      <w:tblPr>
        <w:tblW w:w="8960" w:type="dxa"/>
        <w:tblInd w:w="93" w:type="dxa"/>
        <w:tblLook w:val="04A0" w:firstRow="1" w:lastRow="0" w:firstColumn="1" w:lastColumn="0" w:noHBand="0" w:noVBand="1"/>
      </w:tblPr>
      <w:tblGrid>
        <w:gridCol w:w="1840"/>
        <w:gridCol w:w="900"/>
        <w:gridCol w:w="760"/>
        <w:gridCol w:w="820"/>
        <w:gridCol w:w="800"/>
        <w:gridCol w:w="700"/>
        <w:gridCol w:w="800"/>
        <w:gridCol w:w="820"/>
        <w:gridCol w:w="720"/>
        <w:gridCol w:w="800"/>
      </w:tblGrid>
      <w:tr w:rsidR="00D458FC" w:rsidRPr="00D458FC" w:rsidTr="00D458FC">
        <w:trPr>
          <w:trHeight w:val="379"/>
        </w:trPr>
        <w:tc>
          <w:tcPr>
            <w:tcW w:w="184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bookmarkStart w:id="911" w:name="RANGE!B14:K18"/>
            <w:r w:rsidRPr="00D458FC">
              <w:rPr>
                <w:rFonts w:ascii="Calibri" w:eastAsia="Times New Roman" w:hAnsi="Calibri" w:cs="Times New Roman"/>
                <w:sz w:val="20"/>
                <w:szCs w:val="20"/>
                <w:lang w:eastAsia="en-AU"/>
              </w:rPr>
              <w:t> </w:t>
            </w:r>
            <w:bookmarkEnd w:id="911"/>
          </w:p>
        </w:tc>
        <w:tc>
          <w:tcPr>
            <w:tcW w:w="90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NSW</w:t>
            </w:r>
          </w:p>
        </w:tc>
        <w:tc>
          <w:tcPr>
            <w:tcW w:w="76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Vic</w:t>
            </w:r>
          </w:p>
        </w:tc>
        <w:tc>
          <w:tcPr>
            <w:tcW w:w="82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Qld</w:t>
            </w:r>
          </w:p>
        </w:tc>
        <w:tc>
          <w:tcPr>
            <w:tcW w:w="80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WA</w:t>
            </w:r>
          </w:p>
        </w:tc>
        <w:tc>
          <w:tcPr>
            <w:tcW w:w="70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SA</w:t>
            </w:r>
          </w:p>
        </w:tc>
        <w:tc>
          <w:tcPr>
            <w:tcW w:w="80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Tas</w:t>
            </w:r>
          </w:p>
        </w:tc>
        <w:tc>
          <w:tcPr>
            <w:tcW w:w="82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ACT</w:t>
            </w:r>
          </w:p>
        </w:tc>
        <w:tc>
          <w:tcPr>
            <w:tcW w:w="72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NT</w:t>
            </w:r>
          </w:p>
        </w:tc>
        <w:tc>
          <w:tcPr>
            <w:tcW w:w="80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Ave</w:t>
            </w:r>
          </w:p>
        </w:tc>
      </w:tr>
      <w:tr w:rsidR="00D458FC" w:rsidRPr="00D458FC" w:rsidTr="00D458FC">
        <w:trPr>
          <w:trHeight w:val="315"/>
        </w:trPr>
        <w:tc>
          <w:tcPr>
            <w:tcW w:w="184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Raw Factor</w:t>
            </w:r>
          </w:p>
        </w:tc>
        <w:tc>
          <w:tcPr>
            <w:tcW w:w="9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1.009</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0.985</w:t>
            </w:r>
          </w:p>
        </w:tc>
        <w:tc>
          <w:tcPr>
            <w:tcW w:w="82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0.982</w:t>
            </w:r>
          </w:p>
        </w:tc>
        <w:tc>
          <w:tcPr>
            <w:tcW w:w="8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1.077</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0.952</w:t>
            </w:r>
          </w:p>
        </w:tc>
        <w:tc>
          <w:tcPr>
            <w:tcW w:w="8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0.911</w:t>
            </w:r>
          </w:p>
        </w:tc>
        <w:tc>
          <w:tcPr>
            <w:tcW w:w="82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1.032</w:t>
            </w:r>
          </w:p>
        </w:tc>
        <w:tc>
          <w:tcPr>
            <w:tcW w:w="72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1.092</w:t>
            </w:r>
          </w:p>
        </w:tc>
        <w:tc>
          <w:tcPr>
            <w:tcW w:w="8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1.000</w:t>
            </w:r>
          </w:p>
        </w:tc>
      </w:tr>
      <w:tr w:rsidR="00D458FC" w:rsidRPr="00D458FC" w:rsidTr="00D458FC">
        <w:trPr>
          <w:trHeight w:val="315"/>
        </w:trPr>
        <w:tc>
          <w:tcPr>
            <w:tcW w:w="184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Discounted</w:t>
            </w:r>
          </w:p>
        </w:tc>
        <w:tc>
          <w:tcPr>
            <w:tcW w:w="9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1.008</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0.987</w:t>
            </w:r>
          </w:p>
        </w:tc>
        <w:tc>
          <w:tcPr>
            <w:tcW w:w="82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0.985</w:t>
            </w:r>
          </w:p>
        </w:tc>
        <w:tc>
          <w:tcPr>
            <w:tcW w:w="8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1.068</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0.958</w:t>
            </w:r>
          </w:p>
        </w:tc>
        <w:tc>
          <w:tcPr>
            <w:tcW w:w="8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0.922</w:t>
            </w:r>
          </w:p>
        </w:tc>
        <w:tc>
          <w:tcPr>
            <w:tcW w:w="82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1.028</w:t>
            </w:r>
          </w:p>
        </w:tc>
        <w:tc>
          <w:tcPr>
            <w:tcW w:w="72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1.080</w:t>
            </w:r>
          </w:p>
        </w:tc>
        <w:tc>
          <w:tcPr>
            <w:tcW w:w="8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1.000</w:t>
            </w:r>
          </w:p>
        </w:tc>
      </w:tr>
      <w:tr w:rsidR="00D458FC" w:rsidRPr="00D458FC" w:rsidTr="00D458FC">
        <w:trPr>
          <w:trHeight w:val="315"/>
        </w:trPr>
        <w:tc>
          <w:tcPr>
            <w:tcW w:w="184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CSS Adjustment</w:t>
            </w:r>
          </w:p>
        </w:tc>
        <w:tc>
          <w:tcPr>
            <w:tcW w:w="9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1.000</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1.000</w:t>
            </w:r>
          </w:p>
        </w:tc>
        <w:tc>
          <w:tcPr>
            <w:tcW w:w="82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1.000</w:t>
            </w:r>
          </w:p>
        </w:tc>
        <w:tc>
          <w:tcPr>
            <w:tcW w:w="8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1.000</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1.000</w:t>
            </w:r>
          </w:p>
        </w:tc>
        <w:tc>
          <w:tcPr>
            <w:tcW w:w="8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1.000</w:t>
            </w:r>
          </w:p>
        </w:tc>
        <w:tc>
          <w:tcPr>
            <w:tcW w:w="82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1.002</w:t>
            </w:r>
          </w:p>
        </w:tc>
        <w:tc>
          <w:tcPr>
            <w:tcW w:w="72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1.001</w:t>
            </w:r>
          </w:p>
        </w:tc>
        <w:tc>
          <w:tcPr>
            <w:tcW w:w="8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p>
        </w:tc>
      </w:tr>
      <w:tr w:rsidR="00D458FC" w:rsidRPr="00D458FC" w:rsidTr="00D458FC">
        <w:trPr>
          <w:trHeight w:val="315"/>
        </w:trPr>
        <w:tc>
          <w:tcPr>
            <w:tcW w:w="1840" w:type="dxa"/>
            <w:tcBorders>
              <w:top w:val="nil"/>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Final Factor</w:t>
            </w:r>
          </w:p>
        </w:tc>
        <w:tc>
          <w:tcPr>
            <w:tcW w:w="900" w:type="dxa"/>
            <w:tcBorders>
              <w:top w:val="single" w:sz="4" w:space="0" w:color="auto"/>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1.008</w:t>
            </w:r>
          </w:p>
        </w:tc>
        <w:tc>
          <w:tcPr>
            <w:tcW w:w="760" w:type="dxa"/>
            <w:tcBorders>
              <w:top w:val="single" w:sz="4" w:space="0" w:color="auto"/>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0.987</w:t>
            </w:r>
          </w:p>
        </w:tc>
        <w:tc>
          <w:tcPr>
            <w:tcW w:w="820" w:type="dxa"/>
            <w:tcBorders>
              <w:top w:val="single" w:sz="4" w:space="0" w:color="auto"/>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0.985</w:t>
            </w:r>
          </w:p>
        </w:tc>
        <w:tc>
          <w:tcPr>
            <w:tcW w:w="800" w:type="dxa"/>
            <w:tcBorders>
              <w:top w:val="single" w:sz="4" w:space="0" w:color="auto"/>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1.067</w:t>
            </w:r>
          </w:p>
        </w:tc>
        <w:tc>
          <w:tcPr>
            <w:tcW w:w="700" w:type="dxa"/>
            <w:tcBorders>
              <w:top w:val="single" w:sz="4" w:space="0" w:color="auto"/>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0.958</w:t>
            </w:r>
          </w:p>
        </w:tc>
        <w:tc>
          <w:tcPr>
            <w:tcW w:w="800" w:type="dxa"/>
            <w:tcBorders>
              <w:top w:val="single" w:sz="4" w:space="0" w:color="auto"/>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0.922</w:t>
            </w:r>
          </w:p>
        </w:tc>
        <w:tc>
          <w:tcPr>
            <w:tcW w:w="820" w:type="dxa"/>
            <w:tcBorders>
              <w:top w:val="single" w:sz="4" w:space="0" w:color="auto"/>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1.031</w:t>
            </w:r>
          </w:p>
        </w:tc>
        <w:tc>
          <w:tcPr>
            <w:tcW w:w="720" w:type="dxa"/>
            <w:tcBorders>
              <w:top w:val="single" w:sz="4" w:space="0" w:color="auto"/>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1.081</w:t>
            </w:r>
          </w:p>
        </w:tc>
        <w:tc>
          <w:tcPr>
            <w:tcW w:w="800" w:type="dxa"/>
            <w:tcBorders>
              <w:top w:val="single" w:sz="4" w:space="0" w:color="auto"/>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1.000</w:t>
            </w:r>
          </w:p>
        </w:tc>
      </w:tr>
    </w:tbl>
    <w:p w:rsidR="00475B04" w:rsidRPr="0081267C" w:rsidRDefault="00475B04" w:rsidP="00475B04">
      <w:pPr>
        <w:keepNext/>
        <w:tabs>
          <w:tab w:val="clear" w:pos="567"/>
          <w:tab w:val="left" w:pos="851"/>
        </w:tabs>
        <w:spacing w:after="0" w:line="240" w:lineRule="auto"/>
        <w:ind w:left="851" w:hanging="851"/>
        <w:rPr>
          <w:sz w:val="20"/>
          <w:szCs w:val="24"/>
        </w:rPr>
      </w:pPr>
      <w:r w:rsidRPr="0081267C">
        <w:rPr>
          <w:sz w:val="20"/>
          <w:szCs w:val="24"/>
        </w:rPr>
        <w:t>Note:</w:t>
      </w:r>
      <w:r w:rsidRPr="0081267C">
        <w:rPr>
          <w:sz w:val="20"/>
          <w:szCs w:val="24"/>
        </w:rPr>
        <w:tab/>
        <w:t>Interim factors are rescaled so as to generate an average of one. Where the average factor is shown as one, the State factors shown are the rescaled factors.</w:t>
      </w:r>
    </w:p>
    <w:p w:rsidR="00475B04" w:rsidRPr="0081267C" w:rsidRDefault="00475B04" w:rsidP="00475B04">
      <w:pPr>
        <w:tabs>
          <w:tab w:val="clear" w:pos="567"/>
          <w:tab w:val="left" w:pos="851"/>
        </w:tabs>
        <w:spacing w:after="0" w:line="240" w:lineRule="auto"/>
        <w:ind w:left="851" w:hanging="851"/>
        <w:rPr>
          <w:sz w:val="20"/>
          <w:szCs w:val="24"/>
        </w:rPr>
      </w:pPr>
      <w:r w:rsidRPr="0081267C">
        <w:rPr>
          <w:sz w:val="20"/>
          <w:szCs w:val="24"/>
        </w:rPr>
        <w:t>Source:</w:t>
      </w:r>
      <w:r w:rsidRPr="0081267C">
        <w:rPr>
          <w:sz w:val="20"/>
          <w:szCs w:val="24"/>
        </w:rPr>
        <w:tab/>
        <w:t>Commission calculation.</w:t>
      </w:r>
    </w:p>
    <w:p w:rsidR="00475B04" w:rsidRPr="0081267C" w:rsidRDefault="00475B04" w:rsidP="003A0DCA">
      <w:pPr>
        <w:pStyle w:val="Heading4"/>
      </w:pPr>
      <w:bookmarkStart w:id="912" w:name="_Toc440361191"/>
      <w:bookmarkStart w:id="913" w:name="_Toc442883328"/>
      <w:bookmarkStart w:id="914" w:name="_Toc442949204"/>
      <w:r w:rsidRPr="0081267C">
        <w:lastRenderedPageBreak/>
        <w:t>Wage proportions of expense categories</w:t>
      </w:r>
      <w:bookmarkEnd w:id="912"/>
      <w:bookmarkEnd w:id="913"/>
      <w:bookmarkEnd w:id="914"/>
    </w:p>
    <w:p w:rsidR="00475B04" w:rsidRPr="0081267C" w:rsidRDefault="00475B04" w:rsidP="00475B04">
      <w:pPr>
        <w:numPr>
          <w:ilvl w:val="1"/>
          <w:numId w:val="2"/>
        </w:numPr>
        <w:tabs>
          <w:tab w:val="num" w:pos="1418"/>
        </w:tabs>
        <w:spacing w:before="120"/>
        <w:rPr>
          <w:szCs w:val="24"/>
        </w:rPr>
      </w:pPr>
      <w:r w:rsidRPr="0081267C">
        <w:rPr>
          <w:szCs w:val="24"/>
        </w:rPr>
        <w:t>We have calculated the wage proportions of direct service delivery expenses using data from ABS Government Finance Statistics (GFS). We have set the assessed proportion of wages for</w:t>
      </w:r>
      <w:r w:rsidR="00DD7620" w:rsidRPr="0081267C">
        <w:rPr>
          <w:szCs w:val="24"/>
        </w:rPr>
        <w:t xml:space="preserve"> the</w:t>
      </w:r>
      <w:r w:rsidRPr="0081267C">
        <w:rPr>
          <w:szCs w:val="24"/>
        </w:rPr>
        <w:t xml:space="preserve"> Housing, Roads and Transport </w:t>
      </w:r>
      <w:r w:rsidR="00DD7620" w:rsidRPr="0081267C">
        <w:rPr>
          <w:szCs w:val="24"/>
        </w:rPr>
        <w:t xml:space="preserve">assessments </w:t>
      </w:r>
      <w:r w:rsidRPr="0081267C">
        <w:rPr>
          <w:szCs w:val="24"/>
        </w:rPr>
        <w:t>to the average of the other categories, as we believe significant amounts of wage expenses in these categories are classified as other types of expenses, such as payments to contractors.</w:t>
      </w:r>
    </w:p>
    <w:p w:rsidR="00475B04" w:rsidRPr="0081267C" w:rsidRDefault="00475B04" w:rsidP="00475B04">
      <w:pPr>
        <w:numPr>
          <w:ilvl w:val="1"/>
          <w:numId w:val="2"/>
        </w:numPr>
        <w:tabs>
          <w:tab w:val="num" w:pos="1418"/>
        </w:tabs>
        <w:spacing w:before="120"/>
        <w:rPr>
          <w:szCs w:val="24"/>
        </w:rPr>
      </w:pPr>
      <w:r w:rsidRPr="0081267C">
        <w:rPr>
          <w:szCs w:val="24"/>
        </w:rPr>
        <w:t xml:space="preserve">We assumed any grants and subsidies in a category had the </w:t>
      </w:r>
      <w:r w:rsidR="00DD7620" w:rsidRPr="0081267C">
        <w:rPr>
          <w:szCs w:val="24"/>
        </w:rPr>
        <w:t>same wage — non</w:t>
      </w:r>
      <w:r w:rsidR="00DD7620" w:rsidRPr="0081267C">
        <w:rPr>
          <w:szCs w:val="24"/>
        </w:rPr>
        <w:noBreakHyphen/>
      </w:r>
      <w:r w:rsidRPr="0081267C">
        <w:rPr>
          <w:szCs w:val="24"/>
        </w:rPr>
        <w:t>wage cost structure as that category’s direct expense. For example, the wages proportion of grants to non-government schools was assumed to be the same as that for government schools costs.</w:t>
      </w:r>
    </w:p>
    <w:p w:rsidR="00475B04" w:rsidRPr="0081267C" w:rsidRDefault="00475B04" w:rsidP="00475B04">
      <w:pPr>
        <w:numPr>
          <w:ilvl w:val="1"/>
          <w:numId w:val="2"/>
        </w:numPr>
        <w:tabs>
          <w:tab w:val="num" w:pos="1418"/>
        </w:tabs>
        <w:spacing w:before="120"/>
        <w:rPr>
          <w:szCs w:val="24"/>
        </w:rPr>
      </w:pPr>
      <w:r w:rsidRPr="0081267C">
        <w:rPr>
          <w:szCs w:val="24"/>
        </w:rPr>
        <w:t>These proportions were obtained by averaging GFS data for years 2010</w:t>
      </w:r>
      <w:r w:rsidRPr="0081267C">
        <w:rPr>
          <w:szCs w:val="24"/>
        </w:rPr>
        <w:noBreakHyphen/>
        <w:t>11 to 2012</w:t>
      </w:r>
      <w:r w:rsidRPr="0081267C">
        <w:rPr>
          <w:szCs w:val="24"/>
        </w:rPr>
        <w:noBreakHyphen/>
        <w:t>13. As the annual proportions have remained relatively stable over the three years, we have not updated them in this update, and consider it unnecessary to update the proportions in future updates.</w:t>
      </w:r>
    </w:p>
    <w:p w:rsidR="00475B04" w:rsidRPr="0081267C" w:rsidRDefault="00D7394F" w:rsidP="00E346F3">
      <w:pPr>
        <w:pStyle w:val="Heading3"/>
      </w:pPr>
      <w:bookmarkStart w:id="915" w:name="_Toc440361192"/>
      <w:bookmarkStart w:id="916" w:name="_Toc442773582"/>
      <w:bookmarkStart w:id="917" w:name="_Toc442883329"/>
      <w:bookmarkStart w:id="918" w:name="_Toc442949205"/>
      <w:r>
        <w:t xml:space="preserve">What is the impact on the </w:t>
      </w:r>
      <w:r w:rsidR="00475B04" w:rsidRPr="0081267C">
        <w:t xml:space="preserve">GST </w:t>
      </w:r>
      <w:bookmarkEnd w:id="915"/>
      <w:bookmarkEnd w:id="916"/>
      <w:r>
        <w:t>distribution?</w:t>
      </w:r>
      <w:bookmarkEnd w:id="917"/>
      <w:bookmarkEnd w:id="918"/>
    </w:p>
    <w:p w:rsidR="00475B04" w:rsidRPr="0081267C" w:rsidRDefault="00262935" w:rsidP="00475B04">
      <w:pPr>
        <w:numPr>
          <w:ilvl w:val="1"/>
          <w:numId w:val="2"/>
        </w:numPr>
        <w:tabs>
          <w:tab w:val="num" w:pos="1418"/>
        </w:tabs>
        <w:spacing w:before="120"/>
        <w:rPr>
          <w:szCs w:val="24"/>
        </w:rPr>
      </w:pPr>
      <w:r w:rsidRPr="0081267C">
        <w:rPr>
          <w:szCs w:val="24"/>
        </w:rPr>
        <w:fldChar w:fldCharType="begin"/>
      </w:r>
      <w:r w:rsidRPr="0081267C">
        <w:rPr>
          <w:szCs w:val="24"/>
        </w:rPr>
        <w:instrText xml:space="preserve"> REF _Ref441241729 \h  \* MERGEFORMAT </w:instrText>
      </w:r>
      <w:r w:rsidRPr="0081267C">
        <w:rPr>
          <w:szCs w:val="24"/>
        </w:rPr>
      </w:r>
      <w:r w:rsidRPr="0081267C">
        <w:rPr>
          <w:szCs w:val="24"/>
        </w:rPr>
        <w:fldChar w:fldCharType="separate"/>
      </w:r>
      <w:r w:rsidR="007A6AF0" w:rsidRPr="0081267C">
        <w:t xml:space="preserve">Table </w:t>
      </w:r>
      <w:r w:rsidR="007A6AF0">
        <w:rPr>
          <w:noProof/>
        </w:rPr>
        <w:t>3</w:t>
      </w:r>
      <w:r w:rsidR="007A6AF0" w:rsidRPr="0081267C">
        <w:rPr>
          <w:noProof/>
        </w:rPr>
        <w:noBreakHyphen/>
      </w:r>
      <w:r w:rsidR="007A6AF0">
        <w:rPr>
          <w:noProof/>
        </w:rPr>
        <w:t>4</w:t>
      </w:r>
      <w:r w:rsidRPr="0081267C">
        <w:rPr>
          <w:szCs w:val="24"/>
        </w:rPr>
        <w:fldChar w:fldCharType="end"/>
      </w:r>
      <w:r w:rsidRPr="0081267C">
        <w:rPr>
          <w:szCs w:val="24"/>
        </w:rPr>
        <w:t xml:space="preserve"> </w:t>
      </w:r>
      <w:r w:rsidR="00475B04" w:rsidRPr="0081267C">
        <w:rPr>
          <w:szCs w:val="24"/>
        </w:rPr>
        <w:t>shows the illustrative GST impact of</w:t>
      </w:r>
      <w:r w:rsidR="00DD7620" w:rsidRPr="0081267C">
        <w:rPr>
          <w:szCs w:val="24"/>
        </w:rPr>
        <w:t xml:space="preserve"> the W</w:t>
      </w:r>
      <w:r w:rsidR="00475B04" w:rsidRPr="0081267C">
        <w:rPr>
          <w:szCs w:val="24"/>
        </w:rPr>
        <w:t>age costs</w:t>
      </w:r>
      <w:r w:rsidR="00DD7620" w:rsidRPr="0081267C">
        <w:rPr>
          <w:szCs w:val="24"/>
        </w:rPr>
        <w:t xml:space="preserve"> assessment</w:t>
      </w:r>
      <w:r w:rsidR="00475B04" w:rsidRPr="0081267C">
        <w:rPr>
          <w:szCs w:val="24"/>
        </w:rPr>
        <w:t xml:space="preserve">. The new wages data have led to significant redistributions away from South Australia, Tasmania and the ACT, and towards Victoria, Western Australia and the Northern Territory. </w:t>
      </w:r>
    </w:p>
    <w:p w:rsidR="00475B04" w:rsidRPr="0081267C" w:rsidRDefault="00262935" w:rsidP="00262935">
      <w:pPr>
        <w:pStyle w:val="CGCTableHeading"/>
      </w:pPr>
      <w:bookmarkStart w:id="919" w:name="_Ref441241729"/>
      <w:r w:rsidRPr="0081267C">
        <w:t xml:space="preserve">Table </w:t>
      </w:r>
      <w:r w:rsidR="0014378B">
        <w:fldChar w:fldCharType="begin"/>
      </w:r>
      <w:r w:rsidR="0014378B">
        <w:instrText xml:space="preserve"> STYLEREF 1 \s </w:instrText>
      </w:r>
      <w:r w:rsidR="0014378B">
        <w:fldChar w:fldCharType="separate"/>
      </w:r>
      <w:r w:rsidR="007A6AF0">
        <w:rPr>
          <w:noProof/>
        </w:rPr>
        <w:t>3</w:t>
      </w:r>
      <w:r w:rsidR="0014378B">
        <w:rPr>
          <w:noProof/>
        </w:rPr>
        <w:fldChar w:fldCharType="end"/>
      </w:r>
      <w:r w:rsidRPr="0081267C">
        <w:noBreakHyphen/>
      </w:r>
      <w:r w:rsidR="0014378B">
        <w:fldChar w:fldCharType="begin"/>
      </w:r>
      <w:r w:rsidR="0014378B">
        <w:instrText xml:space="preserve"> SEQ Table \* ARABIC \s 1 </w:instrText>
      </w:r>
      <w:r w:rsidR="0014378B">
        <w:fldChar w:fldCharType="separate"/>
      </w:r>
      <w:r w:rsidR="007A6AF0">
        <w:rPr>
          <w:noProof/>
        </w:rPr>
        <w:t>4</w:t>
      </w:r>
      <w:r w:rsidR="0014378B">
        <w:rPr>
          <w:noProof/>
        </w:rPr>
        <w:fldChar w:fldCharType="end"/>
      </w:r>
      <w:bookmarkEnd w:id="919"/>
      <w:r w:rsidR="00475B04" w:rsidRPr="0081267C">
        <w:tab/>
        <w:t>Illustrative GST impact of wage costs assessment, 2016-17</w:t>
      </w:r>
    </w:p>
    <w:tbl>
      <w:tblPr>
        <w:tblW w:w="9020" w:type="dxa"/>
        <w:tblInd w:w="93" w:type="dxa"/>
        <w:tblLook w:val="04A0" w:firstRow="1" w:lastRow="0" w:firstColumn="1" w:lastColumn="0" w:noHBand="0" w:noVBand="1"/>
      </w:tblPr>
      <w:tblGrid>
        <w:gridCol w:w="2380"/>
        <w:gridCol w:w="700"/>
        <w:gridCol w:w="760"/>
        <w:gridCol w:w="760"/>
        <w:gridCol w:w="700"/>
        <w:gridCol w:w="760"/>
        <w:gridCol w:w="760"/>
        <w:gridCol w:w="700"/>
        <w:gridCol w:w="700"/>
        <w:gridCol w:w="800"/>
      </w:tblGrid>
      <w:tr w:rsidR="00D458FC" w:rsidRPr="00D458FC" w:rsidTr="00D458FC">
        <w:trPr>
          <w:trHeight w:val="379"/>
        </w:trPr>
        <w:tc>
          <w:tcPr>
            <w:tcW w:w="238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bookmarkStart w:id="920" w:name="RANGE!A156:J166"/>
            <w:r w:rsidRPr="00D458FC">
              <w:rPr>
                <w:rFonts w:ascii="Calibri" w:eastAsia="Times New Roman" w:hAnsi="Calibri" w:cs="Times New Roman"/>
                <w:sz w:val="20"/>
                <w:szCs w:val="20"/>
                <w:lang w:eastAsia="en-AU"/>
              </w:rPr>
              <w:t> </w:t>
            </w:r>
            <w:bookmarkEnd w:id="920"/>
          </w:p>
        </w:tc>
        <w:tc>
          <w:tcPr>
            <w:tcW w:w="70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NSW</w:t>
            </w:r>
          </w:p>
        </w:tc>
        <w:tc>
          <w:tcPr>
            <w:tcW w:w="76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Vic</w:t>
            </w:r>
          </w:p>
        </w:tc>
        <w:tc>
          <w:tcPr>
            <w:tcW w:w="76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Qld</w:t>
            </w:r>
          </w:p>
        </w:tc>
        <w:tc>
          <w:tcPr>
            <w:tcW w:w="70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WA</w:t>
            </w:r>
          </w:p>
        </w:tc>
        <w:tc>
          <w:tcPr>
            <w:tcW w:w="76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SA</w:t>
            </w:r>
          </w:p>
        </w:tc>
        <w:tc>
          <w:tcPr>
            <w:tcW w:w="76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Tas</w:t>
            </w:r>
          </w:p>
        </w:tc>
        <w:tc>
          <w:tcPr>
            <w:tcW w:w="70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ACT</w:t>
            </w:r>
          </w:p>
        </w:tc>
        <w:tc>
          <w:tcPr>
            <w:tcW w:w="70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NT</w:t>
            </w:r>
          </w:p>
        </w:tc>
        <w:tc>
          <w:tcPr>
            <w:tcW w:w="800" w:type="dxa"/>
            <w:tcBorders>
              <w:top w:val="single" w:sz="4" w:space="0" w:color="auto"/>
              <w:left w:val="nil"/>
              <w:bottom w:val="single" w:sz="4" w:space="0" w:color="auto"/>
              <w:right w:val="nil"/>
            </w:tcBorders>
            <w:shd w:val="clear" w:color="auto" w:fill="auto"/>
            <w:noWrap/>
            <w:vAlign w:val="center"/>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proofErr w:type="spellStart"/>
            <w:r w:rsidRPr="00D458FC">
              <w:rPr>
                <w:rFonts w:ascii="Calibri" w:eastAsia="Times New Roman" w:hAnsi="Calibri" w:cs="Times New Roman"/>
                <w:sz w:val="20"/>
                <w:szCs w:val="20"/>
                <w:lang w:eastAsia="en-AU"/>
              </w:rPr>
              <w:t>Redist</w:t>
            </w:r>
            <w:proofErr w:type="spellEnd"/>
          </w:p>
        </w:tc>
      </w:tr>
      <w:tr w:rsidR="00D458FC" w:rsidRPr="00D458FC" w:rsidTr="00D458FC">
        <w:trPr>
          <w:trHeight w:val="259"/>
        </w:trPr>
        <w:tc>
          <w:tcPr>
            <w:tcW w:w="238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$m</w:t>
            </w:r>
          </w:p>
        </w:tc>
        <w:tc>
          <w:tcPr>
            <w:tcW w:w="8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$m</w:t>
            </w:r>
          </w:p>
        </w:tc>
      </w:tr>
      <w:tr w:rsidR="00D458FC" w:rsidRPr="00D458FC" w:rsidTr="00D458FC">
        <w:trPr>
          <w:trHeight w:val="315"/>
        </w:trPr>
        <w:tc>
          <w:tcPr>
            <w:tcW w:w="238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2015 Review</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375</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-663</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-485</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875</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-172</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-115</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89</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96</w:t>
            </w:r>
          </w:p>
        </w:tc>
        <w:tc>
          <w:tcPr>
            <w:tcW w:w="8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1 435</w:t>
            </w:r>
          </w:p>
        </w:tc>
      </w:tr>
      <w:tr w:rsidR="00D458FC" w:rsidRPr="00D458FC" w:rsidTr="00D458FC">
        <w:trPr>
          <w:trHeight w:val="315"/>
        </w:trPr>
        <w:tc>
          <w:tcPr>
            <w:tcW w:w="238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Changes to wages factor</w:t>
            </w:r>
          </w:p>
        </w:tc>
        <w:tc>
          <w:tcPr>
            <w:tcW w:w="70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-46</w:t>
            </w:r>
          </w:p>
        </w:tc>
        <w:tc>
          <w:tcPr>
            <w:tcW w:w="76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85</w:t>
            </w:r>
          </w:p>
        </w:tc>
        <w:tc>
          <w:tcPr>
            <w:tcW w:w="76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19</w:t>
            </w:r>
          </w:p>
        </w:tc>
        <w:tc>
          <w:tcPr>
            <w:tcW w:w="70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46</w:t>
            </w:r>
          </w:p>
        </w:tc>
        <w:tc>
          <w:tcPr>
            <w:tcW w:w="76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-64</w:t>
            </w:r>
          </w:p>
        </w:tc>
        <w:tc>
          <w:tcPr>
            <w:tcW w:w="76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-34</w:t>
            </w:r>
          </w:p>
        </w:tc>
        <w:tc>
          <w:tcPr>
            <w:tcW w:w="70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-11</w:t>
            </w:r>
          </w:p>
        </w:tc>
        <w:tc>
          <w:tcPr>
            <w:tcW w:w="70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5</w:t>
            </w:r>
          </w:p>
        </w:tc>
        <w:tc>
          <w:tcPr>
            <w:tcW w:w="80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154</w:t>
            </w:r>
          </w:p>
        </w:tc>
      </w:tr>
      <w:tr w:rsidR="00D458FC" w:rsidRPr="00D458FC" w:rsidTr="00D458FC">
        <w:trPr>
          <w:trHeight w:val="315"/>
        </w:trPr>
        <w:tc>
          <w:tcPr>
            <w:tcW w:w="238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Other effects</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-8</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16</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13</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-24</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7</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4</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-6</w:t>
            </w:r>
          </w:p>
        </w:tc>
        <w:tc>
          <w:tcPr>
            <w:tcW w:w="8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41</w:t>
            </w:r>
          </w:p>
        </w:tc>
      </w:tr>
      <w:tr w:rsidR="00D458FC" w:rsidRPr="00D458FC" w:rsidTr="00D458FC">
        <w:trPr>
          <w:trHeight w:val="315"/>
        </w:trPr>
        <w:tc>
          <w:tcPr>
            <w:tcW w:w="238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2016 Update</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321</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-562</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-453</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897</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-229</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-145</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76</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95</w:t>
            </w:r>
          </w:p>
        </w:tc>
        <w:tc>
          <w:tcPr>
            <w:tcW w:w="8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1 388</w:t>
            </w:r>
          </w:p>
        </w:tc>
      </w:tr>
      <w:tr w:rsidR="00D458FC" w:rsidRPr="00D458FC" w:rsidTr="00D458FC">
        <w:trPr>
          <w:trHeight w:val="259"/>
        </w:trPr>
        <w:tc>
          <w:tcPr>
            <w:tcW w:w="238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single" w:sz="4" w:space="0" w:color="auto"/>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$pc</w:t>
            </w:r>
          </w:p>
        </w:tc>
        <w:tc>
          <w:tcPr>
            <w:tcW w:w="760" w:type="dxa"/>
            <w:tcBorders>
              <w:top w:val="single" w:sz="4" w:space="0" w:color="auto"/>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$pc</w:t>
            </w:r>
          </w:p>
        </w:tc>
        <w:tc>
          <w:tcPr>
            <w:tcW w:w="760" w:type="dxa"/>
            <w:tcBorders>
              <w:top w:val="single" w:sz="4" w:space="0" w:color="auto"/>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$pc</w:t>
            </w:r>
          </w:p>
        </w:tc>
        <w:tc>
          <w:tcPr>
            <w:tcW w:w="700" w:type="dxa"/>
            <w:tcBorders>
              <w:top w:val="single" w:sz="4" w:space="0" w:color="auto"/>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$pc</w:t>
            </w:r>
          </w:p>
        </w:tc>
        <w:tc>
          <w:tcPr>
            <w:tcW w:w="760" w:type="dxa"/>
            <w:tcBorders>
              <w:top w:val="single" w:sz="4" w:space="0" w:color="auto"/>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$pc</w:t>
            </w:r>
          </w:p>
        </w:tc>
        <w:tc>
          <w:tcPr>
            <w:tcW w:w="760" w:type="dxa"/>
            <w:tcBorders>
              <w:top w:val="single" w:sz="4" w:space="0" w:color="auto"/>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$pc</w:t>
            </w:r>
          </w:p>
        </w:tc>
        <w:tc>
          <w:tcPr>
            <w:tcW w:w="700" w:type="dxa"/>
            <w:tcBorders>
              <w:top w:val="single" w:sz="4" w:space="0" w:color="auto"/>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$pc</w:t>
            </w:r>
          </w:p>
        </w:tc>
        <w:tc>
          <w:tcPr>
            <w:tcW w:w="700" w:type="dxa"/>
            <w:tcBorders>
              <w:top w:val="single" w:sz="4" w:space="0" w:color="auto"/>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$pc</w:t>
            </w:r>
          </w:p>
        </w:tc>
        <w:tc>
          <w:tcPr>
            <w:tcW w:w="800" w:type="dxa"/>
            <w:tcBorders>
              <w:top w:val="single" w:sz="4" w:space="0" w:color="auto"/>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$pc</w:t>
            </w:r>
          </w:p>
        </w:tc>
      </w:tr>
      <w:tr w:rsidR="00D458FC" w:rsidRPr="00D458FC" w:rsidTr="00D458FC">
        <w:trPr>
          <w:trHeight w:val="315"/>
        </w:trPr>
        <w:tc>
          <w:tcPr>
            <w:tcW w:w="238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2015 Review</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48</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-109</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-99</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326</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-100</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-223</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223</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388</w:t>
            </w:r>
          </w:p>
        </w:tc>
        <w:tc>
          <w:tcPr>
            <w:tcW w:w="8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59</w:t>
            </w:r>
          </w:p>
        </w:tc>
      </w:tr>
      <w:tr w:rsidR="00D458FC" w:rsidRPr="00D458FC" w:rsidTr="00D458FC">
        <w:trPr>
          <w:trHeight w:val="315"/>
        </w:trPr>
        <w:tc>
          <w:tcPr>
            <w:tcW w:w="238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Changes to wages factor</w:t>
            </w:r>
          </w:p>
        </w:tc>
        <w:tc>
          <w:tcPr>
            <w:tcW w:w="70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-6</w:t>
            </w:r>
          </w:p>
        </w:tc>
        <w:tc>
          <w:tcPr>
            <w:tcW w:w="76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14</w:t>
            </w:r>
          </w:p>
        </w:tc>
        <w:tc>
          <w:tcPr>
            <w:tcW w:w="76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4</w:t>
            </w:r>
          </w:p>
        </w:tc>
        <w:tc>
          <w:tcPr>
            <w:tcW w:w="70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17</w:t>
            </w:r>
          </w:p>
        </w:tc>
        <w:tc>
          <w:tcPr>
            <w:tcW w:w="76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-37</w:t>
            </w:r>
          </w:p>
        </w:tc>
        <w:tc>
          <w:tcPr>
            <w:tcW w:w="76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-65</w:t>
            </w:r>
          </w:p>
        </w:tc>
        <w:tc>
          <w:tcPr>
            <w:tcW w:w="70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-27</w:t>
            </w:r>
          </w:p>
        </w:tc>
        <w:tc>
          <w:tcPr>
            <w:tcW w:w="70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19</w:t>
            </w:r>
          </w:p>
        </w:tc>
        <w:tc>
          <w:tcPr>
            <w:tcW w:w="800" w:type="dxa"/>
            <w:tcBorders>
              <w:top w:val="nil"/>
              <w:left w:val="nil"/>
              <w:bottom w:val="nil"/>
              <w:right w:val="nil"/>
            </w:tcBorders>
            <w:shd w:val="clear" w:color="auto" w:fill="auto"/>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6</w:t>
            </w:r>
          </w:p>
        </w:tc>
      </w:tr>
      <w:tr w:rsidR="00D458FC" w:rsidRPr="00D458FC" w:rsidTr="00D458FC">
        <w:trPr>
          <w:trHeight w:val="315"/>
        </w:trPr>
        <w:tc>
          <w:tcPr>
            <w:tcW w:w="238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Other effects</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3</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3</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-9</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4</w:t>
            </w:r>
          </w:p>
        </w:tc>
        <w:tc>
          <w:tcPr>
            <w:tcW w:w="76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8</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-5</w:t>
            </w:r>
          </w:p>
        </w:tc>
        <w:tc>
          <w:tcPr>
            <w:tcW w:w="7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-25</w:t>
            </w:r>
          </w:p>
        </w:tc>
        <w:tc>
          <w:tcPr>
            <w:tcW w:w="800" w:type="dxa"/>
            <w:tcBorders>
              <w:top w:val="nil"/>
              <w:left w:val="nil"/>
              <w:bottom w:val="nil"/>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w:t>
            </w:r>
          </w:p>
        </w:tc>
      </w:tr>
      <w:tr w:rsidR="00D458FC" w:rsidRPr="00D458FC" w:rsidTr="00D458FC">
        <w:trPr>
          <w:trHeight w:val="315"/>
        </w:trPr>
        <w:tc>
          <w:tcPr>
            <w:tcW w:w="2380" w:type="dxa"/>
            <w:tcBorders>
              <w:top w:val="nil"/>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2016 Update</w:t>
            </w:r>
          </w:p>
        </w:tc>
        <w:tc>
          <w:tcPr>
            <w:tcW w:w="700" w:type="dxa"/>
            <w:tcBorders>
              <w:top w:val="nil"/>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41</w:t>
            </w:r>
          </w:p>
        </w:tc>
        <w:tc>
          <w:tcPr>
            <w:tcW w:w="760" w:type="dxa"/>
            <w:tcBorders>
              <w:top w:val="nil"/>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-92</w:t>
            </w:r>
          </w:p>
        </w:tc>
        <w:tc>
          <w:tcPr>
            <w:tcW w:w="760" w:type="dxa"/>
            <w:tcBorders>
              <w:top w:val="nil"/>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-93</w:t>
            </w:r>
          </w:p>
        </w:tc>
        <w:tc>
          <w:tcPr>
            <w:tcW w:w="700" w:type="dxa"/>
            <w:tcBorders>
              <w:top w:val="nil"/>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334</w:t>
            </w:r>
          </w:p>
        </w:tc>
        <w:tc>
          <w:tcPr>
            <w:tcW w:w="760" w:type="dxa"/>
            <w:tcBorders>
              <w:top w:val="nil"/>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-133</w:t>
            </w:r>
          </w:p>
        </w:tc>
        <w:tc>
          <w:tcPr>
            <w:tcW w:w="760" w:type="dxa"/>
            <w:tcBorders>
              <w:top w:val="nil"/>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-280</w:t>
            </w:r>
          </w:p>
        </w:tc>
        <w:tc>
          <w:tcPr>
            <w:tcW w:w="700" w:type="dxa"/>
            <w:tcBorders>
              <w:top w:val="nil"/>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191</w:t>
            </w:r>
          </w:p>
        </w:tc>
        <w:tc>
          <w:tcPr>
            <w:tcW w:w="700" w:type="dxa"/>
            <w:tcBorders>
              <w:top w:val="nil"/>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381</w:t>
            </w:r>
          </w:p>
        </w:tc>
        <w:tc>
          <w:tcPr>
            <w:tcW w:w="800" w:type="dxa"/>
            <w:tcBorders>
              <w:top w:val="nil"/>
              <w:left w:val="nil"/>
              <w:bottom w:val="single" w:sz="4" w:space="0" w:color="auto"/>
              <w:right w:val="nil"/>
            </w:tcBorders>
            <w:shd w:val="clear" w:color="auto" w:fill="auto"/>
            <w:noWrap/>
            <w:vAlign w:val="bottom"/>
            <w:hideMark/>
          </w:tcPr>
          <w:p w:rsidR="00D458FC" w:rsidRPr="00D458FC" w:rsidRDefault="00D458FC" w:rsidP="00D458FC">
            <w:pPr>
              <w:tabs>
                <w:tab w:val="clear" w:pos="567"/>
              </w:tabs>
              <w:spacing w:after="0" w:line="240" w:lineRule="auto"/>
              <w:jc w:val="right"/>
              <w:rPr>
                <w:rFonts w:ascii="Calibri" w:eastAsia="Times New Roman" w:hAnsi="Calibri" w:cs="Times New Roman"/>
                <w:sz w:val="20"/>
                <w:szCs w:val="20"/>
                <w:lang w:eastAsia="en-AU"/>
              </w:rPr>
            </w:pPr>
            <w:r w:rsidRPr="00D458FC">
              <w:rPr>
                <w:rFonts w:ascii="Calibri" w:eastAsia="Times New Roman" w:hAnsi="Calibri" w:cs="Times New Roman"/>
                <w:sz w:val="20"/>
                <w:szCs w:val="20"/>
                <w:lang w:eastAsia="en-AU"/>
              </w:rPr>
              <w:t>57</w:t>
            </w:r>
          </w:p>
        </w:tc>
      </w:tr>
    </w:tbl>
    <w:p w:rsidR="00475B04" w:rsidRPr="0081267C" w:rsidRDefault="00475B04" w:rsidP="00475B04">
      <w:pPr>
        <w:keepNext/>
        <w:tabs>
          <w:tab w:val="clear" w:pos="567"/>
          <w:tab w:val="left" w:pos="851"/>
        </w:tabs>
        <w:spacing w:after="0" w:line="240" w:lineRule="auto"/>
        <w:ind w:left="851" w:hanging="851"/>
        <w:rPr>
          <w:sz w:val="20"/>
          <w:szCs w:val="24"/>
        </w:rPr>
      </w:pPr>
      <w:r w:rsidRPr="0081267C">
        <w:rPr>
          <w:sz w:val="20"/>
          <w:szCs w:val="24"/>
        </w:rPr>
        <w:t>Source:</w:t>
      </w:r>
      <w:r w:rsidRPr="0081267C">
        <w:rPr>
          <w:sz w:val="20"/>
          <w:szCs w:val="24"/>
        </w:rPr>
        <w:tab/>
        <w:t>Commission calculation.</w:t>
      </w:r>
    </w:p>
    <w:p w:rsidR="00475B04" w:rsidRPr="0081267C" w:rsidRDefault="00475B04" w:rsidP="00475B04">
      <w:pPr>
        <w:tabs>
          <w:tab w:val="clear" w:pos="567"/>
        </w:tabs>
        <w:spacing w:after="200" w:line="276" w:lineRule="auto"/>
      </w:pPr>
    </w:p>
    <w:p w:rsidR="00C449D2" w:rsidRPr="0081267C" w:rsidRDefault="00C449D2" w:rsidP="00C449D2">
      <w:pPr>
        <w:sectPr w:rsidR="00C449D2" w:rsidRPr="0081267C" w:rsidSect="00905F2D">
          <w:footerReference w:type="default" r:id="rId75"/>
          <w:headerReference w:type="first" r:id="rId76"/>
          <w:footnotePr>
            <w:numRestart w:val="eachSect"/>
          </w:footnotePr>
          <w:pgSz w:w="11906" w:h="16838" w:code="9"/>
          <w:pgMar w:top="1701" w:right="1474" w:bottom="1701" w:left="1474" w:header="709" w:footer="709" w:gutter="0"/>
          <w:cols w:space="708"/>
          <w:titlePg/>
          <w:docGrid w:linePitch="360"/>
        </w:sectPr>
      </w:pPr>
    </w:p>
    <w:p w:rsidR="00475B04" w:rsidRPr="0081267C" w:rsidRDefault="00475B04" w:rsidP="00475B04">
      <w:pPr>
        <w:keepNext/>
        <w:widowControl w:val="0"/>
        <w:numPr>
          <w:ilvl w:val="0"/>
          <w:numId w:val="15"/>
        </w:numPr>
        <w:pBdr>
          <w:bottom w:val="single" w:sz="4" w:space="1" w:color="auto"/>
        </w:pBdr>
        <w:spacing w:before="800" w:after="0" w:line="240" w:lineRule="auto"/>
        <w:outlineLvl w:val="0"/>
        <w:rPr>
          <w:rFonts w:eastAsiaTheme="majorEastAsia" w:cstheme="majorBidi"/>
          <w:b/>
          <w:bCs/>
          <w:caps/>
          <w:color w:val="2C8558"/>
          <w:sz w:val="40"/>
          <w:szCs w:val="28"/>
        </w:rPr>
      </w:pPr>
      <w:bookmarkStart w:id="921" w:name="_Toc433353503"/>
      <w:bookmarkStart w:id="922" w:name="_Ref430696236"/>
      <w:bookmarkStart w:id="923" w:name="_Toc428803276"/>
      <w:bookmarkStart w:id="924" w:name="_Toc442192206"/>
      <w:bookmarkStart w:id="925" w:name="_Toc442192271"/>
      <w:bookmarkStart w:id="926" w:name="_Toc442773084"/>
      <w:bookmarkStart w:id="927" w:name="_Toc442773583"/>
      <w:bookmarkStart w:id="928" w:name="_Toc442883330"/>
      <w:bookmarkStart w:id="929" w:name="_Toc442949206"/>
      <w:bookmarkStart w:id="930" w:name="_Ref441241060"/>
      <w:bookmarkEnd w:id="510"/>
      <w:bookmarkEnd w:id="921"/>
      <w:bookmarkEnd w:id="922"/>
      <w:bookmarkEnd w:id="923"/>
      <w:bookmarkEnd w:id="924"/>
      <w:bookmarkEnd w:id="925"/>
      <w:bookmarkEnd w:id="926"/>
      <w:bookmarkEnd w:id="927"/>
      <w:bookmarkEnd w:id="928"/>
      <w:bookmarkEnd w:id="929"/>
    </w:p>
    <w:p w:rsidR="00475B04" w:rsidRPr="0081267C" w:rsidRDefault="00475B04" w:rsidP="00DA3269">
      <w:pPr>
        <w:pStyle w:val="Heading2"/>
      </w:pPr>
      <w:bookmarkStart w:id="931" w:name="_Ref430696309"/>
      <w:bookmarkStart w:id="932" w:name="_Toc433353504"/>
      <w:bookmarkStart w:id="933" w:name="_Toc441656041"/>
      <w:bookmarkStart w:id="934" w:name="_Toc442192207"/>
      <w:bookmarkStart w:id="935" w:name="_Toc442192272"/>
      <w:bookmarkStart w:id="936" w:name="_Toc442773085"/>
      <w:bookmarkStart w:id="937" w:name="_Toc442773584"/>
      <w:bookmarkStart w:id="938" w:name="_Toc442781616"/>
      <w:bookmarkStart w:id="939" w:name="_Toc442785913"/>
      <w:bookmarkStart w:id="940" w:name="_Toc442883331"/>
      <w:bookmarkStart w:id="941" w:name="_Toc442948780"/>
      <w:bookmarkStart w:id="942" w:name="_Toc442949207"/>
      <w:bookmarkEnd w:id="930"/>
      <w:r w:rsidRPr="0081267C">
        <w:t>Quality assurance</w:t>
      </w:r>
      <w:bookmarkEnd w:id="931"/>
      <w:bookmarkEnd w:id="932"/>
      <w:bookmarkEnd w:id="933"/>
      <w:bookmarkEnd w:id="934"/>
      <w:bookmarkEnd w:id="935"/>
      <w:bookmarkEnd w:id="936"/>
      <w:bookmarkEnd w:id="937"/>
      <w:bookmarkEnd w:id="938"/>
      <w:bookmarkEnd w:id="939"/>
      <w:bookmarkEnd w:id="940"/>
      <w:bookmarkEnd w:id="941"/>
      <w:bookmarkEnd w:id="942"/>
    </w:p>
    <w:p w:rsidR="00475B04" w:rsidRPr="0081267C" w:rsidRDefault="00475B04" w:rsidP="00C11CB8">
      <w:pPr>
        <w:pStyle w:val="CGCNumberedPara"/>
        <w:numPr>
          <w:ilvl w:val="1"/>
          <w:numId w:val="34"/>
        </w:numPr>
      </w:pPr>
      <w:r w:rsidRPr="0081267C">
        <w:t>This attachment reports on the quality assurance procedures applied in this update. Those procedures aim to ensure the data used in the Commission’s assessments are fit for purpose and of the best possible quality; the analysis is accurate; and the reporting of the Commission’s findings and reasons for decisions leading to t</w:t>
      </w:r>
      <w:r w:rsidR="009A5DB5">
        <w:t>hem is accurate and transparent.</w:t>
      </w:r>
      <w:r w:rsidRPr="0081267C">
        <w:t xml:space="preserve"> </w:t>
      </w:r>
    </w:p>
    <w:p w:rsidR="00475B04" w:rsidRPr="0081267C" w:rsidRDefault="00475B04" w:rsidP="00E346F3">
      <w:pPr>
        <w:pStyle w:val="Heading3"/>
      </w:pPr>
      <w:bookmarkStart w:id="943" w:name="_Toc428803277"/>
      <w:bookmarkStart w:id="944" w:name="_Toc432499638"/>
      <w:bookmarkStart w:id="945" w:name="_Toc432510866"/>
      <w:bookmarkStart w:id="946" w:name="_Toc433353505"/>
      <w:bookmarkStart w:id="947" w:name="_Toc442773585"/>
      <w:bookmarkStart w:id="948" w:name="_Toc442781617"/>
      <w:bookmarkStart w:id="949" w:name="_Toc442785914"/>
      <w:bookmarkStart w:id="950" w:name="_Toc442883332"/>
      <w:bookmarkStart w:id="951" w:name="_Toc442949208"/>
      <w:r w:rsidRPr="0081267C">
        <w:t>Data quality improvement</w:t>
      </w:r>
      <w:bookmarkEnd w:id="943"/>
      <w:bookmarkEnd w:id="944"/>
      <w:bookmarkEnd w:id="945"/>
      <w:bookmarkEnd w:id="946"/>
      <w:bookmarkEnd w:id="947"/>
      <w:bookmarkEnd w:id="948"/>
      <w:bookmarkEnd w:id="949"/>
      <w:bookmarkEnd w:id="950"/>
      <w:bookmarkEnd w:id="951"/>
    </w:p>
    <w:p w:rsidR="00475B04" w:rsidRPr="0081267C" w:rsidRDefault="00475B04" w:rsidP="00475B04">
      <w:pPr>
        <w:numPr>
          <w:ilvl w:val="1"/>
          <w:numId w:val="2"/>
        </w:numPr>
        <w:spacing w:before="120"/>
        <w:rPr>
          <w:szCs w:val="24"/>
        </w:rPr>
      </w:pPr>
      <w:r w:rsidRPr="0081267C">
        <w:rPr>
          <w:szCs w:val="24"/>
        </w:rPr>
        <w:t xml:space="preserve">Improving data quality is an important aspect of the Commission’s quality assurance processes. To this end, data use guidelines and a data protocol were agreed with the States in 2005 and </w:t>
      </w:r>
      <w:r w:rsidR="009A5DB5">
        <w:rPr>
          <w:szCs w:val="24"/>
        </w:rPr>
        <w:t>have been followed ever since.</w:t>
      </w:r>
    </w:p>
    <w:p w:rsidR="00475B04" w:rsidRPr="0081267C" w:rsidRDefault="00475B04" w:rsidP="00475B04">
      <w:pPr>
        <w:numPr>
          <w:ilvl w:val="1"/>
          <w:numId w:val="2"/>
        </w:numPr>
        <w:spacing w:before="120"/>
        <w:rPr>
          <w:szCs w:val="24"/>
        </w:rPr>
      </w:pPr>
      <w:r w:rsidRPr="0081267C">
        <w:rPr>
          <w:szCs w:val="24"/>
        </w:rPr>
        <w:t>For this update, the Commission, together with the States, worked to improve the comparability of State provided data used in the assessments.</w:t>
      </w:r>
    </w:p>
    <w:p w:rsidR="00475B04" w:rsidRPr="0081267C" w:rsidRDefault="00475B04" w:rsidP="00475B04">
      <w:pPr>
        <w:numPr>
          <w:ilvl w:val="1"/>
          <w:numId w:val="2"/>
        </w:numPr>
        <w:spacing w:before="120"/>
        <w:rPr>
          <w:szCs w:val="24"/>
        </w:rPr>
      </w:pPr>
      <w:r w:rsidRPr="0081267C">
        <w:rPr>
          <w:szCs w:val="24"/>
        </w:rPr>
        <w:t>The data collection protocol requires the Commission to send a draft copy of requests for new data or information to the States for comments. This is to ensure new requests clearly and accurately specified the data required from the States. For this update, no draft data requests were required.</w:t>
      </w:r>
    </w:p>
    <w:p w:rsidR="00475B04" w:rsidRPr="0081267C" w:rsidRDefault="00475B04" w:rsidP="00475B04">
      <w:pPr>
        <w:numPr>
          <w:ilvl w:val="1"/>
          <w:numId w:val="2"/>
        </w:numPr>
        <w:spacing w:before="120"/>
        <w:rPr>
          <w:szCs w:val="24"/>
        </w:rPr>
      </w:pPr>
      <w:r w:rsidRPr="0081267C">
        <w:rPr>
          <w:szCs w:val="24"/>
        </w:rPr>
        <w:t>We included the previous year’s data in all on-going data requests to help data providers identify the information sought and to assist State and Commission staff to identify abnormal movements in the data between the current and the previous year. Commission staff also checked the data on receipt and sought to clarify any unexpected changes with State Treasury officer</w:t>
      </w:r>
      <w:r w:rsidR="009A5DB5">
        <w:rPr>
          <w:szCs w:val="24"/>
        </w:rPr>
        <w:t>s.</w:t>
      </w:r>
    </w:p>
    <w:p w:rsidR="00475B04" w:rsidRPr="0081267C" w:rsidRDefault="00475B04" w:rsidP="00475B04">
      <w:pPr>
        <w:numPr>
          <w:ilvl w:val="1"/>
          <w:numId w:val="2"/>
        </w:numPr>
        <w:spacing w:before="120"/>
        <w:rPr>
          <w:szCs w:val="24"/>
        </w:rPr>
      </w:pPr>
      <w:r w:rsidRPr="0081267C">
        <w:rPr>
          <w:szCs w:val="24"/>
        </w:rPr>
        <w:t xml:space="preserve">Late in this update, Western Australia </w:t>
      </w:r>
      <w:r w:rsidRPr="0081267C">
        <w:t>raised concerns in a submission about the quality of land value data provided by States which are used in the Land tax assessment. The Commission considered Western Australia’s concerns and a response is provided in the New Issues chapter.</w:t>
      </w:r>
    </w:p>
    <w:p w:rsidR="00475B04" w:rsidRPr="0081267C" w:rsidRDefault="00475B04" w:rsidP="00475B04">
      <w:pPr>
        <w:numPr>
          <w:ilvl w:val="1"/>
          <w:numId w:val="2"/>
        </w:numPr>
        <w:spacing w:before="120"/>
        <w:rPr>
          <w:szCs w:val="24"/>
        </w:rPr>
      </w:pPr>
      <w:r w:rsidRPr="0081267C">
        <w:rPr>
          <w:szCs w:val="24"/>
        </w:rPr>
        <w:t>We also asked the States to clearly identify which datasets used in our assessments could be provided to other State agencies and/or to other third parties to provide as much access to data as possible but also to ensure confidentiality requirements were satisfied.</w:t>
      </w:r>
    </w:p>
    <w:p w:rsidR="00475B04" w:rsidRPr="0081267C" w:rsidRDefault="00475B04" w:rsidP="00E346F3">
      <w:pPr>
        <w:pStyle w:val="Heading3"/>
      </w:pPr>
      <w:bookmarkStart w:id="952" w:name="_Toc428803278"/>
      <w:bookmarkStart w:id="953" w:name="_Toc432499639"/>
      <w:bookmarkStart w:id="954" w:name="_Toc432510867"/>
      <w:bookmarkStart w:id="955" w:name="_Toc433353506"/>
      <w:bookmarkStart w:id="956" w:name="_Toc442773586"/>
      <w:bookmarkStart w:id="957" w:name="_Toc442781618"/>
      <w:bookmarkStart w:id="958" w:name="_Toc442785915"/>
      <w:bookmarkStart w:id="959" w:name="_Toc442883333"/>
      <w:bookmarkStart w:id="960" w:name="_Toc442949209"/>
      <w:r w:rsidRPr="0081267C">
        <w:lastRenderedPageBreak/>
        <w:t>Calculation audit processes</w:t>
      </w:r>
      <w:bookmarkEnd w:id="952"/>
      <w:bookmarkEnd w:id="953"/>
      <w:bookmarkEnd w:id="954"/>
      <w:bookmarkEnd w:id="955"/>
      <w:bookmarkEnd w:id="956"/>
      <w:bookmarkEnd w:id="957"/>
      <w:bookmarkEnd w:id="958"/>
      <w:bookmarkEnd w:id="959"/>
      <w:bookmarkEnd w:id="960"/>
    </w:p>
    <w:p w:rsidR="00475B04" w:rsidRPr="0081267C" w:rsidRDefault="00475B04" w:rsidP="00475B04">
      <w:pPr>
        <w:numPr>
          <w:ilvl w:val="1"/>
          <w:numId w:val="2"/>
        </w:numPr>
        <w:spacing w:before="120"/>
        <w:rPr>
          <w:szCs w:val="24"/>
        </w:rPr>
      </w:pPr>
      <w:r w:rsidRPr="0081267C">
        <w:rPr>
          <w:szCs w:val="24"/>
        </w:rPr>
        <w:t>We completed a rigorous internal audit of all calculations. Internal checks were performed and formally signed off by the assessment officer, the assessment team leader and another officer not involved in the original calculation.</w:t>
      </w:r>
    </w:p>
    <w:p w:rsidR="00475B04" w:rsidRPr="0081267C" w:rsidRDefault="00475B04" w:rsidP="00475B04">
      <w:pPr>
        <w:numPr>
          <w:ilvl w:val="1"/>
          <w:numId w:val="2"/>
        </w:numPr>
        <w:spacing w:before="120"/>
        <w:rPr>
          <w:szCs w:val="24"/>
        </w:rPr>
      </w:pPr>
      <w:r w:rsidRPr="0081267C">
        <w:rPr>
          <w:szCs w:val="24"/>
        </w:rPr>
        <w:t>We also engaged external consultants to check a sample of calculations — Insurance tax, Stamp duty, Health, Welfare, Justice,</w:t>
      </w:r>
      <w:r w:rsidR="00DD7620" w:rsidRPr="0081267C">
        <w:rPr>
          <w:szCs w:val="24"/>
        </w:rPr>
        <w:t xml:space="preserve"> Services to communities, Roads and</w:t>
      </w:r>
      <w:r w:rsidRPr="0081267C">
        <w:rPr>
          <w:szCs w:val="24"/>
        </w:rPr>
        <w:t xml:space="preserve"> Adjusted budget – Commonwealth payments. These audits were over and above the internal checking by Commission staff. The external consultant</w:t>
      </w:r>
      <w:r w:rsidR="008D1D43">
        <w:rPr>
          <w:szCs w:val="24"/>
        </w:rPr>
        <w:t>s</w:t>
      </w:r>
      <w:r w:rsidRPr="0081267C">
        <w:rPr>
          <w:szCs w:val="24"/>
        </w:rPr>
        <w:t xml:space="preserve"> did not find any ma</w:t>
      </w:r>
      <w:r w:rsidR="009A5DB5">
        <w:rPr>
          <w:szCs w:val="24"/>
        </w:rPr>
        <w:t>jor issues in the calculations.</w:t>
      </w:r>
    </w:p>
    <w:p w:rsidR="00475B04" w:rsidRPr="0081267C" w:rsidRDefault="00475B04" w:rsidP="00E346F3">
      <w:pPr>
        <w:pStyle w:val="Heading3"/>
      </w:pPr>
      <w:bookmarkStart w:id="961" w:name="_Toc428803279"/>
      <w:bookmarkStart w:id="962" w:name="_Toc432499640"/>
      <w:bookmarkStart w:id="963" w:name="_Toc432510868"/>
      <w:bookmarkStart w:id="964" w:name="_Toc433353507"/>
      <w:bookmarkStart w:id="965" w:name="_Toc442773587"/>
      <w:bookmarkStart w:id="966" w:name="_Toc442781619"/>
      <w:bookmarkStart w:id="967" w:name="_Toc442785916"/>
      <w:bookmarkStart w:id="968" w:name="_Toc442883334"/>
      <w:bookmarkStart w:id="969" w:name="_Toc442949210"/>
      <w:r w:rsidRPr="0081267C">
        <w:t>Reporting of methods, decisions and results</w:t>
      </w:r>
      <w:bookmarkEnd w:id="961"/>
      <w:bookmarkEnd w:id="962"/>
      <w:bookmarkEnd w:id="963"/>
      <w:bookmarkEnd w:id="964"/>
      <w:bookmarkEnd w:id="965"/>
      <w:bookmarkEnd w:id="966"/>
      <w:bookmarkEnd w:id="967"/>
      <w:bookmarkEnd w:id="968"/>
      <w:bookmarkEnd w:id="969"/>
    </w:p>
    <w:p w:rsidR="00475B04" w:rsidRPr="0081267C" w:rsidRDefault="00475B04" w:rsidP="00475B04">
      <w:pPr>
        <w:numPr>
          <w:ilvl w:val="1"/>
          <w:numId w:val="2"/>
        </w:numPr>
        <w:spacing w:before="120"/>
        <w:rPr>
          <w:szCs w:val="24"/>
        </w:rPr>
      </w:pPr>
      <w:r w:rsidRPr="0081267C">
        <w:rPr>
          <w:szCs w:val="24"/>
        </w:rPr>
        <w:t xml:space="preserve">Transparency and accuracy in reporting the assessment methods, decisions and results are important parts of </w:t>
      </w:r>
      <w:r w:rsidR="009A5DB5">
        <w:rPr>
          <w:szCs w:val="24"/>
        </w:rPr>
        <w:t>providing high quality outputs.</w:t>
      </w:r>
    </w:p>
    <w:p w:rsidR="00475B04" w:rsidRPr="0081267C" w:rsidRDefault="00475B04" w:rsidP="00475B04">
      <w:pPr>
        <w:numPr>
          <w:ilvl w:val="1"/>
          <w:numId w:val="2"/>
        </w:numPr>
        <w:spacing w:before="120"/>
        <w:rPr>
          <w:szCs w:val="24"/>
        </w:rPr>
      </w:pPr>
      <w:r w:rsidRPr="0081267C">
        <w:rPr>
          <w:szCs w:val="24"/>
        </w:rPr>
        <w:t xml:space="preserve">We consulted the States on new issues arising in this update that might affect the relativities. Staff discussion papers on new issues were sent to the States for comment. Commission decisions are set out in </w:t>
      </w:r>
      <w:r w:rsidRPr="0081267C">
        <w:rPr>
          <w:i/>
          <w:szCs w:val="24"/>
        </w:rPr>
        <w:t>Chapter 2 New issues</w:t>
      </w:r>
      <w:r w:rsidRPr="0081267C">
        <w:rPr>
          <w:szCs w:val="24"/>
        </w:rPr>
        <w:t xml:space="preserve"> in this update report. The decisions were made using the assessment and SPP guidelines developed in the 2015 Review.</w:t>
      </w:r>
    </w:p>
    <w:p w:rsidR="00475B04" w:rsidRPr="0081267C" w:rsidRDefault="00475B04" w:rsidP="00475B04">
      <w:pPr>
        <w:numPr>
          <w:ilvl w:val="1"/>
          <w:numId w:val="2"/>
        </w:numPr>
        <w:spacing w:before="120"/>
        <w:rPr>
          <w:szCs w:val="24"/>
        </w:rPr>
      </w:pPr>
      <w:r w:rsidRPr="0081267C">
        <w:rPr>
          <w:szCs w:val="24"/>
        </w:rPr>
        <w:t xml:space="preserve">We also consulted the States on our review of the Wage costs assessment. Three staff discussion papers were sent to the States for comments, and discussions were held with the States via telepresence and an Australian Labour Market Research Workshop. Commission decisions are set out in </w:t>
      </w:r>
      <w:r w:rsidRPr="0081267C">
        <w:rPr>
          <w:i/>
          <w:szCs w:val="24"/>
        </w:rPr>
        <w:t>Chapter 3 Wage costs</w:t>
      </w:r>
      <w:r w:rsidR="009A5DB5">
        <w:rPr>
          <w:szCs w:val="24"/>
        </w:rPr>
        <w:t>.</w:t>
      </w:r>
    </w:p>
    <w:p w:rsidR="00475B04" w:rsidRPr="0081267C" w:rsidRDefault="00475B04" w:rsidP="00475B04">
      <w:pPr>
        <w:numPr>
          <w:ilvl w:val="1"/>
          <w:numId w:val="2"/>
        </w:numPr>
        <w:spacing w:before="120"/>
        <w:rPr>
          <w:szCs w:val="24"/>
        </w:rPr>
      </w:pPr>
      <w:r w:rsidRPr="0081267C">
        <w:rPr>
          <w:szCs w:val="24"/>
        </w:rPr>
        <w:t>We undertook a comprehensive program of proof-reading and checking of tables and results to ensure they aligned with the original calculations.</w:t>
      </w:r>
    </w:p>
    <w:p w:rsidR="00475B04" w:rsidRPr="0081267C" w:rsidRDefault="00475B04" w:rsidP="00475B04">
      <w:pPr>
        <w:numPr>
          <w:ilvl w:val="1"/>
          <w:numId w:val="2"/>
        </w:numPr>
        <w:spacing w:before="120"/>
        <w:rPr>
          <w:szCs w:val="24"/>
        </w:rPr>
      </w:pPr>
      <w:r w:rsidRPr="0081267C">
        <w:rPr>
          <w:szCs w:val="24"/>
        </w:rPr>
        <w:t xml:space="preserve">We continued to post additional material on the </w:t>
      </w:r>
      <w:hyperlink r:id="rId77" w:history="1">
        <w:r w:rsidR="003B4674" w:rsidRPr="003B4674">
          <w:rPr>
            <w:rStyle w:val="Hyperlink"/>
          </w:rPr>
          <w:t>Commission’s website</w:t>
        </w:r>
      </w:hyperlink>
      <w:r w:rsidR="003B4674">
        <w:t xml:space="preserve"> </w:t>
      </w:r>
      <w:r w:rsidR="0047639F">
        <w:rPr>
          <w:szCs w:val="24"/>
        </w:rPr>
        <w:t>(</w:t>
      </w:r>
      <w:r w:rsidR="0047639F" w:rsidRPr="0047639F">
        <w:rPr>
          <w:szCs w:val="24"/>
        </w:rPr>
        <w:t>www.cgc.gov.au</w:t>
      </w:r>
      <w:r w:rsidR="0047639F">
        <w:rPr>
          <w:szCs w:val="24"/>
        </w:rPr>
        <w:t xml:space="preserve">) </w:t>
      </w:r>
      <w:r w:rsidRPr="0081267C">
        <w:rPr>
          <w:szCs w:val="24"/>
        </w:rPr>
        <w:t>to help explain the Commission’s work more simply and transparently. This material aims to help people, other than the staff of the Commonwealth and State Treasuries, understand the Australian equalisation system and the Commission’s work.</w:t>
      </w:r>
    </w:p>
    <w:sectPr w:rsidR="00475B04" w:rsidRPr="0081267C" w:rsidSect="0004123E">
      <w:footerReference w:type="default" r:id="rId78"/>
      <w:footerReference w:type="first" r:id="rId79"/>
      <w:pgSz w:w="11899" w:h="16838" w:code="9"/>
      <w:pgMar w:top="1701" w:right="1474" w:bottom="1701" w:left="1474" w:header="709" w:footer="709"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AF0" w:rsidRDefault="007A6AF0">
      <w:r>
        <w:separator/>
      </w:r>
    </w:p>
  </w:endnote>
  <w:endnote w:type="continuationSeparator" w:id="0">
    <w:p w:rsidR="007A6AF0" w:rsidRDefault="007A6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Pr="001E3FFA" w:rsidRDefault="007A6AF0" w:rsidP="001E3FFA">
    <w:pPr>
      <w:pStyle w:val="Footer"/>
      <w:jc w:val="right"/>
    </w:pPr>
    <w:r w:rsidRPr="001E3FFA">
      <w:fldChar w:fldCharType="begin"/>
    </w:r>
    <w:r w:rsidRPr="001E3FFA">
      <w:instrText xml:space="preserve"> PAGE   \* MERGEFORMAT </w:instrText>
    </w:r>
    <w:r w:rsidRPr="001E3FFA">
      <w:fldChar w:fldCharType="separate"/>
    </w:r>
    <w:r w:rsidR="0014378B">
      <w:rPr>
        <w:noProof/>
      </w:rPr>
      <w:t>ix</w:t>
    </w:r>
    <w:r w:rsidRPr="001E3FFA">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Pr="0011178C" w:rsidRDefault="007A6AF0" w:rsidP="003929D2">
    <w:pPr>
      <w:pStyle w:val="Footer"/>
      <w:jc w:val="right"/>
    </w:pPr>
    <w:r>
      <w:fldChar w:fldCharType="begin"/>
    </w:r>
    <w:r>
      <w:instrText xml:space="preserve"> PAGE  \* Arabic  \* MERGEFORMAT </w:instrText>
    </w:r>
    <w:r>
      <w:fldChar w:fldCharType="separate"/>
    </w:r>
    <w:r>
      <w:rPr>
        <w:noProof/>
      </w:rPr>
      <w:t>82</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Pr="0011178C" w:rsidRDefault="007A6AF0" w:rsidP="00530A48">
    <w:pPr>
      <w:pStyle w:val="Footer"/>
      <w:tabs>
        <w:tab w:val="clear" w:pos="4513"/>
        <w:tab w:val="clear" w:pos="9026"/>
        <w:tab w:val="right" w:pos="9639"/>
      </w:tabs>
    </w:pPr>
    <w:r>
      <w:rPr>
        <w:i/>
      </w:rPr>
      <w:t>Overview</w:t>
    </w:r>
    <w:r w:rsidRPr="00C86815">
      <w:rPr>
        <w:i/>
      </w:rPr>
      <w:tab/>
    </w:r>
    <w:r>
      <w:fldChar w:fldCharType="begin"/>
    </w:r>
    <w:r>
      <w:instrText xml:space="preserve"> PAGE  \* Arabic  \* MERGEFORMAT </w:instrText>
    </w:r>
    <w:r>
      <w:fldChar w:fldCharType="separate"/>
    </w:r>
    <w:r w:rsidR="0014378B">
      <w:rPr>
        <w:noProof/>
      </w:rPr>
      <w:t>9</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Pr="0011178C" w:rsidRDefault="007A6AF0" w:rsidP="003929D2">
    <w:pPr>
      <w:pStyle w:val="Footer"/>
      <w:jc w:val="right"/>
    </w:pPr>
    <w:r>
      <w:fldChar w:fldCharType="begin"/>
    </w:r>
    <w:r>
      <w:instrText xml:space="preserve"> PAGE  \* Arabic  \* MERGEFORMAT </w:instrText>
    </w:r>
    <w:r>
      <w:fldChar w:fldCharType="separate"/>
    </w:r>
    <w:r>
      <w:rPr>
        <w:noProof/>
      </w:rPr>
      <w:t>82</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Pr="0011178C" w:rsidRDefault="007A6AF0" w:rsidP="00530A48">
    <w:pPr>
      <w:pStyle w:val="Footer"/>
      <w:tabs>
        <w:tab w:val="clear" w:pos="4513"/>
        <w:tab w:val="clear" w:pos="9026"/>
        <w:tab w:val="right" w:pos="9639"/>
      </w:tabs>
    </w:pPr>
    <w:r>
      <w:rPr>
        <w:i/>
      </w:rPr>
      <w:t>Overview</w:t>
    </w:r>
    <w:r w:rsidRPr="00C86815">
      <w:rPr>
        <w:i/>
      </w:rPr>
      <w:tab/>
    </w:r>
    <w:r>
      <w:fldChar w:fldCharType="begin"/>
    </w:r>
    <w:r>
      <w:instrText xml:space="preserve"> PAGE  \* Arabic  \* MERGEFORMAT </w:instrText>
    </w:r>
    <w:r>
      <w:fldChar w:fldCharType="separate"/>
    </w:r>
    <w:r w:rsidR="0014378B">
      <w:rPr>
        <w:noProof/>
      </w:rPr>
      <w:t>10</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Pr="0011178C" w:rsidRDefault="007A6AF0" w:rsidP="003929D2">
    <w:pPr>
      <w:pStyle w:val="Footer"/>
      <w:jc w:val="right"/>
    </w:pPr>
    <w:r>
      <w:fldChar w:fldCharType="begin"/>
    </w:r>
    <w:r>
      <w:instrText xml:space="preserve"> PAGE  \* Arabic  \* MERGEFORMAT </w:instrText>
    </w:r>
    <w:r>
      <w:fldChar w:fldCharType="separate"/>
    </w:r>
    <w:r>
      <w:rPr>
        <w:noProof/>
      </w:rPr>
      <w:t>82</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Pr="0011178C" w:rsidRDefault="007A6AF0" w:rsidP="00530A48">
    <w:pPr>
      <w:pStyle w:val="Footer"/>
      <w:tabs>
        <w:tab w:val="clear" w:pos="4513"/>
        <w:tab w:val="clear" w:pos="9026"/>
        <w:tab w:val="right" w:pos="9639"/>
      </w:tabs>
    </w:pPr>
    <w:r>
      <w:rPr>
        <w:i/>
      </w:rPr>
      <w:t>Overview</w:t>
    </w:r>
    <w:r w:rsidRPr="00C86815">
      <w:rPr>
        <w:i/>
      </w:rPr>
      <w:tab/>
    </w:r>
    <w:r>
      <w:fldChar w:fldCharType="begin"/>
    </w:r>
    <w:r>
      <w:instrText xml:space="preserve"> PAGE  \* Arabic  \* MERGEFORMAT </w:instrText>
    </w:r>
    <w:r>
      <w:fldChar w:fldCharType="separate"/>
    </w:r>
    <w:r w:rsidR="0014378B">
      <w:rPr>
        <w:noProof/>
      </w:rPr>
      <w:t>11</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Pr="0011178C" w:rsidRDefault="007A6AF0" w:rsidP="003929D2">
    <w:pPr>
      <w:pStyle w:val="Footer"/>
      <w:jc w:val="right"/>
    </w:pPr>
    <w:r>
      <w:fldChar w:fldCharType="begin"/>
    </w:r>
    <w:r>
      <w:instrText xml:space="preserve"> PAGE  \* Arabic  \* MERGEFORMAT </w:instrText>
    </w:r>
    <w:r>
      <w:fldChar w:fldCharType="separate"/>
    </w:r>
    <w:r>
      <w:rPr>
        <w:noProof/>
      </w:rPr>
      <w:t>82</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Pr="0011178C" w:rsidRDefault="007A6AF0" w:rsidP="00530A48">
    <w:pPr>
      <w:pStyle w:val="Footer"/>
      <w:tabs>
        <w:tab w:val="clear" w:pos="4513"/>
        <w:tab w:val="clear" w:pos="9026"/>
        <w:tab w:val="right" w:pos="9639"/>
      </w:tabs>
    </w:pPr>
    <w:r>
      <w:rPr>
        <w:i/>
      </w:rPr>
      <w:t>Overview</w:t>
    </w:r>
    <w:r w:rsidRPr="00C86815">
      <w:rPr>
        <w:i/>
      </w:rPr>
      <w:tab/>
    </w:r>
    <w:r>
      <w:fldChar w:fldCharType="begin"/>
    </w:r>
    <w:r>
      <w:instrText xml:space="preserve"> PAGE  \* Arabic  \* MERGEFORMAT </w:instrText>
    </w:r>
    <w:r>
      <w:fldChar w:fldCharType="separate"/>
    </w:r>
    <w:r w:rsidR="0014378B">
      <w:rPr>
        <w:noProof/>
      </w:rPr>
      <w:t>12</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Pr="0011178C" w:rsidRDefault="007A6AF0" w:rsidP="003929D2">
    <w:pPr>
      <w:pStyle w:val="Footer"/>
      <w:jc w:val="right"/>
    </w:pPr>
    <w:r>
      <w:fldChar w:fldCharType="begin"/>
    </w:r>
    <w:r>
      <w:instrText xml:space="preserve"> PAGE  \* Arabic  \* MERGEFORMAT </w:instrText>
    </w:r>
    <w:r>
      <w:fldChar w:fldCharType="separate"/>
    </w:r>
    <w:r>
      <w:rPr>
        <w:noProof/>
      </w:rPr>
      <w:t>82</w:t>
    </w:r>
    <w:r>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Pr="0011178C" w:rsidRDefault="007A6AF0" w:rsidP="00530A48">
    <w:pPr>
      <w:pStyle w:val="Footer"/>
      <w:tabs>
        <w:tab w:val="clear" w:pos="4513"/>
        <w:tab w:val="clear" w:pos="9026"/>
        <w:tab w:val="right" w:pos="9639"/>
      </w:tabs>
    </w:pPr>
    <w:r>
      <w:rPr>
        <w:i/>
      </w:rPr>
      <w:t>Overview</w:t>
    </w:r>
    <w:r w:rsidRPr="00C86815">
      <w:rPr>
        <w:i/>
      </w:rPr>
      <w:tab/>
    </w:r>
    <w:r>
      <w:fldChar w:fldCharType="begin"/>
    </w:r>
    <w:r>
      <w:instrText xml:space="preserve"> PAGE  \* Arabic  \* MERGEFORMAT </w:instrText>
    </w:r>
    <w:r>
      <w:fldChar w:fldCharType="separate"/>
    </w:r>
    <w:r w:rsidR="0014378B">
      <w:rPr>
        <w:noProof/>
      </w:rPr>
      <w:t>13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Pr="007E487F" w:rsidRDefault="007A6AF0" w:rsidP="00165419">
    <w:pPr>
      <w:pStyle w:val="Footer"/>
      <w:tabs>
        <w:tab w:val="right" w:pos="8931"/>
      </w:tabs>
      <w:jc w:val="right"/>
      <w:rPr>
        <w:sz w:val="20"/>
        <w:szCs w:val="20"/>
      </w:rPr>
    </w:pPr>
    <w:r>
      <w:rPr>
        <w:sz w:val="20"/>
        <w:szCs w:val="20"/>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Default="007A6AF0" w:rsidP="00A42C46">
    <w:pPr>
      <w:pStyle w:val="Footer"/>
      <w:jc w:val="center"/>
    </w:pPr>
    <w:r>
      <w:fldChar w:fldCharType="begin"/>
    </w:r>
    <w:r>
      <w:instrText xml:space="preserve"> PAGE  \* Arabic  \* MERGEFORMAT </w:instrText>
    </w:r>
    <w:r>
      <w:fldChar w:fldCharType="separate"/>
    </w:r>
    <w:r>
      <w:rPr>
        <w:noProof/>
      </w:rPr>
      <w:t>82</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Default="007A6AF0">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Pr="00705697" w:rsidRDefault="007A6AF0" w:rsidP="00C86815">
    <w:pPr>
      <w:pStyle w:val="Footer"/>
      <w:tabs>
        <w:tab w:val="clear" w:pos="4513"/>
      </w:tabs>
    </w:pPr>
    <w:r>
      <w:rPr>
        <w:i/>
      </w:rPr>
      <w:fldChar w:fldCharType="begin"/>
    </w:r>
    <w:r>
      <w:rPr>
        <w:i/>
      </w:rPr>
      <w:instrText xml:space="preserve"> REF _Ref430701543 \r \h </w:instrText>
    </w:r>
    <w:r>
      <w:rPr>
        <w:i/>
      </w:rPr>
    </w:r>
    <w:r>
      <w:rPr>
        <w:i/>
      </w:rPr>
      <w:fldChar w:fldCharType="separate"/>
    </w:r>
    <w:r>
      <w:rPr>
        <w:i/>
      </w:rPr>
      <w:t>Chapter 1</w:t>
    </w:r>
    <w:r>
      <w:rPr>
        <w:i/>
      </w:rPr>
      <w:fldChar w:fldCharType="end"/>
    </w:r>
    <w:r>
      <w:rPr>
        <w:i/>
      </w:rPr>
      <w:t xml:space="preserve"> Changes in the GST distribution</w:t>
    </w:r>
    <w:r w:rsidRPr="00C86815">
      <w:rPr>
        <w:i/>
      </w:rPr>
      <w:tab/>
    </w:r>
    <w:r w:rsidRPr="00705697">
      <w:fldChar w:fldCharType="begin"/>
    </w:r>
    <w:r w:rsidRPr="00705697">
      <w:instrText xml:space="preserve"> PAGE  \* Arabic  \* MERGEFORMAT </w:instrText>
    </w:r>
    <w:r w:rsidRPr="00705697">
      <w:fldChar w:fldCharType="separate"/>
    </w:r>
    <w:r w:rsidR="0014378B">
      <w:rPr>
        <w:noProof/>
      </w:rPr>
      <w:t>34</w:t>
    </w:r>
    <w:r w:rsidRPr="00705697">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Default="007A6AF0" w:rsidP="0004756E">
    <w:pPr>
      <w:pStyle w:val="Footer"/>
      <w:tabs>
        <w:tab w:val="clear" w:pos="4513"/>
      </w:tabs>
    </w:pPr>
    <w:r>
      <w:tab/>
    </w:r>
    <w:r>
      <w:fldChar w:fldCharType="begin"/>
    </w:r>
    <w:r>
      <w:instrText xml:space="preserve"> PAGE \* MERGEFORMAT </w:instrText>
    </w:r>
    <w:r>
      <w:fldChar w:fldCharType="separate"/>
    </w:r>
    <w:r w:rsidR="0014378B">
      <w:rPr>
        <w:noProof/>
      </w:rPr>
      <w:t>62</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Pr="00705697" w:rsidRDefault="007A6AF0" w:rsidP="00C86815">
    <w:pPr>
      <w:pStyle w:val="Footer"/>
      <w:tabs>
        <w:tab w:val="clear" w:pos="4513"/>
      </w:tabs>
    </w:pPr>
    <w:r>
      <w:rPr>
        <w:i/>
      </w:rPr>
      <w:fldChar w:fldCharType="begin"/>
    </w:r>
    <w:r>
      <w:rPr>
        <w:i/>
      </w:rPr>
      <w:instrText xml:space="preserve"> REF _Ref430700117 \r \h </w:instrText>
    </w:r>
    <w:r>
      <w:rPr>
        <w:i/>
      </w:rPr>
    </w:r>
    <w:r>
      <w:rPr>
        <w:i/>
      </w:rPr>
      <w:fldChar w:fldCharType="separate"/>
    </w:r>
    <w:r>
      <w:rPr>
        <w:i/>
      </w:rPr>
      <w:t>Chapter 2</w:t>
    </w:r>
    <w:r>
      <w:rPr>
        <w:i/>
      </w:rPr>
      <w:fldChar w:fldCharType="end"/>
    </w:r>
    <w:r>
      <w:rPr>
        <w:i/>
      </w:rPr>
      <w:t xml:space="preserve"> </w:t>
    </w:r>
    <w:r w:rsidRPr="00CA4CEE">
      <w:rPr>
        <w:i/>
      </w:rPr>
      <w:fldChar w:fldCharType="begin"/>
    </w:r>
    <w:r w:rsidRPr="00CA4CEE">
      <w:rPr>
        <w:i/>
      </w:rPr>
      <w:instrText xml:space="preserve"> REF _Ref433034888 \h  \* MERGEFORMAT </w:instrText>
    </w:r>
    <w:r w:rsidRPr="00CA4CEE">
      <w:rPr>
        <w:i/>
      </w:rPr>
    </w:r>
    <w:r w:rsidRPr="00CA4CEE">
      <w:rPr>
        <w:i/>
      </w:rPr>
      <w:fldChar w:fldCharType="separate"/>
    </w:r>
    <w:r w:rsidRPr="007A6AF0">
      <w:rPr>
        <w:i/>
      </w:rPr>
      <w:t>New issues in this update</w:t>
    </w:r>
    <w:r w:rsidRPr="00CA4CEE">
      <w:rPr>
        <w:i/>
      </w:rPr>
      <w:fldChar w:fldCharType="end"/>
    </w:r>
    <w:r w:rsidRPr="00C86815">
      <w:rPr>
        <w:i/>
      </w:rPr>
      <w:tab/>
    </w:r>
    <w:r w:rsidRPr="00705697">
      <w:fldChar w:fldCharType="begin"/>
    </w:r>
    <w:r w:rsidRPr="00705697">
      <w:instrText xml:space="preserve"> PAGE  \* Arabic  \* MERGEFORMAT </w:instrText>
    </w:r>
    <w:r w:rsidRPr="00705697">
      <w:fldChar w:fldCharType="separate"/>
    </w:r>
    <w:r w:rsidR="0014378B">
      <w:rPr>
        <w:noProof/>
      </w:rPr>
      <w:t>61</w:t>
    </w:r>
    <w:r w:rsidRPr="00705697">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Pr="00705697" w:rsidRDefault="007A6AF0" w:rsidP="00C86815">
    <w:pPr>
      <w:pStyle w:val="Footer"/>
      <w:tabs>
        <w:tab w:val="clear" w:pos="4513"/>
      </w:tabs>
    </w:pPr>
    <w:r>
      <w:rPr>
        <w:i/>
      </w:rPr>
      <w:fldChar w:fldCharType="begin"/>
    </w:r>
    <w:r>
      <w:rPr>
        <w:i/>
      </w:rPr>
      <w:instrText xml:space="preserve"> REF _Ref441242519 \r \h </w:instrText>
    </w:r>
    <w:r>
      <w:rPr>
        <w:i/>
      </w:rPr>
    </w:r>
    <w:r>
      <w:rPr>
        <w:i/>
      </w:rPr>
      <w:fldChar w:fldCharType="separate"/>
    </w:r>
    <w:r>
      <w:rPr>
        <w:i/>
      </w:rPr>
      <w:t>Chapter 3</w:t>
    </w:r>
    <w:r>
      <w:rPr>
        <w:i/>
      </w:rPr>
      <w:fldChar w:fldCharType="end"/>
    </w:r>
    <w:r>
      <w:rPr>
        <w:i/>
      </w:rPr>
      <w:t xml:space="preserve"> </w:t>
    </w:r>
    <w:r w:rsidRPr="00905F2D">
      <w:rPr>
        <w:i/>
      </w:rPr>
      <w:fldChar w:fldCharType="begin"/>
    </w:r>
    <w:r w:rsidRPr="00905F2D">
      <w:rPr>
        <w:i/>
      </w:rPr>
      <w:instrText xml:space="preserve"> REF _Ref441242497 \h  \* MERGEFORMAT </w:instrText>
    </w:r>
    <w:r w:rsidRPr="00905F2D">
      <w:rPr>
        <w:i/>
      </w:rPr>
    </w:r>
    <w:r w:rsidRPr="00905F2D">
      <w:rPr>
        <w:i/>
      </w:rPr>
      <w:fldChar w:fldCharType="separate"/>
    </w:r>
    <w:r w:rsidRPr="007A6AF0">
      <w:rPr>
        <w:i/>
      </w:rPr>
      <w:t>Wage costs</w:t>
    </w:r>
    <w:r w:rsidRPr="00905F2D">
      <w:rPr>
        <w:i/>
      </w:rPr>
      <w:fldChar w:fldCharType="end"/>
    </w:r>
    <w:r w:rsidRPr="00C86815">
      <w:rPr>
        <w:i/>
      </w:rPr>
      <w:tab/>
    </w:r>
    <w:r w:rsidRPr="00705697">
      <w:fldChar w:fldCharType="begin"/>
    </w:r>
    <w:r w:rsidRPr="00705697">
      <w:instrText xml:space="preserve"> PAGE  \* Arabic  \* MERGEFORMAT </w:instrText>
    </w:r>
    <w:r w:rsidRPr="00705697">
      <w:fldChar w:fldCharType="separate"/>
    </w:r>
    <w:r w:rsidR="0014378B">
      <w:rPr>
        <w:noProof/>
      </w:rPr>
      <w:t>80</w:t>
    </w:r>
    <w:r w:rsidRPr="00705697">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Pr="0011178C" w:rsidRDefault="007A6AF0" w:rsidP="00C11CB8">
    <w:pPr>
      <w:pStyle w:val="Footer"/>
      <w:tabs>
        <w:tab w:val="clear" w:pos="4513"/>
      </w:tabs>
    </w:pPr>
    <w:r>
      <w:rPr>
        <w:i/>
      </w:rPr>
      <w:fldChar w:fldCharType="begin"/>
    </w:r>
    <w:r>
      <w:rPr>
        <w:i/>
      </w:rPr>
      <w:instrText xml:space="preserve"> REF _Ref441241060 \r \h </w:instrText>
    </w:r>
    <w:r>
      <w:rPr>
        <w:i/>
      </w:rPr>
    </w:r>
    <w:r>
      <w:rPr>
        <w:i/>
      </w:rPr>
      <w:fldChar w:fldCharType="separate"/>
    </w:r>
    <w:r>
      <w:rPr>
        <w:i/>
      </w:rPr>
      <w:t>Attachment A</w:t>
    </w:r>
    <w:r>
      <w:rPr>
        <w:i/>
      </w:rPr>
      <w:fldChar w:fldCharType="end"/>
    </w:r>
    <w:r>
      <w:rPr>
        <w:i/>
      </w:rPr>
      <w:t xml:space="preserve"> </w:t>
    </w:r>
    <w:r w:rsidRPr="00DA3269">
      <w:rPr>
        <w:i/>
      </w:rPr>
      <w:fldChar w:fldCharType="begin"/>
    </w:r>
    <w:r w:rsidRPr="00DA3269">
      <w:rPr>
        <w:i/>
      </w:rPr>
      <w:instrText xml:space="preserve"> REF _Ref430696309 \h  \* MERGEFORMAT </w:instrText>
    </w:r>
    <w:r w:rsidRPr="00DA3269">
      <w:rPr>
        <w:i/>
      </w:rPr>
    </w:r>
    <w:r w:rsidRPr="00DA3269">
      <w:rPr>
        <w:i/>
      </w:rPr>
      <w:fldChar w:fldCharType="separate"/>
    </w:r>
    <w:r w:rsidRPr="007A6AF0">
      <w:rPr>
        <w:i/>
      </w:rPr>
      <w:t>Quality assurance</w:t>
    </w:r>
    <w:r w:rsidRPr="00DA3269">
      <w:rPr>
        <w:i/>
      </w:rPr>
      <w:fldChar w:fldCharType="end"/>
    </w:r>
    <w:r w:rsidRPr="00C86815">
      <w:rPr>
        <w:i/>
      </w:rPr>
      <w:tab/>
    </w:r>
    <w:r>
      <w:fldChar w:fldCharType="begin"/>
    </w:r>
    <w:r>
      <w:instrText xml:space="preserve"> PAGE  \* Arabic  \* MERGEFORMAT </w:instrText>
    </w:r>
    <w:r>
      <w:fldChar w:fldCharType="separate"/>
    </w:r>
    <w:r w:rsidR="0014378B">
      <w:rPr>
        <w:noProof/>
      </w:rPr>
      <w:t>82</w:t>
    </w:r>
    <w:r>
      <w:rPr>
        <w:noProof/>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Pr="007E487F" w:rsidRDefault="007A6AF0" w:rsidP="00DC0F02">
    <w:pPr>
      <w:pStyle w:val="Footer"/>
      <w:tabs>
        <w:tab w:val="right" w:pos="8931"/>
      </w:tabs>
      <w:rPr>
        <w:sz w:val="20"/>
        <w:szCs w:val="20"/>
      </w:rPr>
    </w:pPr>
    <w:r>
      <w:rPr>
        <w:sz w:val="20"/>
        <w:szCs w:val="20"/>
      </w:rPr>
      <w:tab/>
    </w:r>
    <w:r>
      <w:rPr>
        <w:sz w:val="20"/>
        <w:szCs w:val="20"/>
      </w:rPr>
      <w:tab/>
    </w:r>
    <w:r>
      <w:rPr>
        <w:sz w:val="20"/>
        <w:szCs w:val="20"/>
      </w:rPr>
      <w:tab/>
    </w:r>
    <w:r>
      <w:fldChar w:fldCharType="begin"/>
    </w:r>
    <w:r>
      <w:instrText xml:space="preserve"> PAGE   \* MERGEFORMAT </w:instrText>
    </w:r>
    <w:r>
      <w:fldChar w:fldCharType="separate"/>
    </w:r>
    <w:r w:rsidR="0014378B">
      <w:rPr>
        <w:noProof/>
      </w:rPr>
      <w:t>81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Pr="00E54CEB" w:rsidRDefault="007A6AF0" w:rsidP="0004344C">
    <w:pPr>
      <w:pStyle w:val="Footer"/>
      <w:tabs>
        <w:tab w:val="clear" w:pos="4513"/>
      </w:tabs>
    </w:pPr>
    <w:r w:rsidRPr="00C86815">
      <w:rPr>
        <w:i/>
      </w:rPr>
      <w:tab/>
    </w:r>
    <w:r w:rsidRPr="00E54CEB">
      <w:fldChar w:fldCharType="begin"/>
    </w:r>
    <w:r w:rsidRPr="00E54CEB">
      <w:instrText xml:space="preserve"> PAGE \* MERGEFORMAT </w:instrText>
    </w:r>
    <w:r w:rsidRPr="00E54CEB">
      <w:fldChar w:fldCharType="separate"/>
    </w:r>
    <w:r w:rsidR="0014378B">
      <w:rPr>
        <w:noProof/>
      </w:rPr>
      <w:t>vi</w:t>
    </w:r>
    <w:r w:rsidRPr="00E54CEB">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Pr="00E54CEB" w:rsidRDefault="007A6AF0" w:rsidP="00132DB7">
    <w:pPr>
      <w:pStyle w:val="Footer"/>
      <w:tabs>
        <w:tab w:val="clear" w:pos="4513"/>
      </w:tabs>
    </w:pPr>
    <w:r>
      <w:rPr>
        <w:i/>
      </w:rPr>
      <w:t>Overview</w:t>
    </w:r>
    <w:r w:rsidRPr="00C86815">
      <w:rPr>
        <w:i/>
      </w:rPr>
      <w:tab/>
    </w:r>
    <w:r w:rsidRPr="00E54CEB">
      <w:fldChar w:fldCharType="begin"/>
    </w:r>
    <w:r w:rsidRPr="00E54CEB">
      <w:instrText xml:space="preserve"> PAGE \* MERGEFORMAT </w:instrText>
    </w:r>
    <w:r w:rsidRPr="00E54CEB">
      <w:fldChar w:fldCharType="separate"/>
    </w:r>
    <w:r w:rsidR="0014378B">
      <w:rPr>
        <w:noProof/>
      </w:rPr>
      <w:t>5</w:t>
    </w:r>
    <w:r w:rsidRPr="00E54CEB">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Pr="0011178C" w:rsidRDefault="007A6AF0" w:rsidP="00530A48">
    <w:pPr>
      <w:pStyle w:val="Footer"/>
      <w:tabs>
        <w:tab w:val="clear" w:pos="4513"/>
        <w:tab w:val="clear" w:pos="9026"/>
        <w:tab w:val="right" w:pos="9639"/>
      </w:tabs>
    </w:pPr>
    <w:r w:rsidRPr="00C86815">
      <w:rPr>
        <w:i/>
      </w:rPr>
      <w:tab/>
    </w:r>
    <w:r>
      <w:fldChar w:fldCharType="begin"/>
    </w:r>
    <w:r>
      <w:instrText xml:space="preserve"> PAGE  \* Arabic  \* MERGEFORMAT </w:instrText>
    </w:r>
    <w:r>
      <w:fldChar w:fldCharType="separate"/>
    </w:r>
    <w:r w:rsidR="0014378B">
      <w:rPr>
        <w:noProof/>
      </w:rPr>
      <w:t>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Pr="0011178C" w:rsidRDefault="007A6AF0" w:rsidP="00530A48">
    <w:pPr>
      <w:pStyle w:val="Footer"/>
      <w:tabs>
        <w:tab w:val="clear" w:pos="4513"/>
        <w:tab w:val="clear" w:pos="9026"/>
        <w:tab w:val="right" w:pos="9639"/>
      </w:tabs>
    </w:pPr>
    <w:r>
      <w:rPr>
        <w:i/>
      </w:rPr>
      <w:t>Overview</w:t>
    </w:r>
    <w:r w:rsidRPr="00C86815">
      <w:rPr>
        <w:i/>
      </w:rPr>
      <w:tab/>
    </w:r>
    <w:r>
      <w:fldChar w:fldCharType="begin"/>
    </w:r>
    <w:r>
      <w:instrText xml:space="preserve"> PAGE  \* Arabic  \* MERGEFORMAT </w:instrText>
    </w:r>
    <w:r>
      <w:fldChar w:fldCharType="separate"/>
    </w:r>
    <w:r w:rsidR="0014378B">
      <w:rPr>
        <w:noProof/>
      </w:rPr>
      <w:t>6</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Pr="0011178C" w:rsidRDefault="007A6AF0" w:rsidP="00530A48">
    <w:pPr>
      <w:pStyle w:val="Footer"/>
      <w:tabs>
        <w:tab w:val="clear" w:pos="4513"/>
        <w:tab w:val="clear" w:pos="9026"/>
        <w:tab w:val="right" w:pos="9639"/>
      </w:tabs>
    </w:pPr>
    <w:r>
      <w:rPr>
        <w:i/>
      </w:rPr>
      <w:t>Overview</w:t>
    </w:r>
    <w:r w:rsidRPr="00C86815">
      <w:rPr>
        <w:i/>
      </w:rPr>
      <w:tab/>
    </w:r>
    <w:r>
      <w:fldChar w:fldCharType="begin"/>
    </w:r>
    <w:r>
      <w:instrText xml:space="preserve"> PAGE  \* Arabic  \* MERGEFORMAT </w:instrText>
    </w:r>
    <w:r>
      <w:fldChar w:fldCharType="separate"/>
    </w:r>
    <w:r w:rsidR="0014378B">
      <w:rPr>
        <w:noProof/>
      </w:rPr>
      <w:t>7</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Pr="0011178C" w:rsidRDefault="007A6AF0" w:rsidP="003929D2">
    <w:pPr>
      <w:pStyle w:val="Footer"/>
      <w:jc w:val="right"/>
    </w:pPr>
    <w:r>
      <w:fldChar w:fldCharType="begin"/>
    </w:r>
    <w:r>
      <w:instrText xml:space="preserve"> PAGE  \* Arabic  \* MERGEFORMAT </w:instrText>
    </w:r>
    <w:r>
      <w:fldChar w:fldCharType="separate"/>
    </w:r>
    <w:r>
      <w:rPr>
        <w:noProof/>
      </w:rPr>
      <w:t>82</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Pr="0011178C" w:rsidRDefault="007A6AF0" w:rsidP="00530A48">
    <w:pPr>
      <w:pStyle w:val="Footer"/>
      <w:tabs>
        <w:tab w:val="clear" w:pos="4513"/>
        <w:tab w:val="clear" w:pos="9026"/>
        <w:tab w:val="right" w:pos="9639"/>
      </w:tabs>
    </w:pPr>
    <w:r>
      <w:rPr>
        <w:i/>
      </w:rPr>
      <w:t>Overview</w:t>
    </w:r>
    <w:r w:rsidRPr="00C86815">
      <w:rPr>
        <w:i/>
      </w:rPr>
      <w:tab/>
    </w:r>
    <w:r>
      <w:fldChar w:fldCharType="begin"/>
    </w:r>
    <w:r>
      <w:instrText xml:space="preserve"> PAGE  \* Arabic  \* MERGEFORMAT </w:instrText>
    </w:r>
    <w:r>
      <w:fldChar w:fldCharType="separate"/>
    </w:r>
    <w:r w:rsidR="0014378B">
      <w:rPr>
        <w:noProof/>
      </w:rPr>
      <w:t>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AF0" w:rsidRDefault="007A6AF0">
      <w:r>
        <w:separator/>
      </w:r>
    </w:p>
  </w:footnote>
  <w:footnote w:type="continuationSeparator" w:id="0">
    <w:p w:rsidR="007A6AF0" w:rsidRDefault="007A6AF0">
      <w:r>
        <w:continuationSeparator/>
      </w:r>
    </w:p>
  </w:footnote>
  <w:footnote w:id="1">
    <w:p w:rsidR="007A6AF0" w:rsidRDefault="007A6AF0">
      <w:pPr>
        <w:pStyle w:val="FootnoteText"/>
      </w:pPr>
      <w:r>
        <w:rPr>
          <w:rStyle w:val="FootnoteReference"/>
        </w:rPr>
        <w:footnoteRef/>
      </w:r>
      <w:r>
        <w:t xml:space="preserve"> </w:t>
      </w:r>
      <w:r>
        <w:tab/>
      </w:r>
      <w:r w:rsidRPr="00B953CD">
        <w:t xml:space="preserve">The procedure used by the Commission to derive </w:t>
      </w:r>
      <w:r>
        <w:t>the</w:t>
      </w:r>
      <w:r w:rsidRPr="00B953CD">
        <w:t xml:space="preserve"> recommended GST distribution </w:t>
      </w:r>
      <w:r>
        <w:t xml:space="preserve">using State revenue, expenditure and PSPs </w:t>
      </w:r>
      <w:r w:rsidRPr="00B953CD">
        <w:t>is called the distribution model.</w:t>
      </w:r>
      <w:r>
        <w:t xml:space="preserve"> Information about the distribution model is available on the </w:t>
      </w:r>
      <w:hyperlink r:id="rId1" w:history="1">
        <w:r w:rsidRPr="0047639F">
          <w:rPr>
            <w:rStyle w:val="Hyperlink"/>
          </w:rPr>
          <w:t>Commission’s website</w:t>
        </w:r>
      </w:hyperlink>
      <w:r>
        <w:t xml:space="preserve"> (www.cgc.gov.au).</w:t>
      </w:r>
    </w:p>
  </w:footnote>
  <w:footnote w:id="2">
    <w:p w:rsidR="007A6AF0" w:rsidRDefault="007A6AF0" w:rsidP="00D51CD4">
      <w:pPr>
        <w:pStyle w:val="FootnoteText"/>
      </w:pPr>
      <w:r w:rsidRPr="00B90EFD">
        <w:rPr>
          <w:rStyle w:val="FootnoteReference"/>
          <w:sz w:val="24"/>
          <w:szCs w:val="24"/>
        </w:rPr>
        <w:footnoteRef/>
      </w:r>
      <w:r>
        <w:t xml:space="preserve"> </w:t>
      </w:r>
      <w:r>
        <w:tab/>
        <w:t>References to changes over time generally reflect the change over the assessment years, from 2011</w:t>
      </w:r>
      <w:r>
        <w:noBreakHyphen/>
        <w:t>12 to 2014</w:t>
      </w:r>
      <w:r>
        <w:noBreakHyphen/>
        <w:t>15. They are not intended to imply current or prospective movements.</w:t>
      </w:r>
    </w:p>
  </w:footnote>
  <w:footnote w:id="3">
    <w:p w:rsidR="007A6AF0" w:rsidRDefault="007A6AF0" w:rsidP="00792CE2">
      <w:pPr>
        <w:pStyle w:val="FootnoteText"/>
      </w:pPr>
      <w:r>
        <w:rPr>
          <w:rStyle w:val="FootnoteReference"/>
        </w:rPr>
        <w:footnoteRef/>
      </w:r>
      <w:r>
        <w:t xml:space="preserve"> </w:t>
      </w:r>
      <w:r>
        <w:tab/>
        <w:t>Source: Commonwealth Department of Industry, Innovation and Science.</w:t>
      </w:r>
    </w:p>
  </w:footnote>
  <w:footnote w:id="4">
    <w:p w:rsidR="007A6AF0" w:rsidRDefault="007A6AF0" w:rsidP="00792CE2">
      <w:pPr>
        <w:pStyle w:val="FootnoteText"/>
      </w:pPr>
      <w:r>
        <w:rPr>
          <w:rStyle w:val="FootnoteReference"/>
        </w:rPr>
        <w:footnoteRef/>
      </w:r>
      <w:r>
        <w:t xml:space="preserve"> </w:t>
      </w:r>
      <w:r>
        <w:tab/>
      </w:r>
      <w:proofErr w:type="gramStart"/>
      <w:r>
        <w:t>Based on the average Australian export unit value of these commodities in Australian dollar terms.</w:t>
      </w:r>
      <w:proofErr w:type="gramEnd"/>
    </w:p>
  </w:footnote>
  <w:footnote w:id="5">
    <w:p w:rsidR="007A6AF0" w:rsidRDefault="007A6AF0">
      <w:pPr>
        <w:pStyle w:val="FootnoteText"/>
      </w:pPr>
      <w:r>
        <w:rPr>
          <w:rStyle w:val="FootnoteReference"/>
        </w:rPr>
        <w:footnoteRef/>
      </w:r>
      <w:r>
        <w:t xml:space="preserve"> </w:t>
      </w:r>
      <w:r>
        <w:tab/>
        <w:t>The decline in the ACT’s private sector CoE may be overstated because the standard errors of the data are higher than for other States. However, the Commission’s three year averaging process acts to dampen the influence of such errors.</w:t>
      </w:r>
    </w:p>
  </w:footnote>
  <w:footnote w:id="6">
    <w:p w:rsidR="007A6AF0" w:rsidRDefault="007A6AF0" w:rsidP="00BB50E2">
      <w:pPr>
        <w:pStyle w:val="FootnoteText"/>
      </w:pPr>
      <w:r>
        <w:rPr>
          <w:rStyle w:val="FootnoteReference"/>
        </w:rPr>
        <w:footnoteRef/>
      </w:r>
      <w:r>
        <w:t xml:space="preserve"> </w:t>
      </w:r>
      <w:r>
        <w:tab/>
      </w:r>
      <w:r w:rsidRPr="000B6357">
        <w:t xml:space="preserve">We exclude revenue received through </w:t>
      </w:r>
      <w:r>
        <w:t>PSPs</w:t>
      </w:r>
      <w:r w:rsidRPr="000B6357">
        <w:t xml:space="preserve"> under certain circumstances, including when directed to do so by the terms of reference. Commonwealth payments having no impact on the relativities are discussed in</w:t>
      </w:r>
      <w:r>
        <w:t xml:space="preserve"> Chapter 2</w:t>
      </w:r>
      <w:r w:rsidRPr="000B6357">
        <w:t>.</w:t>
      </w:r>
    </w:p>
  </w:footnote>
  <w:footnote w:id="7">
    <w:p w:rsidR="007A6AF0" w:rsidRDefault="007A6AF0">
      <w:pPr>
        <w:pStyle w:val="FootnoteText"/>
      </w:pPr>
      <w:r>
        <w:rPr>
          <w:rStyle w:val="FootnoteReference"/>
        </w:rPr>
        <w:footnoteRef/>
      </w:r>
      <w:r>
        <w:t xml:space="preserve"> </w:t>
      </w:r>
      <w:r>
        <w:tab/>
        <w:t>Actual net State expenses are confidential although the effect of natural disaster relief expenses on the GST distribution can be shown.</w:t>
      </w:r>
    </w:p>
  </w:footnote>
  <w:footnote w:id="8">
    <w:p w:rsidR="007A6AF0" w:rsidRDefault="007A6AF0">
      <w:pPr>
        <w:pStyle w:val="FootnoteText"/>
      </w:pPr>
      <w:r>
        <w:rPr>
          <w:rStyle w:val="FootnoteReference"/>
        </w:rPr>
        <w:footnoteRef/>
      </w:r>
      <w:r>
        <w:t xml:space="preserve"> </w:t>
      </w:r>
      <w:r>
        <w:tab/>
        <w:t xml:space="preserve">In </w:t>
      </w:r>
      <w:r>
        <w:fldChar w:fldCharType="begin"/>
      </w:r>
      <w:r>
        <w:instrText xml:space="preserve"> REF _Ref432500996 \h </w:instrText>
      </w:r>
      <w:r>
        <w:fldChar w:fldCharType="separate"/>
      </w:r>
      <w:r>
        <w:t xml:space="preserve">Figure </w:t>
      </w:r>
      <w:r>
        <w:rPr>
          <w:noProof/>
        </w:rPr>
        <w:t>1</w:t>
      </w:r>
      <w:r>
        <w:noBreakHyphen/>
      </w:r>
      <w:r>
        <w:rPr>
          <w:noProof/>
        </w:rPr>
        <w:t>8</w:t>
      </w:r>
      <w:r>
        <w:fldChar w:fldCharType="end"/>
      </w:r>
      <w:r>
        <w:t xml:space="preserve"> the per capita GST requirement for each State is shown as the difference between a </w:t>
      </w:r>
      <w:proofErr w:type="gramStart"/>
      <w:r>
        <w:t>State’s</w:t>
      </w:r>
      <w:proofErr w:type="gramEnd"/>
      <w:r>
        <w:t xml:space="preserve"> total assessed expenditure (expenses and investment) and the sum of its assessed own source revenue, net borrowing and Commonwealth payments.</w:t>
      </w:r>
    </w:p>
  </w:footnote>
  <w:footnote w:id="9">
    <w:p w:rsidR="007A6AF0" w:rsidRDefault="007A6AF0" w:rsidP="00B80271">
      <w:pPr>
        <w:pStyle w:val="FootnoteText"/>
      </w:pPr>
      <w:r>
        <w:rPr>
          <w:rStyle w:val="FootnoteReference"/>
        </w:rPr>
        <w:footnoteRef/>
      </w:r>
      <w:r>
        <w:t xml:space="preserve"> </w:t>
      </w:r>
      <w:r>
        <w:tab/>
        <w:t>The ABS conducted the SMVU in 2007, 2010, 2012 and 2014.</w:t>
      </w:r>
    </w:p>
  </w:footnote>
  <w:footnote w:id="10">
    <w:p w:rsidR="007A6AF0" w:rsidRDefault="007A6AF0" w:rsidP="00B80271">
      <w:pPr>
        <w:pStyle w:val="FootnoteText"/>
      </w:pPr>
      <w:r>
        <w:rPr>
          <w:rStyle w:val="FootnoteReference"/>
        </w:rPr>
        <w:footnoteRef/>
      </w:r>
      <w:r>
        <w:t xml:space="preserve"> </w:t>
      </w:r>
      <w:r>
        <w:tab/>
        <w:t>In its latest Determination, the NTC did not change the arterial travel proportions, or its cost matrix which we use to apportion State expenses to our components and sub-components.</w:t>
      </w:r>
    </w:p>
  </w:footnote>
  <w:footnote w:id="11">
    <w:p w:rsidR="007A6AF0" w:rsidRDefault="007A6AF0" w:rsidP="00B80271">
      <w:pPr>
        <w:pStyle w:val="FootnoteText"/>
      </w:pPr>
      <w:r>
        <w:rPr>
          <w:rStyle w:val="FootnoteReference"/>
        </w:rPr>
        <w:footnoteRef/>
      </w:r>
      <w:r>
        <w:t xml:space="preserve"> </w:t>
      </w:r>
      <w:r>
        <w:tab/>
        <w:t xml:space="preserve">CGC, </w:t>
      </w:r>
      <w:r w:rsidRPr="000C725A">
        <w:t>2015 Review Report</w:t>
      </w:r>
      <w:r>
        <w:t xml:space="preserve">, Volume 2, Chapter 12 </w:t>
      </w:r>
      <w:r w:rsidRPr="000C725A">
        <w:rPr>
          <w:i/>
        </w:rPr>
        <w:t>Health</w:t>
      </w:r>
      <w:r>
        <w:rPr>
          <w:i/>
        </w:rPr>
        <w:t>,</w:t>
      </w:r>
      <w:r>
        <w:t xml:space="preserve"> p.</w:t>
      </w:r>
      <w:r w:rsidRPr="00BF6C97">
        <w:t xml:space="preserve"> 215.</w:t>
      </w:r>
    </w:p>
  </w:footnote>
  <w:footnote w:id="12">
    <w:p w:rsidR="007A6AF0" w:rsidRDefault="007A6AF0" w:rsidP="00507091">
      <w:pPr>
        <w:pStyle w:val="FootnoteText"/>
      </w:pPr>
      <w:r>
        <w:rPr>
          <w:rStyle w:val="FootnoteReference"/>
        </w:rPr>
        <w:footnoteRef/>
      </w:r>
      <w:r>
        <w:t xml:space="preserve"> </w:t>
      </w:r>
      <w:r>
        <w:tab/>
        <w:t>These data will be obtained from the Commonwealth Department of Social Services.</w:t>
      </w:r>
    </w:p>
  </w:footnote>
  <w:footnote w:id="13">
    <w:p w:rsidR="007A6AF0" w:rsidRDefault="007A6AF0" w:rsidP="00507091">
      <w:pPr>
        <w:pStyle w:val="FootnoteText"/>
      </w:pPr>
      <w:r>
        <w:rPr>
          <w:rStyle w:val="FootnoteReference"/>
        </w:rPr>
        <w:footnoteRef/>
      </w:r>
      <w:r>
        <w:t xml:space="preserve"> </w:t>
      </w:r>
      <w:r>
        <w:tab/>
        <w:t xml:space="preserve">CGC, </w:t>
      </w:r>
      <w:r w:rsidRPr="000C725A">
        <w:t>2015 Review Report,</w:t>
      </w:r>
      <w:r>
        <w:t xml:space="preserve"> Volume 1, Chapter 2 </w:t>
      </w:r>
      <w:r w:rsidRPr="000C725A">
        <w:rPr>
          <w:i/>
        </w:rPr>
        <w:t>Main issues</w:t>
      </w:r>
      <w:r>
        <w:t>, pp 54-57.</w:t>
      </w:r>
    </w:p>
  </w:footnote>
  <w:footnote w:id="14">
    <w:p w:rsidR="007A6AF0" w:rsidRDefault="007A6AF0" w:rsidP="003225E4">
      <w:pPr>
        <w:pStyle w:val="FootnoteText"/>
      </w:pPr>
      <w:r>
        <w:rPr>
          <w:rStyle w:val="FootnoteReference"/>
        </w:rPr>
        <w:footnoteRef/>
      </w:r>
      <w:r>
        <w:t xml:space="preserve"> </w:t>
      </w:r>
      <w:r>
        <w:tab/>
        <w:t xml:space="preserve">CGC, </w:t>
      </w:r>
      <w:r w:rsidRPr="00130B4B">
        <w:t>2015 Review Report,</w:t>
      </w:r>
      <w:r>
        <w:t xml:space="preserve"> Volume 2, </w:t>
      </w:r>
      <w:r w:rsidRPr="00130B4B">
        <w:t>Chapter 2</w:t>
      </w:r>
      <w:r w:rsidRPr="00130B4B">
        <w:rPr>
          <w:i/>
        </w:rPr>
        <w:t xml:space="preserve"> Treatment of Commonwealth Payments</w:t>
      </w:r>
      <w:r>
        <w:t>, p. 44.</w:t>
      </w:r>
    </w:p>
  </w:footnote>
  <w:footnote w:id="15">
    <w:p w:rsidR="007A6AF0" w:rsidRDefault="007A6AF0" w:rsidP="003225E4">
      <w:pPr>
        <w:pStyle w:val="FootnoteText"/>
      </w:pPr>
      <w:r>
        <w:rPr>
          <w:rStyle w:val="FootnoteReference"/>
        </w:rPr>
        <w:footnoteRef/>
      </w:r>
      <w:r>
        <w:t xml:space="preserve"> </w:t>
      </w:r>
      <w:r>
        <w:tab/>
      </w:r>
      <w:proofErr w:type="gramStart"/>
      <w:r>
        <w:t>Except payments to NGOs for Indigenous health that we collected from the Department of Health and used for the calculation of a disability in the Health assessment.</w:t>
      </w:r>
      <w:proofErr w:type="gramEnd"/>
    </w:p>
  </w:footnote>
  <w:footnote w:id="16">
    <w:p w:rsidR="007A6AF0" w:rsidRDefault="007A6AF0" w:rsidP="00932779">
      <w:pPr>
        <w:pStyle w:val="FootnoteText"/>
      </w:pPr>
      <w:r>
        <w:rPr>
          <w:rStyle w:val="FootnoteReference"/>
        </w:rPr>
        <w:footnoteRef/>
      </w:r>
      <w:r>
        <w:t xml:space="preserve"> </w:t>
      </w:r>
      <w:r>
        <w:tab/>
      </w:r>
      <w:proofErr w:type="gramStart"/>
      <w:r>
        <w:t>Cl</w:t>
      </w:r>
      <w:r w:rsidRPr="00EB6B9C">
        <w:rPr>
          <w:b/>
        </w:rPr>
        <w:t>a</w:t>
      </w:r>
      <w:r>
        <w:t xml:space="preserve">use 16 (a) of the </w:t>
      </w:r>
      <w:r w:rsidRPr="00BE4EB5">
        <w:rPr>
          <w:i/>
        </w:rPr>
        <w:t>National Partnership Agreement on Remote Indigenous Housing</w:t>
      </w:r>
      <w:r>
        <w:t>.</w:t>
      </w:r>
      <w:proofErr w:type="gramEnd"/>
    </w:p>
  </w:footnote>
  <w:footnote w:id="17">
    <w:p w:rsidR="007A6AF0" w:rsidRDefault="007A6AF0" w:rsidP="00932779">
      <w:pPr>
        <w:pStyle w:val="FootnoteText"/>
      </w:pPr>
      <w:r>
        <w:rPr>
          <w:rStyle w:val="FootnoteReference"/>
        </w:rPr>
        <w:footnoteRef/>
      </w:r>
      <w:r>
        <w:t xml:space="preserve"> </w:t>
      </w:r>
      <w:r>
        <w:tab/>
        <w:t>The Commission cannot publish data provided by States on NPARIH because some States asked that the data remain confidential.</w:t>
      </w:r>
    </w:p>
  </w:footnote>
  <w:footnote w:id="18">
    <w:p w:rsidR="007A6AF0" w:rsidRDefault="007A6AF0" w:rsidP="00932779">
      <w:pPr>
        <w:pStyle w:val="FootnoteText"/>
      </w:pPr>
      <w:r>
        <w:rPr>
          <w:rStyle w:val="FootnoteReference"/>
        </w:rPr>
        <w:footnoteRef/>
      </w:r>
      <w:r>
        <w:t xml:space="preserve"> </w:t>
      </w:r>
      <w:r>
        <w:tab/>
      </w:r>
      <w:r w:rsidRPr="00A143BD">
        <w:rPr>
          <w:i/>
        </w:rPr>
        <w:t xml:space="preserve">National Partnership Agreement on Remote Indigenous Housing – Progress </w:t>
      </w:r>
      <w:r w:rsidRPr="00A143BD">
        <w:t>Review (2008-</w:t>
      </w:r>
      <w:r>
        <w:t>20</w:t>
      </w:r>
      <w:r w:rsidRPr="00A143BD">
        <w:t>13)</w:t>
      </w:r>
      <w:r w:rsidRPr="000B68B2">
        <w:t>, p</w:t>
      </w:r>
      <w:r>
        <w:t>age </w:t>
      </w:r>
      <w:r w:rsidRPr="000B68B2">
        <w:t>7.</w:t>
      </w:r>
    </w:p>
  </w:footnote>
  <w:footnote w:id="19">
    <w:p w:rsidR="007A6AF0" w:rsidRPr="00A966AB" w:rsidRDefault="007A6AF0">
      <w:pPr>
        <w:pStyle w:val="FootnoteText"/>
      </w:pPr>
      <w:r>
        <w:rPr>
          <w:rStyle w:val="FootnoteReference"/>
        </w:rPr>
        <w:footnoteRef/>
      </w:r>
      <w:r>
        <w:t xml:space="preserve"> </w:t>
      </w:r>
      <w:r>
        <w:tab/>
        <w:t>CGC</w:t>
      </w:r>
      <w:r w:rsidRPr="0081267C">
        <w:t xml:space="preserve">, </w:t>
      </w:r>
      <w:r w:rsidRPr="00A966AB">
        <w:t>2015 Review, Volume 1,</w:t>
      </w:r>
      <w:r w:rsidRPr="00A966AB">
        <w:rPr>
          <w:i/>
        </w:rPr>
        <w:t xml:space="preserve"> Main findings</w:t>
      </w:r>
      <w:r w:rsidRPr="00A966AB">
        <w:t>, p. 12.</w:t>
      </w:r>
    </w:p>
  </w:footnote>
  <w:footnote w:id="20">
    <w:p w:rsidR="007A6AF0" w:rsidRDefault="007A6AF0" w:rsidP="00475B04">
      <w:pPr>
        <w:pStyle w:val="FootnoteText"/>
      </w:pPr>
      <w:r w:rsidRPr="00A966AB">
        <w:rPr>
          <w:rStyle w:val="FootnoteReference"/>
        </w:rPr>
        <w:footnoteRef/>
      </w:r>
      <w:r w:rsidRPr="00A966AB">
        <w:t xml:space="preserve"> </w:t>
      </w:r>
      <w:r w:rsidRPr="00A966AB">
        <w:tab/>
      </w:r>
      <w:proofErr w:type="spellStart"/>
      <w:r w:rsidRPr="00A966AB">
        <w:t>Mavromaras</w:t>
      </w:r>
      <w:proofErr w:type="spellEnd"/>
      <w:r w:rsidRPr="00A966AB">
        <w:t xml:space="preserve">, K, </w:t>
      </w:r>
      <w:proofErr w:type="spellStart"/>
      <w:r w:rsidRPr="00A966AB">
        <w:t>Mahuteau</w:t>
      </w:r>
      <w:proofErr w:type="spellEnd"/>
      <w:r w:rsidRPr="00A966AB">
        <w:t xml:space="preserve">, S, Richardson, S, and Zhu, R. </w:t>
      </w:r>
      <w:r w:rsidRPr="00A966AB">
        <w:rPr>
          <w:i/>
        </w:rPr>
        <w:t>Public-private wage differentials in Australia: What are the differences by State and how do they impact GST redistribution decisions.</w:t>
      </w:r>
      <w:r w:rsidRPr="00A966AB">
        <w:t xml:space="preserve"> </w:t>
      </w:r>
      <w:proofErr w:type="gramStart"/>
      <w:r w:rsidRPr="00A966AB">
        <w:t>19 February 2016, National Institute of Labour Studies, Flinders University.</w:t>
      </w:r>
      <w:proofErr w:type="gramEnd"/>
    </w:p>
  </w:footnote>
  <w:footnote w:id="21">
    <w:p w:rsidR="007A6AF0" w:rsidRDefault="007A6AF0" w:rsidP="00475B04">
      <w:pPr>
        <w:pStyle w:val="FootnoteText"/>
      </w:pPr>
      <w:r>
        <w:rPr>
          <w:rStyle w:val="FootnoteReference"/>
        </w:rPr>
        <w:footnoteRef/>
      </w:r>
      <w:r>
        <w:t xml:space="preserve"> </w:t>
      </w:r>
      <w:r>
        <w:tab/>
        <w:t xml:space="preserve">While the findings of our consultants are discussed in relevant parts of this chapter, </w:t>
      </w:r>
      <w:r>
        <w:fldChar w:fldCharType="begin"/>
      </w:r>
      <w:r>
        <w:instrText xml:space="preserve"> REF _Ref442273105 \h </w:instrText>
      </w:r>
      <w:r>
        <w:fldChar w:fldCharType="separate"/>
      </w:r>
      <w:r>
        <w:t>Box 3-</w:t>
      </w:r>
      <w:r>
        <w:rPr>
          <w:noProof/>
        </w:rPr>
        <w:t>2</w:t>
      </w:r>
      <w:r>
        <w:fldChar w:fldCharType="end"/>
      </w:r>
      <w:r>
        <w:t xml:space="preserve"> summarises the key themes that have come from the Mavromaras et al consultancy and the States’ responses.</w:t>
      </w:r>
    </w:p>
  </w:footnote>
  <w:footnote w:id="22">
    <w:p w:rsidR="007A6AF0" w:rsidRDefault="007A6AF0" w:rsidP="00475B04">
      <w:pPr>
        <w:pStyle w:val="FootnoteText"/>
      </w:pPr>
      <w:r>
        <w:rPr>
          <w:rStyle w:val="FootnoteReference"/>
        </w:rPr>
        <w:footnoteRef/>
      </w:r>
      <w:r>
        <w:t xml:space="preserve"> </w:t>
      </w:r>
      <w:r>
        <w:tab/>
        <w:t>From South Australia’s first submission to the 2015 Review (July 2013).</w:t>
      </w:r>
    </w:p>
  </w:footnote>
  <w:footnote w:id="23">
    <w:p w:rsidR="007A6AF0" w:rsidRDefault="007A6AF0" w:rsidP="00475B04">
      <w:pPr>
        <w:pStyle w:val="FootnoteText"/>
      </w:pPr>
      <w:r>
        <w:rPr>
          <w:rStyle w:val="FootnoteReference"/>
          <w:rFonts w:ascii="Calibri" w:hAnsi="Calibri"/>
        </w:rPr>
        <w:footnoteRef/>
      </w:r>
      <w:r>
        <w:t xml:space="preserve"> </w:t>
      </w:r>
      <w:r>
        <w:tab/>
        <w:t>For example, 43% of very remote Western Australian workers worked 60 hours or more, compared with 4% nationally.</w:t>
      </w:r>
    </w:p>
  </w:footnote>
  <w:footnote w:id="24">
    <w:p w:rsidR="007A6AF0" w:rsidRDefault="007A6AF0" w:rsidP="00475B04">
      <w:pPr>
        <w:pStyle w:val="FootnoteText"/>
      </w:pPr>
      <w:r>
        <w:rPr>
          <w:rStyle w:val="FootnoteReference"/>
          <w:rFonts w:ascii="Calibri" w:hAnsi="Calibri"/>
        </w:rPr>
        <w:footnoteRef/>
      </w:r>
      <w:r>
        <w:t xml:space="preserve"> </w:t>
      </w:r>
      <w:r>
        <w:tab/>
      </w:r>
      <w:r>
        <w:rPr>
          <w:noProof/>
          <w:lang w:eastAsia="en-AU"/>
        </w:rPr>
        <w:t>Controlling for a small range of variables using Census data  leads to an estimate of $30 per capita for Western Australia. Controlling for a wider range of variables reduces this to under $10 per capita. It is not clear what the impact would be if we controlled for all variables in the CoES analysis.</w:t>
      </w:r>
    </w:p>
  </w:footnote>
  <w:footnote w:id="25">
    <w:p w:rsidR="007A6AF0" w:rsidRPr="003E5FD3" w:rsidRDefault="007A6AF0" w:rsidP="00475B04">
      <w:pPr>
        <w:pStyle w:val="FootnoteText"/>
        <w:rPr>
          <w:i/>
        </w:rPr>
      </w:pPr>
      <w:r>
        <w:rPr>
          <w:rStyle w:val="FootnoteReference"/>
        </w:rPr>
        <w:footnoteRef/>
      </w:r>
      <w:r>
        <w:t xml:space="preserve"> </w:t>
      </w:r>
      <w:r>
        <w:tab/>
        <w:t xml:space="preserve">Western Australia submission to 2015 Review (December 2015), </w:t>
      </w:r>
      <w:r w:rsidRPr="00F25ED5">
        <w:rPr>
          <w:i/>
        </w:rPr>
        <w:t>Appendix B: Western</w:t>
      </w:r>
      <w:r>
        <w:rPr>
          <w:i/>
        </w:rPr>
        <w:t xml:space="preserve"> Australian Agencies’ Staffing of Regional Areas.</w:t>
      </w:r>
    </w:p>
  </w:footnote>
  <w:footnote w:id="26">
    <w:p w:rsidR="007A6AF0" w:rsidRDefault="007A6AF0">
      <w:pPr>
        <w:pStyle w:val="FootnoteText"/>
      </w:pPr>
      <w:r>
        <w:rPr>
          <w:rStyle w:val="FootnoteReference"/>
        </w:rPr>
        <w:footnoteRef/>
      </w:r>
      <w:r>
        <w:t xml:space="preserve"> </w:t>
      </w:r>
      <w:r>
        <w:tab/>
        <w:t>CGC</w:t>
      </w:r>
      <w:r w:rsidRPr="00081DF3">
        <w:rPr>
          <w:i/>
        </w:rPr>
        <w:t xml:space="preserve">, </w:t>
      </w:r>
      <w:r w:rsidRPr="00081DF3">
        <w:t>2010 Review</w:t>
      </w:r>
      <w:r>
        <w:t xml:space="preserve">, Volume 2, Chapter 24 </w:t>
      </w:r>
      <w:r w:rsidRPr="00081DF3">
        <w:rPr>
          <w:i/>
        </w:rPr>
        <w:t>Locations costs</w:t>
      </w:r>
      <w:r>
        <w:t>, p. 505.</w:t>
      </w:r>
    </w:p>
  </w:footnote>
  <w:footnote w:id="27">
    <w:p w:rsidR="007A6AF0" w:rsidRPr="00EF479C" w:rsidRDefault="007A6AF0" w:rsidP="008A61AF">
      <w:pPr>
        <w:pStyle w:val="FootnoteText"/>
      </w:pPr>
      <w:r>
        <w:rPr>
          <w:rStyle w:val="FootnoteReference"/>
        </w:rPr>
        <w:footnoteRef/>
      </w:r>
      <w:r>
        <w:t xml:space="preserve"> </w:t>
      </w:r>
      <w:r>
        <w:tab/>
        <w:t xml:space="preserve">CGC, 2015 Review, Volume 1, Chapter 5 </w:t>
      </w:r>
      <w:r>
        <w:rPr>
          <w:i/>
        </w:rPr>
        <w:t>Quality Assurance</w:t>
      </w:r>
      <w:r>
        <w:t xml:space="preserve">, p. 133. </w:t>
      </w:r>
    </w:p>
  </w:footnote>
  <w:footnote w:id="28">
    <w:p w:rsidR="007A6AF0" w:rsidRPr="00082E23" w:rsidRDefault="007A6AF0" w:rsidP="00475B04">
      <w:pPr>
        <w:pStyle w:val="FootnoteText"/>
      </w:pPr>
      <w:r w:rsidRPr="00082E23">
        <w:rPr>
          <w:vertAlign w:val="superscript"/>
        </w:rPr>
        <w:footnoteRef/>
      </w:r>
      <w:r w:rsidRPr="00082E23">
        <w:tab/>
      </w:r>
      <w:r>
        <w:t>CGC</w:t>
      </w:r>
      <w:r w:rsidRPr="00082E23">
        <w:t xml:space="preserve">, </w:t>
      </w:r>
      <w:r w:rsidRPr="00E329EA">
        <w:t>2010 Review</w:t>
      </w:r>
      <w:r>
        <w:t xml:space="preserve">, Volume 2, </w:t>
      </w:r>
      <w:r w:rsidRPr="00E329EA">
        <w:rPr>
          <w:i/>
        </w:rPr>
        <w:t>Location costs</w:t>
      </w:r>
      <w:r>
        <w:t xml:space="preserve">, p. </w:t>
      </w:r>
      <w:r w:rsidRPr="00082E23">
        <w:t>505.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Default="007A6AF0" w:rsidP="006C44A8">
    <w:pPr>
      <w:pStyle w:val="Header"/>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Default="007A6A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Default="007A6AF0" w:rsidP="006C44A8">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Default="007A6AF0" w:rsidP="006C44A8">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Default="007A6AF0" w:rsidP="00D64B6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Default="007A6AF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Default="007A6AF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Default="007A6AF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Default="007A6AF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F0" w:rsidRDefault="007A6A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679"/>
    <w:multiLevelType w:val="multilevel"/>
    <w:tmpl w:val="87ECD5DE"/>
    <w:lvl w:ilvl="0">
      <w:start w:val="1"/>
      <w:numFmt w:val="lowerRoman"/>
      <w:lvlText w:val="(%1)"/>
      <w:lvlJc w:val="right"/>
      <w:pPr>
        <w:tabs>
          <w:tab w:val="num" w:pos="1701"/>
        </w:tabs>
        <w:ind w:left="1701" w:hanging="45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11B0A16"/>
    <w:multiLevelType w:val="multilevel"/>
    <w:tmpl w:val="AABC8B22"/>
    <w:lvl w:ilvl="0">
      <w:start w:val="1"/>
      <w:numFmt w:val="upperLetter"/>
      <w:lvlText w:val="Attachmen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F2813CA"/>
    <w:multiLevelType w:val="hybridMultilevel"/>
    <w:tmpl w:val="ACC0C2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3">
    <w:nsid w:val="153D7BB4"/>
    <w:multiLevelType w:val="multilevel"/>
    <w:tmpl w:val="410E2C24"/>
    <w:lvl w:ilvl="0">
      <w:start w:val="1"/>
      <w:numFmt w:val="decimal"/>
      <w:suff w:val="space"/>
      <w:lvlText w:val="Chapter %1"/>
      <w:lvlJc w:val="left"/>
      <w:pPr>
        <w:ind w:left="0" w:firstLine="0"/>
      </w:pPr>
      <w:rPr>
        <w:rFonts w:hint="default"/>
      </w:rPr>
    </w:lvl>
    <w:lvl w:ilvl="1">
      <w:start w:val="1"/>
      <w:numFmt w:val="decimal"/>
      <w:pStyle w:val="CGCNumberedPara"/>
      <w:lvlText w:val="%2"/>
      <w:lvlJc w:val="left"/>
      <w:pPr>
        <w:tabs>
          <w:tab w:val="num" w:pos="567"/>
        </w:tabs>
        <w:ind w:left="567" w:hanging="5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16C95DEC"/>
    <w:multiLevelType w:val="multilevel"/>
    <w:tmpl w:val="09E854DC"/>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9B86973"/>
    <w:multiLevelType w:val="hybridMultilevel"/>
    <w:tmpl w:val="42B487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6">
    <w:nsid w:val="21C66C66"/>
    <w:multiLevelType w:val="multilevel"/>
    <w:tmpl w:val="5B74CF8C"/>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8">
    <w:nsid w:val="2D665DFA"/>
    <w:multiLevelType w:val="singleLevel"/>
    <w:tmpl w:val="EFA66126"/>
    <w:lvl w:ilvl="0">
      <w:start w:val="1"/>
      <w:numFmt w:val="lowerLetter"/>
      <w:lvlRestart w:val="0"/>
      <w:lvlText w:val="(%1)"/>
      <w:lvlJc w:val="left"/>
      <w:pPr>
        <w:tabs>
          <w:tab w:val="num" w:pos="1134"/>
        </w:tabs>
        <w:ind w:left="1134" w:hanging="567"/>
      </w:pPr>
      <w:rPr>
        <w:rFonts w:ascii="Corbel" w:hAnsi="Corbel" w:cs="Times New Roman" w:hint="default"/>
        <w:b w:val="0"/>
        <w:i w:val="0"/>
        <w:sz w:val="21"/>
      </w:rPr>
    </w:lvl>
  </w:abstractNum>
  <w:abstractNum w:abstractNumId="9">
    <w:nsid w:val="317A6023"/>
    <w:multiLevelType w:val="hybridMultilevel"/>
    <w:tmpl w:val="1262912E"/>
    <w:lvl w:ilvl="0" w:tplc="9B9083DC">
      <w:start w:val="1"/>
      <w:numFmt w:val="lowerRoman"/>
      <w:pStyle w:val="CGCNumeralList"/>
      <w:lvlText w:val="%1"/>
      <w:lvlJc w:val="left"/>
      <w:pPr>
        <w:ind w:left="206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9CB5609"/>
    <w:multiLevelType w:val="hybridMultilevel"/>
    <w:tmpl w:val="24484DBE"/>
    <w:lvl w:ilvl="0" w:tplc="A1CEF810">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A62027F"/>
    <w:multiLevelType w:val="multilevel"/>
    <w:tmpl w:val="F89E4650"/>
    <w:lvl w:ilvl="0">
      <w:start w:val="4"/>
      <w:numFmt w:val="upperLetter"/>
      <w:lvlText w:val="%1"/>
      <w:lvlJc w:val="left"/>
      <w:pPr>
        <w:tabs>
          <w:tab w:val="num" w:pos="0"/>
        </w:tabs>
        <w:ind w:hanging="567"/>
      </w:pPr>
      <w:rPr>
        <w:rFonts w:cs="Times New Roman" w:hint="default"/>
      </w:rPr>
    </w:lvl>
    <w:lvl w:ilvl="1">
      <w:start w:val="1"/>
      <w:numFmt w:val="decimal"/>
      <w:lvlText w:val="%1%2"/>
      <w:lvlJc w:val="left"/>
      <w:pPr>
        <w:tabs>
          <w:tab w:val="num" w:pos="567"/>
        </w:tabs>
        <w:ind w:left="567" w:hanging="567"/>
      </w:pPr>
      <w:rPr>
        <w:rFonts w:cs="Times New Roman" w:hint="default"/>
        <w:i w:val="0"/>
      </w:rPr>
    </w:lvl>
    <w:lvl w:ilvl="2">
      <w:start w:val="1"/>
      <w:numFmt w:val="lowerRoman"/>
      <w:lvlText w:val="%3."/>
      <w:lvlJc w:val="right"/>
      <w:pPr>
        <w:tabs>
          <w:tab w:val="num" w:pos="1593"/>
        </w:tabs>
        <w:ind w:left="1593" w:hanging="180"/>
      </w:pPr>
      <w:rPr>
        <w:rFonts w:cs="Times New Roman" w:hint="default"/>
      </w:rPr>
    </w:lvl>
    <w:lvl w:ilvl="3">
      <w:start w:val="1"/>
      <w:numFmt w:val="decimal"/>
      <w:lvlText w:val="%4."/>
      <w:lvlJc w:val="left"/>
      <w:pPr>
        <w:tabs>
          <w:tab w:val="num" w:pos="2313"/>
        </w:tabs>
        <w:ind w:left="2313" w:hanging="360"/>
      </w:pPr>
      <w:rPr>
        <w:rFonts w:cs="Times New Roman"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12">
    <w:nsid w:val="3D0A6680"/>
    <w:multiLevelType w:val="multilevel"/>
    <w:tmpl w:val="646E338E"/>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3FE32354"/>
    <w:multiLevelType w:val="hybridMultilevel"/>
    <w:tmpl w:val="7D6053A6"/>
    <w:lvl w:ilvl="0" w:tplc="5FE44A6C">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C831537"/>
    <w:multiLevelType w:val="multilevel"/>
    <w:tmpl w:val="811ED896"/>
    <w:lvl w:ilvl="0">
      <w:start w:val="1"/>
      <w:numFmt w:val="decimal"/>
      <w:suff w:val="space"/>
      <w:lvlText w:val="Chapter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nsid w:val="4CDF4199"/>
    <w:multiLevelType w:val="hybridMultilevel"/>
    <w:tmpl w:val="99062688"/>
    <w:lvl w:ilvl="0" w:tplc="F3F48994">
      <w:start w:val="1"/>
      <w:numFmt w:val="bullet"/>
      <w:pStyle w:val="CGCQuotationBullet"/>
      <w:lvlText w:val=""/>
      <w:lvlJc w:val="left"/>
      <w:pPr>
        <w:tabs>
          <w:tab w:val="num" w:pos="1701"/>
        </w:tabs>
        <w:ind w:left="1701"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5AAF2E6C"/>
    <w:multiLevelType w:val="hybridMultilevel"/>
    <w:tmpl w:val="4EEC234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7">
    <w:nsid w:val="5D124923"/>
    <w:multiLevelType w:val="multilevel"/>
    <w:tmpl w:val="DA6AC07E"/>
    <w:lvl w:ilvl="0">
      <w:start w:val="1"/>
      <w:numFmt w:val="bullet"/>
      <w:lvlText w:val=""/>
      <w:lvlJc w:val="left"/>
      <w:pPr>
        <w:tabs>
          <w:tab w:val="num" w:pos="1627"/>
        </w:tabs>
        <w:ind w:left="1627"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5F120A6F"/>
    <w:multiLevelType w:val="multilevel"/>
    <w:tmpl w:val="EC6A24FE"/>
    <w:lvl w:ilvl="0">
      <w:start w:val="1"/>
      <w:numFmt w:val="bullet"/>
      <w:lvlText w:val=""/>
      <w:lvlJc w:val="left"/>
      <w:pPr>
        <w:tabs>
          <w:tab w:val="num" w:pos="927"/>
        </w:tabs>
        <w:ind w:left="1134"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60FE42A7"/>
    <w:multiLevelType w:val="hybridMultilevel"/>
    <w:tmpl w:val="E4B8FB9A"/>
    <w:lvl w:ilvl="0" w:tplc="18EA3C62">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9552687"/>
    <w:multiLevelType w:val="multilevel"/>
    <w:tmpl w:val="76E0CFF8"/>
    <w:lvl w:ilvl="0">
      <w:start w:val="1"/>
      <w:numFmt w:val="bullet"/>
      <w:lvlText w:val=""/>
      <w:lvlJc w:val="left"/>
      <w:pPr>
        <w:tabs>
          <w:tab w:val="num" w:pos="1503"/>
        </w:tabs>
        <w:ind w:left="171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6D517EA6"/>
    <w:multiLevelType w:val="multilevel"/>
    <w:tmpl w:val="8CEE0058"/>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22">
    <w:nsid w:val="77D62F87"/>
    <w:multiLevelType w:val="hybridMultilevel"/>
    <w:tmpl w:val="E332B1EE"/>
    <w:lvl w:ilvl="0" w:tplc="7898E74C">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3"/>
  </w:num>
  <w:num w:numId="3">
    <w:abstractNumId w:val="21"/>
  </w:num>
  <w:num w:numId="4">
    <w:abstractNumId w:val="3"/>
  </w:num>
  <w:num w:numId="5">
    <w:abstractNumId w:val="9"/>
  </w:num>
  <w:num w:numId="6">
    <w:abstractNumId w:val="22"/>
  </w:num>
  <w:num w:numId="7">
    <w:abstractNumId w:val="15"/>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8"/>
    <w:lvlOverride w:ilvl="0">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
  </w:num>
  <w:num w:numId="20">
    <w:abstractNumId w:val="5"/>
  </w:num>
  <w:num w:numId="21">
    <w:abstractNumId w:val="0"/>
  </w:num>
  <w:num w:numId="22">
    <w:abstractNumId w:val="17"/>
  </w:num>
  <w:num w:numId="23">
    <w:abstractNumId w:val="4"/>
  </w:num>
  <w:num w:numId="24">
    <w:abstractNumId w:val="12"/>
  </w:num>
  <w:num w:numId="25">
    <w:abstractNumId w:val="20"/>
  </w:num>
  <w:num w:numId="26">
    <w:abstractNumId w:val="6"/>
  </w:num>
  <w:num w:numId="27">
    <w:abstractNumId w:val="18"/>
  </w:num>
  <w:num w:numId="28">
    <w:abstractNumId w:val="13"/>
  </w:num>
  <w:num w:numId="29">
    <w:abstractNumId w:val="19"/>
  </w:num>
  <w:num w:numId="30">
    <w:abstractNumId w:val="10"/>
  </w:num>
  <w:num w:numId="31">
    <w:abstractNumId w:val="9"/>
    <w:lvlOverride w:ilvl="0">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2"/>
  <w:displayVerticalDrawingGridEvery w:val="2"/>
  <w:characterSpacingControl w:val="doNotCompress"/>
  <w:hdrShapeDefaults>
    <o:shapedefaults v:ext="edit" spidmax="278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0D3"/>
    <w:rsid w:val="00000036"/>
    <w:rsid w:val="00001EB9"/>
    <w:rsid w:val="0001030D"/>
    <w:rsid w:val="00010C64"/>
    <w:rsid w:val="000112CA"/>
    <w:rsid w:val="0001171D"/>
    <w:rsid w:val="000140F2"/>
    <w:rsid w:val="00016086"/>
    <w:rsid w:val="00016FE0"/>
    <w:rsid w:val="00022178"/>
    <w:rsid w:val="00022EA9"/>
    <w:rsid w:val="000238C9"/>
    <w:rsid w:val="00024745"/>
    <w:rsid w:val="00025BAA"/>
    <w:rsid w:val="00025E98"/>
    <w:rsid w:val="000272B3"/>
    <w:rsid w:val="00032F41"/>
    <w:rsid w:val="00035115"/>
    <w:rsid w:val="00035986"/>
    <w:rsid w:val="00035F33"/>
    <w:rsid w:val="00037CC1"/>
    <w:rsid w:val="00040864"/>
    <w:rsid w:val="00040FBE"/>
    <w:rsid w:val="0004123E"/>
    <w:rsid w:val="00041748"/>
    <w:rsid w:val="00041E84"/>
    <w:rsid w:val="0004225A"/>
    <w:rsid w:val="000424EA"/>
    <w:rsid w:val="0004344C"/>
    <w:rsid w:val="000434E5"/>
    <w:rsid w:val="00044490"/>
    <w:rsid w:val="00045D8B"/>
    <w:rsid w:val="00045FC2"/>
    <w:rsid w:val="000469FA"/>
    <w:rsid w:val="0004756E"/>
    <w:rsid w:val="00047BF1"/>
    <w:rsid w:val="00056373"/>
    <w:rsid w:val="000564EB"/>
    <w:rsid w:val="000608BB"/>
    <w:rsid w:val="00061111"/>
    <w:rsid w:val="0006150A"/>
    <w:rsid w:val="0006237E"/>
    <w:rsid w:val="000624BB"/>
    <w:rsid w:val="0006260D"/>
    <w:rsid w:val="000636D1"/>
    <w:rsid w:val="000648E8"/>
    <w:rsid w:val="00065A68"/>
    <w:rsid w:val="000667BC"/>
    <w:rsid w:val="0006682A"/>
    <w:rsid w:val="000673F9"/>
    <w:rsid w:val="000677E1"/>
    <w:rsid w:val="00070BBC"/>
    <w:rsid w:val="00071D2D"/>
    <w:rsid w:val="00074454"/>
    <w:rsid w:val="00074560"/>
    <w:rsid w:val="000779F4"/>
    <w:rsid w:val="00077E50"/>
    <w:rsid w:val="00081DF3"/>
    <w:rsid w:val="00086B0F"/>
    <w:rsid w:val="000904AB"/>
    <w:rsid w:val="00091378"/>
    <w:rsid w:val="000935FE"/>
    <w:rsid w:val="00093796"/>
    <w:rsid w:val="00095525"/>
    <w:rsid w:val="000957A4"/>
    <w:rsid w:val="00095D31"/>
    <w:rsid w:val="0009632C"/>
    <w:rsid w:val="000A3898"/>
    <w:rsid w:val="000A52A1"/>
    <w:rsid w:val="000A6B55"/>
    <w:rsid w:val="000A7693"/>
    <w:rsid w:val="000B208A"/>
    <w:rsid w:val="000B28B0"/>
    <w:rsid w:val="000B2942"/>
    <w:rsid w:val="000B3557"/>
    <w:rsid w:val="000B415E"/>
    <w:rsid w:val="000B4B23"/>
    <w:rsid w:val="000B6357"/>
    <w:rsid w:val="000B64E3"/>
    <w:rsid w:val="000B68B2"/>
    <w:rsid w:val="000C351F"/>
    <w:rsid w:val="000C3ABA"/>
    <w:rsid w:val="000C42DD"/>
    <w:rsid w:val="000C5BC8"/>
    <w:rsid w:val="000C67D9"/>
    <w:rsid w:val="000C725A"/>
    <w:rsid w:val="000D1354"/>
    <w:rsid w:val="000D1947"/>
    <w:rsid w:val="000D4AD6"/>
    <w:rsid w:val="000D588A"/>
    <w:rsid w:val="000D6FE1"/>
    <w:rsid w:val="000D7C54"/>
    <w:rsid w:val="000D7E9F"/>
    <w:rsid w:val="000E0210"/>
    <w:rsid w:val="000E3362"/>
    <w:rsid w:val="000E6708"/>
    <w:rsid w:val="000E6AA5"/>
    <w:rsid w:val="000E71CE"/>
    <w:rsid w:val="000E7232"/>
    <w:rsid w:val="000E7F56"/>
    <w:rsid w:val="000F010F"/>
    <w:rsid w:val="000F159D"/>
    <w:rsid w:val="000F1CDA"/>
    <w:rsid w:val="000F3987"/>
    <w:rsid w:val="000F712D"/>
    <w:rsid w:val="00103406"/>
    <w:rsid w:val="001039C2"/>
    <w:rsid w:val="001040AD"/>
    <w:rsid w:val="00104244"/>
    <w:rsid w:val="00104B45"/>
    <w:rsid w:val="001061D0"/>
    <w:rsid w:val="001071F6"/>
    <w:rsid w:val="001106B6"/>
    <w:rsid w:val="0011178C"/>
    <w:rsid w:val="00112CF0"/>
    <w:rsid w:val="00117A28"/>
    <w:rsid w:val="001211AB"/>
    <w:rsid w:val="001213FD"/>
    <w:rsid w:val="001218B8"/>
    <w:rsid w:val="00122E25"/>
    <w:rsid w:val="00124ED1"/>
    <w:rsid w:val="00130B4B"/>
    <w:rsid w:val="001318D2"/>
    <w:rsid w:val="00132DB7"/>
    <w:rsid w:val="00134DA1"/>
    <w:rsid w:val="0013507F"/>
    <w:rsid w:val="00136497"/>
    <w:rsid w:val="00141BD1"/>
    <w:rsid w:val="00141E93"/>
    <w:rsid w:val="0014211E"/>
    <w:rsid w:val="0014378B"/>
    <w:rsid w:val="00147115"/>
    <w:rsid w:val="001477CE"/>
    <w:rsid w:val="0015016C"/>
    <w:rsid w:val="00151540"/>
    <w:rsid w:val="001516B7"/>
    <w:rsid w:val="001539B7"/>
    <w:rsid w:val="00153AC5"/>
    <w:rsid w:val="00153D98"/>
    <w:rsid w:val="001549A2"/>
    <w:rsid w:val="001556E7"/>
    <w:rsid w:val="001564AD"/>
    <w:rsid w:val="0015754F"/>
    <w:rsid w:val="001577E2"/>
    <w:rsid w:val="00160D5E"/>
    <w:rsid w:val="00163353"/>
    <w:rsid w:val="00165419"/>
    <w:rsid w:val="0016723A"/>
    <w:rsid w:val="001714D5"/>
    <w:rsid w:val="00171A05"/>
    <w:rsid w:val="00172F3A"/>
    <w:rsid w:val="001730FD"/>
    <w:rsid w:val="0017370E"/>
    <w:rsid w:val="00173798"/>
    <w:rsid w:val="00173BE6"/>
    <w:rsid w:val="00173E72"/>
    <w:rsid w:val="00173F5B"/>
    <w:rsid w:val="00175478"/>
    <w:rsid w:val="001807C0"/>
    <w:rsid w:val="001811DE"/>
    <w:rsid w:val="00181D12"/>
    <w:rsid w:val="001862BC"/>
    <w:rsid w:val="0018665C"/>
    <w:rsid w:val="00187145"/>
    <w:rsid w:val="0019275F"/>
    <w:rsid w:val="001931B3"/>
    <w:rsid w:val="001944A9"/>
    <w:rsid w:val="0019458E"/>
    <w:rsid w:val="00195771"/>
    <w:rsid w:val="0019680A"/>
    <w:rsid w:val="001968BA"/>
    <w:rsid w:val="00196A76"/>
    <w:rsid w:val="001A0637"/>
    <w:rsid w:val="001A2A95"/>
    <w:rsid w:val="001A2C99"/>
    <w:rsid w:val="001A5128"/>
    <w:rsid w:val="001A5F83"/>
    <w:rsid w:val="001A707C"/>
    <w:rsid w:val="001A7C41"/>
    <w:rsid w:val="001B0110"/>
    <w:rsid w:val="001B1098"/>
    <w:rsid w:val="001B10BD"/>
    <w:rsid w:val="001B17EA"/>
    <w:rsid w:val="001B1864"/>
    <w:rsid w:val="001B3048"/>
    <w:rsid w:val="001B402D"/>
    <w:rsid w:val="001B4C83"/>
    <w:rsid w:val="001B696E"/>
    <w:rsid w:val="001B6A56"/>
    <w:rsid w:val="001B6C71"/>
    <w:rsid w:val="001C1569"/>
    <w:rsid w:val="001C365B"/>
    <w:rsid w:val="001C3CE2"/>
    <w:rsid w:val="001C3DD0"/>
    <w:rsid w:val="001C469B"/>
    <w:rsid w:val="001C51EB"/>
    <w:rsid w:val="001C5ACD"/>
    <w:rsid w:val="001C6004"/>
    <w:rsid w:val="001C6A71"/>
    <w:rsid w:val="001D638B"/>
    <w:rsid w:val="001D6DFA"/>
    <w:rsid w:val="001E11FB"/>
    <w:rsid w:val="001E3FFA"/>
    <w:rsid w:val="001E540F"/>
    <w:rsid w:val="001E6180"/>
    <w:rsid w:val="001E64A8"/>
    <w:rsid w:val="001E674B"/>
    <w:rsid w:val="001E68FC"/>
    <w:rsid w:val="001F013C"/>
    <w:rsid w:val="001F15E2"/>
    <w:rsid w:val="001F2230"/>
    <w:rsid w:val="001F375E"/>
    <w:rsid w:val="001F4C55"/>
    <w:rsid w:val="001F5494"/>
    <w:rsid w:val="001F6199"/>
    <w:rsid w:val="001F78FC"/>
    <w:rsid w:val="001F7ED9"/>
    <w:rsid w:val="00201720"/>
    <w:rsid w:val="002020EE"/>
    <w:rsid w:val="00203656"/>
    <w:rsid w:val="00204026"/>
    <w:rsid w:val="00205C19"/>
    <w:rsid w:val="00212948"/>
    <w:rsid w:val="00212D67"/>
    <w:rsid w:val="002131EC"/>
    <w:rsid w:val="00214375"/>
    <w:rsid w:val="00216133"/>
    <w:rsid w:val="00217839"/>
    <w:rsid w:val="00220D14"/>
    <w:rsid w:val="00221BDE"/>
    <w:rsid w:val="00225A3B"/>
    <w:rsid w:val="00225FDD"/>
    <w:rsid w:val="0023081D"/>
    <w:rsid w:val="00231DC1"/>
    <w:rsid w:val="0023329C"/>
    <w:rsid w:val="002339ED"/>
    <w:rsid w:val="00234596"/>
    <w:rsid w:val="00236CC1"/>
    <w:rsid w:val="00236DC0"/>
    <w:rsid w:val="002373A2"/>
    <w:rsid w:val="00242517"/>
    <w:rsid w:val="0024260B"/>
    <w:rsid w:val="00242DBB"/>
    <w:rsid w:val="0024340A"/>
    <w:rsid w:val="0024401F"/>
    <w:rsid w:val="0024569B"/>
    <w:rsid w:val="00253B97"/>
    <w:rsid w:val="00255B5A"/>
    <w:rsid w:val="00256173"/>
    <w:rsid w:val="00260424"/>
    <w:rsid w:val="00261608"/>
    <w:rsid w:val="00262935"/>
    <w:rsid w:val="00262F97"/>
    <w:rsid w:val="0026591A"/>
    <w:rsid w:val="0026615B"/>
    <w:rsid w:val="002671A2"/>
    <w:rsid w:val="00267496"/>
    <w:rsid w:val="00275B68"/>
    <w:rsid w:val="002834F4"/>
    <w:rsid w:val="002845DD"/>
    <w:rsid w:val="002845EA"/>
    <w:rsid w:val="00285371"/>
    <w:rsid w:val="00286EBE"/>
    <w:rsid w:val="0029372E"/>
    <w:rsid w:val="00294CCF"/>
    <w:rsid w:val="002950DC"/>
    <w:rsid w:val="00295477"/>
    <w:rsid w:val="00295B70"/>
    <w:rsid w:val="00296A3D"/>
    <w:rsid w:val="00297CF6"/>
    <w:rsid w:val="002A2A08"/>
    <w:rsid w:val="002A2D93"/>
    <w:rsid w:val="002A4E42"/>
    <w:rsid w:val="002A53F3"/>
    <w:rsid w:val="002A6E7F"/>
    <w:rsid w:val="002A77C3"/>
    <w:rsid w:val="002B10B0"/>
    <w:rsid w:val="002B169C"/>
    <w:rsid w:val="002B1854"/>
    <w:rsid w:val="002B43EE"/>
    <w:rsid w:val="002B5236"/>
    <w:rsid w:val="002B6CB2"/>
    <w:rsid w:val="002B6EFD"/>
    <w:rsid w:val="002B6F33"/>
    <w:rsid w:val="002B79F0"/>
    <w:rsid w:val="002B7F3E"/>
    <w:rsid w:val="002C0A26"/>
    <w:rsid w:val="002C1D9C"/>
    <w:rsid w:val="002C20DE"/>
    <w:rsid w:val="002C366F"/>
    <w:rsid w:val="002C4CA9"/>
    <w:rsid w:val="002D2270"/>
    <w:rsid w:val="002D28C9"/>
    <w:rsid w:val="002D2D14"/>
    <w:rsid w:val="002D363D"/>
    <w:rsid w:val="002D7936"/>
    <w:rsid w:val="002E1F99"/>
    <w:rsid w:val="002E25A8"/>
    <w:rsid w:val="002E2A51"/>
    <w:rsid w:val="002E347F"/>
    <w:rsid w:val="002E50E3"/>
    <w:rsid w:val="002E5D5C"/>
    <w:rsid w:val="002E6ADC"/>
    <w:rsid w:val="002E7FC7"/>
    <w:rsid w:val="002F02CB"/>
    <w:rsid w:val="002F04DE"/>
    <w:rsid w:val="002F150B"/>
    <w:rsid w:val="002F1605"/>
    <w:rsid w:val="002F1CD3"/>
    <w:rsid w:val="002F3B27"/>
    <w:rsid w:val="002F411C"/>
    <w:rsid w:val="002F6E28"/>
    <w:rsid w:val="002F7488"/>
    <w:rsid w:val="002F7E68"/>
    <w:rsid w:val="00300CF4"/>
    <w:rsid w:val="00302A0E"/>
    <w:rsid w:val="00302DEF"/>
    <w:rsid w:val="00302E5E"/>
    <w:rsid w:val="00307DEF"/>
    <w:rsid w:val="00311D33"/>
    <w:rsid w:val="00313664"/>
    <w:rsid w:val="00314713"/>
    <w:rsid w:val="00314F90"/>
    <w:rsid w:val="00320BC7"/>
    <w:rsid w:val="003225E4"/>
    <w:rsid w:val="003226D5"/>
    <w:rsid w:val="00323DCA"/>
    <w:rsid w:val="00324FCE"/>
    <w:rsid w:val="00325037"/>
    <w:rsid w:val="0032634B"/>
    <w:rsid w:val="00330F6C"/>
    <w:rsid w:val="0033102E"/>
    <w:rsid w:val="00331401"/>
    <w:rsid w:val="00333234"/>
    <w:rsid w:val="003347B6"/>
    <w:rsid w:val="003352A5"/>
    <w:rsid w:val="00335D57"/>
    <w:rsid w:val="00335ED1"/>
    <w:rsid w:val="00337EF8"/>
    <w:rsid w:val="00342340"/>
    <w:rsid w:val="00342379"/>
    <w:rsid w:val="00342A60"/>
    <w:rsid w:val="0034379D"/>
    <w:rsid w:val="0034405F"/>
    <w:rsid w:val="0034646D"/>
    <w:rsid w:val="003479A1"/>
    <w:rsid w:val="00347BE5"/>
    <w:rsid w:val="00347DA7"/>
    <w:rsid w:val="0035011C"/>
    <w:rsid w:val="00350E23"/>
    <w:rsid w:val="00351E01"/>
    <w:rsid w:val="003522E0"/>
    <w:rsid w:val="0035267F"/>
    <w:rsid w:val="0035329C"/>
    <w:rsid w:val="003546A7"/>
    <w:rsid w:val="0035580D"/>
    <w:rsid w:val="00355DDF"/>
    <w:rsid w:val="003621D1"/>
    <w:rsid w:val="003639FB"/>
    <w:rsid w:val="00363BF7"/>
    <w:rsid w:val="0036609E"/>
    <w:rsid w:val="00366C7C"/>
    <w:rsid w:val="00366E72"/>
    <w:rsid w:val="00366F27"/>
    <w:rsid w:val="00367B85"/>
    <w:rsid w:val="00371509"/>
    <w:rsid w:val="00372F51"/>
    <w:rsid w:val="00373532"/>
    <w:rsid w:val="003740BF"/>
    <w:rsid w:val="00376A6D"/>
    <w:rsid w:val="003772A8"/>
    <w:rsid w:val="00377BDC"/>
    <w:rsid w:val="003802A7"/>
    <w:rsid w:val="00380875"/>
    <w:rsid w:val="00380AB9"/>
    <w:rsid w:val="00381DFD"/>
    <w:rsid w:val="00382AE5"/>
    <w:rsid w:val="00384737"/>
    <w:rsid w:val="00384860"/>
    <w:rsid w:val="003854F2"/>
    <w:rsid w:val="0039023F"/>
    <w:rsid w:val="00391746"/>
    <w:rsid w:val="003918A7"/>
    <w:rsid w:val="003929D2"/>
    <w:rsid w:val="00392FBA"/>
    <w:rsid w:val="00393FA5"/>
    <w:rsid w:val="0039561F"/>
    <w:rsid w:val="00395739"/>
    <w:rsid w:val="003A0DCA"/>
    <w:rsid w:val="003A1229"/>
    <w:rsid w:val="003A27BB"/>
    <w:rsid w:val="003B1255"/>
    <w:rsid w:val="003B1E11"/>
    <w:rsid w:val="003B28AD"/>
    <w:rsid w:val="003B2F0F"/>
    <w:rsid w:val="003B3C7F"/>
    <w:rsid w:val="003B466B"/>
    <w:rsid w:val="003B4674"/>
    <w:rsid w:val="003B642F"/>
    <w:rsid w:val="003B673D"/>
    <w:rsid w:val="003B7A6F"/>
    <w:rsid w:val="003C0308"/>
    <w:rsid w:val="003C2577"/>
    <w:rsid w:val="003C3EBB"/>
    <w:rsid w:val="003C4418"/>
    <w:rsid w:val="003C4448"/>
    <w:rsid w:val="003C4656"/>
    <w:rsid w:val="003C70D1"/>
    <w:rsid w:val="003C729D"/>
    <w:rsid w:val="003C780A"/>
    <w:rsid w:val="003D10CB"/>
    <w:rsid w:val="003D3D91"/>
    <w:rsid w:val="003D3EBB"/>
    <w:rsid w:val="003D4708"/>
    <w:rsid w:val="003D477A"/>
    <w:rsid w:val="003D5DA2"/>
    <w:rsid w:val="003D7B67"/>
    <w:rsid w:val="003E0834"/>
    <w:rsid w:val="003E195C"/>
    <w:rsid w:val="003E2314"/>
    <w:rsid w:val="003E3B1B"/>
    <w:rsid w:val="003E3EA0"/>
    <w:rsid w:val="003E6615"/>
    <w:rsid w:val="003E79F9"/>
    <w:rsid w:val="003F0074"/>
    <w:rsid w:val="003F0BA9"/>
    <w:rsid w:val="003F12E9"/>
    <w:rsid w:val="003F1F92"/>
    <w:rsid w:val="003F59F4"/>
    <w:rsid w:val="0040172D"/>
    <w:rsid w:val="004021DF"/>
    <w:rsid w:val="00402F8E"/>
    <w:rsid w:val="00404732"/>
    <w:rsid w:val="00404CEF"/>
    <w:rsid w:val="00404DCD"/>
    <w:rsid w:val="00406A7C"/>
    <w:rsid w:val="004077D6"/>
    <w:rsid w:val="004121E7"/>
    <w:rsid w:val="00414E51"/>
    <w:rsid w:val="0041641E"/>
    <w:rsid w:val="00420F04"/>
    <w:rsid w:val="00423099"/>
    <w:rsid w:val="0042318E"/>
    <w:rsid w:val="00424A61"/>
    <w:rsid w:val="00424E79"/>
    <w:rsid w:val="004254B3"/>
    <w:rsid w:val="00426210"/>
    <w:rsid w:val="0042661C"/>
    <w:rsid w:val="004274B3"/>
    <w:rsid w:val="0042762A"/>
    <w:rsid w:val="00431380"/>
    <w:rsid w:val="00431C80"/>
    <w:rsid w:val="00431F3D"/>
    <w:rsid w:val="00432410"/>
    <w:rsid w:val="004334D3"/>
    <w:rsid w:val="004354AD"/>
    <w:rsid w:val="00436C7A"/>
    <w:rsid w:val="00436D62"/>
    <w:rsid w:val="0044090C"/>
    <w:rsid w:val="0044120A"/>
    <w:rsid w:val="0044248C"/>
    <w:rsid w:val="00442791"/>
    <w:rsid w:val="00442E3E"/>
    <w:rsid w:val="00443BC7"/>
    <w:rsid w:val="00443EC1"/>
    <w:rsid w:val="00445964"/>
    <w:rsid w:val="00451EB4"/>
    <w:rsid w:val="00452FAD"/>
    <w:rsid w:val="00453264"/>
    <w:rsid w:val="0045466A"/>
    <w:rsid w:val="00456BC8"/>
    <w:rsid w:val="0045789C"/>
    <w:rsid w:val="00462B54"/>
    <w:rsid w:val="00462F85"/>
    <w:rsid w:val="00463064"/>
    <w:rsid w:val="00464A9E"/>
    <w:rsid w:val="004713F8"/>
    <w:rsid w:val="00472461"/>
    <w:rsid w:val="00475B04"/>
    <w:rsid w:val="0047639F"/>
    <w:rsid w:val="00477D1A"/>
    <w:rsid w:val="004803F5"/>
    <w:rsid w:val="004809B8"/>
    <w:rsid w:val="004821B9"/>
    <w:rsid w:val="00491D88"/>
    <w:rsid w:val="0049407D"/>
    <w:rsid w:val="00494E53"/>
    <w:rsid w:val="0049605C"/>
    <w:rsid w:val="004965F7"/>
    <w:rsid w:val="0049733F"/>
    <w:rsid w:val="004A1BAE"/>
    <w:rsid w:val="004A7048"/>
    <w:rsid w:val="004B0A0A"/>
    <w:rsid w:val="004B1656"/>
    <w:rsid w:val="004B1A4A"/>
    <w:rsid w:val="004B1C4B"/>
    <w:rsid w:val="004B2E96"/>
    <w:rsid w:val="004B32B4"/>
    <w:rsid w:val="004B3FE1"/>
    <w:rsid w:val="004B49D3"/>
    <w:rsid w:val="004B60CB"/>
    <w:rsid w:val="004C1CB5"/>
    <w:rsid w:val="004C4159"/>
    <w:rsid w:val="004C7FFA"/>
    <w:rsid w:val="004D0F5A"/>
    <w:rsid w:val="004D282B"/>
    <w:rsid w:val="004D487E"/>
    <w:rsid w:val="004D7A91"/>
    <w:rsid w:val="004E6020"/>
    <w:rsid w:val="004E710B"/>
    <w:rsid w:val="004E769A"/>
    <w:rsid w:val="004E7ED4"/>
    <w:rsid w:val="004F0129"/>
    <w:rsid w:val="004F4C74"/>
    <w:rsid w:val="004F6314"/>
    <w:rsid w:val="004F6FB2"/>
    <w:rsid w:val="004F7958"/>
    <w:rsid w:val="0050010A"/>
    <w:rsid w:val="00500ACD"/>
    <w:rsid w:val="005031DD"/>
    <w:rsid w:val="00504061"/>
    <w:rsid w:val="005051B5"/>
    <w:rsid w:val="00505BAE"/>
    <w:rsid w:val="0050635A"/>
    <w:rsid w:val="00506956"/>
    <w:rsid w:val="00507091"/>
    <w:rsid w:val="00511BB7"/>
    <w:rsid w:val="00512852"/>
    <w:rsid w:val="00512AB7"/>
    <w:rsid w:val="005135E3"/>
    <w:rsid w:val="00515380"/>
    <w:rsid w:val="0051646C"/>
    <w:rsid w:val="005176CA"/>
    <w:rsid w:val="005200F5"/>
    <w:rsid w:val="00523F31"/>
    <w:rsid w:val="00530A48"/>
    <w:rsid w:val="005368CA"/>
    <w:rsid w:val="00537A77"/>
    <w:rsid w:val="00537D50"/>
    <w:rsid w:val="00540152"/>
    <w:rsid w:val="00541A14"/>
    <w:rsid w:val="00541A5D"/>
    <w:rsid w:val="005427B0"/>
    <w:rsid w:val="00543F9C"/>
    <w:rsid w:val="0054409F"/>
    <w:rsid w:val="005449C4"/>
    <w:rsid w:val="00544EDE"/>
    <w:rsid w:val="0054601A"/>
    <w:rsid w:val="005465A8"/>
    <w:rsid w:val="00546D39"/>
    <w:rsid w:val="005478E9"/>
    <w:rsid w:val="00550E84"/>
    <w:rsid w:val="00551368"/>
    <w:rsid w:val="0055307A"/>
    <w:rsid w:val="00554020"/>
    <w:rsid w:val="00555FCC"/>
    <w:rsid w:val="005571B4"/>
    <w:rsid w:val="005577B0"/>
    <w:rsid w:val="00560B9E"/>
    <w:rsid w:val="00561035"/>
    <w:rsid w:val="00561831"/>
    <w:rsid w:val="00561857"/>
    <w:rsid w:val="00561C65"/>
    <w:rsid w:val="00562084"/>
    <w:rsid w:val="005633F8"/>
    <w:rsid w:val="0056347F"/>
    <w:rsid w:val="00564AFC"/>
    <w:rsid w:val="0056553E"/>
    <w:rsid w:val="00565B9B"/>
    <w:rsid w:val="00567B38"/>
    <w:rsid w:val="00570EED"/>
    <w:rsid w:val="00571222"/>
    <w:rsid w:val="005716FC"/>
    <w:rsid w:val="00572E41"/>
    <w:rsid w:val="00574BCB"/>
    <w:rsid w:val="00575DEF"/>
    <w:rsid w:val="005776D1"/>
    <w:rsid w:val="00583A33"/>
    <w:rsid w:val="00585B81"/>
    <w:rsid w:val="005867D2"/>
    <w:rsid w:val="00587150"/>
    <w:rsid w:val="005913E8"/>
    <w:rsid w:val="005918AF"/>
    <w:rsid w:val="00595216"/>
    <w:rsid w:val="0059603E"/>
    <w:rsid w:val="005963CC"/>
    <w:rsid w:val="00596E19"/>
    <w:rsid w:val="005A117D"/>
    <w:rsid w:val="005A241E"/>
    <w:rsid w:val="005A6026"/>
    <w:rsid w:val="005A6299"/>
    <w:rsid w:val="005A6F8B"/>
    <w:rsid w:val="005A6FED"/>
    <w:rsid w:val="005B0A7A"/>
    <w:rsid w:val="005B0D6E"/>
    <w:rsid w:val="005B142E"/>
    <w:rsid w:val="005B1BC4"/>
    <w:rsid w:val="005B2139"/>
    <w:rsid w:val="005B6894"/>
    <w:rsid w:val="005C13B2"/>
    <w:rsid w:val="005C27E3"/>
    <w:rsid w:val="005C293F"/>
    <w:rsid w:val="005C37CB"/>
    <w:rsid w:val="005C459C"/>
    <w:rsid w:val="005C4821"/>
    <w:rsid w:val="005C4D7B"/>
    <w:rsid w:val="005C6B32"/>
    <w:rsid w:val="005D0156"/>
    <w:rsid w:val="005D0EE4"/>
    <w:rsid w:val="005D1A9F"/>
    <w:rsid w:val="005D2631"/>
    <w:rsid w:val="005D2E5B"/>
    <w:rsid w:val="005D2FE7"/>
    <w:rsid w:val="005D52FA"/>
    <w:rsid w:val="005D55BE"/>
    <w:rsid w:val="005D6CA4"/>
    <w:rsid w:val="005D6DFD"/>
    <w:rsid w:val="005E0785"/>
    <w:rsid w:val="005E0DA9"/>
    <w:rsid w:val="005E266F"/>
    <w:rsid w:val="005E2BB8"/>
    <w:rsid w:val="005E3291"/>
    <w:rsid w:val="005E359D"/>
    <w:rsid w:val="005E5061"/>
    <w:rsid w:val="005E51E0"/>
    <w:rsid w:val="005E5734"/>
    <w:rsid w:val="005E6266"/>
    <w:rsid w:val="005E73CE"/>
    <w:rsid w:val="005F0051"/>
    <w:rsid w:val="005F07DC"/>
    <w:rsid w:val="005F1E08"/>
    <w:rsid w:val="005F48C9"/>
    <w:rsid w:val="005F63BB"/>
    <w:rsid w:val="005F64FB"/>
    <w:rsid w:val="005F7005"/>
    <w:rsid w:val="00600171"/>
    <w:rsid w:val="00600553"/>
    <w:rsid w:val="0060251E"/>
    <w:rsid w:val="00602535"/>
    <w:rsid w:val="00602DDE"/>
    <w:rsid w:val="00604965"/>
    <w:rsid w:val="00604C11"/>
    <w:rsid w:val="00604F6E"/>
    <w:rsid w:val="00611737"/>
    <w:rsid w:val="00614418"/>
    <w:rsid w:val="00614DE8"/>
    <w:rsid w:val="00616949"/>
    <w:rsid w:val="006209BE"/>
    <w:rsid w:val="00621D46"/>
    <w:rsid w:val="00622669"/>
    <w:rsid w:val="00622FE1"/>
    <w:rsid w:val="006231EC"/>
    <w:rsid w:val="00624A73"/>
    <w:rsid w:val="00625CE5"/>
    <w:rsid w:val="00626EA7"/>
    <w:rsid w:val="00627C1B"/>
    <w:rsid w:val="00634256"/>
    <w:rsid w:val="00635027"/>
    <w:rsid w:val="00636BD2"/>
    <w:rsid w:val="006377F5"/>
    <w:rsid w:val="0064057B"/>
    <w:rsid w:val="00644A7B"/>
    <w:rsid w:val="006458F3"/>
    <w:rsid w:val="006460E5"/>
    <w:rsid w:val="006460E8"/>
    <w:rsid w:val="0064743F"/>
    <w:rsid w:val="0065036E"/>
    <w:rsid w:val="006516F0"/>
    <w:rsid w:val="00652C47"/>
    <w:rsid w:val="00653924"/>
    <w:rsid w:val="00653BDC"/>
    <w:rsid w:val="006556D9"/>
    <w:rsid w:val="0065658F"/>
    <w:rsid w:val="006571B2"/>
    <w:rsid w:val="00661557"/>
    <w:rsid w:val="00661C46"/>
    <w:rsid w:val="00662FAF"/>
    <w:rsid w:val="00664847"/>
    <w:rsid w:val="006652D3"/>
    <w:rsid w:val="006672F1"/>
    <w:rsid w:val="00667CF3"/>
    <w:rsid w:val="00671A04"/>
    <w:rsid w:val="0067224D"/>
    <w:rsid w:val="00673E42"/>
    <w:rsid w:val="00674687"/>
    <w:rsid w:val="006764AE"/>
    <w:rsid w:val="006769C4"/>
    <w:rsid w:val="00677627"/>
    <w:rsid w:val="00677BD5"/>
    <w:rsid w:val="00680148"/>
    <w:rsid w:val="0068025E"/>
    <w:rsid w:val="0068233E"/>
    <w:rsid w:val="00682E9E"/>
    <w:rsid w:val="00683146"/>
    <w:rsid w:val="00684115"/>
    <w:rsid w:val="00684191"/>
    <w:rsid w:val="00684AF6"/>
    <w:rsid w:val="006855E5"/>
    <w:rsid w:val="00692480"/>
    <w:rsid w:val="00692724"/>
    <w:rsid w:val="00693C87"/>
    <w:rsid w:val="00694974"/>
    <w:rsid w:val="00697471"/>
    <w:rsid w:val="00697ED2"/>
    <w:rsid w:val="006A0171"/>
    <w:rsid w:val="006A05C7"/>
    <w:rsid w:val="006A198D"/>
    <w:rsid w:val="006A230D"/>
    <w:rsid w:val="006A3E53"/>
    <w:rsid w:val="006A473B"/>
    <w:rsid w:val="006A4C8D"/>
    <w:rsid w:val="006A607B"/>
    <w:rsid w:val="006A6E27"/>
    <w:rsid w:val="006A72B0"/>
    <w:rsid w:val="006B034B"/>
    <w:rsid w:val="006B383C"/>
    <w:rsid w:val="006B3E4D"/>
    <w:rsid w:val="006B4FFF"/>
    <w:rsid w:val="006B57D1"/>
    <w:rsid w:val="006B5BC6"/>
    <w:rsid w:val="006B62E8"/>
    <w:rsid w:val="006B73F4"/>
    <w:rsid w:val="006C20EA"/>
    <w:rsid w:val="006C2A32"/>
    <w:rsid w:val="006C44A8"/>
    <w:rsid w:val="006C49B6"/>
    <w:rsid w:val="006C52B9"/>
    <w:rsid w:val="006D0FDA"/>
    <w:rsid w:val="006D1DFE"/>
    <w:rsid w:val="006D48FB"/>
    <w:rsid w:val="006D612A"/>
    <w:rsid w:val="006D68B7"/>
    <w:rsid w:val="006D74BB"/>
    <w:rsid w:val="006D7522"/>
    <w:rsid w:val="006E1EBD"/>
    <w:rsid w:val="006E2469"/>
    <w:rsid w:val="006E269B"/>
    <w:rsid w:val="006E44C6"/>
    <w:rsid w:val="006E69FF"/>
    <w:rsid w:val="006E6B6B"/>
    <w:rsid w:val="006E6BC2"/>
    <w:rsid w:val="006E77BB"/>
    <w:rsid w:val="007010EB"/>
    <w:rsid w:val="0070150E"/>
    <w:rsid w:val="0070254F"/>
    <w:rsid w:val="00703A13"/>
    <w:rsid w:val="00703B2C"/>
    <w:rsid w:val="00705697"/>
    <w:rsid w:val="00705CDB"/>
    <w:rsid w:val="00705DB8"/>
    <w:rsid w:val="00713225"/>
    <w:rsid w:val="0071340B"/>
    <w:rsid w:val="007209C5"/>
    <w:rsid w:val="00723002"/>
    <w:rsid w:val="0072512A"/>
    <w:rsid w:val="00727B67"/>
    <w:rsid w:val="00731EE6"/>
    <w:rsid w:val="007329DA"/>
    <w:rsid w:val="0073322C"/>
    <w:rsid w:val="00733EC8"/>
    <w:rsid w:val="007355A6"/>
    <w:rsid w:val="00735A15"/>
    <w:rsid w:val="007372B7"/>
    <w:rsid w:val="007376E1"/>
    <w:rsid w:val="00740A71"/>
    <w:rsid w:val="0074168A"/>
    <w:rsid w:val="00741D32"/>
    <w:rsid w:val="007477C5"/>
    <w:rsid w:val="00747938"/>
    <w:rsid w:val="0075053D"/>
    <w:rsid w:val="00753BA4"/>
    <w:rsid w:val="007542C2"/>
    <w:rsid w:val="00754B18"/>
    <w:rsid w:val="00754B99"/>
    <w:rsid w:val="00755C30"/>
    <w:rsid w:val="00756708"/>
    <w:rsid w:val="007612FE"/>
    <w:rsid w:val="00762AFB"/>
    <w:rsid w:val="00764DB1"/>
    <w:rsid w:val="007654B2"/>
    <w:rsid w:val="00765BA8"/>
    <w:rsid w:val="00766007"/>
    <w:rsid w:val="00770A26"/>
    <w:rsid w:val="007721FE"/>
    <w:rsid w:val="007753EE"/>
    <w:rsid w:val="00776C92"/>
    <w:rsid w:val="00780B10"/>
    <w:rsid w:val="00783EFF"/>
    <w:rsid w:val="0078672F"/>
    <w:rsid w:val="00790290"/>
    <w:rsid w:val="007920ED"/>
    <w:rsid w:val="007921A1"/>
    <w:rsid w:val="00792CE2"/>
    <w:rsid w:val="00794694"/>
    <w:rsid w:val="00795E52"/>
    <w:rsid w:val="00797289"/>
    <w:rsid w:val="007A1364"/>
    <w:rsid w:val="007A232E"/>
    <w:rsid w:val="007A248B"/>
    <w:rsid w:val="007A24A0"/>
    <w:rsid w:val="007A3649"/>
    <w:rsid w:val="007A38C3"/>
    <w:rsid w:val="007A4AB2"/>
    <w:rsid w:val="007A5E68"/>
    <w:rsid w:val="007A6AF0"/>
    <w:rsid w:val="007A7614"/>
    <w:rsid w:val="007B05CC"/>
    <w:rsid w:val="007B0C97"/>
    <w:rsid w:val="007B1BF7"/>
    <w:rsid w:val="007B3E36"/>
    <w:rsid w:val="007B427A"/>
    <w:rsid w:val="007B5BCA"/>
    <w:rsid w:val="007B5DAA"/>
    <w:rsid w:val="007B5FC1"/>
    <w:rsid w:val="007B751E"/>
    <w:rsid w:val="007B77DC"/>
    <w:rsid w:val="007C1413"/>
    <w:rsid w:val="007C3726"/>
    <w:rsid w:val="007C404B"/>
    <w:rsid w:val="007C4BAE"/>
    <w:rsid w:val="007C55CF"/>
    <w:rsid w:val="007C7D49"/>
    <w:rsid w:val="007C7D64"/>
    <w:rsid w:val="007D0EB8"/>
    <w:rsid w:val="007D175F"/>
    <w:rsid w:val="007D1D3B"/>
    <w:rsid w:val="007D548B"/>
    <w:rsid w:val="007D5960"/>
    <w:rsid w:val="007D5C55"/>
    <w:rsid w:val="007D6E8D"/>
    <w:rsid w:val="007D70AF"/>
    <w:rsid w:val="007E055A"/>
    <w:rsid w:val="007E114E"/>
    <w:rsid w:val="007E2FFC"/>
    <w:rsid w:val="007E3471"/>
    <w:rsid w:val="007E3609"/>
    <w:rsid w:val="007E487F"/>
    <w:rsid w:val="007E4B2D"/>
    <w:rsid w:val="007E587D"/>
    <w:rsid w:val="007E63E7"/>
    <w:rsid w:val="007E71E9"/>
    <w:rsid w:val="007E792C"/>
    <w:rsid w:val="007F176A"/>
    <w:rsid w:val="007F1D06"/>
    <w:rsid w:val="007F1F1E"/>
    <w:rsid w:val="007F219A"/>
    <w:rsid w:val="007F6AB0"/>
    <w:rsid w:val="007F71B1"/>
    <w:rsid w:val="007F7CEC"/>
    <w:rsid w:val="00800E48"/>
    <w:rsid w:val="008010D7"/>
    <w:rsid w:val="00801569"/>
    <w:rsid w:val="008030EC"/>
    <w:rsid w:val="00803443"/>
    <w:rsid w:val="008054FF"/>
    <w:rsid w:val="00805E87"/>
    <w:rsid w:val="0080680D"/>
    <w:rsid w:val="00806E24"/>
    <w:rsid w:val="0080740E"/>
    <w:rsid w:val="0081267C"/>
    <w:rsid w:val="00812C05"/>
    <w:rsid w:val="0081322A"/>
    <w:rsid w:val="00813B7F"/>
    <w:rsid w:val="008162AB"/>
    <w:rsid w:val="008200A3"/>
    <w:rsid w:val="00823314"/>
    <w:rsid w:val="00824493"/>
    <w:rsid w:val="008246A3"/>
    <w:rsid w:val="00824D1A"/>
    <w:rsid w:val="00824F37"/>
    <w:rsid w:val="00826033"/>
    <w:rsid w:val="0083181F"/>
    <w:rsid w:val="00831F94"/>
    <w:rsid w:val="00836A55"/>
    <w:rsid w:val="00840B1C"/>
    <w:rsid w:val="008413D4"/>
    <w:rsid w:val="008416A6"/>
    <w:rsid w:val="00843E6F"/>
    <w:rsid w:val="00844FA1"/>
    <w:rsid w:val="008450AC"/>
    <w:rsid w:val="00846E4A"/>
    <w:rsid w:val="0084708B"/>
    <w:rsid w:val="00850691"/>
    <w:rsid w:val="00851AF5"/>
    <w:rsid w:val="00851EED"/>
    <w:rsid w:val="00851FB5"/>
    <w:rsid w:val="008556E1"/>
    <w:rsid w:val="00856192"/>
    <w:rsid w:val="008608DF"/>
    <w:rsid w:val="00861FC6"/>
    <w:rsid w:val="008647DE"/>
    <w:rsid w:val="00864B95"/>
    <w:rsid w:val="008666D9"/>
    <w:rsid w:val="00866DB3"/>
    <w:rsid w:val="00867410"/>
    <w:rsid w:val="00867ACD"/>
    <w:rsid w:val="00867CB3"/>
    <w:rsid w:val="0087004C"/>
    <w:rsid w:val="00872529"/>
    <w:rsid w:val="00872CA1"/>
    <w:rsid w:val="00873743"/>
    <w:rsid w:val="00874746"/>
    <w:rsid w:val="00875A5C"/>
    <w:rsid w:val="008767BF"/>
    <w:rsid w:val="008800D3"/>
    <w:rsid w:val="00880554"/>
    <w:rsid w:val="0088126B"/>
    <w:rsid w:val="0088218B"/>
    <w:rsid w:val="00883A69"/>
    <w:rsid w:val="00885DA2"/>
    <w:rsid w:val="00886CDD"/>
    <w:rsid w:val="008908E0"/>
    <w:rsid w:val="0089214D"/>
    <w:rsid w:val="00892DA0"/>
    <w:rsid w:val="00893818"/>
    <w:rsid w:val="00893C0D"/>
    <w:rsid w:val="00893FE8"/>
    <w:rsid w:val="008A20DA"/>
    <w:rsid w:val="008A347C"/>
    <w:rsid w:val="008A61AF"/>
    <w:rsid w:val="008A7726"/>
    <w:rsid w:val="008B23AC"/>
    <w:rsid w:val="008B27A5"/>
    <w:rsid w:val="008B4469"/>
    <w:rsid w:val="008B5C8F"/>
    <w:rsid w:val="008B5F16"/>
    <w:rsid w:val="008B7722"/>
    <w:rsid w:val="008C0E5C"/>
    <w:rsid w:val="008C28D5"/>
    <w:rsid w:val="008D1C48"/>
    <w:rsid w:val="008D1D43"/>
    <w:rsid w:val="008D348B"/>
    <w:rsid w:val="008D38E6"/>
    <w:rsid w:val="008D7669"/>
    <w:rsid w:val="008D790A"/>
    <w:rsid w:val="008D7FCD"/>
    <w:rsid w:val="008E0E8E"/>
    <w:rsid w:val="008E24BC"/>
    <w:rsid w:val="008E2BE4"/>
    <w:rsid w:val="008E679E"/>
    <w:rsid w:val="008E6B4E"/>
    <w:rsid w:val="008E7064"/>
    <w:rsid w:val="008E7970"/>
    <w:rsid w:val="008E7C34"/>
    <w:rsid w:val="008F00A3"/>
    <w:rsid w:val="008F0AE3"/>
    <w:rsid w:val="008F0C36"/>
    <w:rsid w:val="008F2A7A"/>
    <w:rsid w:val="008F3608"/>
    <w:rsid w:val="008F377B"/>
    <w:rsid w:val="008F7EBB"/>
    <w:rsid w:val="009013B3"/>
    <w:rsid w:val="00905930"/>
    <w:rsid w:val="00905F2D"/>
    <w:rsid w:val="00906132"/>
    <w:rsid w:val="00906E9E"/>
    <w:rsid w:val="00907629"/>
    <w:rsid w:val="00912F6E"/>
    <w:rsid w:val="00913477"/>
    <w:rsid w:val="00915512"/>
    <w:rsid w:val="00917328"/>
    <w:rsid w:val="00920658"/>
    <w:rsid w:val="009232A2"/>
    <w:rsid w:val="009233CC"/>
    <w:rsid w:val="009240D8"/>
    <w:rsid w:val="00930D61"/>
    <w:rsid w:val="009324EA"/>
    <w:rsid w:val="00932779"/>
    <w:rsid w:val="0093282F"/>
    <w:rsid w:val="00932DAF"/>
    <w:rsid w:val="00933059"/>
    <w:rsid w:val="00935198"/>
    <w:rsid w:val="009360D7"/>
    <w:rsid w:val="009362C9"/>
    <w:rsid w:val="00936AB4"/>
    <w:rsid w:val="00940834"/>
    <w:rsid w:val="00942387"/>
    <w:rsid w:val="00943133"/>
    <w:rsid w:val="00945697"/>
    <w:rsid w:val="0094626F"/>
    <w:rsid w:val="009462D2"/>
    <w:rsid w:val="00947080"/>
    <w:rsid w:val="009510C1"/>
    <w:rsid w:val="00955719"/>
    <w:rsid w:val="009652D5"/>
    <w:rsid w:val="00965B6D"/>
    <w:rsid w:val="009671EF"/>
    <w:rsid w:val="00967745"/>
    <w:rsid w:val="009677F8"/>
    <w:rsid w:val="00971146"/>
    <w:rsid w:val="009718E7"/>
    <w:rsid w:val="00972A9A"/>
    <w:rsid w:val="009774F3"/>
    <w:rsid w:val="0098086C"/>
    <w:rsid w:val="00980877"/>
    <w:rsid w:val="00980A25"/>
    <w:rsid w:val="00982B96"/>
    <w:rsid w:val="00986943"/>
    <w:rsid w:val="00986F01"/>
    <w:rsid w:val="0098782B"/>
    <w:rsid w:val="00991675"/>
    <w:rsid w:val="0099192F"/>
    <w:rsid w:val="00991F98"/>
    <w:rsid w:val="00992008"/>
    <w:rsid w:val="00996409"/>
    <w:rsid w:val="0099686B"/>
    <w:rsid w:val="00996A35"/>
    <w:rsid w:val="00996D00"/>
    <w:rsid w:val="009A03DC"/>
    <w:rsid w:val="009A11D4"/>
    <w:rsid w:val="009A20DA"/>
    <w:rsid w:val="009A2730"/>
    <w:rsid w:val="009A4236"/>
    <w:rsid w:val="009A43DC"/>
    <w:rsid w:val="009A5DB5"/>
    <w:rsid w:val="009A6596"/>
    <w:rsid w:val="009A6BBD"/>
    <w:rsid w:val="009A6CF3"/>
    <w:rsid w:val="009A787F"/>
    <w:rsid w:val="009B03AC"/>
    <w:rsid w:val="009B12B2"/>
    <w:rsid w:val="009B1869"/>
    <w:rsid w:val="009B43BF"/>
    <w:rsid w:val="009B4A2D"/>
    <w:rsid w:val="009B5191"/>
    <w:rsid w:val="009C1E0B"/>
    <w:rsid w:val="009C22DB"/>
    <w:rsid w:val="009C27A7"/>
    <w:rsid w:val="009C4FDB"/>
    <w:rsid w:val="009C62B8"/>
    <w:rsid w:val="009C67A9"/>
    <w:rsid w:val="009C779E"/>
    <w:rsid w:val="009D1234"/>
    <w:rsid w:val="009D4D47"/>
    <w:rsid w:val="009D545A"/>
    <w:rsid w:val="009D586B"/>
    <w:rsid w:val="009D6D44"/>
    <w:rsid w:val="009E12B2"/>
    <w:rsid w:val="009E22FA"/>
    <w:rsid w:val="009E3F34"/>
    <w:rsid w:val="009E4744"/>
    <w:rsid w:val="009E4EC9"/>
    <w:rsid w:val="009E59AB"/>
    <w:rsid w:val="009E5D5A"/>
    <w:rsid w:val="009E7E10"/>
    <w:rsid w:val="009F0FC8"/>
    <w:rsid w:val="009F2262"/>
    <w:rsid w:val="009F2555"/>
    <w:rsid w:val="009F2983"/>
    <w:rsid w:val="009F346E"/>
    <w:rsid w:val="009F3ED4"/>
    <w:rsid w:val="009F4ADA"/>
    <w:rsid w:val="009F5976"/>
    <w:rsid w:val="009F6A0D"/>
    <w:rsid w:val="00A02582"/>
    <w:rsid w:val="00A0518A"/>
    <w:rsid w:val="00A07991"/>
    <w:rsid w:val="00A1042F"/>
    <w:rsid w:val="00A10CDE"/>
    <w:rsid w:val="00A12D96"/>
    <w:rsid w:val="00A12E38"/>
    <w:rsid w:val="00A1431F"/>
    <w:rsid w:val="00A143BD"/>
    <w:rsid w:val="00A14E35"/>
    <w:rsid w:val="00A1680D"/>
    <w:rsid w:val="00A20E66"/>
    <w:rsid w:val="00A216D7"/>
    <w:rsid w:val="00A22456"/>
    <w:rsid w:val="00A23AB0"/>
    <w:rsid w:val="00A2545C"/>
    <w:rsid w:val="00A266C5"/>
    <w:rsid w:val="00A266D3"/>
    <w:rsid w:val="00A27A3C"/>
    <w:rsid w:val="00A3065E"/>
    <w:rsid w:val="00A309C6"/>
    <w:rsid w:val="00A31185"/>
    <w:rsid w:val="00A32AF1"/>
    <w:rsid w:val="00A32D19"/>
    <w:rsid w:val="00A32E4E"/>
    <w:rsid w:val="00A37A83"/>
    <w:rsid w:val="00A37C04"/>
    <w:rsid w:val="00A40BFA"/>
    <w:rsid w:val="00A42567"/>
    <w:rsid w:val="00A4284A"/>
    <w:rsid w:val="00A42C46"/>
    <w:rsid w:val="00A4527B"/>
    <w:rsid w:val="00A470A4"/>
    <w:rsid w:val="00A47468"/>
    <w:rsid w:val="00A47915"/>
    <w:rsid w:val="00A505DE"/>
    <w:rsid w:val="00A52760"/>
    <w:rsid w:val="00A5327C"/>
    <w:rsid w:val="00A536D6"/>
    <w:rsid w:val="00A54916"/>
    <w:rsid w:val="00A5721C"/>
    <w:rsid w:val="00A57D1A"/>
    <w:rsid w:val="00A62456"/>
    <w:rsid w:val="00A625C8"/>
    <w:rsid w:val="00A6608C"/>
    <w:rsid w:val="00A66154"/>
    <w:rsid w:val="00A67913"/>
    <w:rsid w:val="00A72D41"/>
    <w:rsid w:val="00A74B9C"/>
    <w:rsid w:val="00A75F23"/>
    <w:rsid w:val="00A7679F"/>
    <w:rsid w:val="00A767ED"/>
    <w:rsid w:val="00A81A94"/>
    <w:rsid w:val="00A82E4C"/>
    <w:rsid w:val="00A8339D"/>
    <w:rsid w:val="00A83DB6"/>
    <w:rsid w:val="00A91246"/>
    <w:rsid w:val="00A91C07"/>
    <w:rsid w:val="00A922F0"/>
    <w:rsid w:val="00A93908"/>
    <w:rsid w:val="00A94182"/>
    <w:rsid w:val="00A95EBD"/>
    <w:rsid w:val="00A966AB"/>
    <w:rsid w:val="00A9681E"/>
    <w:rsid w:val="00A96EE0"/>
    <w:rsid w:val="00AA007A"/>
    <w:rsid w:val="00AA191F"/>
    <w:rsid w:val="00AA19C6"/>
    <w:rsid w:val="00AA19D4"/>
    <w:rsid w:val="00AA28B8"/>
    <w:rsid w:val="00AA331D"/>
    <w:rsid w:val="00AA46DC"/>
    <w:rsid w:val="00AA4BC4"/>
    <w:rsid w:val="00AB0127"/>
    <w:rsid w:val="00AB073E"/>
    <w:rsid w:val="00AB0CA2"/>
    <w:rsid w:val="00AB15E8"/>
    <w:rsid w:val="00AB1A13"/>
    <w:rsid w:val="00AB2DEA"/>
    <w:rsid w:val="00AB4401"/>
    <w:rsid w:val="00AB4E9F"/>
    <w:rsid w:val="00AB5F42"/>
    <w:rsid w:val="00AC210F"/>
    <w:rsid w:val="00AC2143"/>
    <w:rsid w:val="00AC2418"/>
    <w:rsid w:val="00AC301E"/>
    <w:rsid w:val="00AC319E"/>
    <w:rsid w:val="00AC508E"/>
    <w:rsid w:val="00AC5303"/>
    <w:rsid w:val="00AC5C5F"/>
    <w:rsid w:val="00AC6C01"/>
    <w:rsid w:val="00AD0B3B"/>
    <w:rsid w:val="00AD1A03"/>
    <w:rsid w:val="00AD2924"/>
    <w:rsid w:val="00AD42B4"/>
    <w:rsid w:val="00AD648D"/>
    <w:rsid w:val="00AE03C5"/>
    <w:rsid w:val="00AE3A05"/>
    <w:rsid w:val="00AE3A1E"/>
    <w:rsid w:val="00AE3B01"/>
    <w:rsid w:val="00AE4CEC"/>
    <w:rsid w:val="00AE63D3"/>
    <w:rsid w:val="00AE7337"/>
    <w:rsid w:val="00AE734F"/>
    <w:rsid w:val="00AE7E93"/>
    <w:rsid w:val="00AF2656"/>
    <w:rsid w:val="00AF6110"/>
    <w:rsid w:val="00AF65B1"/>
    <w:rsid w:val="00AF6AC6"/>
    <w:rsid w:val="00AF6E5A"/>
    <w:rsid w:val="00B00611"/>
    <w:rsid w:val="00B0132C"/>
    <w:rsid w:val="00B02FF1"/>
    <w:rsid w:val="00B03D6F"/>
    <w:rsid w:val="00B04354"/>
    <w:rsid w:val="00B111DF"/>
    <w:rsid w:val="00B15F45"/>
    <w:rsid w:val="00B17908"/>
    <w:rsid w:val="00B21249"/>
    <w:rsid w:val="00B218E0"/>
    <w:rsid w:val="00B22D54"/>
    <w:rsid w:val="00B233D6"/>
    <w:rsid w:val="00B249FC"/>
    <w:rsid w:val="00B26E08"/>
    <w:rsid w:val="00B30FCD"/>
    <w:rsid w:val="00B3174F"/>
    <w:rsid w:val="00B317E7"/>
    <w:rsid w:val="00B329F3"/>
    <w:rsid w:val="00B331AE"/>
    <w:rsid w:val="00B33A57"/>
    <w:rsid w:val="00B34083"/>
    <w:rsid w:val="00B35262"/>
    <w:rsid w:val="00B35D5D"/>
    <w:rsid w:val="00B373D9"/>
    <w:rsid w:val="00B37728"/>
    <w:rsid w:val="00B405A0"/>
    <w:rsid w:val="00B405B5"/>
    <w:rsid w:val="00B40A87"/>
    <w:rsid w:val="00B44929"/>
    <w:rsid w:val="00B45C64"/>
    <w:rsid w:val="00B46032"/>
    <w:rsid w:val="00B4678E"/>
    <w:rsid w:val="00B46A32"/>
    <w:rsid w:val="00B46B29"/>
    <w:rsid w:val="00B46E70"/>
    <w:rsid w:val="00B511BA"/>
    <w:rsid w:val="00B523C7"/>
    <w:rsid w:val="00B53547"/>
    <w:rsid w:val="00B53597"/>
    <w:rsid w:val="00B541D2"/>
    <w:rsid w:val="00B55D3E"/>
    <w:rsid w:val="00B568F3"/>
    <w:rsid w:val="00B62590"/>
    <w:rsid w:val="00B630E0"/>
    <w:rsid w:val="00B638F7"/>
    <w:rsid w:val="00B6729F"/>
    <w:rsid w:val="00B706F4"/>
    <w:rsid w:val="00B707B6"/>
    <w:rsid w:val="00B7236A"/>
    <w:rsid w:val="00B72BDD"/>
    <w:rsid w:val="00B73976"/>
    <w:rsid w:val="00B80271"/>
    <w:rsid w:val="00B80F91"/>
    <w:rsid w:val="00B8149E"/>
    <w:rsid w:val="00B81C08"/>
    <w:rsid w:val="00B82627"/>
    <w:rsid w:val="00B8283E"/>
    <w:rsid w:val="00B83717"/>
    <w:rsid w:val="00B83F43"/>
    <w:rsid w:val="00B855A8"/>
    <w:rsid w:val="00B86AB4"/>
    <w:rsid w:val="00B90AA7"/>
    <w:rsid w:val="00B90E63"/>
    <w:rsid w:val="00B9149B"/>
    <w:rsid w:val="00B91C61"/>
    <w:rsid w:val="00B93254"/>
    <w:rsid w:val="00B93E84"/>
    <w:rsid w:val="00B941DE"/>
    <w:rsid w:val="00B94335"/>
    <w:rsid w:val="00B953CD"/>
    <w:rsid w:val="00B955BC"/>
    <w:rsid w:val="00B9576C"/>
    <w:rsid w:val="00B97EBE"/>
    <w:rsid w:val="00BA21DA"/>
    <w:rsid w:val="00BA2EE4"/>
    <w:rsid w:val="00BA51F0"/>
    <w:rsid w:val="00BA65E5"/>
    <w:rsid w:val="00BA76F8"/>
    <w:rsid w:val="00BB09DF"/>
    <w:rsid w:val="00BB15A4"/>
    <w:rsid w:val="00BB3FC5"/>
    <w:rsid w:val="00BB50E2"/>
    <w:rsid w:val="00BB6BCE"/>
    <w:rsid w:val="00BC2B3B"/>
    <w:rsid w:val="00BC4579"/>
    <w:rsid w:val="00BC4A1D"/>
    <w:rsid w:val="00BC671E"/>
    <w:rsid w:val="00BD069F"/>
    <w:rsid w:val="00BD3D24"/>
    <w:rsid w:val="00BD4BFE"/>
    <w:rsid w:val="00BD6FD8"/>
    <w:rsid w:val="00BD7D40"/>
    <w:rsid w:val="00BE17BA"/>
    <w:rsid w:val="00BE2DF6"/>
    <w:rsid w:val="00BE4EB5"/>
    <w:rsid w:val="00BF39F7"/>
    <w:rsid w:val="00BF4DB9"/>
    <w:rsid w:val="00BF67D3"/>
    <w:rsid w:val="00BF6C97"/>
    <w:rsid w:val="00BF7FBF"/>
    <w:rsid w:val="00C0018A"/>
    <w:rsid w:val="00C00905"/>
    <w:rsid w:val="00C035B5"/>
    <w:rsid w:val="00C03B40"/>
    <w:rsid w:val="00C05CAB"/>
    <w:rsid w:val="00C068C6"/>
    <w:rsid w:val="00C06F9F"/>
    <w:rsid w:val="00C11701"/>
    <w:rsid w:val="00C11ABD"/>
    <w:rsid w:val="00C11CB8"/>
    <w:rsid w:val="00C136E1"/>
    <w:rsid w:val="00C14FB2"/>
    <w:rsid w:val="00C15D07"/>
    <w:rsid w:val="00C17001"/>
    <w:rsid w:val="00C176AC"/>
    <w:rsid w:val="00C178B2"/>
    <w:rsid w:val="00C21EF9"/>
    <w:rsid w:val="00C222F7"/>
    <w:rsid w:val="00C223FA"/>
    <w:rsid w:val="00C22F29"/>
    <w:rsid w:val="00C24839"/>
    <w:rsid w:val="00C26206"/>
    <w:rsid w:val="00C26F18"/>
    <w:rsid w:val="00C27A12"/>
    <w:rsid w:val="00C27C23"/>
    <w:rsid w:val="00C32E7A"/>
    <w:rsid w:val="00C33BC9"/>
    <w:rsid w:val="00C340DA"/>
    <w:rsid w:val="00C370A1"/>
    <w:rsid w:val="00C41C84"/>
    <w:rsid w:val="00C43FAE"/>
    <w:rsid w:val="00C449D2"/>
    <w:rsid w:val="00C44B8E"/>
    <w:rsid w:val="00C46CD1"/>
    <w:rsid w:val="00C47DB6"/>
    <w:rsid w:val="00C509F8"/>
    <w:rsid w:val="00C554D4"/>
    <w:rsid w:val="00C61B02"/>
    <w:rsid w:val="00C65483"/>
    <w:rsid w:val="00C6697A"/>
    <w:rsid w:val="00C715C0"/>
    <w:rsid w:val="00C719A2"/>
    <w:rsid w:val="00C72165"/>
    <w:rsid w:val="00C73673"/>
    <w:rsid w:val="00C746FA"/>
    <w:rsid w:val="00C76075"/>
    <w:rsid w:val="00C82D44"/>
    <w:rsid w:val="00C83041"/>
    <w:rsid w:val="00C84EF1"/>
    <w:rsid w:val="00C85FC7"/>
    <w:rsid w:val="00C86815"/>
    <w:rsid w:val="00C90B42"/>
    <w:rsid w:val="00C9475D"/>
    <w:rsid w:val="00C95056"/>
    <w:rsid w:val="00C951FD"/>
    <w:rsid w:val="00C95308"/>
    <w:rsid w:val="00CA184C"/>
    <w:rsid w:val="00CA2346"/>
    <w:rsid w:val="00CA4CEE"/>
    <w:rsid w:val="00CA50FD"/>
    <w:rsid w:val="00CA516C"/>
    <w:rsid w:val="00CA77D8"/>
    <w:rsid w:val="00CA788A"/>
    <w:rsid w:val="00CA7F28"/>
    <w:rsid w:val="00CB0768"/>
    <w:rsid w:val="00CB131F"/>
    <w:rsid w:val="00CB2388"/>
    <w:rsid w:val="00CB3A61"/>
    <w:rsid w:val="00CB4DCD"/>
    <w:rsid w:val="00CB4F2D"/>
    <w:rsid w:val="00CB56F5"/>
    <w:rsid w:val="00CB5728"/>
    <w:rsid w:val="00CB67FF"/>
    <w:rsid w:val="00CC1690"/>
    <w:rsid w:val="00CC3CDB"/>
    <w:rsid w:val="00CC3F22"/>
    <w:rsid w:val="00CC665A"/>
    <w:rsid w:val="00CD07F7"/>
    <w:rsid w:val="00CD6E2E"/>
    <w:rsid w:val="00CD7A62"/>
    <w:rsid w:val="00CE04A0"/>
    <w:rsid w:val="00CE169E"/>
    <w:rsid w:val="00CE1C14"/>
    <w:rsid w:val="00CE34DC"/>
    <w:rsid w:val="00CF0AA5"/>
    <w:rsid w:val="00CF0C1F"/>
    <w:rsid w:val="00CF17E4"/>
    <w:rsid w:val="00CF2132"/>
    <w:rsid w:val="00CF2385"/>
    <w:rsid w:val="00CF55EB"/>
    <w:rsid w:val="00D0103D"/>
    <w:rsid w:val="00D01F4D"/>
    <w:rsid w:val="00D07FB4"/>
    <w:rsid w:val="00D1081C"/>
    <w:rsid w:val="00D13043"/>
    <w:rsid w:val="00D13920"/>
    <w:rsid w:val="00D15D2C"/>
    <w:rsid w:val="00D16595"/>
    <w:rsid w:val="00D208DA"/>
    <w:rsid w:val="00D21FA8"/>
    <w:rsid w:val="00D23635"/>
    <w:rsid w:val="00D236B7"/>
    <w:rsid w:val="00D23E48"/>
    <w:rsid w:val="00D244BE"/>
    <w:rsid w:val="00D24C3B"/>
    <w:rsid w:val="00D273D3"/>
    <w:rsid w:val="00D27B41"/>
    <w:rsid w:val="00D325FE"/>
    <w:rsid w:val="00D32886"/>
    <w:rsid w:val="00D34CA4"/>
    <w:rsid w:val="00D40919"/>
    <w:rsid w:val="00D41610"/>
    <w:rsid w:val="00D425A0"/>
    <w:rsid w:val="00D43096"/>
    <w:rsid w:val="00D45162"/>
    <w:rsid w:val="00D458FC"/>
    <w:rsid w:val="00D46AB2"/>
    <w:rsid w:val="00D47163"/>
    <w:rsid w:val="00D47815"/>
    <w:rsid w:val="00D51CD4"/>
    <w:rsid w:val="00D51D26"/>
    <w:rsid w:val="00D52689"/>
    <w:rsid w:val="00D56676"/>
    <w:rsid w:val="00D60F5D"/>
    <w:rsid w:val="00D61F54"/>
    <w:rsid w:val="00D64B6F"/>
    <w:rsid w:val="00D656EB"/>
    <w:rsid w:val="00D65874"/>
    <w:rsid w:val="00D66A8E"/>
    <w:rsid w:val="00D66C3A"/>
    <w:rsid w:val="00D7249C"/>
    <w:rsid w:val="00D7394F"/>
    <w:rsid w:val="00D745C6"/>
    <w:rsid w:val="00D771FD"/>
    <w:rsid w:val="00D7796D"/>
    <w:rsid w:val="00D81B18"/>
    <w:rsid w:val="00D83541"/>
    <w:rsid w:val="00D8738B"/>
    <w:rsid w:val="00D92EEC"/>
    <w:rsid w:val="00D92F3F"/>
    <w:rsid w:val="00D931D9"/>
    <w:rsid w:val="00D9337D"/>
    <w:rsid w:val="00D93641"/>
    <w:rsid w:val="00D93A16"/>
    <w:rsid w:val="00D93D92"/>
    <w:rsid w:val="00D9496D"/>
    <w:rsid w:val="00D9571E"/>
    <w:rsid w:val="00DA0768"/>
    <w:rsid w:val="00DA087B"/>
    <w:rsid w:val="00DA161A"/>
    <w:rsid w:val="00DA3269"/>
    <w:rsid w:val="00DA5A94"/>
    <w:rsid w:val="00DA70B5"/>
    <w:rsid w:val="00DB0845"/>
    <w:rsid w:val="00DB226B"/>
    <w:rsid w:val="00DB2355"/>
    <w:rsid w:val="00DB3BB4"/>
    <w:rsid w:val="00DB4CAD"/>
    <w:rsid w:val="00DB7BF9"/>
    <w:rsid w:val="00DC0F02"/>
    <w:rsid w:val="00DC0F8D"/>
    <w:rsid w:val="00DC1745"/>
    <w:rsid w:val="00DC2284"/>
    <w:rsid w:val="00DC3956"/>
    <w:rsid w:val="00DC3CA4"/>
    <w:rsid w:val="00DC59BF"/>
    <w:rsid w:val="00DC606D"/>
    <w:rsid w:val="00DD0130"/>
    <w:rsid w:val="00DD21DD"/>
    <w:rsid w:val="00DD3B99"/>
    <w:rsid w:val="00DD5150"/>
    <w:rsid w:val="00DD74B9"/>
    <w:rsid w:val="00DD7620"/>
    <w:rsid w:val="00DD7A32"/>
    <w:rsid w:val="00DE15AE"/>
    <w:rsid w:val="00DE2145"/>
    <w:rsid w:val="00DE33B9"/>
    <w:rsid w:val="00DE4114"/>
    <w:rsid w:val="00DE4578"/>
    <w:rsid w:val="00DE489B"/>
    <w:rsid w:val="00DF04EE"/>
    <w:rsid w:val="00DF19DA"/>
    <w:rsid w:val="00DF1A67"/>
    <w:rsid w:val="00DF2A58"/>
    <w:rsid w:val="00DF3E35"/>
    <w:rsid w:val="00DF50B2"/>
    <w:rsid w:val="00DF71A5"/>
    <w:rsid w:val="00E01173"/>
    <w:rsid w:val="00E03ED5"/>
    <w:rsid w:val="00E04C82"/>
    <w:rsid w:val="00E04D75"/>
    <w:rsid w:val="00E050D3"/>
    <w:rsid w:val="00E0565C"/>
    <w:rsid w:val="00E06039"/>
    <w:rsid w:val="00E06243"/>
    <w:rsid w:val="00E07169"/>
    <w:rsid w:val="00E077A7"/>
    <w:rsid w:val="00E079F5"/>
    <w:rsid w:val="00E10868"/>
    <w:rsid w:val="00E12C9E"/>
    <w:rsid w:val="00E14A36"/>
    <w:rsid w:val="00E16382"/>
    <w:rsid w:val="00E16641"/>
    <w:rsid w:val="00E1688C"/>
    <w:rsid w:val="00E20F64"/>
    <w:rsid w:val="00E22175"/>
    <w:rsid w:val="00E22665"/>
    <w:rsid w:val="00E22A2C"/>
    <w:rsid w:val="00E30499"/>
    <w:rsid w:val="00E30B51"/>
    <w:rsid w:val="00E315DA"/>
    <w:rsid w:val="00E324BB"/>
    <w:rsid w:val="00E329EA"/>
    <w:rsid w:val="00E346F3"/>
    <w:rsid w:val="00E377E8"/>
    <w:rsid w:val="00E37E07"/>
    <w:rsid w:val="00E415BB"/>
    <w:rsid w:val="00E425CD"/>
    <w:rsid w:val="00E43464"/>
    <w:rsid w:val="00E44C14"/>
    <w:rsid w:val="00E46F37"/>
    <w:rsid w:val="00E47A69"/>
    <w:rsid w:val="00E51AB7"/>
    <w:rsid w:val="00E51BDE"/>
    <w:rsid w:val="00E51C54"/>
    <w:rsid w:val="00E54CEB"/>
    <w:rsid w:val="00E55184"/>
    <w:rsid w:val="00E56C1D"/>
    <w:rsid w:val="00E571BB"/>
    <w:rsid w:val="00E57C03"/>
    <w:rsid w:val="00E604EF"/>
    <w:rsid w:val="00E6200E"/>
    <w:rsid w:val="00E62560"/>
    <w:rsid w:val="00E6486D"/>
    <w:rsid w:val="00E64F0B"/>
    <w:rsid w:val="00E66789"/>
    <w:rsid w:val="00E70FD3"/>
    <w:rsid w:val="00E727CD"/>
    <w:rsid w:val="00E73B38"/>
    <w:rsid w:val="00E74435"/>
    <w:rsid w:val="00E74511"/>
    <w:rsid w:val="00E758AD"/>
    <w:rsid w:val="00E75937"/>
    <w:rsid w:val="00E77D4E"/>
    <w:rsid w:val="00E80719"/>
    <w:rsid w:val="00E81037"/>
    <w:rsid w:val="00E83075"/>
    <w:rsid w:val="00E8469F"/>
    <w:rsid w:val="00E853E8"/>
    <w:rsid w:val="00E85A06"/>
    <w:rsid w:val="00E85A20"/>
    <w:rsid w:val="00E86EC7"/>
    <w:rsid w:val="00E90F81"/>
    <w:rsid w:val="00E91860"/>
    <w:rsid w:val="00E9323C"/>
    <w:rsid w:val="00E93D38"/>
    <w:rsid w:val="00E954B7"/>
    <w:rsid w:val="00E96FDB"/>
    <w:rsid w:val="00EA107B"/>
    <w:rsid w:val="00EA2380"/>
    <w:rsid w:val="00EA2CE8"/>
    <w:rsid w:val="00EA39A7"/>
    <w:rsid w:val="00EA3B9D"/>
    <w:rsid w:val="00EA45D8"/>
    <w:rsid w:val="00EA5BD9"/>
    <w:rsid w:val="00EB01B0"/>
    <w:rsid w:val="00EB667E"/>
    <w:rsid w:val="00EC00A2"/>
    <w:rsid w:val="00EC00F7"/>
    <w:rsid w:val="00EC16F1"/>
    <w:rsid w:val="00EC209B"/>
    <w:rsid w:val="00EC4948"/>
    <w:rsid w:val="00EC4E8D"/>
    <w:rsid w:val="00EC6374"/>
    <w:rsid w:val="00ED05D6"/>
    <w:rsid w:val="00ED09D3"/>
    <w:rsid w:val="00ED0A35"/>
    <w:rsid w:val="00ED0C6F"/>
    <w:rsid w:val="00ED1C91"/>
    <w:rsid w:val="00ED2FCC"/>
    <w:rsid w:val="00ED41C8"/>
    <w:rsid w:val="00ED5A2A"/>
    <w:rsid w:val="00ED5C98"/>
    <w:rsid w:val="00ED7146"/>
    <w:rsid w:val="00EE0ED1"/>
    <w:rsid w:val="00EE2714"/>
    <w:rsid w:val="00EE577D"/>
    <w:rsid w:val="00EE5F75"/>
    <w:rsid w:val="00EF2722"/>
    <w:rsid w:val="00EF32DF"/>
    <w:rsid w:val="00EF40DA"/>
    <w:rsid w:val="00EF59F8"/>
    <w:rsid w:val="00EF6805"/>
    <w:rsid w:val="00EF7847"/>
    <w:rsid w:val="00F00508"/>
    <w:rsid w:val="00F00750"/>
    <w:rsid w:val="00F00D5F"/>
    <w:rsid w:val="00F01E52"/>
    <w:rsid w:val="00F042DC"/>
    <w:rsid w:val="00F056D9"/>
    <w:rsid w:val="00F0612C"/>
    <w:rsid w:val="00F07099"/>
    <w:rsid w:val="00F105EA"/>
    <w:rsid w:val="00F11117"/>
    <w:rsid w:val="00F12541"/>
    <w:rsid w:val="00F21618"/>
    <w:rsid w:val="00F22035"/>
    <w:rsid w:val="00F22D18"/>
    <w:rsid w:val="00F23071"/>
    <w:rsid w:val="00F240B1"/>
    <w:rsid w:val="00F242F6"/>
    <w:rsid w:val="00F25449"/>
    <w:rsid w:val="00F2598D"/>
    <w:rsid w:val="00F25ED5"/>
    <w:rsid w:val="00F2638B"/>
    <w:rsid w:val="00F30BDC"/>
    <w:rsid w:val="00F30C85"/>
    <w:rsid w:val="00F31609"/>
    <w:rsid w:val="00F32371"/>
    <w:rsid w:val="00F33668"/>
    <w:rsid w:val="00F36AB4"/>
    <w:rsid w:val="00F36C87"/>
    <w:rsid w:val="00F42F14"/>
    <w:rsid w:val="00F44806"/>
    <w:rsid w:val="00F46927"/>
    <w:rsid w:val="00F512D7"/>
    <w:rsid w:val="00F512F8"/>
    <w:rsid w:val="00F5187A"/>
    <w:rsid w:val="00F531B5"/>
    <w:rsid w:val="00F53F48"/>
    <w:rsid w:val="00F54377"/>
    <w:rsid w:val="00F548A9"/>
    <w:rsid w:val="00F55824"/>
    <w:rsid w:val="00F55854"/>
    <w:rsid w:val="00F55EF6"/>
    <w:rsid w:val="00F56813"/>
    <w:rsid w:val="00F57F83"/>
    <w:rsid w:val="00F627FC"/>
    <w:rsid w:val="00F65E1A"/>
    <w:rsid w:val="00F67294"/>
    <w:rsid w:val="00F70110"/>
    <w:rsid w:val="00F7085A"/>
    <w:rsid w:val="00F7110A"/>
    <w:rsid w:val="00F7288A"/>
    <w:rsid w:val="00F72C93"/>
    <w:rsid w:val="00F767E4"/>
    <w:rsid w:val="00F77A53"/>
    <w:rsid w:val="00F80A88"/>
    <w:rsid w:val="00F8212F"/>
    <w:rsid w:val="00F82150"/>
    <w:rsid w:val="00F823F5"/>
    <w:rsid w:val="00F82DD3"/>
    <w:rsid w:val="00F836A9"/>
    <w:rsid w:val="00F87236"/>
    <w:rsid w:val="00F87A8B"/>
    <w:rsid w:val="00F87F63"/>
    <w:rsid w:val="00F90B83"/>
    <w:rsid w:val="00F9170D"/>
    <w:rsid w:val="00F919FE"/>
    <w:rsid w:val="00F920B0"/>
    <w:rsid w:val="00F94368"/>
    <w:rsid w:val="00F9494C"/>
    <w:rsid w:val="00F974D7"/>
    <w:rsid w:val="00FA15C8"/>
    <w:rsid w:val="00FA253B"/>
    <w:rsid w:val="00FA2D86"/>
    <w:rsid w:val="00FA348C"/>
    <w:rsid w:val="00FA47B0"/>
    <w:rsid w:val="00FA5E2A"/>
    <w:rsid w:val="00FB0AD8"/>
    <w:rsid w:val="00FB18E3"/>
    <w:rsid w:val="00FB265C"/>
    <w:rsid w:val="00FB4DBB"/>
    <w:rsid w:val="00FC15C5"/>
    <w:rsid w:val="00FC346E"/>
    <w:rsid w:val="00FC3EDE"/>
    <w:rsid w:val="00FC6243"/>
    <w:rsid w:val="00FC793C"/>
    <w:rsid w:val="00FD0086"/>
    <w:rsid w:val="00FD2B4F"/>
    <w:rsid w:val="00FD71A5"/>
    <w:rsid w:val="00FE06AA"/>
    <w:rsid w:val="00FE1F88"/>
    <w:rsid w:val="00FE2C17"/>
    <w:rsid w:val="00FE38AC"/>
    <w:rsid w:val="00FE7109"/>
    <w:rsid w:val="00FE7846"/>
    <w:rsid w:val="00FE7918"/>
    <w:rsid w:val="00FF072F"/>
    <w:rsid w:val="00FF193D"/>
    <w:rsid w:val="00FF3C41"/>
    <w:rsid w:val="00FF6A80"/>
    <w:rsid w:val="00FF732F"/>
    <w:rsid w:val="00FF7A5A"/>
    <w:rsid w:val="00FF7DA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8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footnote reference" w:qFormat="1"/>
    <w:lsdException w:name="Title" w:uiPriority="10"/>
    <w:lsdException w:name="Default Paragraph Font" w:uiPriority="1"/>
    <w:lsdException w:name="Hyperlink" w:uiPriority="99"/>
    <w:lsdException w:name="FollowedHyperlink" w:uiPriority="99"/>
    <w:lsdException w:name="Strong" w:uiPriority="22"/>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C7C"/>
    <w:pPr>
      <w:tabs>
        <w:tab w:val="left" w:pos="567"/>
      </w:tabs>
      <w:spacing w:after="80" w:line="320" w:lineRule="atLeast"/>
    </w:pPr>
    <w:rPr>
      <w:sz w:val="24"/>
    </w:rPr>
  </w:style>
  <w:style w:type="paragraph" w:styleId="Heading1">
    <w:name w:val="heading 1"/>
    <w:basedOn w:val="Normal"/>
    <w:next w:val="Heading2"/>
    <w:link w:val="Heading1Char"/>
    <w:uiPriority w:val="9"/>
    <w:qFormat/>
    <w:rsid w:val="00366C7C"/>
    <w:pPr>
      <w:keepNext/>
      <w:widowControl w:val="0"/>
      <w:pBdr>
        <w:bottom w:val="single" w:sz="4" w:space="1" w:color="auto"/>
      </w:pBdr>
      <w:spacing w:before="800" w:after="0" w:line="240" w:lineRule="auto"/>
      <w:outlineLvl w:val="0"/>
    </w:pPr>
    <w:rPr>
      <w:rFonts w:eastAsiaTheme="majorEastAsia" w:cstheme="majorBidi"/>
      <w:b/>
      <w:bCs/>
      <w:caps/>
      <w:color w:val="2C8558"/>
      <w:sz w:val="40"/>
      <w:szCs w:val="28"/>
    </w:rPr>
  </w:style>
  <w:style w:type="paragraph" w:styleId="Heading2">
    <w:name w:val="heading 2"/>
    <w:basedOn w:val="Normal"/>
    <w:next w:val="Heading3"/>
    <w:link w:val="Heading2Char"/>
    <w:uiPriority w:val="9"/>
    <w:qFormat/>
    <w:rsid w:val="00366C7C"/>
    <w:pPr>
      <w:keepNext/>
      <w:widowControl w:val="0"/>
      <w:spacing w:before="100" w:after="720" w:line="240" w:lineRule="auto"/>
      <w:outlineLvl w:val="1"/>
    </w:pPr>
    <w:rPr>
      <w:rFonts w:eastAsiaTheme="majorEastAsia" w:cstheme="majorBidi"/>
      <w:b/>
      <w:bCs/>
      <w:caps/>
      <w:color w:val="2C8558"/>
      <w:sz w:val="40"/>
      <w:szCs w:val="26"/>
    </w:rPr>
  </w:style>
  <w:style w:type="paragraph" w:styleId="Heading3">
    <w:name w:val="heading 3"/>
    <w:basedOn w:val="Normal"/>
    <w:next w:val="Heading4"/>
    <w:link w:val="Heading3Char"/>
    <w:uiPriority w:val="9"/>
    <w:qFormat/>
    <w:rsid w:val="00366C7C"/>
    <w:pPr>
      <w:keepNext/>
      <w:widowControl w:val="0"/>
      <w:spacing w:before="600" w:after="200" w:line="240" w:lineRule="auto"/>
      <w:outlineLvl w:val="2"/>
    </w:pPr>
    <w:rPr>
      <w:rFonts w:eastAsiaTheme="majorEastAsia" w:cstheme="majorBidi"/>
      <w:b/>
      <w:bCs/>
      <w:caps/>
      <w:color w:val="2C8558"/>
      <w:sz w:val="32"/>
    </w:rPr>
  </w:style>
  <w:style w:type="paragraph" w:styleId="Heading4">
    <w:name w:val="heading 4"/>
    <w:basedOn w:val="Normal"/>
    <w:next w:val="Heading5"/>
    <w:link w:val="Heading4Char"/>
    <w:uiPriority w:val="9"/>
    <w:qFormat/>
    <w:rsid w:val="00366C7C"/>
    <w:pPr>
      <w:keepNext/>
      <w:widowControl w:val="0"/>
      <w:spacing w:before="300" w:after="40" w:line="240" w:lineRule="auto"/>
      <w:outlineLvl w:val="3"/>
    </w:pPr>
    <w:rPr>
      <w:rFonts w:eastAsiaTheme="majorEastAsia" w:cstheme="majorBidi"/>
      <w:b/>
      <w:bCs/>
      <w:iCs/>
      <w:color w:val="2C8558"/>
      <w:sz w:val="32"/>
    </w:rPr>
  </w:style>
  <w:style w:type="paragraph" w:styleId="Heading5">
    <w:name w:val="heading 5"/>
    <w:basedOn w:val="Normal"/>
    <w:next w:val="Heading6"/>
    <w:link w:val="Heading5Char"/>
    <w:uiPriority w:val="9"/>
    <w:qFormat/>
    <w:rsid w:val="00366C7C"/>
    <w:pPr>
      <w:keepNext/>
      <w:tabs>
        <w:tab w:val="clear" w:pos="567"/>
      </w:tabs>
      <w:spacing w:before="300" w:after="40" w:line="240" w:lineRule="auto"/>
      <w:outlineLvl w:val="4"/>
    </w:pPr>
    <w:rPr>
      <w:rFonts w:eastAsiaTheme="majorEastAsia" w:cstheme="majorBidi"/>
      <w:b/>
      <w:i/>
      <w:color w:val="2C8558"/>
      <w:sz w:val="28"/>
    </w:rPr>
  </w:style>
  <w:style w:type="paragraph" w:styleId="Heading6">
    <w:name w:val="heading 6"/>
    <w:basedOn w:val="Normal"/>
    <w:next w:val="Normal"/>
    <w:link w:val="Heading6Char"/>
    <w:uiPriority w:val="9"/>
    <w:qFormat/>
    <w:rsid w:val="00366C7C"/>
    <w:pPr>
      <w:keepNext/>
      <w:keepLines/>
      <w:spacing w:before="120"/>
      <w:outlineLvl w:val="5"/>
    </w:pPr>
    <w:rPr>
      <w:rFonts w:eastAsiaTheme="majorEastAsia" w:cstheme="majorBidi"/>
      <w:b/>
      <w:i/>
      <w:iCs/>
      <w:color w:val="2C8558"/>
      <w:sz w:val="28"/>
    </w:rPr>
  </w:style>
  <w:style w:type="paragraph" w:styleId="Heading7">
    <w:name w:val="heading 7"/>
    <w:basedOn w:val="Normal"/>
    <w:next w:val="Normal"/>
    <w:link w:val="Heading7Char"/>
    <w:uiPriority w:val="9"/>
    <w:rsid w:val="00366C7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link w:val="Heading8Char"/>
    <w:rsid w:val="00366C7C"/>
    <w:pPr>
      <w:numPr>
        <w:ilvl w:val="7"/>
        <w:numId w:val="18"/>
      </w:numPr>
      <w:spacing w:before="240" w:after="60"/>
      <w:outlineLvl w:val="7"/>
    </w:pPr>
    <w:rPr>
      <w:rFonts w:ascii="Arial" w:hAnsi="Arial"/>
      <w:i/>
      <w:sz w:val="20"/>
      <w:szCs w:val="20"/>
    </w:rPr>
  </w:style>
  <w:style w:type="paragraph" w:styleId="Heading9">
    <w:name w:val="heading 9"/>
    <w:aliases w:val="Heading 9 (Do not use),(Subsubsection Nos)"/>
    <w:basedOn w:val="Normal"/>
    <w:next w:val="Normal"/>
    <w:link w:val="Heading9Char"/>
    <w:rsid w:val="00366C7C"/>
    <w:pPr>
      <w:numPr>
        <w:ilvl w:val="8"/>
        <w:numId w:val="18"/>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366C7C"/>
    <w:pPr>
      <w:spacing w:after="0" w:line="240" w:lineRule="auto"/>
    </w:pPr>
    <w:rPr>
      <w:rFonts w:ascii="Tahoma" w:hAnsi="Tahoma" w:cs="Tahoma"/>
      <w:sz w:val="16"/>
      <w:szCs w:val="16"/>
    </w:rPr>
  </w:style>
  <w:style w:type="paragraph" w:styleId="Caption">
    <w:name w:val="caption"/>
    <w:basedOn w:val="Normal"/>
    <w:next w:val="Normal"/>
    <w:link w:val="CaptionChar"/>
    <w:qFormat/>
    <w:rsid w:val="00366C7C"/>
    <w:pPr>
      <w:keepNext/>
      <w:keepLines/>
      <w:tabs>
        <w:tab w:val="clear" w:pos="567"/>
        <w:tab w:val="left" w:pos="1418"/>
      </w:tabs>
      <w:spacing w:before="240" w:after="120" w:line="240" w:lineRule="auto"/>
      <w:ind w:left="1418" w:hanging="1418"/>
    </w:pPr>
    <w:rPr>
      <w:b/>
      <w:bCs/>
      <w:szCs w:val="20"/>
    </w:rPr>
  </w:style>
  <w:style w:type="paragraph" w:customStyle="1" w:styleId="CGCBulletlist">
    <w:name w:val="CGC Bullet list"/>
    <w:aliases w:val="CGC List 1"/>
    <w:basedOn w:val="Normal"/>
    <w:link w:val="CGCBulletlistChar"/>
    <w:qFormat/>
    <w:rsid w:val="00366C7C"/>
    <w:pPr>
      <w:numPr>
        <w:numId w:val="1"/>
      </w:numPr>
      <w:tabs>
        <w:tab w:val="clear" w:pos="567"/>
        <w:tab w:val="clear" w:pos="927"/>
        <w:tab w:val="left" w:pos="1134"/>
      </w:tabs>
      <w:spacing w:before="80" w:line="300" w:lineRule="atLeast"/>
      <w:ind w:left="1134" w:hanging="567"/>
    </w:pPr>
    <w:rPr>
      <w:szCs w:val="20"/>
    </w:rPr>
  </w:style>
  <w:style w:type="paragraph" w:customStyle="1" w:styleId="CGCNumeralList">
    <w:name w:val="CGC Numeral List"/>
    <w:aliases w:val="CGC List 3"/>
    <w:basedOn w:val="Normal"/>
    <w:qFormat/>
    <w:rsid w:val="00366C7C"/>
    <w:pPr>
      <w:numPr>
        <w:numId w:val="5"/>
      </w:numPr>
      <w:tabs>
        <w:tab w:val="clear" w:pos="567"/>
      </w:tabs>
      <w:spacing w:line="300" w:lineRule="atLeast"/>
    </w:pPr>
    <w:rPr>
      <w:szCs w:val="20"/>
    </w:rPr>
  </w:style>
  <w:style w:type="paragraph" w:customStyle="1" w:styleId="CGCNumberedPara">
    <w:name w:val="CGC Numbered Para"/>
    <w:aliases w:val="CGC Para No"/>
    <w:basedOn w:val="Normal"/>
    <w:link w:val="CGCParaNoChar"/>
    <w:qFormat/>
    <w:rsid w:val="00366C7C"/>
    <w:pPr>
      <w:numPr>
        <w:ilvl w:val="1"/>
        <w:numId w:val="8"/>
      </w:numPr>
      <w:spacing w:before="120"/>
    </w:pPr>
    <w:rPr>
      <w:szCs w:val="24"/>
    </w:rPr>
  </w:style>
  <w:style w:type="paragraph" w:customStyle="1" w:styleId="CGCQuotation">
    <w:name w:val="CGC Quotation"/>
    <w:basedOn w:val="Normal"/>
    <w:next w:val="CGCNumberedPara"/>
    <w:rsid w:val="00366C7C"/>
    <w:pPr>
      <w:tabs>
        <w:tab w:val="clear" w:pos="567"/>
      </w:tabs>
      <w:spacing w:before="120" w:after="120" w:line="240" w:lineRule="auto"/>
      <w:ind w:left="1134" w:right="1134"/>
    </w:pPr>
    <w:rPr>
      <w:sz w:val="22"/>
      <w:szCs w:val="24"/>
    </w:rPr>
  </w:style>
  <w:style w:type="paragraph" w:customStyle="1" w:styleId="CGCSubbulletlist">
    <w:name w:val="CGC Sub bullet list"/>
    <w:aliases w:val="CGC List 2"/>
    <w:basedOn w:val="Normal"/>
    <w:link w:val="CGCSubbulletlistChar"/>
    <w:qFormat/>
    <w:rsid w:val="00366C7C"/>
    <w:pPr>
      <w:numPr>
        <w:numId w:val="6"/>
      </w:numPr>
      <w:tabs>
        <w:tab w:val="clear" w:pos="567"/>
        <w:tab w:val="clear" w:pos="927"/>
        <w:tab w:val="left" w:pos="1701"/>
      </w:tabs>
      <w:spacing w:line="300" w:lineRule="atLeast"/>
      <w:ind w:left="1701" w:hanging="567"/>
    </w:pPr>
    <w:rPr>
      <w:szCs w:val="20"/>
    </w:rPr>
  </w:style>
  <w:style w:type="paragraph" w:customStyle="1" w:styleId="CGCQuotationBullet">
    <w:name w:val="CGC Quotation Bullet"/>
    <w:basedOn w:val="CGCSubbulletlist"/>
    <w:rsid w:val="00366C7C"/>
    <w:pPr>
      <w:numPr>
        <w:numId w:val="7"/>
      </w:numPr>
      <w:ind w:right="1134"/>
    </w:pPr>
    <w:rPr>
      <w:sz w:val="22"/>
    </w:rPr>
  </w:style>
  <w:style w:type="paragraph" w:customStyle="1" w:styleId="CGCTableFootnote">
    <w:name w:val="CGC Table Footnote"/>
    <w:basedOn w:val="CGCNumberedPara"/>
    <w:next w:val="NoSpacing"/>
    <w:link w:val="CGCTableFootnoteChar"/>
    <w:qFormat/>
    <w:rsid w:val="00366C7C"/>
    <w:pPr>
      <w:numPr>
        <w:ilvl w:val="0"/>
        <w:numId w:val="0"/>
      </w:numPr>
      <w:tabs>
        <w:tab w:val="left" w:pos="851"/>
      </w:tabs>
      <w:spacing w:before="0" w:after="0" w:line="240" w:lineRule="auto"/>
      <w:ind w:left="851" w:hanging="851"/>
    </w:pPr>
    <w:rPr>
      <w:sz w:val="20"/>
    </w:rPr>
  </w:style>
  <w:style w:type="paragraph" w:customStyle="1" w:styleId="CGCTableHeading">
    <w:name w:val="CGC Table Heading"/>
    <w:basedOn w:val="Normal"/>
    <w:next w:val="Normal"/>
    <w:link w:val="CGCTableHeadingChar"/>
    <w:qFormat/>
    <w:rsid w:val="00366C7C"/>
    <w:pPr>
      <w:keepNext/>
      <w:keepLines/>
      <w:tabs>
        <w:tab w:val="clear" w:pos="567"/>
        <w:tab w:val="left" w:pos="1420"/>
      </w:tabs>
      <w:spacing w:before="240" w:after="120" w:line="240" w:lineRule="auto"/>
      <w:ind w:left="1418" w:hanging="1418"/>
    </w:pPr>
    <w:rPr>
      <w:b/>
      <w:szCs w:val="20"/>
    </w:rPr>
  </w:style>
  <w:style w:type="paragraph" w:customStyle="1" w:styleId="TableRowNormal">
    <w:name w:val="TableRowNormal"/>
    <w:basedOn w:val="Normal"/>
    <w:link w:val="TableRowNormalChar"/>
    <w:rsid w:val="00366C7C"/>
    <w:pPr>
      <w:keepNext/>
      <w:keepLines/>
      <w:tabs>
        <w:tab w:val="left" w:pos="475"/>
        <w:tab w:val="left" w:pos="1440"/>
        <w:tab w:val="left" w:pos="2160"/>
        <w:tab w:val="left" w:pos="2880"/>
      </w:tabs>
      <w:spacing w:before="60" w:after="60" w:line="200" w:lineRule="atLeast"/>
      <w:ind w:left="144" w:hanging="144"/>
      <w:jc w:val="right"/>
    </w:pPr>
    <w:rPr>
      <w:sz w:val="20"/>
      <w:szCs w:val="20"/>
    </w:rPr>
  </w:style>
  <w:style w:type="paragraph" w:customStyle="1" w:styleId="CGCTableStub">
    <w:name w:val="CGC Table Stub"/>
    <w:basedOn w:val="Normal"/>
    <w:link w:val="CGCTableStubChar"/>
    <w:rsid w:val="00366C7C"/>
    <w:pPr>
      <w:keepNext/>
      <w:keepLines/>
      <w:tabs>
        <w:tab w:val="left" w:pos="284"/>
      </w:tabs>
      <w:spacing w:before="60" w:after="60" w:line="200" w:lineRule="atLeast"/>
    </w:pPr>
    <w:rPr>
      <w:sz w:val="20"/>
      <w:szCs w:val="20"/>
    </w:rPr>
  </w:style>
  <w:style w:type="character" w:styleId="CommentReference">
    <w:name w:val="annotation reference"/>
    <w:basedOn w:val="DefaultParagraphFont"/>
    <w:rsid w:val="00366C7C"/>
    <w:rPr>
      <w:sz w:val="16"/>
      <w:szCs w:val="16"/>
    </w:rPr>
  </w:style>
  <w:style w:type="paragraph" w:styleId="CommentText">
    <w:name w:val="annotation text"/>
    <w:basedOn w:val="Normal"/>
    <w:link w:val="CommentTextChar"/>
    <w:rsid w:val="00366C7C"/>
    <w:rPr>
      <w:sz w:val="20"/>
      <w:szCs w:val="20"/>
    </w:rPr>
  </w:style>
  <w:style w:type="paragraph" w:styleId="CommentSubject">
    <w:name w:val="annotation subject"/>
    <w:basedOn w:val="CommentText"/>
    <w:next w:val="CommentText"/>
    <w:link w:val="CommentSubjectChar"/>
    <w:rsid w:val="00366C7C"/>
    <w:rPr>
      <w:b/>
      <w:bCs/>
    </w:rPr>
  </w:style>
  <w:style w:type="paragraph" w:styleId="DocumentMap">
    <w:name w:val="Document Map"/>
    <w:basedOn w:val="Normal"/>
    <w:link w:val="DocumentMapChar"/>
    <w:rsid w:val="00366C7C"/>
    <w:pPr>
      <w:shd w:val="clear" w:color="auto" w:fill="000080"/>
    </w:pPr>
    <w:rPr>
      <w:rFonts w:ascii="Tahoma" w:hAnsi="Tahoma" w:cs="Tahoma"/>
      <w:sz w:val="20"/>
      <w:szCs w:val="20"/>
    </w:rPr>
  </w:style>
  <w:style w:type="character" w:styleId="EndnoteReference">
    <w:name w:val="endnote reference"/>
    <w:basedOn w:val="DefaultParagraphFont"/>
    <w:rsid w:val="00366C7C"/>
    <w:rPr>
      <w:vertAlign w:val="superscript"/>
    </w:rPr>
  </w:style>
  <w:style w:type="paragraph" w:styleId="EndnoteText">
    <w:name w:val="endnote text"/>
    <w:basedOn w:val="Normal"/>
    <w:link w:val="EndnoteTextChar"/>
    <w:rsid w:val="00366C7C"/>
    <w:rPr>
      <w:sz w:val="20"/>
      <w:szCs w:val="20"/>
    </w:rPr>
  </w:style>
  <w:style w:type="paragraph" w:styleId="Footer">
    <w:name w:val="footer"/>
    <w:basedOn w:val="Normal"/>
    <w:link w:val="FooterChar"/>
    <w:uiPriority w:val="99"/>
    <w:unhideWhenUsed/>
    <w:rsid w:val="00366C7C"/>
    <w:pPr>
      <w:tabs>
        <w:tab w:val="clear" w:pos="567"/>
        <w:tab w:val="center" w:pos="4513"/>
        <w:tab w:val="right" w:pos="9026"/>
      </w:tabs>
      <w:spacing w:after="0" w:line="240" w:lineRule="auto"/>
    </w:pPr>
  </w:style>
  <w:style w:type="character" w:styleId="FootnoteReference">
    <w:name w:val="footnote reference"/>
    <w:basedOn w:val="DefaultParagraphFont"/>
    <w:qFormat/>
    <w:rsid w:val="00366C7C"/>
    <w:rPr>
      <w:vertAlign w:val="superscript"/>
    </w:rPr>
  </w:style>
  <w:style w:type="paragraph" w:styleId="FootnoteText">
    <w:name w:val="footnote text"/>
    <w:basedOn w:val="Normal"/>
    <w:link w:val="FootnoteTextChar"/>
    <w:rsid w:val="00366C7C"/>
    <w:pPr>
      <w:spacing w:after="0" w:line="240" w:lineRule="auto"/>
      <w:ind w:left="567" w:hanging="567"/>
    </w:pPr>
    <w:rPr>
      <w:sz w:val="20"/>
      <w:szCs w:val="20"/>
    </w:rPr>
  </w:style>
  <w:style w:type="paragraph" w:styleId="Header">
    <w:name w:val="header"/>
    <w:basedOn w:val="Normal"/>
    <w:link w:val="HeaderChar"/>
    <w:uiPriority w:val="99"/>
    <w:unhideWhenUsed/>
    <w:rsid w:val="00366C7C"/>
    <w:pPr>
      <w:tabs>
        <w:tab w:val="clear" w:pos="567"/>
        <w:tab w:val="center" w:pos="4513"/>
        <w:tab w:val="right" w:pos="9026"/>
      </w:tabs>
      <w:spacing w:after="0" w:line="240" w:lineRule="auto"/>
    </w:pPr>
  </w:style>
  <w:style w:type="character" w:styleId="Hyperlink">
    <w:name w:val="Hyperlink"/>
    <w:basedOn w:val="DefaultParagraphFont"/>
    <w:uiPriority w:val="99"/>
    <w:rsid w:val="00366C7C"/>
    <w:rPr>
      <w:color w:val="0000FF"/>
      <w:u w:val="single"/>
    </w:rPr>
  </w:style>
  <w:style w:type="paragraph" w:styleId="Index1">
    <w:name w:val="index 1"/>
    <w:basedOn w:val="Normal"/>
    <w:rsid w:val="00366C7C"/>
  </w:style>
  <w:style w:type="paragraph" w:styleId="Index2">
    <w:name w:val="index 2"/>
    <w:basedOn w:val="Normal"/>
    <w:next w:val="Index1"/>
    <w:rsid w:val="00366C7C"/>
    <w:pPr>
      <w:ind w:left="284"/>
    </w:pPr>
  </w:style>
  <w:style w:type="paragraph" w:styleId="Index3">
    <w:name w:val="index 3"/>
    <w:basedOn w:val="Normal"/>
    <w:next w:val="Index1"/>
    <w:rsid w:val="00366C7C"/>
    <w:pPr>
      <w:ind w:left="567"/>
    </w:pPr>
  </w:style>
  <w:style w:type="paragraph" w:styleId="Index4">
    <w:name w:val="index 4"/>
    <w:basedOn w:val="Normal"/>
    <w:next w:val="Normal"/>
    <w:rsid w:val="00366C7C"/>
    <w:pPr>
      <w:ind w:left="880" w:hanging="220"/>
    </w:pPr>
  </w:style>
  <w:style w:type="paragraph" w:styleId="Index5">
    <w:name w:val="index 5"/>
    <w:basedOn w:val="Normal"/>
    <w:next w:val="Normal"/>
    <w:rsid w:val="00366C7C"/>
    <w:pPr>
      <w:ind w:left="1100" w:hanging="220"/>
    </w:pPr>
  </w:style>
  <w:style w:type="paragraph" w:styleId="Index6">
    <w:name w:val="index 6"/>
    <w:basedOn w:val="Normal"/>
    <w:next w:val="Normal"/>
    <w:rsid w:val="00366C7C"/>
    <w:pPr>
      <w:ind w:left="1320" w:hanging="220"/>
    </w:pPr>
  </w:style>
  <w:style w:type="paragraph" w:styleId="Index7">
    <w:name w:val="index 7"/>
    <w:basedOn w:val="Normal"/>
    <w:next w:val="Normal"/>
    <w:rsid w:val="00366C7C"/>
    <w:pPr>
      <w:ind w:left="1540" w:hanging="220"/>
    </w:pPr>
  </w:style>
  <w:style w:type="paragraph" w:styleId="Index8">
    <w:name w:val="index 8"/>
    <w:basedOn w:val="Normal"/>
    <w:next w:val="Normal"/>
    <w:rsid w:val="00366C7C"/>
    <w:pPr>
      <w:ind w:left="1760" w:hanging="220"/>
    </w:pPr>
  </w:style>
  <w:style w:type="paragraph" w:styleId="Index9">
    <w:name w:val="index 9"/>
    <w:basedOn w:val="Normal"/>
    <w:next w:val="Normal"/>
    <w:rsid w:val="00366C7C"/>
    <w:pPr>
      <w:ind w:left="1980" w:hanging="220"/>
    </w:pPr>
  </w:style>
  <w:style w:type="paragraph" w:styleId="IndexHeading">
    <w:name w:val="index heading"/>
    <w:basedOn w:val="Normal"/>
    <w:next w:val="Index1"/>
    <w:rsid w:val="00366C7C"/>
  </w:style>
  <w:style w:type="paragraph" w:styleId="List">
    <w:name w:val="List"/>
    <w:basedOn w:val="Normal"/>
    <w:rsid w:val="00366C7C"/>
    <w:pPr>
      <w:spacing w:line="300" w:lineRule="atLeast"/>
    </w:pPr>
  </w:style>
  <w:style w:type="paragraph" w:styleId="MacroText">
    <w:name w:val="macro"/>
    <w:link w:val="MacroTextChar"/>
    <w:rsid w:val="00366C7C"/>
    <w:pPr>
      <w:tabs>
        <w:tab w:val="left" w:pos="480"/>
        <w:tab w:val="left" w:pos="960"/>
        <w:tab w:val="left" w:pos="1440"/>
        <w:tab w:val="left" w:pos="1920"/>
        <w:tab w:val="left" w:pos="2400"/>
        <w:tab w:val="left" w:pos="2880"/>
        <w:tab w:val="left" w:pos="3360"/>
        <w:tab w:val="left" w:pos="3840"/>
        <w:tab w:val="left" w:pos="4320"/>
      </w:tabs>
      <w:spacing w:after="80" w:line="320" w:lineRule="atLeast"/>
    </w:pPr>
    <w:rPr>
      <w:rFonts w:ascii="Courier New" w:hAnsi="Courier New" w:cs="Courier New"/>
    </w:rPr>
  </w:style>
  <w:style w:type="character" w:styleId="PageNumber">
    <w:name w:val="page number"/>
    <w:basedOn w:val="DefaultParagraphFont"/>
    <w:rsid w:val="00366C7C"/>
  </w:style>
  <w:style w:type="paragraph" w:customStyle="1" w:styleId="Single">
    <w:name w:val="Single"/>
    <w:basedOn w:val="Normal"/>
    <w:next w:val="CGCNumberedPara"/>
    <w:link w:val="SingleChar"/>
    <w:rsid w:val="00366C7C"/>
    <w:pPr>
      <w:spacing w:after="0" w:line="240" w:lineRule="auto"/>
    </w:pPr>
  </w:style>
  <w:style w:type="table" w:styleId="TableGrid">
    <w:name w:val="Table Grid"/>
    <w:basedOn w:val="TableNormal"/>
    <w:uiPriority w:val="59"/>
    <w:rsid w:val="00366C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rsid w:val="00366C7C"/>
    <w:pPr>
      <w:tabs>
        <w:tab w:val="clear" w:pos="567"/>
      </w:tabs>
      <w:ind w:left="220" w:hanging="220"/>
    </w:pPr>
  </w:style>
  <w:style w:type="paragraph" w:styleId="TableofFigures">
    <w:name w:val="table of figures"/>
    <w:basedOn w:val="Normal"/>
    <w:next w:val="Normal"/>
    <w:rsid w:val="00366C7C"/>
    <w:pPr>
      <w:tabs>
        <w:tab w:val="clear" w:pos="567"/>
      </w:tabs>
    </w:pPr>
  </w:style>
  <w:style w:type="paragraph" w:customStyle="1" w:styleId="TableColHeadings">
    <w:name w:val="TableColHeadings"/>
    <w:basedOn w:val="Normal"/>
    <w:rsid w:val="00366C7C"/>
    <w:pPr>
      <w:keepNext/>
      <w:keepLines/>
      <w:tabs>
        <w:tab w:val="left" w:pos="475"/>
        <w:tab w:val="left" w:pos="1440"/>
        <w:tab w:val="left" w:pos="2160"/>
        <w:tab w:val="left" w:pos="2880"/>
      </w:tabs>
      <w:spacing w:before="60" w:after="60" w:line="240" w:lineRule="auto"/>
      <w:jc w:val="right"/>
    </w:pPr>
    <w:rPr>
      <w:sz w:val="20"/>
      <w:szCs w:val="20"/>
    </w:rPr>
  </w:style>
  <w:style w:type="paragraph" w:customStyle="1" w:styleId="TableRowUnits">
    <w:name w:val="TableRowUnits"/>
    <w:basedOn w:val="Normal"/>
    <w:rsid w:val="00366C7C"/>
    <w:pPr>
      <w:keepNext/>
      <w:keepLines/>
      <w:tabs>
        <w:tab w:val="left" w:pos="475"/>
        <w:tab w:val="left" w:pos="1440"/>
        <w:tab w:val="left" w:pos="2160"/>
        <w:tab w:val="left" w:pos="2880"/>
      </w:tabs>
      <w:spacing w:after="0" w:line="240" w:lineRule="auto"/>
      <w:jc w:val="right"/>
    </w:pPr>
    <w:rPr>
      <w:sz w:val="20"/>
      <w:szCs w:val="20"/>
    </w:rPr>
  </w:style>
  <w:style w:type="paragraph" w:styleId="TOAHeading">
    <w:name w:val="toa heading"/>
    <w:basedOn w:val="Normal"/>
    <w:next w:val="Normal"/>
    <w:rsid w:val="00366C7C"/>
    <w:pPr>
      <w:spacing w:before="120"/>
    </w:pPr>
    <w:rPr>
      <w:rFonts w:cs="Arial"/>
      <w:b/>
      <w:bCs/>
    </w:rPr>
  </w:style>
  <w:style w:type="paragraph" w:styleId="TOC1">
    <w:name w:val="toc 1"/>
    <w:basedOn w:val="Normal"/>
    <w:next w:val="Normal"/>
    <w:uiPriority w:val="39"/>
    <w:qFormat/>
    <w:rsid w:val="00E346F3"/>
    <w:pPr>
      <w:tabs>
        <w:tab w:val="clear" w:pos="567"/>
      </w:tabs>
      <w:spacing w:before="120" w:after="60" w:line="240" w:lineRule="auto"/>
    </w:pPr>
    <w:rPr>
      <w:b/>
      <w:bCs/>
      <w:caps/>
      <w:szCs w:val="24"/>
    </w:rPr>
  </w:style>
  <w:style w:type="paragraph" w:styleId="TOC2">
    <w:name w:val="toc 2"/>
    <w:basedOn w:val="Normal"/>
    <w:next w:val="Normal"/>
    <w:uiPriority w:val="39"/>
    <w:qFormat/>
    <w:rsid w:val="005E359D"/>
    <w:pPr>
      <w:tabs>
        <w:tab w:val="clear" w:pos="567"/>
        <w:tab w:val="right" w:pos="8930"/>
      </w:tabs>
      <w:spacing w:before="60" w:after="60" w:line="240" w:lineRule="auto"/>
      <w:ind w:left="284"/>
    </w:pPr>
    <w:rPr>
      <w:b/>
      <w:bCs/>
      <w:szCs w:val="20"/>
    </w:rPr>
  </w:style>
  <w:style w:type="paragraph" w:styleId="TOC3">
    <w:name w:val="toc 3"/>
    <w:basedOn w:val="Normal"/>
    <w:next w:val="Normal"/>
    <w:uiPriority w:val="39"/>
    <w:qFormat/>
    <w:rsid w:val="005E359D"/>
    <w:pPr>
      <w:tabs>
        <w:tab w:val="clear" w:pos="567"/>
        <w:tab w:val="right" w:pos="8930"/>
      </w:tabs>
      <w:spacing w:before="40" w:after="40" w:line="240" w:lineRule="auto"/>
      <w:ind w:left="284"/>
    </w:pPr>
    <w:rPr>
      <w:b/>
      <w:szCs w:val="20"/>
    </w:rPr>
  </w:style>
  <w:style w:type="paragraph" w:styleId="TOC4">
    <w:name w:val="toc 4"/>
    <w:basedOn w:val="Normal"/>
    <w:next w:val="Normal"/>
    <w:uiPriority w:val="39"/>
    <w:rsid w:val="005E359D"/>
    <w:pPr>
      <w:tabs>
        <w:tab w:val="clear" w:pos="567"/>
        <w:tab w:val="right" w:pos="8930"/>
      </w:tabs>
      <w:spacing w:after="0"/>
      <w:ind w:left="567"/>
    </w:pPr>
    <w:rPr>
      <w:szCs w:val="20"/>
    </w:rPr>
  </w:style>
  <w:style w:type="paragraph" w:styleId="TOC5">
    <w:name w:val="toc 5"/>
    <w:basedOn w:val="Normal"/>
    <w:next w:val="Normal"/>
    <w:uiPriority w:val="39"/>
    <w:rsid w:val="005E359D"/>
    <w:pPr>
      <w:tabs>
        <w:tab w:val="clear" w:pos="567"/>
      </w:tabs>
      <w:spacing w:after="0"/>
      <w:ind w:left="851"/>
    </w:pPr>
    <w:rPr>
      <w:szCs w:val="20"/>
    </w:rPr>
  </w:style>
  <w:style w:type="paragraph" w:styleId="TOC6">
    <w:name w:val="toc 6"/>
    <w:basedOn w:val="Normal"/>
    <w:next w:val="Normal"/>
    <w:uiPriority w:val="39"/>
    <w:rsid w:val="00366C7C"/>
    <w:pPr>
      <w:tabs>
        <w:tab w:val="clear" w:pos="567"/>
      </w:tabs>
      <w:spacing w:after="0"/>
      <w:ind w:left="960"/>
    </w:pPr>
    <w:rPr>
      <w:sz w:val="20"/>
      <w:szCs w:val="20"/>
    </w:rPr>
  </w:style>
  <w:style w:type="paragraph" w:styleId="TOC7">
    <w:name w:val="toc 7"/>
    <w:basedOn w:val="Normal"/>
    <w:next w:val="Normal"/>
    <w:uiPriority w:val="39"/>
    <w:rsid w:val="00366C7C"/>
    <w:pPr>
      <w:tabs>
        <w:tab w:val="clear" w:pos="567"/>
      </w:tabs>
      <w:spacing w:after="0"/>
      <w:ind w:left="1200"/>
    </w:pPr>
    <w:rPr>
      <w:sz w:val="20"/>
      <w:szCs w:val="20"/>
    </w:rPr>
  </w:style>
  <w:style w:type="paragraph" w:styleId="TOC8">
    <w:name w:val="toc 8"/>
    <w:basedOn w:val="Normal"/>
    <w:next w:val="Normal"/>
    <w:uiPriority w:val="39"/>
    <w:rsid w:val="00366C7C"/>
    <w:pPr>
      <w:tabs>
        <w:tab w:val="clear" w:pos="567"/>
      </w:tabs>
      <w:spacing w:after="0"/>
      <w:ind w:left="1440"/>
    </w:pPr>
    <w:rPr>
      <w:sz w:val="20"/>
      <w:szCs w:val="20"/>
    </w:rPr>
  </w:style>
  <w:style w:type="paragraph" w:styleId="TOC9">
    <w:name w:val="toc 9"/>
    <w:basedOn w:val="Normal"/>
    <w:next w:val="Normal"/>
    <w:uiPriority w:val="39"/>
    <w:rsid w:val="00366C7C"/>
    <w:pPr>
      <w:tabs>
        <w:tab w:val="clear" w:pos="567"/>
      </w:tabs>
      <w:spacing w:after="0"/>
      <w:ind w:left="1680"/>
    </w:pPr>
    <w:rPr>
      <w:sz w:val="20"/>
      <w:szCs w:val="20"/>
    </w:rPr>
  </w:style>
  <w:style w:type="character" w:customStyle="1" w:styleId="Heading1Char">
    <w:name w:val="Heading 1 Char"/>
    <w:basedOn w:val="DefaultParagraphFont"/>
    <w:link w:val="Heading1"/>
    <w:uiPriority w:val="9"/>
    <w:rsid w:val="00366C7C"/>
    <w:rPr>
      <w:rFonts w:eastAsiaTheme="majorEastAsia" w:cstheme="majorBidi"/>
      <w:b/>
      <w:bCs/>
      <w:caps/>
      <w:color w:val="2C8558"/>
      <w:sz w:val="40"/>
      <w:szCs w:val="28"/>
    </w:rPr>
  </w:style>
  <w:style w:type="character" w:customStyle="1" w:styleId="Heading2Char">
    <w:name w:val="Heading 2 Char"/>
    <w:basedOn w:val="DefaultParagraphFont"/>
    <w:link w:val="Heading2"/>
    <w:uiPriority w:val="9"/>
    <w:rsid w:val="00366C7C"/>
    <w:rPr>
      <w:rFonts w:eastAsiaTheme="majorEastAsia" w:cstheme="majorBidi"/>
      <w:b/>
      <w:bCs/>
      <w:caps/>
      <w:color w:val="2C8558"/>
      <w:sz w:val="40"/>
      <w:szCs w:val="26"/>
    </w:rPr>
  </w:style>
  <w:style w:type="character" w:customStyle="1" w:styleId="Heading3Char">
    <w:name w:val="Heading 3 Char"/>
    <w:basedOn w:val="DefaultParagraphFont"/>
    <w:link w:val="Heading3"/>
    <w:uiPriority w:val="9"/>
    <w:rsid w:val="00366C7C"/>
    <w:rPr>
      <w:rFonts w:eastAsiaTheme="majorEastAsia" w:cstheme="majorBidi"/>
      <w:b/>
      <w:bCs/>
      <w:caps/>
      <w:color w:val="2C8558"/>
      <w:sz w:val="32"/>
    </w:rPr>
  </w:style>
  <w:style w:type="character" w:customStyle="1" w:styleId="Heading4Char">
    <w:name w:val="Heading 4 Char"/>
    <w:basedOn w:val="DefaultParagraphFont"/>
    <w:link w:val="Heading4"/>
    <w:uiPriority w:val="9"/>
    <w:rsid w:val="00366C7C"/>
    <w:rPr>
      <w:rFonts w:eastAsiaTheme="majorEastAsia" w:cstheme="majorBidi"/>
      <w:b/>
      <w:bCs/>
      <w:iCs/>
      <w:color w:val="2C8558"/>
      <w:sz w:val="32"/>
    </w:rPr>
  </w:style>
  <w:style w:type="character" w:customStyle="1" w:styleId="Heading5Char">
    <w:name w:val="Heading 5 Char"/>
    <w:basedOn w:val="DefaultParagraphFont"/>
    <w:link w:val="Heading5"/>
    <w:uiPriority w:val="9"/>
    <w:rsid w:val="00366C7C"/>
    <w:rPr>
      <w:rFonts w:eastAsiaTheme="majorEastAsia" w:cstheme="majorBidi"/>
      <w:b/>
      <w:i/>
      <w:color w:val="2C8558"/>
      <w:sz w:val="28"/>
    </w:rPr>
  </w:style>
  <w:style w:type="paragraph" w:styleId="NoSpacing">
    <w:name w:val="No Spacing"/>
    <w:link w:val="NoSpacingChar"/>
    <w:uiPriority w:val="1"/>
    <w:qFormat/>
    <w:rsid w:val="00366C7C"/>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366C7C"/>
    <w:rPr>
      <w:sz w:val="24"/>
    </w:rPr>
  </w:style>
  <w:style w:type="paragraph" w:styleId="ListParagraph">
    <w:name w:val="List Paragraph"/>
    <w:basedOn w:val="Normal"/>
    <w:uiPriority w:val="34"/>
    <w:qFormat/>
    <w:rsid w:val="00366C7C"/>
    <w:pPr>
      <w:tabs>
        <w:tab w:val="clear" w:pos="567"/>
      </w:tabs>
      <w:spacing w:line="300" w:lineRule="atLeast"/>
      <w:ind w:left="1134"/>
    </w:pPr>
    <w:rPr>
      <w:szCs w:val="24"/>
    </w:rPr>
  </w:style>
  <w:style w:type="paragraph" w:styleId="TOCHeading">
    <w:name w:val="TOC Heading"/>
    <w:basedOn w:val="Heading1"/>
    <w:next w:val="Normal"/>
    <w:uiPriority w:val="39"/>
    <w:unhideWhenUsed/>
    <w:qFormat/>
    <w:rsid w:val="00366C7C"/>
    <w:pPr>
      <w:keepLines/>
      <w:pBdr>
        <w:bottom w:val="none" w:sz="0" w:space="0" w:color="auto"/>
      </w:pBdr>
      <w:spacing w:before="480" w:line="320" w:lineRule="atLeast"/>
      <w:outlineLvl w:val="9"/>
    </w:pPr>
    <w:rPr>
      <w:rFonts w:asciiTheme="majorHAnsi" w:hAnsiTheme="majorHAnsi"/>
      <w:caps w:val="0"/>
      <w:color w:val="365F91" w:themeColor="accent1" w:themeShade="BF"/>
      <w:sz w:val="28"/>
    </w:rPr>
  </w:style>
  <w:style w:type="character" w:customStyle="1" w:styleId="FooterChar">
    <w:name w:val="Footer Char"/>
    <w:basedOn w:val="DefaultParagraphFont"/>
    <w:link w:val="Footer"/>
    <w:uiPriority w:val="99"/>
    <w:rsid w:val="00366C7C"/>
    <w:rPr>
      <w:sz w:val="24"/>
    </w:rPr>
  </w:style>
  <w:style w:type="character" w:customStyle="1" w:styleId="HeaderChar">
    <w:name w:val="Header Char"/>
    <w:basedOn w:val="DefaultParagraphFont"/>
    <w:link w:val="Header"/>
    <w:uiPriority w:val="99"/>
    <w:rsid w:val="00366C7C"/>
    <w:rPr>
      <w:sz w:val="24"/>
    </w:rPr>
  </w:style>
  <w:style w:type="paragraph" w:customStyle="1" w:styleId="CGCDataCaption">
    <w:name w:val="CGC Data Caption"/>
    <w:basedOn w:val="CGCTableFootnote"/>
    <w:next w:val="NoSpacing"/>
    <w:link w:val="DataCaptionChar"/>
    <w:qFormat/>
    <w:rsid w:val="00366C7C"/>
  </w:style>
  <w:style w:type="character" w:customStyle="1" w:styleId="CaptionChar">
    <w:name w:val="Caption Char"/>
    <w:basedOn w:val="DefaultParagraphFont"/>
    <w:link w:val="Caption"/>
    <w:rsid w:val="00366C7C"/>
    <w:rPr>
      <w:b/>
      <w:bCs/>
      <w:sz w:val="24"/>
      <w:szCs w:val="20"/>
    </w:rPr>
  </w:style>
  <w:style w:type="character" w:customStyle="1" w:styleId="DataCaptionChar">
    <w:name w:val="Data Caption Char"/>
    <w:basedOn w:val="DefaultParagraphFont"/>
    <w:link w:val="CGCDataCaption"/>
    <w:rsid w:val="00366C7C"/>
    <w:rPr>
      <w:sz w:val="20"/>
      <w:szCs w:val="24"/>
    </w:rPr>
  </w:style>
  <w:style w:type="character" w:customStyle="1" w:styleId="BalloonTextChar">
    <w:name w:val="Balloon Text Char"/>
    <w:basedOn w:val="DefaultParagraphFont"/>
    <w:link w:val="BalloonText"/>
    <w:uiPriority w:val="99"/>
    <w:rsid w:val="00366C7C"/>
    <w:rPr>
      <w:rFonts w:ascii="Tahoma" w:hAnsi="Tahoma" w:cs="Tahoma"/>
      <w:sz w:val="16"/>
      <w:szCs w:val="16"/>
    </w:rPr>
  </w:style>
  <w:style w:type="character" w:customStyle="1" w:styleId="FootnoteTextChar">
    <w:name w:val="Footnote Text Char"/>
    <w:basedOn w:val="DefaultParagraphFont"/>
    <w:link w:val="FootnoteText"/>
    <w:rsid w:val="00366C7C"/>
    <w:rPr>
      <w:sz w:val="20"/>
      <w:szCs w:val="20"/>
    </w:rPr>
  </w:style>
  <w:style w:type="character" w:customStyle="1" w:styleId="Heading6Char">
    <w:name w:val="Heading 6 Char"/>
    <w:basedOn w:val="DefaultParagraphFont"/>
    <w:link w:val="Heading6"/>
    <w:uiPriority w:val="9"/>
    <w:rsid w:val="00366C7C"/>
    <w:rPr>
      <w:rFonts w:eastAsiaTheme="majorEastAsia" w:cstheme="majorBidi"/>
      <w:b/>
      <w:i/>
      <w:iCs/>
      <w:color w:val="2C8558"/>
      <w:sz w:val="28"/>
    </w:rPr>
  </w:style>
  <w:style w:type="character" w:customStyle="1" w:styleId="Heading7Char">
    <w:name w:val="Heading 7 Char"/>
    <w:basedOn w:val="DefaultParagraphFont"/>
    <w:link w:val="Heading7"/>
    <w:uiPriority w:val="9"/>
    <w:rsid w:val="00366C7C"/>
    <w:rPr>
      <w:rFonts w:asciiTheme="majorHAnsi" w:eastAsiaTheme="majorEastAsia" w:hAnsiTheme="majorHAnsi" w:cstheme="majorBidi"/>
      <w:i/>
      <w:iCs/>
      <w:color w:val="404040" w:themeColor="text1" w:themeTint="BF"/>
      <w:sz w:val="24"/>
    </w:rPr>
  </w:style>
  <w:style w:type="character" w:customStyle="1" w:styleId="CGCBulletlistChar">
    <w:name w:val="CGC Bullet list Char"/>
    <w:aliases w:val="CGC List 1 Char,CGC Bullet list Char1"/>
    <w:basedOn w:val="DefaultParagraphFont"/>
    <w:link w:val="CGCBulletlist"/>
    <w:locked/>
    <w:rsid w:val="001A5128"/>
    <w:rPr>
      <w:sz w:val="24"/>
      <w:szCs w:val="20"/>
    </w:rPr>
  </w:style>
  <w:style w:type="paragraph" w:customStyle="1" w:styleId="CGCterminologylabel">
    <w:name w:val="CGC terminology label"/>
    <w:basedOn w:val="Normal"/>
    <w:link w:val="CGCterminologylabelChar"/>
    <w:rsid w:val="00070BBC"/>
    <w:pPr>
      <w:keepNext/>
    </w:pPr>
    <w:rPr>
      <w:b/>
    </w:rPr>
  </w:style>
  <w:style w:type="character" w:customStyle="1" w:styleId="CGCterminologylabelChar">
    <w:name w:val="CGC terminology label Char"/>
    <w:basedOn w:val="DefaultParagraphFont"/>
    <w:link w:val="CGCterminologylabel"/>
    <w:rsid w:val="00070BBC"/>
    <w:rPr>
      <w:b/>
      <w:sz w:val="24"/>
    </w:rPr>
  </w:style>
  <w:style w:type="character" w:customStyle="1" w:styleId="CGCParaNoChar">
    <w:name w:val="CGC Para No Char"/>
    <w:aliases w:val="CGC Numbered Para Char"/>
    <w:basedOn w:val="DefaultParagraphFont"/>
    <w:link w:val="CGCNumberedPara"/>
    <w:rsid w:val="00070BBC"/>
    <w:rPr>
      <w:sz w:val="24"/>
      <w:szCs w:val="24"/>
    </w:rPr>
  </w:style>
  <w:style w:type="character" w:customStyle="1" w:styleId="CGCTableFootnoteChar">
    <w:name w:val="CGC Table Footnote Char"/>
    <w:basedOn w:val="DefaultParagraphFont"/>
    <w:link w:val="CGCTableFootnote"/>
    <w:locked/>
    <w:rsid w:val="007F219A"/>
    <w:rPr>
      <w:sz w:val="20"/>
      <w:szCs w:val="24"/>
    </w:rPr>
  </w:style>
  <w:style w:type="character" w:customStyle="1" w:styleId="TableRowNormalChar">
    <w:name w:val="TableRowNormal Char"/>
    <w:basedOn w:val="DefaultParagraphFont"/>
    <w:link w:val="TableRowNormal"/>
    <w:locked/>
    <w:rsid w:val="007F219A"/>
    <w:rPr>
      <w:sz w:val="20"/>
      <w:szCs w:val="20"/>
    </w:rPr>
  </w:style>
  <w:style w:type="character" w:customStyle="1" w:styleId="CGCTableHeadingChar">
    <w:name w:val="CGC Table Heading Char"/>
    <w:basedOn w:val="DefaultParagraphFont"/>
    <w:link w:val="CGCTableHeading"/>
    <w:locked/>
    <w:rsid w:val="009E59AB"/>
    <w:rPr>
      <w:b/>
      <w:sz w:val="24"/>
      <w:szCs w:val="20"/>
    </w:rPr>
  </w:style>
  <w:style w:type="character" w:customStyle="1" w:styleId="CGCTableStubChar">
    <w:name w:val="CGC Table Stub Char"/>
    <w:basedOn w:val="TableRowNormalChar"/>
    <w:link w:val="CGCTableStub"/>
    <w:locked/>
    <w:rsid w:val="00261608"/>
    <w:rPr>
      <w:sz w:val="20"/>
      <w:szCs w:val="20"/>
    </w:rPr>
  </w:style>
  <w:style w:type="paragraph" w:customStyle="1" w:styleId="Default">
    <w:name w:val="Default"/>
    <w:rsid w:val="00261608"/>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Heading8Char">
    <w:name w:val="Heading 8 Char"/>
    <w:aliases w:val="(Do not use) Char,(Sub-section Nos) Char"/>
    <w:basedOn w:val="DefaultParagraphFont"/>
    <w:link w:val="Heading8"/>
    <w:rsid w:val="00A42C46"/>
    <w:rPr>
      <w:rFonts w:ascii="Arial" w:hAnsi="Arial"/>
      <w:i/>
      <w:sz w:val="20"/>
      <w:szCs w:val="20"/>
    </w:rPr>
  </w:style>
  <w:style w:type="character" w:customStyle="1" w:styleId="Heading9Char">
    <w:name w:val="Heading 9 Char"/>
    <w:aliases w:val="Heading 9 (Do not use) Char,(Subsubsection Nos) Char"/>
    <w:basedOn w:val="DefaultParagraphFont"/>
    <w:link w:val="Heading9"/>
    <w:rsid w:val="00A42C46"/>
    <w:rPr>
      <w:rFonts w:ascii="Arial" w:hAnsi="Arial"/>
      <w:b/>
      <w:i/>
      <w:sz w:val="18"/>
      <w:szCs w:val="20"/>
    </w:rPr>
  </w:style>
  <w:style w:type="character" w:customStyle="1" w:styleId="CommentTextChar">
    <w:name w:val="Comment Text Char"/>
    <w:basedOn w:val="DefaultParagraphFont"/>
    <w:link w:val="CommentText"/>
    <w:uiPriority w:val="99"/>
    <w:rsid w:val="00A42C46"/>
    <w:rPr>
      <w:sz w:val="20"/>
      <w:szCs w:val="20"/>
    </w:rPr>
  </w:style>
  <w:style w:type="character" w:customStyle="1" w:styleId="CommentSubjectChar">
    <w:name w:val="Comment Subject Char"/>
    <w:basedOn w:val="CommentTextChar"/>
    <w:link w:val="CommentSubject"/>
    <w:rsid w:val="00A42C46"/>
    <w:rPr>
      <w:b/>
      <w:bCs/>
      <w:sz w:val="20"/>
      <w:szCs w:val="20"/>
    </w:rPr>
  </w:style>
  <w:style w:type="character" w:customStyle="1" w:styleId="DocumentMapChar">
    <w:name w:val="Document Map Char"/>
    <w:basedOn w:val="DefaultParagraphFont"/>
    <w:link w:val="DocumentMap"/>
    <w:rsid w:val="00A42C46"/>
    <w:rPr>
      <w:rFonts w:ascii="Tahoma" w:hAnsi="Tahoma" w:cs="Tahoma"/>
      <w:sz w:val="20"/>
      <w:szCs w:val="20"/>
      <w:shd w:val="clear" w:color="auto" w:fill="000080"/>
    </w:rPr>
  </w:style>
  <w:style w:type="character" w:customStyle="1" w:styleId="EndnoteTextChar">
    <w:name w:val="Endnote Text Char"/>
    <w:basedOn w:val="DefaultParagraphFont"/>
    <w:link w:val="EndnoteText"/>
    <w:rsid w:val="00A42C46"/>
    <w:rPr>
      <w:sz w:val="20"/>
      <w:szCs w:val="20"/>
    </w:rPr>
  </w:style>
  <w:style w:type="character" w:customStyle="1" w:styleId="MacroTextChar">
    <w:name w:val="Macro Text Char"/>
    <w:basedOn w:val="DefaultParagraphFont"/>
    <w:link w:val="MacroText"/>
    <w:rsid w:val="00A42C46"/>
    <w:rPr>
      <w:rFonts w:ascii="Courier New" w:hAnsi="Courier New" w:cs="Courier New"/>
    </w:rPr>
  </w:style>
  <w:style w:type="character" w:customStyle="1" w:styleId="CGCSubbulletlistChar">
    <w:name w:val="CGC Sub bullet list Char"/>
    <w:aliases w:val="CGC List 2 Char"/>
    <w:basedOn w:val="DefaultParagraphFont"/>
    <w:link w:val="CGCSubbulletlist"/>
    <w:locked/>
    <w:rsid w:val="00A42C46"/>
    <w:rPr>
      <w:sz w:val="24"/>
      <w:szCs w:val="20"/>
    </w:rPr>
  </w:style>
  <w:style w:type="character" w:customStyle="1" w:styleId="SingleChar">
    <w:name w:val="Single Char"/>
    <w:basedOn w:val="DefaultParagraphFont"/>
    <w:link w:val="Single"/>
    <w:locked/>
    <w:rsid w:val="00A42C46"/>
    <w:rPr>
      <w:sz w:val="24"/>
    </w:rPr>
  </w:style>
  <w:style w:type="paragraph" w:styleId="Revision">
    <w:name w:val="Revision"/>
    <w:hidden/>
    <w:uiPriority w:val="99"/>
    <w:semiHidden/>
    <w:rsid w:val="00A42C46"/>
    <w:pPr>
      <w:spacing w:after="0" w:line="240" w:lineRule="auto"/>
    </w:pPr>
    <w:rPr>
      <w:sz w:val="24"/>
      <w:szCs w:val="24"/>
    </w:rPr>
  </w:style>
  <w:style w:type="paragraph" w:customStyle="1" w:styleId="Crest">
    <w:name w:val="Crest"/>
    <w:basedOn w:val="Normal"/>
    <w:rsid w:val="00A42C46"/>
    <w:pPr>
      <w:tabs>
        <w:tab w:val="clear" w:pos="567"/>
      </w:tabs>
      <w:spacing w:before="480" w:after="120" w:line="240" w:lineRule="auto"/>
      <w:jc w:val="center"/>
    </w:pPr>
    <w:rPr>
      <w:rFonts w:ascii="Times New Roman" w:eastAsia="Times New Roman" w:hAnsi="Times New Roman" w:cs="Times New Roman"/>
      <w:szCs w:val="24"/>
      <w:lang w:eastAsia="en-AU"/>
    </w:rPr>
  </w:style>
  <w:style w:type="paragraph" w:customStyle="1" w:styleId="Contact">
    <w:name w:val="Contact"/>
    <w:basedOn w:val="Normal"/>
    <w:rsid w:val="00A42C46"/>
    <w:pPr>
      <w:tabs>
        <w:tab w:val="clear" w:pos="567"/>
      </w:tabs>
      <w:spacing w:after="120" w:line="240" w:lineRule="auto"/>
      <w:contextualSpacing/>
      <w:jc w:val="right"/>
    </w:pPr>
    <w:rPr>
      <w:rFonts w:ascii="Times" w:eastAsia="Times New Roman" w:hAnsi="Times" w:cs="Times New Roman"/>
      <w:b/>
      <w:sz w:val="16"/>
      <w:szCs w:val="16"/>
      <w:lang w:eastAsia="en-AU"/>
    </w:rPr>
  </w:style>
  <w:style w:type="paragraph" w:customStyle="1" w:styleId="URL">
    <w:name w:val="URL"/>
    <w:basedOn w:val="Normal"/>
    <w:rsid w:val="00A42C46"/>
    <w:pPr>
      <w:tabs>
        <w:tab w:val="clear" w:pos="567"/>
      </w:tabs>
      <w:spacing w:after="120" w:line="240" w:lineRule="auto"/>
      <w:jc w:val="right"/>
    </w:pPr>
    <w:rPr>
      <w:rFonts w:ascii="Times New Roman" w:eastAsia="Times New Roman" w:hAnsi="Times New Roman" w:cs="Times New Roman"/>
      <w:b/>
      <w:sz w:val="16"/>
      <w:szCs w:val="16"/>
      <w:lang w:eastAsia="en-AU"/>
    </w:rPr>
  </w:style>
  <w:style w:type="numbering" w:customStyle="1" w:styleId="NoList1">
    <w:name w:val="No List1"/>
    <w:next w:val="NoList"/>
    <w:uiPriority w:val="99"/>
    <w:semiHidden/>
    <w:unhideWhenUsed/>
    <w:rsid w:val="00475B04"/>
  </w:style>
  <w:style w:type="table" w:customStyle="1" w:styleId="TableGrid1">
    <w:name w:val="Table Grid1"/>
    <w:basedOn w:val="TableNormal"/>
    <w:next w:val="TableGrid"/>
    <w:rsid w:val="00475B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3notoc">
    <w:name w:val="H3 no toc"/>
    <w:basedOn w:val="NoSpacing"/>
    <w:link w:val="H3notocChar"/>
    <w:qFormat/>
    <w:rsid w:val="007B0C97"/>
    <w:pPr>
      <w:spacing w:before="240"/>
    </w:pPr>
    <w:rPr>
      <w:b/>
      <w:color w:val="2C8558"/>
      <w:sz w:val="32"/>
    </w:rPr>
  </w:style>
  <w:style w:type="paragraph" w:customStyle="1" w:styleId="H1notoc">
    <w:name w:val="H1 no toc"/>
    <w:basedOn w:val="NoSpacing"/>
    <w:next w:val="Default"/>
    <w:link w:val="H1notocChar"/>
    <w:qFormat/>
    <w:rsid w:val="007B0C97"/>
    <w:pPr>
      <w:pBdr>
        <w:bottom w:val="single" w:sz="4" w:space="1" w:color="auto"/>
      </w:pBdr>
      <w:spacing w:before="800"/>
    </w:pPr>
    <w:rPr>
      <w:b/>
      <w:caps/>
      <w:color w:val="2C8558"/>
      <w:sz w:val="40"/>
    </w:rPr>
  </w:style>
  <w:style w:type="character" w:customStyle="1" w:styleId="H3notocChar">
    <w:name w:val="H3 no toc Char"/>
    <w:basedOn w:val="Heading3Char"/>
    <w:link w:val="H3notoc"/>
    <w:rsid w:val="007B0C97"/>
    <w:rPr>
      <w:rFonts w:eastAsiaTheme="majorEastAsia" w:cstheme="majorBidi"/>
      <w:b/>
      <w:bCs w:val="0"/>
      <w:caps w:val="0"/>
      <w:color w:val="2C8558"/>
      <w:sz w:val="32"/>
    </w:rPr>
  </w:style>
  <w:style w:type="character" w:customStyle="1" w:styleId="H1notocChar">
    <w:name w:val="H1 no toc Char"/>
    <w:basedOn w:val="Heading1Char"/>
    <w:link w:val="H1notoc"/>
    <w:rsid w:val="007B0C97"/>
    <w:rPr>
      <w:rFonts w:eastAsiaTheme="majorEastAsia" w:cstheme="majorBidi"/>
      <w:b/>
      <w:bCs w:val="0"/>
      <w:caps/>
      <w:color w:val="2C8558"/>
      <w:sz w:val="40"/>
      <w:szCs w:val="28"/>
    </w:rPr>
  </w:style>
  <w:style w:type="character" w:styleId="FollowedHyperlink">
    <w:name w:val="FollowedHyperlink"/>
    <w:basedOn w:val="DefaultParagraphFont"/>
    <w:uiPriority w:val="99"/>
    <w:rsid w:val="002E6AD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footnote reference" w:qFormat="1"/>
    <w:lsdException w:name="Title" w:uiPriority="10"/>
    <w:lsdException w:name="Default Paragraph Font" w:uiPriority="1"/>
    <w:lsdException w:name="Hyperlink" w:uiPriority="99"/>
    <w:lsdException w:name="FollowedHyperlink" w:uiPriority="99"/>
    <w:lsdException w:name="Strong" w:uiPriority="22"/>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C7C"/>
    <w:pPr>
      <w:tabs>
        <w:tab w:val="left" w:pos="567"/>
      </w:tabs>
      <w:spacing w:after="80" w:line="320" w:lineRule="atLeast"/>
    </w:pPr>
    <w:rPr>
      <w:sz w:val="24"/>
    </w:rPr>
  </w:style>
  <w:style w:type="paragraph" w:styleId="Heading1">
    <w:name w:val="heading 1"/>
    <w:basedOn w:val="Normal"/>
    <w:next w:val="Heading2"/>
    <w:link w:val="Heading1Char"/>
    <w:uiPriority w:val="9"/>
    <w:qFormat/>
    <w:rsid w:val="00366C7C"/>
    <w:pPr>
      <w:keepNext/>
      <w:widowControl w:val="0"/>
      <w:pBdr>
        <w:bottom w:val="single" w:sz="4" w:space="1" w:color="auto"/>
      </w:pBdr>
      <w:spacing w:before="800" w:after="0" w:line="240" w:lineRule="auto"/>
      <w:outlineLvl w:val="0"/>
    </w:pPr>
    <w:rPr>
      <w:rFonts w:eastAsiaTheme="majorEastAsia" w:cstheme="majorBidi"/>
      <w:b/>
      <w:bCs/>
      <w:caps/>
      <w:color w:val="2C8558"/>
      <w:sz w:val="40"/>
      <w:szCs w:val="28"/>
    </w:rPr>
  </w:style>
  <w:style w:type="paragraph" w:styleId="Heading2">
    <w:name w:val="heading 2"/>
    <w:basedOn w:val="Normal"/>
    <w:next w:val="Heading3"/>
    <w:link w:val="Heading2Char"/>
    <w:uiPriority w:val="9"/>
    <w:qFormat/>
    <w:rsid w:val="00366C7C"/>
    <w:pPr>
      <w:keepNext/>
      <w:widowControl w:val="0"/>
      <w:spacing w:before="100" w:after="720" w:line="240" w:lineRule="auto"/>
      <w:outlineLvl w:val="1"/>
    </w:pPr>
    <w:rPr>
      <w:rFonts w:eastAsiaTheme="majorEastAsia" w:cstheme="majorBidi"/>
      <w:b/>
      <w:bCs/>
      <w:caps/>
      <w:color w:val="2C8558"/>
      <w:sz w:val="40"/>
      <w:szCs w:val="26"/>
    </w:rPr>
  </w:style>
  <w:style w:type="paragraph" w:styleId="Heading3">
    <w:name w:val="heading 3"/>
    <w:basedOn w:val="Normal"/>
    <w:next w:val="Heading4"/>
    <w:link w:val="Heading3Char"/>
    <w:uiPriority w:val="9"/>
    <w:qFormat/>
    <w:rsid w:val="00366C7C"/>
    <w:pPr>
      <w:keepNext/>
      <w:widowControl w:val="0"/>
      <w:spacing w:before="600" w:after="200" w:line="240" w:lineRule="auto"/>
      <w:outlineLvl w:val="2"/>
    </w:pPr>
    <w:rPr>
      <w:rFonts w:eastAsiaTheme="majorEastAsia" w:cstheme="majorBidi"/>
      <w:b/>
      <w:bCs/>
      <w:caps/>
      <w:color w:val="2C8558"/>
      <w:sz w:val="32"/>
    </w:rPr>
  </w:style>
  <w:style w:type="paragraph" w:styleId="Heading4">
    <w:name w:val="heading 4"/>
    <w:basedOn w:val="Normal"/>
    <w:next w:val="Heading5"/>
    <w:link w:val="Heading4Char"/>
    <w:uiPriority w:val="9"/>
    <w:qFormat/>
    <w:rsid w:val="00366C7C"/>
    <w:pPr>
      <w:keepNext/>
      <w:widowControl w:val="0"/>
      <w:spacing w:before="300" w:after="40" w:line="240" w:lineRule="auto"/>
      <w:outlineLvl w:val="3"/>
    </w:pPr>
    <w:rPr>
      <w:rFonts w:eastAsiaTheme="majorEastAsia" w:cstheme="majorBidi"/>
      <w:b/>
      <w:bCs/>
      <w:iCs/>
      <w:color w:val="2C8558"/>
      <w:sz w:val="32"/>
    </w:rPr>
  </w:style>
  <w:style w:type="paragraph" w:styleId="Heading5">
    <w:name w:val="heading 5"/>
    <w:basedOn w:val="Normal"/>
    <w:next w:val="Heading6"/>
    <w:link w:val="Heading5Char"/>
    <w:uiPriority w:val="9"/>
    <w:qFormat/>
    <w:rsid w:val="00366C7C"/>
    <w:pPr>
      <w:keepNext/>
      <w:tabs>
        <w:tab w:val="clear" w:pos="567"/>
      </w:tabs>
      <w:spacing w:before="300" w:after="40" w:line="240" w:lineRule="auto"/>
      <w:outlineLvl w:val="4"/>
    </w:pPr>
    <w:rPr>
      <w:rFonts w:eastAsiaTheme="majorEastAsia" w:cstheme="majorBidi"/>
      <w:b/>
      <w:i/>
      <w:color w:val="2C8558"/>
      <w:sz w:val="28"/>
    </w:rPr>
  </w:style>
  <w:style w:type="paragraph" w:styleId="Heading6">
    <w:name w:val="heading 6"/>
    <w:basedOn w:val="Normal"/>
    <w:next w:val="Normal"/>
    <w:link w:val="Heading6Char"/>
    <w:uiPriority w:val="9"/>
    <w:qFormat/>
    <w:rsid w:val="00366C7C"/>
    <w:pPr>
      <w:keepNext/>
      <w:keepLines/>
      <w:spacing w:before="120"/>
      <w:outlineLvl w:val="5"/>
    </w:pPr>
    <w:rPr>
      <w:rFonts w:eastAsiaTheme="majorEastAsia" w:cstheme="majorBidi"/>
      <w:b/>
      <w:i/>
      <w:iCs/>
      <w:color w:val="2C8558"/>
      <w:sz w:val="28"/>
    </w:rPr>
  </w:style>
  <w:style w:type="paragraph" w:styleId="Heading7">
    <w:name w:val="heading 7"/>
    <w:basedOn w:val="Normal"/>
    <w:next w:val="Normal"/>
    <w:link w:val="Heading7Char"/>
    <w:uiPriority w:val="9"/>
    <w:rsid w:val="00366C7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link w:val="Heading8Char"/>
    <w:rsid w:val="00366C7C"/>
    <w:pPr>
      <w:numPr>
        <w:ilvl w:val="7"/>
        <w:numId w:val="18"/>
      </w:numPr>
      <w:spacing w:before="240" w:after="60"/>
      <w:outlineLvl w:val="7"/>
    </w:pPr>
    <w:rPr>
      <w:rFonts w:ascii="Arial" w:hAnsi="Arial"/>
      <w:i/>
      <w:sz w:val="20"/>
      <w:szCs w:val="20"/>
    </w:rPr>
  </w:style>
  <w:style w:type="paragraph" w:styleId="Heading9">
    <w:name w:val="heading 9"/>
    <w:aliases w:val="Heading 9 (Do not use),(Subsubsection Nos)"/>
    <w:basedOn w:val="Normal"/>
    <w:next w:val="Normal"/>
    <w:link w:val="Heading9Char"/>
    <w:rsid w:val="00366C7C"/>
    <w:pPr>
      <w:numPr>
        <w:ilvl w:val="8"/>
        <w:numId w:val="18"/>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366C7C"/>
    <w:pPr>
      <w:spacing w:after="0" w:line="240" w:lineRule="auto"/>
    </w:pPr>
    <w:rPr>
      <w:rFonts w:ascii="Tahoma" w:hAnsi="Tahoma" w:cs="Tahoma"/>
      <w:sz w:val="16"/>
      <w:szCs w:val="16"/>
    </w:rPr>
  </w:style>
  <w:style w:type="paragraph" w:styleId="Caption">
    <w:name w:val="caption"/>
    <w:basedOn w:val="Normal"/>
    <w:next w:val="Normal"/>
    <w:link w:val="CaptionChar"/>
    <w:qFormat/>
    <w:rsid w:val="00366C7C"/>
    <w:pPr>
      <w:keepNext/>
      <w:keepLines/>
      <w:tabs>
        <w:tab w:val="clear" w:pos="567"/>
        <w:tab w:val="left" w:pos="1418"/>
      </w:tabs>
      <w:spacing w:before="240" w:after="120" w:line="240" w:lineRule="auto"/>
      <w:ind w:left="1418" w:hanging="1418"/>
    </w:pPr>
    <w:rPr>
      <w:b/>
      <w:bCs/>
      <w:szCs w:val="20"/>
    </w:rPr>
  </w:style>
  <w:style w:type="paragraph" w:customStyle="1" w:styleId="CGCBulletlist">
    <w:name w:val="CGC Bullet list"/>
    <w:aliases w:val="CGC List 1"/>
    <w:basedOn w:val="Normal"/>
    <w:link w:val="CGCBulletlistChar"/>
    <w:qFormat/>
    <w:rsid w:val="00366C7C"/>
    <w:pPr>
      <w:numPr>
        <w:numId w:val="1"/>
      </w:numPr>
      <w:tabs>
        <w:tab w:val="clear" w:pos="567"/>
        <w:tab w:val="clear" w:pos="927"/>
        <w:tab w:val="left" w:pos="1134"/>
      </w:tabs>
      <w:spacing w:before="80" w:line="300" w:lineRule="atLeast"/>
      <w:ind w:left="1134" w:hanging="567"/>
    </w:pPr>
    <w:rPr>
      <w:szCs w:val="20"/>
    </w:rPr>
  </w:style>
  <w:style w:type="paragraph" w:customStyle="1" w:styleId="CGCNumeralList">
    <w:name w:val="CGC Numeral List"/>
    <w:aliases w:val="CGC List 3"/>
    <w:basedOn w:val="Normal"/>
    <w:qFormat/>
    <w:rsid w:val="00366C7C"/>
    <w:pPr>
      <w:numPr>
        <w:numId w:val="5"/>
      </w:numPr>
      <w:tabs>
        <w:tab w:val="clear" w:pos="567"/>
      </w:tabs>
      <w:spacing w:line="300" w:lineRule="atLeast"/>
    </w:pPr>
    <w:rPr>
      <w:szCs w:val="20"/>
    </w:rPr>
  </w:style>
  <w:style w:type="paragraph" w:customStyle="1" w:styleId="CGCNumberedPara">
    <w:name w:val="CGC Numbered Para"/>
    <w:aliases w:val="CGC Para No"/>
    <w:basedOn w:val="Normal"/>
    <w:link w:val="CGCParaNoChar"/>
    <w:qFormat/>
    <w:rsid w:val="00366C7C"/>
    <w:pPr>
      <w:numPr>
        <w:ilvl w:val="1"/>
        <w:numId w:val="8"/>
      </w:numPr>
      <w:spacing w:before="120"/>
    </w:pPr>
    <w:rPr>
      <w:szCs w:val="24"/>
    </w:rPr>
  </w:style>
  <w:style w:type="paragraph" w:customStyle="1" w:styleId="CGCQuotation">
    <w:name w:val="CGC Quotation"/>
    <w:basedOn w:val="Normal"/>
    <w:next w:val="CGCNumberedPara"/>
    <w:rsid w:val="00366C7C"/>
    <w:pPr>
      <w:tabs>
        <w:tab w:val="clear" w:pos="567"/>
      </w:tabs>
      <w:spacing w:before="120" w:after="120" w:line="240" w:lineRule="auto"/>
      <w:ind w:left="1134" w:right="1134"/>
    </w:pPr>
    <w:rPr>
      <w:sz w:val="22"/>
      <w:szCs w:val="24"/>
    </w:rPr>
  </w:style>
  <w:style w:type="paragraph" w:customStyle="1" w:styleId="CGCSubbulletlist">
    <w:name w:val="CGC Sub bullet list"/>
    <w:aliases w:val="CGC List 2"/>
    <w:basedOn w:val="Normal"/>
    <w:link w:val="CGCSubbulletlistChar"/>
    <w:qFormat/>
    <w:rsid w:val="00366C7C"/>
    <w:pPr>
      <w:numPr>
        <w:numId w:val="6"/>
      </w:numPr>
      <w:tabs>
        <w:tab w:val="clear" w:pos="567"/>
        <w:tab w:val="clear" w:pos="927"/>
        <w:tab w:val="left" w:pos="1701"/>
      </w:tabs>
      <w:spacing w:line="300" w:lineRule="atLeast"/>
      <w:ind w:left="1701" w:hanging="567"/>
    </w:pPr>
    <w:rPr>
      <w:szCs w:val="20"/>
    </w:rPr>
  </w:style>
  <w:style w:type="paragraph" w:customStyle="1" w:styleId="CGCQuotationBullet">
    <w:name w:val="CGC Quotation Bullet"/>
    <w:basedOn w:val="CGCSubbulletlist"/>
    <w:rsid w:val="00366C7C"/>
    <w:pPr>
      <w:numPr>
        <w:numId w:val="7"/>
      </w:numPr>
      <w:ind w:right="1134"/>
    </w:pPr>
    <w:rPr>
      <w:sz w:val="22"/>
    </w:rPr>
  </w:style>
  <w:style w:type="paragraph" w:customStyle="1" w:styleId="CGCTableFootnote">
    <w:name w:val="CGC Table Footnote"/>
    <w:basedOn w:val="CGCNumberedPara"/>
    <w:next w:val="NoSpacing"/>
    <w:link w:val="CGCTableFootnoteChar"/>
    <w:qFormat/>
    <w:rsid w:val="00366C7C"/>
    <w:pPr>
      <w:numPr>
        <w:ilvl w:val="0"/>
        <w:numId w:val="0"/>
      </w:numPr>
      <w:tabs>
        <w:tab w:val="left" w:pos="851"/>
      </w:tabs>
      <w:spacing w:before="0" w:after="0" w:line="240" w:lineRule="auto"/>
      <w:ind w:left="851" w:hanging="851"/>
    </w:pPr>
    <w:rPr>
      <w:sz w:val="20"/>
    </w:rPr>
  </w:style>
  <w:style w:type="paragraph" w:customStyle="1" w:styleId="CGCTableHeading">
    <w:name w:val="CGC Table Heading"/>
    <w:basedOn w:val="Normal"/>
    <w:next w:val="Normal"/>
    <w:link w:val="CGCTableHeadingChar"/>
    <w:qFormat/>
    <w:rsid w:val="00366C7C"/>
    <w:pPr>
      <w:keepNext/>
      <w:keepLines/>
      <w:tabs>
        <w:tab w:val="clear" w:pos="567"/>
        <w:tab w:val="left" w:pos="1420"/>
      </w:tabs>
      <w:spacing w:before="240" w:after="120" w:line="240" w:lineRule="auto"/>
      <w:ind w:left="1418" w:hanging="1418"/>
    </w:pPr>
    <w:rPr>
      <w:b/>
      <w:szCs w:val="20"/>
    </w:rPr>
  </w:style>
  <w:style w:type="paragraph" w:customStyle="1" w:styleId="TableRowNormal">
    <w:name w:val="TableRowNormal"/>
    <w:basedOn w:val="Normal"/>
    <w:link w:val="TableRowNormalChar"/>
    <w:rsid w:val="00366C7C"/>
    <w:pPr>
      <w:keepNext/>
      <w:keepLines/>
      <w:tabs>
        <w:tab w:val="left" w:pos="475"/>
        <w:tab w:val="left" w:pos="1440"/>
        <w:tab w:val="left" w:pos="2160"/>
        <w:tab w:val="left" w:pos="2880"/>
      </w:tabs>
      <w:spacing w:before="60" w:after="60" w:line="200" w:lineRule="atLeast"/>
      <w:ind w:left="144" w:hanging="144"/>
      <w:jc w:val="right"/>
    </w:pPr>
    <w:rPr>
      <w:sz w:val="20"/>
      <w:szCs w:val="20"/>
    </w:rPr>
  </w:style>
  <w:style w:type="paragraph" w:customStyle="1" w:styleId="CGCTableStub">
    <w:name w:val="CGC Table Stub"/>
    <w:basedOn w:val="Normal"/>
    <w:link w:val="CGCTableStubChar"/>
    <w:rsid w:val="00366C7C"/>
    <w:pPr>
      <w:keepNext/>
      <w:keepLines/>
      <w:tabs>
        <w:tab w:val="left" w:pos="284"/>
      </w:tabs>
      <w:spacing w:before="60" w:after="60" w:line="200" w:lineRule="atLeast"/>
    </w:pPr>
    <w:rPr>
      <w:sz w:val="20"/>
      <w:szCs w:val="20"/>
    </w:rPr>
  </w:style>
  <w:style w:type="character" w:styleId="CommentReference">
    <w:name w:val="annotation reference"/>
    <w:basedOn w:val="DefaultParagraphFont"/>
    <w:rsid w:val="00366C7C"/>
    <w:rPr>
      <w:sz w:val="16"/>
      <w:szCs w:val="16"/>
    </w:rPr>
  </w:style>
  <w:style w:type="paragraph" w:styleId="CommentText">
    <w:name w:val="annotation text"/>
    <w:basedOn w:val="Normal"/>
    <w:link w:val="CommentTextChar"/>
    <w:rsid w:val="00366C7C"/>
    <w:rPr>
      <w:sz w:val="20"/>
      <w:szCs w:val="20"/>
    </w:rPr>
  </w:style>
  <w:style w:type="paragraph" w:styleId="CommentSubject">
    <w:name w:val="annotation subject"/>
    <w:basedOn w:val="CommentText"/>
    <w:next w:val="CommentText"/>
    <w:link w:val="CommentSubjectChar"/>
    <w:rsid w:val="00366C7C"/>
    <w:rPr>
      <w:b/>
      <w:bCs/>
    </w:rPr>
  </w:style>
  <w:style w:type="paragraph" w:styleId="DocumentMap">
    <w:name w:val="Document Map"/>
    <w:basedOn w:val="Normal"/>
    <w:link w:val="DocumentMapChar"/>
    <w:rsid w:val="00366C7C"/>
    <w:pPr>
      <w:shd w:val="clear" w:color="auto" w:fill="000080"/>
    </w:pPr>
    <w:rPr>
      <w:rFonts w:ascii="Tahoma" w:hAnsi="Tahoma" w:cs="Tahoma"/>
      <w:sz w:val="20"/>
      <w:szCs w:val="20"/>
    </w:rPr>
  </w:style>
  <w:style w:type="character" w:styleId="EndnoteReference">
    <w:name w:val="endnote reference"/>
    <w:basedOn w:val="DefaultParagraphFont"/>
    <w:rsid w:val="00366C7C"/>
    <w:rPr>
      <w:vertAlign w:val="superscript"/>
    </w:rPr>
  </w:style>
  <w:style w:type="paragraph" w:styleId="EndnoteText">
    <w:name w:val="endnote text"/>
    <w:basedOn w:val="Normal"/>
    <w:link w:val="EndnoteTextChar"/>
    <w:rsid w:val="00366C7C"/>
    <w:rPr>
      <w:sz w:val="20"/>
      <w:szCs w:val="20"/>
    </w:rPr>
  </w:style>
  <w:style w:type="paragraph" w:styleId="Footer">
    <w:name w:val="footer"/>
    <w:basedOn w:val="Normal"/>
    <w:link w:val="FooterChar"/>
    <w:uiPriority w:val="99"/>
    <w:unhideWhenUsed/>
    <w:rsid w:val="00366C7C"/>
    <w:pPr>
      <w:tabs>
        <w:tab w:val="clear" w:pos="567"/>
        <w:tab w:val="center" w:pos="4513"/>
        <w:tab w:val="right" w:pos="9026"/>
      </w:tabs>
      <w:spacing w:after="0" w:line="240" w:lineRule="auto"/>
    </w:pPr>
  </w:style>
  <w:style w:type="character" w:styleId="FootnoteReference">
    <w:name w:val="footnote reference"/>
    <w:basedOn w:val="DefaultParagraphFont"/>
    <w:qFormat/>
    <w:rsid w:val="00366C7C"/>
    <w:rPr>
      <w:vertAlign w:val="superscript"/>
    </w:rPr>
  </w:style>
  <w:style w:type="paragraph" w:styleId="FootnoteText">
    <w:name w:val="footnote text"/>
    <w:basedOn w:val="Normal"/>
    <w:link w:val="FootnoteTextChar"/>
    <w:rsid w:val="00366C7C"/>
    <w:pPr>
      <w:spacing w:after="0" w:line="240" w:lineRule="auto"/>
      <w:ind w:left="567" w:hanging="567"/>
    </w:pPr>
    <w:rPr>
      <w:sz w:val="20"/>
      <w:szCs w:val="20"/>
    </w:rPr>
  </w:style>
  <w:style w:type="paragraph" w:styleId="Header">
    <w:name w:val="header"/>
    <w:basedOn w:val="Normal"/>
    <w:link w:val="HeaderChar"/>
    <w:uiPriority w:val="99"/>
    <w:unhideWhenUsed/>
    <w:rsid w:val="00366C7C"/>
    <w:pPr>
      <w:tabs>
        <w:tab w:val="clear" w:pos="567"/>
        <w:tab w:val="center" w:pos="4513"/>
        <w:tab w:val="right" w:pos="9026"/>
      </w:tabs>
      <w:spacing w:after="0" w:line="240" w:lineRule="auto"/>
    </w:pPr>
  </w:style>
  <w:style w:type="character" w:styleId="Hyperlink">
    <w:name w:val="Hyperlink"/>
    <w:basedOn w:val="DefaultParagraphFont"/>
    <w:uiPriority w:val="99"/>
    <w:rsid w:val="00366C7C"/>
    <w:rPr>
      <w:color w:val="0000FF"/>
      <w:u w:val="single"/>
    </w:rPr>
  </w:style>
  <w:style w:type="paragraph" w:styleId="Index1">
    <w:name w:val="index 1"/>
    <w:basedOn w:val="Normal"/>
    <w:rsid w:val="00366C7C"/>
  </w:style>
  <w:style w:type="paragraph" w:styleId="Index2">
    <w:name w:val="index 2"/>
    <w:basedOn w:val="Normal"/>
    <w:next w:val="Index1"/>
    <w:rsid w:val="00366C7C"/>
    <w:pPr>
      <w:ind w:left="284"/>
    </w:pPr>
  </w:style>
  <w:style w:type="paragraph" w:styleId="Index3">
    <w:name w:val="index 3"/>
    <w:basedOn w:val="Normal"/>
    <w:next w:val="Index1"/>
    <w:rsid w:val="00366C7C"/>
    <w:pPr>
      <w:ind w:left="567"/>
    </w:pPr>
  </w:style>
  <w:style w:type="paragraph" w:styleId="Index4">
    <w:name w:val="index 4"/>
    <w:basedOn w:val="Normal"/>
    <w:next w:val="Normal"/>
    <w:rsid w:val="00366C7C"/>
    <w:pPr>
      <w:ind w:left="880" w:hanging="220"/>
    </w:pPr>
  </w:style>
  <w:style w:type="paragraph" w:styleId="Index5">
    <w:name w:val="index 5"/>
    <w:basedOn w:val="Normal"/>
    <w:next w:val="Normal"/>
    <w:rsid w:val="00366C7C"/>
    <w:pPr>
      <w:ind w:left="1100" w:hanging="220"/>
    </w:pPr>
  </w:style>
  <w:style w:type="paragraph" w:styleId="Index6">
    <w:name w:val="index 6"/>
    <w:basedOn w:val="Normal"/>
    <w:next w:val="Normal"/>
    <w:rsid w:val="00366C7C"/>
    <w:pPr>
      <w:ind w:left="1320" w:hanging="220"/>
    </w:pPr>
  </w:style>
  <w:style w:type="paragraph" w:styleId="Index7">
    <w:name w:val="index 7"/>
    <w:basedOn w:val="Normal"/>
    <w:next w:val="Normal"/>
    <w:rsid w:val="00366C7C"/>
    <w:pPr>
      <w:ind w:left="1540" w:hanging="220"/>
    </w:pPr>
  </w:style>
  <w:style w:type="paragraph" w:styleId="Index8">
    <w:name w:val="index 8"/>
    <w:basedOn w:val="Normal"/>
    <w:next w:val="Normal"/>
    <w:rsid w:val="00366C7C"/>
    <w:pPr>
      <w:ind w:left="1760" w:hanging="220"/>
    </w:pPr>
  </w:style>
  <w:style w:type="paragraph" w:styleId="Index9">
    <w:name w:val="index 9"/>
    <w:basedOn w:val="Normal"/>
    <w:next w:val="Normal"/>
    <w:rsid w:val="00366C7C"/>
    <w:pPr>
      <w:ind w:left="1980" w:hanging="220"/>
    </w:pPr>
  </w:style>
  <w:style w:type="paragraph" w:styleId="IndexHeading">
    <w:name w:val="index heading"/>
    <w:basedOn w:val="Normal"/>
    <w:next w:val="Index1"/>
    <w:rsid w:val="00366C7C"/>
  </w:style>
  <w:style w:type="paragraph" w:styleId="List">
    <w:name w:val="List"/>
    <w:basedOn w:val="Normal"/>
    <w:rsid w:val="00366C7C"/>
    <w:pPr>
      <w:spacing w:line="300" w:lineRule="atLeast"/>
    </w:pPr>
  </w:style>
  <w:style w:type="paragraph" w:styleId="MacroText">
    <w:name w:val="macro"/>
    <w:link w:val="MacroTextChar"/>
    <w:rsid w:val="00366C7C"/>
    <w:pPr>
      <w:tabs>
        <w:tab w:val="left" w:pos="480"/>
        <w:tab w:val="left" w:pos="960"/>
        <w:tab w:val="left" w:pos="1440"/>
        <w:tab w:val="left" w:pos="1920"/>
        <w:tab w:val="left" w:pos="2400"/>
        <w:tab w:val="left" w:pos="2880"/>
        <w:tab w:val="left" w:pos="3360"/>
        <w:tab w:val="left" w:pos="3840"/>
        <w:tab w:val="left" w:pos="4320"/>
      </w:tabs>
      <w:spacing w:after="80" w:line="320" w:lineRule="atLeast"/>
    </w:pPr>
    <w:rPr>
      <w:rFonts w:ascii="Courier New" w:hAnsi="Courier New" w:cs="Courier New"/>
    </w:rPr>
  </w:style>
  <w:style w:type="character" w:styleId="PageNumber">
    <w:name w:val="page number"/>
    <w:basedOn w:val="DefaultParagraphFont"/>
    <w:rsid w:val="00366C7C"/>
  </w:style>
  <w:style w:type="paragraph" w:customStyle="1" w:styleId="Single">
    <w:name w:val="Single"/>
    <w:basedOn w:val="Normal"/>
    <w:next w:val="CGCNumberedPara"/>
    <w:link w:val="SingleChar"/>
    <w:rsid w:val="00366C7C"/>
    <w:pPr>
      <w:spacing w:after="0" w:line="240" w:lineRule="auto"/>
    </w:pPr>
  </w:style>
  <w:style w:type="table" w:styleId="TableGrid">
    <w:name w:val="Table Grid"/>
    <w:basedOn w:val="TableNormal"/>
    <w:uiPriority w:val="59"/>
    <w:rsid w:val="00366C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rsid w:val="00366C7C"/>
    <w:pPr>
      <w:tabs>
        <w:tab w:val="clear" w:pos="567"/>
      </w:tabs>
      <w:ind w:left="220" w:hanging="220"/>
    </w:pPr>
  </w:style>
  <w:style w:type="paragraph" w:styleId="TableofFigures">
    <w:name w:val="table of figures"/>
    <w:basedOn w:val="Normal"/>
    <w:next w:val="Normal"/>
    <w:rsid w:val="00366C7C"/>
    <w:pPr>
      <w:tabs>
        <w:tab w:val="clear" w:pos="567"/>
      </w:tabs>
    </w:pPr>
  </w:style>
  <w:style w:type="paragraph" w:customStyle="1" w:styleId="TableColHeadings">
    <w:name w:val="TableColHeadings"/>
    <w:basedOn w:val="Normal"/>
    <w:rsid w:val="00366C7C"/>
    <w:pPr>
      <w:keepNext/>
      <w:keepLines/>
      <w:tabs>
        <w:tab w:val="left" w:pos="475"/>
        <w:tab w:val="left" w:pos="1440"/>
        <w:tab w:val="left" w:pos="2160"/>
        <w:tab w:val="left" w:pos="2880"/>
      </w:tabs>
      <w:spacing w:before="60" w:after="60" w:line="240" w:lineRule="auto"/>
      <w:jc w:val="right"/>
    </w:pPr>
    <w:rPr>
      <w:sz w:val="20"/>
      <w:szCs w:val="20"/>
    </w:rPr>
  </w:style>
  <w:style w:type="paragraph" w:customStyle="1" w:styleId="TableRowUnits">
    <w:name w:val="TableRowUnits"/>
    <w:basedOn w:val="Normal"/>
    <w:rsid w:val="00366C7C"/>
    <w:pPr>
      <w:keepNext/>
      <w:keepLines/>
      <w:tabs>
        <w:tab w:val="left" w:pos="475"/>
        <w:tab w:val="left" w:pos="1440"/>
        <w:tab w:val="left" w:pos="2160"/>
        <w:tab w:val="left" w:pos="2880"/>
      </w:tabs>
      <w:spacing w:after="0" w:line="240" w:lineRule="auto"/>
      <w:jc w:val="right"/>
    </w:pPr>
    <w:rPr>
      <w:sz w:val="20"/>
      <w:szCs w:val="20"/>
    </w:rPr>
  </w:style>
  <w:style w:type="paragraph" w:styleId="TOAHeading">
    <w:name w:val="toa heading"/>
    <w:basedOn w:val="Normal"/>
    <w:next w:val="Normal"/>
    <w:rsid w:val="00366C7C"/>
    <w:pPr>
      <w:spacing w:before="120"/>
    </w:pPr>
    <w:rPr>
      <w:rFonts w:cs="Arial"/>
      <w:b/>
      <w:bCs/>
    </w:rPr>
  </w:style>
  <w:style w:type="paragraph" w:styleId="TOC1">
    <w:name w:val="toc 1"/>
    <w:basedOn w:val="Normal"/>
    <w:next w:val="Normal"/>
    <w:uiPriority w:val="39"/>
    <w:qFormat/>
    <w:rsid w:val="00E346F3"/>
    <w:pPr>
      <w:tabs>
        <w:tab w:val="clear" w:pos="567"/>
      </w:tabs>
      <w:spacing w:before="120" w:after="60" w:line="240" w:lineRule="auto"/>
    </w:pPr>
    <w:rPr>
      <w:b/>
      <w:bCs/>
      <w:caps/>
      <w:szCs w:val="24"/>
    </w:rPr>
  </w:style>
  <w:style w:type="paragraph" w:styleId="TOC2">
    <w:name w:val="toc 2"/>
    <w:basedOn w:val="Normal"/>
    <w:next w:val="Normal"/>
    <w:uiPriority w:val="39"/>
    <w:qFormat/>
    <w:rsid w:val="005E359D"/>
    <w:pPr>
      <w:tabs>
        <w:tab w:val="clear" w:pos="567"/>
        <w:tab w:val="right" w:pos="8930"/>
      </w:tabs>
      <w:spacing w:before="60" w:after="60" w:line="240" w:lineRule="auto"/>
      <w:ind w:left="284"/>
    </w:pPr>
    <w:rPr>
      <w:b/>
      <w:bCs/>
      <w:szCs w:val="20"/>
    </w:rPr>
  </w:style>
  <w:style w:type="paragraph" w:styleId="TOC3">
    <w:name w:val="toc 3"/>
    <w:basedOn w:val="Normal"/>
    <w:next w:val="Normal"/>
    <w:uiPriority w:val="39"/>
    <w:qFormat/>
    <w:rsid w:val="005E359D"/>
    <w:pPr>
      <w:tabs>
        <w:tab w:val="clear" w:pos="567"/>
        <w:tab w:val="right" w:pos="8930"/>
      </w:tabs>
      <w:spacing w:before="40" w:after="40" w:line="240" w:lineRule="auto"/>
      <w:ind w:left="284"/>
    </w:pPr>
    <w:rPr>
      <w:b/>
      <w:szCs w:val="20"/>
    </w:rPr>
  </w:style>
  <w:style w:type="paragraph" w:styleId="TOC4">
    <w:name w:val="toc 4"/>
    <w:basedOn w:val="Normal"/>
    <w:next w:val="Normal"/>
    <w:uiPriority w:val="39"/>
    <w:rsid w:val="005E359D"/>
    <w:pPr>
      <w:tabs>
        <w:tab w:val="clear" w:pos="567"/>
        <w:tab w:val="right" w:pos="8930"/>
      </w:tabs>
      <w:spacing w:after="0"/>
      <w:ind w:left="567"/>
    </w:pPr>
    <w:rPr>
      <w:szCs w:val="20"/>
    </w:rPr>
  </w:style>
  <w:style w:type="paragraph" w:styleId="TOC5">
    <w:name w:val="toc 5"/>
    <w:basedOn w:val="Normal"/>
    <w:next w:val="Normal"/>
    <w:uiPriority w:val="39"/>
    <w:rsid w:val="005E359D"/>
    <w:pPr>
      <w:tabs>
        <w:tab w:val="clear" w:pos="567"/>
      </w:tabs>
      <w:spacing w:after="0"/>
      <w:ind w:left="851"/>
    </w:pPr>
    <w:rPr>
      <w:szCs w:val="20"/>
    </w:rPr>
  </w:style>
  <w:style w:type="paragraph" w:styleId="TOC6">
    <w:name w:val="toc 6"/>
    <w:basedOn w:val="Normal"/>
    <w:next w:val="Normal"/>
    <w:uiPriority w:val="39"/>
    <w:rsid w:val="00366C7C"/>
    <w:pPr>
      <w:tabs>
        <w:tab w:val="clear" w:pos="567"/>
      </w:tabs>
      <w:spacing w:after="0"/>
      <w:ind w:left="960"/>
    </w:pPr>
    <w:rPr>
      <w:sz w:val="20"/>
      <w:szCs w:val="20"/>
    </w:rPr>
  </w:style>
  <w:style w:type="paragraph" w:styleId="TOC7">
    <w:name w:val="toc 7"/>
    <w:basedOn w:val="Normal"/>
    <w:next w:val="Normal"/>
    <w:uiPriority w:val="39"/>
    <w:rsid w:val="00366C7C"/>
    <w:pPr>
      <w:tabs>
        <w:tab w:val="clear" w:pos="567"/>
      </w:tabs>
      <w:spacing w:after="0"/>
      <w:ind w:left="1200"/>
    </w:pPr>
    <w:rPr>
      <w:sz w:val="20"/>
      <w:szCs w:val="20"/>
    </w:rPr>
  </w:style>
  <w:style w:type="paragraph" w:styleId="TOC8">
    <w:name w:val="toc 8"/>
    <w:basedOn w:val="Normal"/>
    <w:next w:val="Normal"/>
    <w:uiPriority w:val="39"/>
    <w:rsid w:val="00366C7C"/>
    <w:pPr>
      <w:tabs>
        <w:tab w:val="clear" w:pos="567"/>
      </w:tabs>
      <w:spacing w:after="0"/>
      <w:ind w:left="1440"/>
    </w:pPr>
    <w:rPr>
      <w:sz w:val="20"/>
      <w:szCs w:val="20"/>
    </w:rPr>
  </w:style>
  <w:style w:type="paragraph" w:styleId="TOC9">
    <w:name w:val="toc 9"/>
    <w:basedOn w:val="Normal"/>
    <w:next w:val="Normal"/>
    <w:uiPriority w:val="39"/>
    <w:rsid w:val="00366C7C"/>
    <w:pPr>
      <w:tabs>
        <w:tab w:val="clear" w:pos="567"/>
      </w:tabs>
      <w:spacing w:after="0"/>
      <w:ind w:left="1680"/>
    </w:pPr>
    <w:rPr>
      <w:sz w:val="20"/>
      <w:szCs w:val="20"/>
    </w:rPr>
  </w:style>
  <w:style w:type="character" w:customStyle="1" w:styleId="Heading1Char">
    <w:name w:val="Heading 1 Char"/>
    <w:basedOn w:val="DefaultParagraphFont"/>
    <w:link w:val="Heading1"/>
    <w:uiPriority w:val="9"/>
    <w:rsid w:val="00366C7C"/>
    <w:rPr>
      <w:rFonts w:eastAsiaTheme="majorEastAsia" w:cstheme="majorBidi"/>
      <w:b/>
      <w:bCs/>
      <w:caps/>
      <w:color w:val="2C8558"/>
      <w:sz w:val="40"/>
      <w:szCs w:val="28"/>
    </w:rPr>
  </w:style>
  <w:style w:type="character" w:customStyle="1" w:styleId="Heading2Char">
    <w:name w:val="Heading 2 Char"/>
    <w:basedOn w:val="DefaultParagraphFont"/>
    <w:link w:val="Heading2"/>
    <w:uiPriority w:val="9"/>
    <w:rsid w:val="00366C7C"/>
    <w:rPr>
      <w:rFonts w:eastAsiaTheme="majorEastAsia" w:cstheme="majorBidi"/>
      <w:b/>
      <w:bCs/>
      <w:caps/>
      <w:color w:val="2C8558"/>
      <w:sz w:val="40"/>
      <w:szCs w:val="26"/>
    </w:rPr>
  </w:style>
  <w:style w:type="character" w:customStyle="1" w:styleId="Heading3Char">
    <w:name w:val="Heading 3 Char"/>
    <w:basedOn w:val="DefaultParagraphFont"/>
    <w:link w:val="Heading3"/>
    <w:uiPriority w:val="9"/>
    <w:rsid w:val="00366C7C"/>
    <w:rPr>
      <w:rFonts w:eastAsiaTheme="majorEastAsia" w:cstheme="majorBidi"/>
      <w:b/>
      <w:bCs/>
      <w:caps/>
      <w:color w:val="2C8558"/>
      <w:sz w:val="32"/>
    </w:rPr>
  </w:style>
  <w:style w:type="character" w:customStyle="1" w:styleId="Heading4Char">
    <w:name w:val="Heading 4 Char"/>
    <w:basedOn w:val="DefaultParagraphFont"/>
    <w:link w:val="Heading4"/>
    <w:uiPriority w:val="9"/>
    <w:rsid w:val="00366C7C"/>
    <w:rPr>
      <w:rFonts w:eastAsiaTheme="majorEastAsia" w:cstheme="majorBidi"/>
      <w:b/>
      <w:bCs/>
      <w:iCs/>
      <w:color w:val="2C8558"/>
      <w:sz w:val="32"/>
    </w:rPr>
  </w:style>
  <w:style w:type="character" w:customStyle="1" w:styleId="Heading5Char">
    <w:name w:val="Heading 5 Char"/>
    <w:basedOn w:val="DefaultParagraphFont"/>
    <w:link w:val="Heading5"/>
    <w:uiPriority w:val="9"/>
    <w:rsid w:val="00366C7C"/>
    <w:rPr>
      <w:rFonts w:eastAsiaTheme="majorEastAsia" w:cstheme="majorBidi"/>
      <w:b/>
      <w:i/>
      <w:color w:val="2C8558"/>
      <w:sz w:val="28"/>
    </w:rPr>
  </w:style>
  <w:style w:type="paragraph" w:styleId="NoSpacing">
    <w:name w:val="No Spacing"/>
    <w:link w:val="NoSpacingChar"/>
    <w:uiPriority w:val="1"/>
    <w:qFormat/>
    <w:rsid w:val="00366C7C"/>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366C7C"/>
    <w:rPr>
      <w:sz w:val="24"/>
    </w:rPr>
  </w:style>
  <w:style w:type="paragraph" w:styleId="ListParagraph">
    <w:name w:val="List Paragraph"/>
    <w:basedOn w:val="Normal"/>
    <w:uiPriority w:val="34"/>
    <w:qFormat/>
    <w:rsid w:val="00366C7C"/>
    <w:pPr>
      <w:tabs>
        <w:tab w:val="clear" w:pos="567"/>
      </w:tabs>
      <w:spacing w:line="300" w:lineRule="atLeast"/>
      <w:ind w:left="1134"/>
    </w:pPr>
    <w:rPr>
      <w:szCs w:val="24"/>
    </w:rPr>
  </w:style>
  <w:style w:type="paragraph" w:styleId="TOCHeading">
    <w:name w:val="TOC Heading"/>
    <w:basedOn w:val="Heading1"/>
    <w:next w:val="Normal"/>
    <w:uiPriority w:val="39"/>
    <w:unhideWhenUsed/>
    <w:qFormat/>
    <w:rsid w:val="00366C7C"/>
    <w:pPr>
      <w:keepLines/>
      <w:pBdr>
        <w:bottom w:val="none" w:sz="0" w:space="0" w:color="auto"/>
      </w:pBdr>
      <w:spacing w:before="480" w:line="320" w:lineRule="atLeast"/>
      <w:outlineLvl w:val="9"/>
    </w:pPr>
    <w:rPr>
      <w:rFonts w:asciiTheme="majorHAnsi" w:hAnsiTheme="majorHAnsi"/>
      <w:caps w:val="0"/>
      <w:color w:val="365F91" w:themeColor="accent1" w:themeShade="BF"/>
      <w:sz w:val="28"/>
    </w:rPr>
  </w:style>
  <w:style w:type="character" w:customStyle="1" w:styleId="FooterChar">
    <w:name w:val="Footer Char"/>
    <w:basedOn w:val="DefaultParagraphFont"/>
    <w:link w:val="Footer"/>
    <w:uiPriority w:val="99"/>
    <w:rsid w:val="00366C7C"/>
    <w:rPr>
      <w:sz w:val="24"/>
    </w:rPr>
  </w:style>
  <w:style w:type="character" w:customStyle="1" w:styleId="HeaderChar">
    <w:name w:val="Header Char"/>
    <w:basedOn w:val="DefaultParagraphFont"/>
    <w:link w:val="Header"/>
    <w:uiPriority w:val="99"/>
    <w:rsid w:val="00366C7C"/>
    <w:rPr>
      <w:sz w:val="24"/>
    </w:rPr>
  </w:style>
  <w:style w:type="paragraph" w:customStyle="1" w:styleId="CGCDataCaption">
    <w:name w:val="CGC Data Caption"/>
    <w:basedOn w:val="CGCTableFootnote"/>
    <w:next w:val="NoSpacing"/>
    <w:link w:val="DataCaptionChar"/>
    <w:qFormat/>
    <w:rsid w:val="00366C7C"/>
  </w:style>
  <w:style w:type="character" w:customStyle="1" w:styleId="CaptionChar">
    <w:name w:val="Caption Char"/>
    <w:basedOn w:val="DefaultParagraphFont"/>
    <w:link w:val="Caption"/>
    <w:rsid w:val="00366C7C"/>
    <w:rPr>
      <w:b/>
      <w:bCs/>
      <w:sz w:val="24"/>
      <w:szCs w:val="20"/>
    </w:rPr>
  </w:style>
  <w:style w:type="character" w:customStyle="1" w:styleId="DataCaptionChar">
    <w:name w:val="Data Caption Char"/>
    <w:basedOn w:val="DefaultParagraphFont"/>
    <w:link w:val="CGCDataCaption"/>
    <w:rsid w:val="00366C7C"/>
    <w:rPr>
      <w:sz w:val="20"/>
      <w:szCs w:val="24"/>
    </w:rPr>
  </w:style>
  <w:style w:type="character" w:customStyle="1" w:styleId="BalloonTextChar">
    <w:name w:val="Balloon Text Char"/>
    <w:basedOn w:val="DefaultParagraphFont"/>
    <w:link w:val="BalloonText"/>
    <w:uiPriority w:val="99"/>
    <w:rsid w:val="00366C7C"/>
    <w:rPr>
      <w:rFonts w:ascii="Tahoma" w:hAnsi="Tahoma" w:cs="Tahoma"/>
      <w:sz w:val="16"/>
      <w:szCs w:val="16"/>
    </w:rPr>
  </w:style>
  <w:style w:type="character" w:customStyle="1" w:styleId="FootnoteTextChar">
    <w:name w:val="Footnote Text Char"/>
    <w:basedOn w:val="DefaultParagraphFont"/>
    <w:link w:val="FootnoteText"/>
    <w:rsid w:val="00366C7C"/>
    <w:rPr>
      <w:sz w:val="20"/>
      <w:szCs w:val="20"/>
    </w:rPr>
  </w:style>
  <w:style w:type="character" w:customStyle="1" w:styleId="Heading6Char">
    <w:name w:val="Heading 6 Char"/>
    <w:basedOn w:val="DefaultParagraphFont"/>
    <w:link w:val="Heading6"/>
    <w:uiPriority w:val="9"/>
    <w:rsid w:val="00366C7C"/>
    <w:rPr>
      <w:rFonts w:eastAsiaTheme="majorEastAsia" w:cstheme="majorBidi"/>
      <w:b/>
      <w:i/>
      <w:iCs/>
      <w:color w:val="2C8558"/>
      <w:sz w:val="28"/>
    </w:rPr>
  </w:style>
  <w:style w:type="character" w:customStyle="1" w:styleId="Heading7Char">
    <w:name w:val="Heading 7 Char"/>
    <w:basedOn w:val="DefaultParagraphFont"/>
    <w:link w:val="Heading7"/>
    <w:uiPriority w:val="9"/>
    <w:rsid w:val="00366C7C"/>
    <w:rPr>
      <w:rFonts w:asciiTheme="majorHAnsi" w:eastAsiaTheme="majorEastAsia" w:hAnsiTheme="majorHAnsi" w:cstheme="majorBidi"/>
      <w:i/>
      <w:iCs/>
      <w:color w:val="404040" w:themeColor="text1" w:themeTint="BF"/>
      <w:sz w:val="24"/>
    </w:rPr>
  </w:style>
  <w:style w:type="character" w:customStyle="1" w:styleId="CGCBulletlistChar">
    <w:name w:val="CGC Bullet list Char"/>
    <w:aliases w:val="CGC List 1 Char,CGC Bullet list Char1"/>
    <w:basedOn w:val="DefaultParagraphFont"/>
    <w:link w:val="CGCBulletlist"/>
    <w:locked/>
    <w:rsid w:val="001A5128"/>
    <w:rPr>
      <w:sz w:val="24"/>
      <w:szCs w:val="20"/>
    </w:rPr>
  </w:style>
  <w:style w:type="paragraph" w:customStyle="1" w:styleId="CGCterminologylabel">
    <w:name w:val="CGC terminology label"/>
    <w:basedOn w:val="Normal"/>
    <w:link w:val="CGCterminologylabelChar"/>
    <w:rsid w:val="00070BBC"/>
    <w:pPr>
      <w:keepNext/>
    </w:pPr>
    <w:rPr>
      <w:b/>
    </w:rPr>
  </w:style>
  <w:style w:type="character" w:customStyle="1" w:styleId="CGCterminologylabelChar">
    <w:name w:val="CGC terminology label Char"/>
    <w:basedOn w:val="DefaultParagraphFont"/>
    <w:link w:val="CGCterminologylabel"/>
    <w:rsid w:val="00070BBC"/>
    <w:rPr>
      <w:b/>
      <w:sz w:val="24"/>
    </w:rPr>
  </w:style>
  <w:style w:type="character" w:customStyle="1" w:styleId="CGCParaNoChar">
    <w:name w:val="CGC Para No Char"/>
    <w:aliases w:val="CGC Numbered Para Char"/>
    <w:basedOn w:val="DefaultParagraphFont"/>
    <w:link w:val="CGCNumberedPara"/>
    <w:rsid w:val="00070BBC"/>
    <w:rPr>
      <w:sz w:val="24"/>
      <w:szCs w:val="24"/>
    </w:rPr>
  </w:style>
  <w:style w:type="character" w:customStyle="1" w:styleId="CGCTableFootnoteChar">
    <w:name w:val="CGC Table Footnote Char"/>
    <w:basedOn w:val="DefaultParagraphFont"/>
    <w:link w:val="CGCTableFootnote"/>
    <w:locked/>
    <w:rsid w:val="007F219A"/>
    <w:rPr>
      <w:sz w:val="20"/>
      <w:szCs w:val="24"/>
    </w:rPr>
  </w:style>
  <w:style w:type="character" w:customStyle="1" w:styleId="TableRowNormalChar">
    <w:name w:val="TableRowNormal Char"/>
    <w:basedOn w:val="DefaultParagraphFont"/>
    <w:link w:val="TableRowNormal"/>
    <w:locked/>
    <w:rsid w:val="007F219A"/>
    <w:rPr>
      <w:sz w:val="20"/>
      <w:szCs w:val="20"/>
    </w:rPr>
  </w:style>
  <w:style w:type="character" w:customStyle="1" w:styleId="CGCTableHeadingChar">
    <w:name w:val="CGC Table Heading Char"/>
    <w:basedOn w:val="DefaultParagraphFont"/>
    <w:link w:val="CGCTableHeading"/>
    <w:locked/>
    <w:rsid w:val="009E59AB"/>
    <w:rPr>
      <w:b/>
      <w:sz w:val="24"/>
      <w:szCs w:val="20"/>
    </w:rPr>
  </w:style>
  <w:style w:type="character" w:customStyle="1" w:styleId="CGCTableStubChar">
    <w:name w:val="CGC Table Stub Char"/>
    <w:basedOn w:val="TableRowNormalChar"/>
    <w:link w:val="CGCTableStub"/>
    <w:locked/>
    <w:rsid w:val="00261608"/>
    <w:rPr>
      <w:sz w:val="20"/>
      <w:szCs w:val="20"/>
    </w:rPr>
  </w:style>
  <w:style w:type="paragraph" w:customStyle="1" w:styleId="Default">
    <w:name w:val="Default"/>
    <w:rsid w:val="00261608"/>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Heading8Char">
    <w:name w:val="Heading 8 Char"/>
    <w:aliases w:val="(Do not use) Char,(Sub-section Nos) Char"/>
    <w:basedOn w:val="DefaultParagraphFont"/>
    <w:link w:val="Heading8"/>
    <w:rsid w:val="00A42C46"/>
    <w:rPr>
      <w:rFonts w:ascii="Arial" w:hAnsi="Arial"/>
      <w:i/>
      <w:sz w:val="20"/>
      <w:szCs w:val="20"/>
    </w:rPr>
  </w:style>
  <w:style w:type="character" w:customStyle="1" w:styleId="Heading9Char">
    <w:name w:val="Heading 9 Char"/>
    <w:aliases w:val="Heading 9 (Do not use) Char,(Subsubsection Nos) Char"/>
    <w:basedOn w:val="DefaultParagraphFont"/>
    <w:link w:val="Heading9"/>
    <w:rsid w:val="00A42C46"/>
    <w:rPr>
      <w:rFonts w:ascii="Arial" w:hAnsi="Arial"/>
      <w:b/>
      <w:i/>
      <w:sz w:val="18"/>
      <w:szCs w:val="20"/>
    </w:rPr>
  </w:style>
  <w:style w:type="character" w:customStyle="1" w:styleId="CommentTextChar">
    <w:name w:val="Comment Text Char"/>
    <w:basedOn w:val="DefaultParagraphFont"/>
    <w:link w:val="CommentText"/>
    <w:uiPriority w:val="99"/>
    <w:rsid w:val="00A42C46"/>
    <w:rPr>
      <w:sz w:val="20"/>
      <w:szCs w:val="20"/>
    </w:rPr>
  </w:style>
  <w:style w:type="character" w:customStyle="1" w:styleId="CommentSubjectChar">
    <w:name w:val="Comment Subject Char"/>
    <w:basedOn w:val="CommentTextChar"/>
    <w:link w:val="CommentSubject"/>
    <w:rsid w:val="00A42C46"/>
    <w:rPr>
      <w:b/>
      <w:bCs/>
      <w:sz w:val="20"/>
      <w:szCs w:val="20"/>
    </w:rPr>
  </w:style>
  <w:style w:type="character" w:customStyle="1" w:styleId="DocumentMapChar">
    <w:name w:val="Document Map Char"/>
    <w:basedOn w:val="DefaultParagraphFont"/>
    <w:link w:val="DocumentMap"/>
    <w:rsid w:val="00A42C46"/>
    <w:rPr>
      <w:rFonts w:ascii="Tahoma" w:hAnsi="Tahoma" w:cs="Tahoma"/>
      <w:sz w:val="20"/>
      <w:szCs w:val="20"/>
      <w:shd w:val="clear" w:color="auto" w:fill="000080"/>
    </w:rPr>
  </w:style>
  <w:style w:type="character" w:customStyle="1" w:styleId="EndnoteTextChar">
    <w:name w:val="Endnote Text Char"/>
    <w:basedOn w:val="DefaultParagraphFont"/>
    <w:link w:val="EndnoteText"/>
    <w:rsid w:val="00A42C46"/>
    <w:rPr>
      <w:sz w:val="20"/>
      <w:szCs w:val="20"/>
    </w:rPr>
  </w:style>
  <w:style w:type="character" w:customStyle="1" w:styleId="MacroTextChar">
    <w:name w:val="Macro Text Char"/>
    <w:basedOn w:val="DefaultParagraphFont"/>
    <w:link w:val="MacroText"/>
    <w:rsid w:val="00A42C46"/>
    <w:rPr>
      <w:rFonts w:ascii="Courier New" w:hAnsi="Courier New" w:cs="Courier New"/>
    </w:rPr>
  </w:style>
  <w:style w:type="character" w:customStyle="1" w:styleId="CGCSubbulletlistChar">
    <w:name w:val="CGC Sub bullet list Char"/>
    <w:aliases w:val="CGC List 2 Char"/>
    <w:basedOn w:val="DefaultParagraphFont"/>
    <w:link w:val="CGCSubbulletlist"/>
    <w:locked/>
    <w:rsid w:val="00A42C46"/>
    <w:rPr>
      <w:sz w:val="24"/>
      <w:szCs w:val="20"/>
    </w:rPr>
  </w:style>
  <w:style w:type="character" w:customStyle="1" w:styleId="SingleChar">
    <w:name w:val="Single Char"/>
    <w:basedOn w:val="DefaultParagraphFont"/>
    <w:link w:val="Single"/>
    <w:locked/>
    <w:rsid w:val="00A42C46"/>
    <w:rPr>
      <w:sz w:val="24"/>
    </w:rPr>
  </w:style>
  <w:style w:type="paragraph" w:styleId="Revision">
    <w:name w:val="Revision"/>
    <w:hidden/>
    <w:uiPriority w:val="99"/>
    <w:semiHidden/>
    <w:rsid w:val="00A42C46"/>
    <w:pPr>
      <w:spacing w:after="0" w:line="240" w:lineRule="auto"/>
    </w:pPr>
    <w:rPr>
      <w:sz w:val="24"/>
      <w:szCs w:val="24"/>
    </w:rPr>
  </w:style>
  <w:style w:type="paragraph" w:customStyle="1" w:styleId="Crest">
    <w:name w:val="Crest"/>
    <w:basedOn w:val="Normal"/>
    <w:rsid w:val="00A42C46"/>
    <w:pPr>
      <w:tabs>
        <w:tab w:val="clear" w:pos="567"/>
      </w:tabs>
      <w:spacing w:before="480" w:after="120" w:line="240" w:lineRule="auto"/>
      <w:jc w:val="center"/>
    </w:pPr>
    <w:rPr>
      <w:rFonts w:ascii="Times New Roman" w:eastAsia="Times New Roman" w:hAnsi="Times New Roman" w:cs="Times New Roman"/>
      <w:szCs w:val="24"/>
      <w:lang w:eastAsia="en-AU"/>
    </w:rPr>
  </w:style>
  <w:style w:type="paragraph" w:customStyle="1" w:styleId="Contact">
    <w:name w:val="Contact"/>
    <w:basedOn w:val="Normal"/>
    <w:rsid w:val="00A42C46"/>
    <w:pPr>
      <w:tabs>
        <w:tab w:val="clear" w:pos="567"/>
      </w:tabs>
      <w:spacing w:after="120" w:line="240" w:lineRule="auto"/>
      <w:contextualSpacing/>
      <w:jc w:val="right"/>
    </w:pPr>
    <w:rPr>
      <w:rFonts w:ascii="Times" w:eastAsia="Times New Roman" w:hAnsi="Times" w:cs="Times New Roman"/>
      <w:b/>
      <w:sz w:val="16"/>
      <w:szCs w:val="16"/>
      <w:lang w:eastAsia="en-AU"/>
    </w:rPr>
  </w:style>
  <w:style w:type="paragraph" w:customStyle="1" w:styleId="URL">
    <w:name w:val="URL"/>
    <w:basedOn w:val="Normal"/>
    <w:rsid w:val="00A42C46"/>
    <w:pPr>
      <w:tabs>
        <w:tab w:val="clear" w:pos="567"/>
      </w:tabs>
      <w:spacing w:after="120" w:line="240" w:lineRule="auto"/>
      <w:jc w:val="right"/>
    </w:pPr>
    <w:rPr>
      <w:rFonts w:ascii="Times New Roman" w:eastAsia="Times New Roman" w:hAnsi="Times New Roman" w:cs="Times New Roman"/>
      <w:b/>
      <w:sz w:val="16"/>
      <w:szCs w:val="16"/>
      <w:lang w:eastAsia="en-AU"/>
    </w:rPr>
  </w:style>
  <w:style w:type="numbering" w:customStyle="1" w:styleId="NoList1">
    <w:name w:val="No List1"/>
    <w:next w:val="NoList"/>
    <w:uiPriority w:val="99"/>
    <w:semiHidden/>
    <w:unhideWhenUsed/>
    <w:rsid w:val="00475B04"/>
  </w:style>
  <w:style w:type="table" w:customStyle="1" w:styleId="TableGrid1">
    <w:name w:val="Table Grid1"/>
    <w:basedOn w:val="TableNormal"/>
    <w:next w:val="TableGrid"/>
    <w:rsid w:val="00475B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3notoc">
    <w:name w:val="H3 no toc"/>
    <w:basedOn w:val="NoSpacing"/>
    <w:link w:val="H3notocChar"/>
    <w:qFormat/>
    <w:rsid w:val="007B0C97"/>
    <w:pPr>
      <w:spacing w:before="240"/>
    </w:pPr>
    <w:rPr>
      <w:b/>
      <w:color w:val="2C8558"/>
      <w:sz w:val="32"/>
    </w:rPr>
  </w:style>
  <w:style w:type="paragraph" w:customStyle="1" w:styleId="H1notoc">
    <w:name w:val="H1 no toc"/>
    <w:basedOn w:val="NoSpacing"/>
    <w:next w:val="Default"/>
    <w:link w:val="H1notocChar"/>
    <w:qFormat/>
    <w:rsid w:val="007B0C97"/>
    <w:pPr>
      <w:pBdr>
        <w:bottom w:val="single" w:sz="4" w:space="1" w:color="auto"/>
      </w:pBdr>
      <w:spacing w:before="800"/>
    </w:pPr>
    <w:rPr>
      <w:b/>
      <w:caps/>
      <w:color w:val="2C8558"/>
      <w:sz w:val="40"/>
    </w:rPr>
  </w:style>
  <w:style w:type="character" w:customStyle="1" w:styleId="H3notocChar">
    <w:name w:val="H3 no toc Char"/>
    <w:basedOn w:val="Heading3Char"/>
    <w:link w:val="H3notoc"/>
    <w:rsid w:val="007B0C97"/>
    <w:rPr>
      <w:rFonts w:eastAsiaTheme="majorEastAsia" w:cstheme="majorBidi"/>
      <w:b/>
      <w:bCs w:val="0"/>
      <w:caps w:val="0"/>
      <w:color w:val="2C8558"/>
      <w:sz w:val="32"/>
    </w:rPr>
  </w:style>
  <w:style w:type="character" w:customStyle="1" w:styleId="H1notocChar">
    <w:name w:val="H1 no toc Char"/>
    <w:basedOn w:val="Heading1Char"/>
    <w:link w:val="H1notoc"/>
    <w:rsid w:val="007B0C97"/>
    <w:rPr>
      <w:rFonts w:eastAsiaTheme="majorEastAsia" w:cstheme="majorBidi"/>
      <w:b/>
      <w:bCs w:val="0"/>
      <w:caps/>
      <w:color w:val="2C8558"/>
      <w:sz w:val="40"/>
      <w:szCs w:val="28"/>
    </w:rPr>
  </w:style>
  <w:style w:type="character" w:styleId="FollowedHyperlink">
    <w:name w:val="FollowedHyperlink"/>
    <w:basedOn w:val="DefaultParagraphFont"/>
    <w:uiPriority w:val="99"/>
    <w:rsid w:val="002E6A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238">
      <w:bodyDiv w:val="1"/>
      <w:marLeft w:val="0"/>
      <w:marRight w:val="0"/>
      <w:marTop w:val="0"/>
      <w:marBottom w:val="0"/>
      <w:divBdr>
        <w:top w:val="none" w:sz="0" w:space="0" w:color="auto"/>
        <w:left w:val="none" w:sz="0" w:space="0" w:color="auto"/>
        <w:bottom w:val="none" w:sz="0" w:space="0" w:color="auto"/>
        <w:right w:val="none" w:sz="0" w:space="0" w:color="auto"/>
      </w:divBdr>
    </w:div>
    <w:div w:id="3942208">
      <w:bodyDiv w:val="1"/>
      <w:marLeft w:val="0"/>
      <w:marRight w:val="0"/>
      <w:marTop w:val="0"/>
      <w:marBottom w:val="0"/>
      <w:divBdr>
        <w:top w:val="none" w:sz="0" w:space="0" w:color="auto"/>
        <w:left w:val="none" w:sz="0" w:space="0" w:color="auto"/>
        <w:bottom w:val="none" w:sz="0" w:space="0" w:color="auto"/>
        <w:right w:val="none" w:sz="0" w:space="0" w:color="auto"/>
      </w:divBdr>
    </w:div>
    <w:div w:id="7100137">
      <w:bodyDiv w:val="1"/>
      <w:marLeft w:val="0"/>
      <w:marRight w:val="0"/>
      <w:marTop w:val="0"/>
      <w:marBottom w:val="0"/>
      <w:divBdr>
        <w:top w:val="none" w:sz="0" w:space="0" w:color="auto"/>
        <w:left w:val="none" w:sz="0" w:space="0" w:color="auto"/>
        <w:bottom w:val="none" w:sz="0" w:space="0" w:color="auto"/>
        <w:right w:val="none" w:sz="0" w:space="0" w:color="auto"/>
      </w:divBdr>
    </w:div>
    <w:div w:id="12389504">
      <w:bodyDiv w:val="1"/>
      <w:marLeft w:val="0"/>
      <w:marRight w:val="0"/>
      <w:marTop w:val="0"/>
      <w:marBottom w:val="0"/>
      <w:divBdr>
        <w:top w:val="none" w:sz="0" w:space="0" w:color="auto"/>
        <w:left w:val="none" w:sz="0" w:space="0" w:color="auto"/>
        <w:bottom w:val="none" w:sz="0" w:space="0" w:color="auto"/>
        <w:right w:val="none" w:sz="0" w:space="0" w:color="auto"/>
      </w:divBdr>
    </w:div>
    <w:div w:id="18045675">
      <w:bodyDiv w:val="1"/>
      <w:marLeft w:val="0"/>
      <w:marRight w:val="0"/>
      <w:marTop w:val="0"/>
      <w:marBottom w:val="0"/>
      <w:divBdr>
        <w:top w:val="none" w:sz="0" w:space="0" w:color="auto"/>
        <w:left w:val="none" w:sz="0" w:space="0" w:color="auto"/>
        <w:bottom w:val="none" w:sz="0" w:space="0" w:color="auto"/>
        <w:right w:val="none" w:sz="0" w:space="0" w:color="auto"/>
      </w:divBdr>
    </w:div>
    <w:div w:id="19360522">
      <w:bodyDiv w:val="1"/>
      <w:marLeft w:val="0"/>
      <w:marRight w:val="0"/>
      <w:marTop w:val="0"/>
      <w:marBottom w:val="0"/>
      <w:divBdr>
        <w:top w:val="none" w:sz="0" w:space="0" w:color="auto"/>
        <w:left w:val="none" w:sz="0" w:space="0" w:color="auto"/>
        <w:bottom w:val="none" w:sz="0" w:space="0" w:color="auto"/>
        <w:right w:val="none" w:sz="0" w:space="0" w:color="auto"/>
      </w:divBdr>
    </w:div>
    <w:div w:id="23529661">
      <w:bodyDiv w:val="1"/>
      <w:marLeft w:val="0"/>
      <w:marRight w:val="0"/>
      <w:marTop w:val="0"/>
      <w:marBottom w:val="0"/>
      <w:divBdr>
        <w:top w:val="none" w:sz="0" w:space="0" w:color="auto"/>
        <w:left w:val="none" w:sz="0" w:space="0" w:color="auto"/>
        <w:bottom w:val="none" w:sz="0" w:space="0" w:color="auto"/>
        <w:right w:val="none" w:sz="0" w:space="0" w:color="auto"/>
      </w:divBdr>
    </w:div>
    <w:div w:id="28841917">
      <w:bodyDiv w:val="1"/>
      <w:marLeft w:val="0"/>
      <w:marRight w:val="0"/>
      <w:marTop w:val="0"/>
      <w:marBottom w:val="0"/>
      <w:divBdr>
        <w:top w:val="none" w:sz="0" w:space="0" w:color="auto"/>
        <w:left w:val="none" w:sz="0" w:space="0" w:color="auto"/>
        <w:bottom w:val="none" w:sz="0" w:space="0" w:color="auto"/>
        <w:right w:val="none" w:sz="0" w:space="0" w:color="auto"/>
      </w:divBdr>
    </w:div>
    <w:div w:id="32849117">
      <w:bodyDiv w:val="1"/>
      <w:marLeft w:val="0"/>
      <w:marRight w:val="0"/>
      <w:marTop w:val="0"/>
      <w:marBottom w:val="0"/>
      <w:divBdr>
        <w:top w:val="none" w:sz="0" w:space="0" w:color="auto"/>
        <w:left w:val="none" w:sz="0" w:space="0" w:color="auto"/>
        <w:bottom w:val="none" w:sz="0" w:space="0" w:color="auto"/>
        <w:right w:val="none" w:sz="0" w:space="0" w:color="auto"/>
      </w:divBdr>
    </w:div>
    <w:div w:id="33891158">
      <w:bodyDiv w:val="1"/>
      <w:marLeft w:val="0"/>
      <w:marRight w:val="0"/>
      <w:marTop w:val="0"/>
      <w:marBottom w:val="0"/>
      <w:divBdr>
        <w:top w:val="none" w:sz="0" w:space="0" w:color="auto"/>
        <w:left w:val="none" w:sz="0" w:space="0" w:color="auto"/>
        <w:bottom w:val="none" w:sz="0" w:space="0" w:color="auto"/>
        <w:right w:val="none" w:sz="0" w:space="0" w:color="auto"/>
      </w:divBdr>
    </w:div>
    <w:div w:id="44643413">
      <w:bodyDiv w:val="1"/>
      <w:marLeft w:val="0"/>
      <w:marRight w:val="0"/>
      <w:marTop w:val="0"/>
      <w:marBottom w:val="0"/>
      <w:divBdr>
        <w:top w:val="none" w:sz="0" w:space="0" w:color="auto"/>
        <w:left w:val="none" w:sz="0" w:space="0" w:color="auto"/>
        <w:bottom w:val="none" w:sz="0" w:space="0" w:color="auto"/>
        <w:right w:val="none" w:sz="0" w:space="0" w:color="auto"/>
      </w:divBdr>
    </w:div>
    <w:div w:id="49234953">
      <w:bodyDiv w:val="1"/>
      <w:marLeft w:val="0"/>
      <w:marRight w:val="0"/>
      <w:marTop w:val="0"/>
      <w:marBottom w:val="0"/>
      <w:divBdr>
        <w:top w:val="none" w:sz="0" w:space="0" w:color="auto"/>
        <w:left w:val="none" w:sz="0" w:space="0" w:color="auto"/>
        <w:bottom w:val="none" w:sz="0" w:space="0" w:color="auto"/>
        <w:right w:val="none" w:sz="0" w:space="0" w:color="auto"/>
      </w:divBdr>
    </w:div>
    <w:div w:id="55787953">
      <w:bodyDiv w:val="1"/>
      <w:marLeft w:val="0"/>
      <w:marRight w:val="0"/>
      <w:marTop w:val="0"/>
      <w:marBottom w:val="0"/>
      <w:divBdr>
        <w:top w:val="none" w:sz="0" w:space="0" w:color="auto"/>
        <w:left w:val="none" w:sz="0" w:space="0" w:color="auto"/>
        <w:bottom w:val="none" w:sz="0" w:space="0" w:color="auto"/>
        <w:right w:val="none" w:sz="0" w:space="0" w:color="auto"/>
      </w:divBdr>
    </w:div>
    <w:div w:id="57680216">
      <w:bodyDiv w:val="1"/>
      <w:marLeft w:val="0"/>
      <w:marRight w:val="0"/>
      <w:marTop w:val="0"/>
      <w:marBottom w:val="0"/>
      <w:divBdr>
        <w:top w:val="none" w:sz="0" w:space="0" w:color="auto"/>
        <w:left w:val="none" w:sz="0" w:space="0" w:color="auto"/>
        <w:bottom w:val="none" w:sz="0" w:space="0" w:color="auto"/>
        <w:right w:val="none" w:sz="0" w:space="0" w:color="auto"/>
      </w:divBdr>
    </w:div>
    <w:div w:id="64379697">
      <w:bodyDiv w:val="1"/>
      <w:marLeft w:val="0"/>
      <w:marRight w:val="0"/>
      <w:marTop w:val="0"/>
      <w:marBottom w:val="0"/>
      <w:divBdr>
        <w:top w:val="none" w:sz="0" w:space="0" w:color="auto"/>
        <w:left w:val="none" w:sz="0" w:space="0" w:color="auto"/>
        <w:bottom w:val="none" w:sz="0" w:space="0" w:color="auto"/>
        <w:right w:val="none" w:sz="0" w:space="0" w:color="auto"/>
      </w:divBdr>
    </w:div>
    <w:div w:id="75521035">
      <w:bodyDiv w:val="1"/>
      <w:marLeft w:val="0"/>
      <w:marRight w:val="0"/>
      <w:marTop w:val="0"/>
      <w:marBottom w:val="0"/>
      <w:divBdr>
        <w:top w:val="none" w:sz="0" w:space="0" w:color="auto"/>
        <w:left w:val="none" w:sz="0" w:space="0" w:color="auto"/>
        <w:bottom w:val="none" w:sz="0" w:space="0" w:color="auto"/>
        <w:right w:val="none" w:sz="0" w:space="0" w:color="auto"/>
      </w:divBdr>
    </w:div>
    <w:div w:id="77333683">
      <w:bodyDiv w:val="1"/>
      <w:marLeft w:val="0"/>
      <w:marRight w:val="0"/>
      <w:marTop w:val="0"/>
      <w:marBottom w:val="0"/>
      <w:divBdr>
        <w:top w:val="none" w:sz="0" w:space="0" w:color="auto"/>
        <w:left w:val="none" w:sz="0" w:space="0" w:color="auto"/>
        <w:bottom w:val="none" w:sz="0" w:space="0" w:color="auto"/>
        <w:right w:val="none" w:sz="0" w:space="0" w:color="auto"/>
      </w:divBdr>
    </w:div>
    <w:div w:id="83379256">
      <w:bodyDiv w:val="1"/>
      <w:marLeft w:val="0"/>
      <w:marRight w:val="0"/>
      <w:marTop w:val="0"/>
      <w:marBottom w:val="0"/>
      <w:divBdr>
        <w:top w:val="none" w:sz="0" w:space="0" w:color="auto"/>
        <w:left w:val="none" w:sz="0" w:space="0" w:color="auto"/>
        <w:bottom w:val="none" w:sz="0" w:space="0" w:color="auto"/>
        <w:right w:val="none" w:sz="0" w:space="0" w:color="auto"/>
      </w:divBdr>
    </w:div>
    <w:div w:id="84813882">
      <w:bodyDiv w:val="1"/>
      <w:marLeft w:val="0"/>
      <w:marRight w:val="0"/>
      <w:marTop w:val="0"/>
      <w:marBottom w:val="0"/>
      <w:divBdr>
        <w:top w:val="none" w:sz="0" w:space="0" w:color="auto"/>
        <w:left w:val="none" w:sz="0" w:space="0" w:color="auto"/>
        <w:bottom w:val="none" w:sz="0" w:space="0" w:color="auto"/>
        <w:right w:val="none" w:sz="0" w:space="0" w:color="auto"/>
      </w:divBdr>
    </w:div>
    <w:div w:id="86970851">
      <w:bodyDiv w:val="1"/>
      <w:marLeft w:val="0"/>
      <w:marRight w:val="0"/>
      <w:marTop w:val="0"/>
      <w:marBottom w:val="0"/>
      <w:divBdr>
        <w:top w:val="none" w:sz="0" w:space="0" w:color="auto"/>
        <w:left w:val="none" w:sz="0" w:space="0" w:color="auto"/>
        <w:bottom w:val="none" w:sz="0" w:space="0" w:color="auto"/>
        <w:right w:val="none" w:sz="0" w:space="0" w:color="auto"/>
      </w:divBdr>
    </w:div>
    <w:div w:id="88742076">
      <w:bodyDiv w:val="1"/>
      <w:marLeft w:val="0"/>
      <w:marRight w:val="0"/>
      <w:marTop w:val="0"/>
      <w:marBottom w:val="0"/>
      <w:divBdr>
        <w:top w:val="none" w:sz="0" w:space="0" w:color="auto"/>
        <w:left w:val="none" w:sz="0" w:space="0" w:color="auto"/>
        <w:bottom w:val="none" w:sz="0" w:space="0" w:color="auto"/>
        <w:right w:val="none" w:sz="0" w:space="0" w:color="auto"/>
      </w:divBdr>
    </w:div>
    <w:div w:id="89469497">
      <w:bodyDiv w:val="1"/>
      <w:marLeft w:val="0"/>
      <w:marRight w:val="0"/>
      <w:marTop w:val="0"/>
      <w:marBottom w:val="0"/>
      <w:divBdr>
        <w:top w:val="none" w:sz="0" w:space="0" w:color="auto"/>
        <w:left w:val="none" w:sz="0" w:space="0" w:color="auto"/>
        <w:bottom w:val="none" w:sz="0" w:space="0" w:color="auto"/>
        <w:right w:val="none" w:sz="0" w:space="0" w:color="auto"/>
      </w:divBdr>
    </w:div>
    <w:div w:id="91978304">
      <w:bodyDiv w:val="1"/>
      <w:marLeft w:val="0"/>
      <w:marRight w:val="0"/>
      <w:marTop w:val="0"/>
      <w:marBottom w:val="0"/>
      <w:divBdr>
        <w:top w:val="none" w:sz="0" w:space="0" w:color="auto"/>
        <w:left w:val="none" w:sz="0" w:space="0" w:color="auto"/>
        <w:bottom w:val="none" w:sz="0" w:space="0" w:color="auto"/>
        <w:right w:val="none" w:sz="0" w:space="0" w:color="auto"/>
      </w:divBdr>
    </w:div>
    <w:div w:id="98261165">
      <w:bodyDiv w:val="1"/>
      <w:marLeft w:val="0"/>
      <w:marRight w:val="0"/>
      <w:marTop w:val="0"/>
      <w:marBottom w:val="0"/>
      <w:divBdr>
        <w:top w:val="none" w:sz="0" w:space="0" w:color="auto"/>
        <w:left w:val="none" w:sz="0" w:space="0" w:color="auto"/>
        <w:bottom w:val="none" w:sz="0" w:space="0" w:color="auto"/>
        <w:right w:val="none" w:sz="0" w:space="0" w:color="auto"/>
      </w:divBdr>
    </w:div>
    <w:div w:id="108746173">
      <w:bodyDiv w:val="1"/>
      <w:marLeft w:val="0"/>
      <w:marRight w:val="0"/>
      <w:marTop w:val="0"/>
      <w:marBottom w:val="0"/>
      <w:divBdr>
        <w:top w:val="none" w:sz="0" w:space="0" w:color="auto"/>
        <w:left w:val="none" w:sz="0" w:space="0" w:color="auto"/>
        <w:bottom w:val="none" w:sz="0" w:space="0" w:color="auto"/>
        <w:right w:val="none" w:sz="0" w:space="0" w:color="auto"/>
      </w:divBdr>
    </w:div>
    <w:div w:id="12192464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31991369">
      <w:bodyDiv w:val="1"/>
      <w:marLeft w:val="0"/>
      <w:marRight w:val="0"/>
      <w:marTop w:val="0"/>
      <w:marBottom w:val="0"/>
      <w:divBdr>
        <w:top w:val="none" w:sz="0" w:space="0" w:color="auto"/>
        <w:left w:val="none" w:sz="0" w:space="0" w:color="auto"/>
        <w:bottom w:val="none" w:sz="0" w:space="0" w:color="auto"/>
        <w:right w:val="none" w:sz="0" w:space="0" w:color="auto"/>
      </w:divBdr>
    </w:div>
    <w:div w:id="132676883">
      <w:bodyDiv w:val="1"/>
      <w:marLeft w:val="0"/>
      <w:marRight w:val="0"/>
      <w:marTop w:val="0"/>
      <w:marBottom w:val="0"/>
      <w:divBdr>
        <w:top w:val="none" w:sz="0" w:space="0" w:color="auto"/>
        <w:left w:val="none" w:sz="0" w:space="0" w:color="auto"/>
        <w:bottom w:val="none" w:sz="0" w:space="0" w:color="auto"/>
        <w:right w:val="none" w:sz="0" w:space="0" w:color="auto"/>
      </w:divBdr>
    </w:div>
    <w:div w:id="143620114">
      <w:bodyDiv w:val="1"/>
      <w:marLeft w:val="0"/>
      <w:marRight w:val="0"/>
      <w:marTop w:val="0"/>
      <w:marBottom w:val="0"/>
      <w:divBdr>
        <w:top w:val="none" w:sz="0" w:space="0" w:color="auto"/>
        <w:left w:val="none" w:sz="0" w:space="0" w:color="auto"/>
        <w:bottom w:val="none" w:sz="0" w:space="0" w:color="auto"/>
        <w:right w:val="none" w:sz="0" w:space="0" w:color="auto"/>
      </w:divBdr>
    </w:div>
    <w:div w:id="144786226">
      <w:bodyDiv w:val="1"/>
      <w:marLeft w:val="0"/>
      <w:marRight w:val="0"/>
      <w:marTop w:val="0"/>
      <w:marBottom w:val="0"/>
      <w:divBdr>
        <w:top w:val="none" w:sz="0" w:space="0" w:color="auto"/>
        <w:left w:val="none" w:sz="0" w:space="0" w:color="auto"/>
        <w:bottom w:val="none" w:sz="0" w:space="0" w:color="auto"/>
        <w:right w:val="none" w:sz="0" w:space="0" w:color="auto"/>
      </w:divBdr>
    </w:div>
    <w:div w:id="154414847">
      <w:bodyDiv w:val="1"/>
      <w:marLeft w:val="0"/>
      <w:marRight w:val="0"/>
      <w:marTop w:val="0"/>
      <w:marBottom w:val="0"/>
      <w:divBdr>
        <w:top w:val="none" w:sz="0" w:space="0" w:color="auto"/>
        <w:left w:val="none" w:sz="0" w:space="0" w:color="auto"/>
        <w:bottom w:val="none" w:sz="0" w:space="0" w:color="auto"/>
        <w:right w:val="none" w:sz="0" w:space="0" w:color="auto"/>
      </w:divBdr>
    </w:div>
    <w:div w:id="154416271">
      <w:bodyDiv w:val="1"/>
      <w:marLeft w:val="0"/>
      <w:marRight w:val="0"/>
      <w:marTop w:val="0"/>
      <w:marBottom w:val="0"/>
      <w:divBdr>
        <w:top w:val="none" w:sz="0" w:space="0" w:color="auto"/>
        <w:left w:val="none" w:sz="0" w:space="0" w:color="auto"/>
        <w:bottom w:val="none" w:sz="0" w:space="0" w:color="auto"/>
        <w:right w:val="none" w:sz="0" w:space="0" w:color="auto"/>
      </w:divBdr>
    </w:div>
    <w:div w:id="169178868">
      <w:bodyDiv w:val="1"/>
      <w:marLeft w:val="0"/>
      <w:marRight w:val="0"/>
      <w:marTop w:val="0"/>
      <w:marBottom w:val="0"/>
      <w:divBdr>
        <w:top w:val="none" w:sz="0" w:space="0" w:color="auto"/>
        <w:left w:val="none" w:sz="0" w:space="0" w:color="auto"/>
        <w:bottom w:val="none" w:sz="0" w:space="0" w:color="auto"/>
        <w:right w:val="none" w:sz="0" w:space="0" w:color="auto"/>
      </w:divBdr>
    </w:div>
    <w:div w:id="170294884">
      <w:bodyDiv w:val="1"/>
      <w:marLeft w:val="0"/>
      <w:marRight w:val="0"/>
      <w:marTop w:val="0"/>
      <w:marBottom w:val="0"/>
      <w:divBdr>
        <w:top w:val="none" w:sz="0" w:space="0" w:color="auto"/>
        <w:left w:val="none" w:sz="0" w:space="0" w:color="auto"/>
        <w:bottom w:val="none" w:sz="0" w:space="0" w:color="auto"/>
        <w:right w:val="none" w:sz="0" w:space="0" w:color="auto"/>
      </w:divBdr>
    </w:div>
    <w:div w:id="176891530">
      <w:bodyDiv w:val="1"/>
      <w:marLeft w:val="0"/>
      <w:marRight w:val="0"/>
      <w:marTop w:val="0"/>
      <w:marBottom w:val="0"/>
      <w:divBdr>
        <w:top w:val="none" w:sz="0" w:space="0" w:color="auto"/>
        <w:left w:val="none" w:sz="0" w:space="0" w:color="auto"/>
        <w:bottom w:val="none" w:sz="0" w:space="0" w:color="auto"/>
        <w:right w:val="none" w:sz="0" w:space="0" w:color="auto"/>
      </w:divBdr>
    </w:div>
    <w:div w:id="183444679">
      <w:bodyDiv w:val="1"/>
      <w:marLeft w:val="0"/>
      <w:marRight w:val="0"/>
      <w:marTop w:val="0"/>
      <w:marBottom w:val="0"/>
      <w:divBdr>
        <w:top w:val="none" w:sz="0" w:space="0" w:color="auto"/>
        <w:left w:val="none" w:sz="0" w:space="0" w:color="auto"/>
        <w:bottom w:val="none" w:sz="0" w:space="0" w:color="auto"/>
        <w:right w:val="none" w:sz="0" w:space="0" w:color="auto"/>
      </w:divBdr>
    </w:div>
    <w:div w:id="200165679">
      <w:bodyDiv w:val="1"/>
      <w:marLeft w:val="0"/>
      <w:marRight w:val="0"/>
      <w:marTop w:val="0"/>
      <w:marBottom w:val="0"/>
      <w:divBdr>
        <w:top w:val="none" w:sz="0" w:space="0" w:color="auto"/>
        <w:left w:val="none" w:sz="0" w:space="0" w:color="auto"/>
        <w:bottom w:val="none" w:sz="0" w:space="0" w:color="auto"/>
        <w:right w:val="none" w:sz="0" w:space="0" w:color="auto"/>
      </w:divBdr>
    </w:div>
    <w:div w:id="209919677">
      <w:bodyDiv w:val="1"/>
      <w:marLeft w:val="0"/>
      <w:marRight w:val="0"/>
      <w:marTop w:val="0"/>
      <w:marBottom w:val="0"/>
      <w:divBdr>
        <w:top w:val="none" w:sz="0" w:space="0" w:color="auto"/>
        <w:left w:val="none" w:sz="0" w:space="0" w:color="auto"/>
        <w:bottom w:val="none" w:sz="0" w:space="0" w:color="auto"/>
        <w:right w:val="none" w:sz="0" w:space="0" w:color="auto"/>
      </w:divBdr>
    </w:div>
    <w:div w:id="214513732">
      <w:bodyDiv w:val="1"/>
      <w:marLeft w:val="0"/>
      <w:marRight w:val="0"/>
      <w:marTop w:val="0"/>
      <w:marBottom w:val="0"/>
      <w:divBdr>
        <w:top w:val="none" w:sz="0" w:space="0" w:color="auto"/>
        <w:left w:val="none" w:sz="0" w:space="0" w:color="auto"/>
        <w:bottom w:val="none" w:sz="0" w:space="0" w:color="auto"/>
        <w:right w:val="none" w:sz="0" w:space="0" w:color="auto"/>
      </w:divBdr>
    </w:div>
    <w:div w:id="220481679">
      <w:bodyDiv w:val="1"/>
      <w:marLeft w:val="0"/>
      <w:marRight w:val="0"/>
      <w:marTop w:val="0"/>
      <w:marBottom w:val="0"/>
      <w:divBdr>
        <w:top w:val="none" w:sz="0" w:space="0" w:color="auto"/>
        <w:left w:val="none" w:sz="0" w:space="0" w:color="auto"/>
        <w:bottom w:val="none" w:sz="0" w:space="0" w:color="auto"/>
        <w:right w:val="none" w:sz="0" w:space="0" w:color="auto"/>
      </w:divBdr>
    </w:div>
    <w:div w:id="224267125">
      <w:bodyDiv w:val="1"/>
      <w:marLeft w:val="0"/>
      <w:marRight w:val="0"/>
      <w:marTop w:val="0"/>
      <w:marBottom w:val="0"/>
      <w:divBdr>
        <w:top w:val="none" w:sz="0" w:space="0" w:color="auto"/>
        <w:left w:val="none" w:sz="0" w:space="0" w:color="auto"/>
        <w:bottom w:val="none" w:sz="0" w:space="0" w:color="auto"/>
        <w:right w:val="none" w:sz="0" w:space="0" w:color="auto"/>
      </w:divBdr>
    </w:div>
    <w:div w:id="225335230">
      <w:bodyDiv w:val="1"/>
      <w:marLeft w:val="0"/>
      <w:marRight w:val="0"/>
      <w:marTop w:val="0"/>
      <w:marBottom w:val="0"/>
      <w:divBdr>
        <w:top w:val="none" w:sz="0" w:space="0" w:color="auto"/>
        <w:left w:val="none" w:sz="0" w:space="0" w:color="auto"/>
        <w:bottom w:val="none" w:sz="0" w:space="0" w:color="auto"/>
        <w:right w:val="none" w:sz="0" w:space="0" w:color="auto"/>
      </w:divBdr>
    </w:div>
    <w:div w:id="226190773">
      <w:bodyDiv w:val="1"/>
      <w:marLeft w:val="0"/>
      <w:marRight w:val="0"/>
      <w:marTop w:val="0"/>
      <w:marBottom w:val="0"/>
      <w:divBdr>
        <w:top w:val="none" w:sz="0" w:space="0" w:color="auto"/>
        <w:left w:val="none" w:sz="0" w:space="0" w:color="auto"/>
        <w:bottom w:val="none" w:sz="0" w:space="0" w:color="auto"/>
        <w:right w:val="none" w:sz="0" w:space="0" w:color="auto"/>
      </w:divBdr>
    </w:div>
    <w:div w:id="234053202">
      <w:bodyDiv w:val="1"/>
      <w:marLeft w:val="0"/>
      <w:marRight w:val="0"/>
      <w:marTop w:val="0"/>
      <w:marBottom w:val="0"/>
      <w:divBdr>
        <w:top w:val="none" w:sz="0" w:space="0" w:color="auto"/>
        <w:left w:val="none" w:sz="0" w:space="0" w:color="auto"/>
        <w:bottom w:val="none" w:sz="0" w:space="0" w:color="auto"/>
        <w:right w:val="none" w:sz="0" w:space="0" w:color="auto"/>
      </w:divBdr>
    </w:div>
    <w:div w:id="236012696">
      <w:bodyDiv w:val="1"/>
      <w:marLeft w:val="0"/>
      <w:marRight w:val="0"/>
      <w:marTop w:val="0"/>
      <w:marBottom w:val="0"/>
      <w:divBdr>
        <w:top w:val="none" w:sz="0" w:space="0" w:color="auto"/>
        <w:left w:val="none" w:sz="0" w:space="0" w:color="auto"/>
        <w:bottom w:val="none" w:sz="0" w:space="0" w:color="auto"/>
        <w:right w:val="none" w:sz="0" w:space="0" w:color="auto"/>
      </w:divBdr>
    </w:div>
    <w:div w:id="247080965">
      <w:bodyDiv w:val="1"/>
      <w:marLeft w:val="0"/>
      <w:marRight w:val="0"/>
      <w:marTop w:val="0"/>
      <w:marBottom w:val="0"/>
      <w:divBdr>
        <w:top w:val="none" w:sz="0" w:space="0" w:color="auto"/>
        <w:left w:val="none" w:sz="0" w:space="0" w:color="auto"/>
        <w:bottom w:val="none" w:sz="0" w:space="0" w:color="auto"/>
        <w:right w:val="none" w:sz="0" w:space="0" w:color="auto"/>
      </w:divBdr>
    </w:div>
    <w:div w:id="247731873">
      <w:bodyDiv w:val="1"/>
      <w:marLeft w:val="0"/>
      <w:marRight w:val="0"/>
      <w:marTop w:val="0"/>
      <w:marBottom w:val="0"/>
      <w:divBdr>
        <w:top w:val="none" w:sz="0" w:space="0" w:color="auto"/>
        <w:left w:val="none" w:sz="0" w:space="0" w:color="auto"/>
        <w:bottom w:val="none" w:sz="0" w:space="0" w:color="auto"/>
        <w:right w:val="none" w:sz="0" w:space="0" w:color="auto"/>
      </w:divBdr>
    </w:div>
    <w:div w:id="255872093">
      <w:bodyDiv w:val="1"/>
      <w:marLeft w:val="0"/>
      <w:marRight w:val="0"/>
      <w:marTop w:val="0"/>
      <w:marBottom w:val="0"/>
      <w:divBdr>
        <w:top w:val="none" w:sz="0" w:space="0" w:color="auto"/>
        <w:left w:val="none" w:sz="0" w:space="0" w:color="auto"/>
        <w:bottom w:val="none" w:sz="0" w:space="0" w:color="auto"/>
        <w:right w:val="none" w:sz="0" w:space="0" w:color="auto"/>
      </w:divBdr>
    </w:div>
    <w:div w:id="256716867">
      <w:bodyDiv w:val="1"/>
      <w:marLeft w:val="0"/>
      <w:marRight w:val="0"/>
      <w:marTop w:val="0"/>
      <w:marBottom w:val="0"/>
      <w:divBdr>
        <w:top w:val="none" w:sz="0" w:space="0" w:color="auto"/>
        <w:left w:val="none" w:sz="0" w:space="0" w:color="auto"/>
        <w:bottom w:val="none" w:sz="0" w:space="0" w:color="auto"/>
        <w:right w:val="none" w:sz="0" w:space="0" w:color="auto"/>
      </w:divBdr>
    </w:div>
    <w:div w:id="264650702">
      <w:bodyDiv w:val="1"/>
      <w:marLeft w:val="0"/>
      <w:marRight w:val="0"/>
      <w:marTop w:val="0"/>
      <w:marBottom w:val="0"/>
      <w:divBdr>
        <w:top w:val="none" w:sz="0" w:space="0" w:color="auto"/>
        <w:left w:val="none" w:sz="0" w:space="0" w:color="auto"/>
        <w:bottom w:val="none" w:sz="0" w:space="0" w:color="auto"/>
        <w:right w:val="none" w:sz="0" w:space="0" w:color="auto"/>
      </w:divBdr>
    </w:div>
    <w:div w:id="266544196">
      <w:bodyDiv w:val="1"/>
      <w:marLeft w:val="0"/>
      <w:marRight w:val="0"/>
      <w:marTop w:val="0"/>
      <w:marBottom w:val="0"/>
      <w:divBdr>
        <w:top w:val="none" w:sz="0" w:space="0" w:color="auto"/>
        <w:left w:val="none" w:sz="0" w:space="0" w:color="auto"/>
        <w:bottom w:val="none" w:sz="0" w:space="0" w:color="auto"/>
        <w:right w:val="none" w:sz="0" w:space="0" w:color="auto"/>
      </w:divBdr>
    </w:div>
    <w:div w:id="267470385">
      <w:bodyDiv w:val="1"/>
      <w:marLeft w:val="0"/>
      <w:marRight w:val="0"/>
      <w:marTop w:val="0"/>
      <w:marBottom w:val="0"/>
      <w:divBdr>
        <w:top w:val="none" w:sz="0" w:space="0" w:color="auto"/>
        <w:left w:val="none" w:sz="0" w:space="0" w:color="auto"/>
        <w:bottom w:val="none" w:sz="0" w:space="0" w:color="auto"/>
        <w:right w:val="none" w:sz="0" w:space="0" w:color="auto"/>
      </w:divBdr>
    </w:div>
    <w:div w:id="274025017">
      <w:bodyDiv w:val="1"/>
      <w:marLeft w:val="0"/>
      <w:marRight w:val="0"/>
      <w:marTop w:val="0"/>
      <w:marBottom w:val="0"/>
      <w:divBdr>
        <w:top w:val="none" w:sz="0" w:space="0" w:color="auto"/>
        <w:left w:val="none" w:sz="0" w:space="0" w:color="auto"/>
        <w:bottom w:val="none" w:sz="0" w:space="0" w:color="auto"/>
        <w:right w:val="none" w:sz="0" w:space="0" w:color="auto"/>
      </w:divBdr>
    </w:div>
    <w:div w:id="276644979">
      <w:bodyDiv w:val="1"/>
      <w:marLeft w:val="0"/>
      <w:marRight w:val="0"/>
      <w:marTop w:val="0"/>
      <w:marBottom w:val="0"/>
      <w:divBdr>
        <w:top w:val="none" w:sz="0" w:space="0" w:color="auto"/>
        <w:left w:val="none" w:sz="0" w:space="0" w:color="auto"/>
        <w:bottom w:val="none" w:sz="0" w:space="0" w:color="auto"/>
        <w:right w:val="none" w:sz="0" w:space="0" w:color="auto"/>
      </w:divBdr>
    </w:div>
    <w:div w:id="278494650">
      <w:bodyDiv w:val="1"/>
      <w:marLeft w:val="0"/>
      <w:marRight w:val="0"/>
      <w:marTop w:val="0"/>
      <w:marBottom w:val="0"/>
      <w:divBdr>
        <w:top w:val="none" w:sz="0" w:space="0" w:color="auto"/>
        <w:left w:val="none" w:sz="0" w:space="0" w:color="auto"/>
        <w:bottom w:val="none" w:sz="0" w:space="0" w:color="auto"/>
        <w:right w:val="none" w:sz="0" w:space="0" w:color="auto"/>
      </w:divBdr>
    </w:div>
    <w:div w:id="288777920">
      <w:bodyDiv w:val="1"/>
      <w:marLeft w:val="0"/>
      <w:marRight w:val="0"/>
      <w:marTop w:val="0"/>
      <w:marBottom w:val="0"/>
      <w:divBdr>
        <w:top w:val="none" w:sz="0" w:space="0" w:color="auto"/>
        <w:left w:val="none" w:sz="0" w:space="0" w:color="auto"/>
        <w:bottom w:val="none" w:sz="0" w:space="0" w:color="auto"/>
        <w:right w:val="none" w:sz="0" w:space="0" w:color="auto"/>
      </w:divBdr>
    </w:div>
    <w:div w:id="292099595">
      <w:bodyDiv w:val="1"/>
      <w:marLeft w:val="0"/>
      <w:marRight w:val="0"/>
      <w:marTop w:val="0"/>
      <w:marBottom w:val="0"/>
      <w:divBdr>
        <w:top w:val="none" w:sz="0" w:space="0" w:color="auto"/>
        <w:left w:val="none" w:sz="0" w:space="0" w:color="auto"/>
        <w:bottom w:val="none" w:sz="0" w:space="0" w:color="auto"/>
        <w:right w:val="none" w:sz="0" w:space="0" w:color="auto"/>
      </w:divBdr>
    </w:div>
    <w:div w:id="296029809">
      <w:bodyDiv w:val="1"/>
      <w:marLeft w:val="0"/>
      <w:marRight w:val="0"/>
      <w:marTop w:val="0"/>
      <w:marBottom w:val="0"/>
      <w:divBdr>
        <w:top w:val="none" w:sz="0" w:space="0" w:color="auto"/>
        <w:left w:val="none" w:sz="0" w:space="0" w:color="auto"/>
        <w:bottom w:val="none" w:sz="0" w:space="0" w:color="auto"/>
        <w:right w:val="none" w:sz="0" w:space="0" w:color="auto"/>
      </w:divBdr>
    </w:div>
    <w:div w:id="303314435">
      <w:bodyDiv w:val="1"/>
      <w:marLeft w:val="0"/>
      <w:marRight w:val="0"/>
      <w:marTop w:val="0"/>
      <w:marBottom w:val="0"/>
      <w:divBdr>
        <w:top w:val="none" w:sz="0" w:space="0" w:color="auto"/>
        <w:left w:val="none" w:sz="0" w:space="0" w:color="auto"/>
        <w:bottom w:val="none" w:sz="0" w:space="0" w:color="auto"/>
        <w:right w:val="none" w:sz="0" w:space="0" w:color="auto"/>
      </w:divBdr>
    </w:div>
    <w:div w:id="310986660">
      <w:bodyDiv w:val="1"/>
      <w:marLeft w:val="0"/>
      <w:marRight w:val="0"/>
      <w:marTop w:val="0"/>
      <w:marBottom w:val="0"/>
      <w:divBdr>
        <w:top w:val="none" w:sz="0" w:space="0" w:color="auto"/>
        <w:left w:val="none" w:sz="0" w:space="0" w:color="auto"/>
        <w:bottom w:val="none" w:sz="0" w:space="0" w:color="auto"/>
        <w:right w:val="none" w:sz="0" w:space="0" w:color="auto"/>
      </w:divBdr>
    </w:div>
    <w:div w:id="310986706">
      <w:bodyDiv w:val="1"/>
      <w:marLeft w:val="0"/>
      <w:marRight w:val="0"/>
      <w:marTop w:val="0"/>
      <w:marBottom w:val="0"/>
      <w:divBdr>
        <w:top w:val="none" w:sz="0" w:space="0" w:color="auto"/>
        <w:left w:val="none" w:sz="0" w:space="0" w:color="auto"/>
        <w:bottom w:val="none" w:sz="0" w:space="0" w:color="auto"/>
        <w:right w:val="none" w:sz="0" w:space="0" w:color="auto"/>
      </w:divBdr>
    </w:div>
    <w:div w:id="316155958">
      <w:bodyDiv w:val="1"/>
      <w:marLeft w:val="0"/>
      <w:marRight w:val="0"/>
      <w:marTop w:val="0"/>
      <w:marBottom w:val="0"/>
      <w:divBdr>
        <w:top w:val="none" w:sz="0" w:space="0" w:color="auto"/>
        <w:left w:val="none" w:sz="0" w:space="0" w:color="auto"/>
        <w:bottom w:val="none" w:sz="0" w:space="0" w:color="auto"/>
        <w:right w:val="none" w:sz="0" w:space="0" w:color="auto"/>
      </w:divBdr>
    </w:div>
    <w:div w:id="318004836">
      <w:bodyDiv w:val="1"/>
      <w:marLeft w:val="0"/>
      <w:marRight w:val="0"/>
      <w:marTop w:val="0"/>
      <w:marBottom w:val="0"/>
      <w:divBdr>
        <w:top w:val="none" w:sz="0" w:space="0" w:color="auto"/>
        <w:left w:val="none" w:sz="0" w:space="0" w:color="auto"/>
        <w:bottom w:val="none" w:sz="0" w:space="0" w:color="auto"/>
        <w:right w:val="none" w:sz="0" w:space="0" w:color="auto"/>
      </w:divBdr>
    </w:div>
    <w:div w:id="322785210">
      <w:bodyDiv w:val="1"/>
      <w:marLeft w:val="0"/>
      <w:marRight w:val="0"/>
      <w:marTop w:val="0"/>
      <w:marBottom w:val="0"/>
      <w:divBdr>
        <w:top w:val="none" w:sz="0" w:space="0" w:color="auto"/>
        <w:left w:val="none" w:sz="0" w:space="0" w:color="auto"/>
        <w:bottom w:val="none" w:sz="0" w:space="0" w:color="auto"/>
        <w:right w:val="none" w:sz="0" w:space="0" w:color="auto"/>
      </w:divBdr>
    </w:div>
    <w:div w:id="347635023">
      <w:bodyDiv w:val="1"/>
      <w:marLeft w:val="0"/>
      <w:marRight w:val="0"/>
      <w:marTop w:val="0"/>
      <w:marBottom w:val="0"/>
      <w:divBdr>
        <w:top w:val="none" w:sz="0" w:space="0" w:color="auto"/>
        <w:left w:val="none" w:sz="0" w:space="0" w:color="auto"/>
        <w:bottom w:val="none" w:sz="0" w:space="0" w:color="auto"/>
        <w:right w:val="none" w:sz="0" w:space="0" w:color="auto"/>
      </w:divBdr>
    </w:div>
    <w:div w:id="352611263">
      <w:bodyDiv w:val="1"/>
      <w:marLeft w:val="0"/>
      <w:marRight w:val="0"/>
      <w:marTop w:val="0"/>
      <w:marBottom w:val="0"/>
      <w:divBdr>
        <w:top w:val="none" w:sz="0" w:space="0" w:color="auto"/>
        <w:left w:val="none" w:sz="0" w:space="0" w:color="auto"/>
        <w:bottom w:val="none" w:sz="0" w:space="0" w:color="auto"/>
        <w:right w:val="none" w:sz="0" w:space="0" w:color="auto"/>
      </w:divBdr>
    </w:div>
    <w:div w:id="355271962">
      <w:bodyDiv w:val="1"/>
      <w:marLeft w:val="0"/>
      <w:marRight w:val="0"/>
      <w:marTop w:val="0"/>
      <w:marBottom w:val="0"/>
      <w:divBdr>
        <w:top w:val="none" w:sz="0" w:space="0" w:color="auto"/>
        <w:left w:val="none" w:sz="0" w:space="0" w:color="auto"/>
        <w:bottom w:val="none" w:sz="0" w:space="0" w:color="auto"/>
        <w:right w:val="none" w:sz="0" w:space="0" w:color="auto"/>
      </w:divBdr>
    </w:div>
    <w:div w:id="358285682">
      <w:bodyDiv w:val="1"/>
      <w:marLeft w:val="0"/>
      <w:marRight w:val="0"/>
      <w:marTop w:val="0"/>
      <w:marBottom w:val="0"/>
      <w:divBdr>
        <w:top w:val="none" w:sz="0" w:space="0" w:color="auto"/>
        <w:left w:val="none" w:sz="0" w:space="0" w:color="auto"/>
        <w:bottom w:val="none" w:sz="0" w:space="0" w:color="auto"/>
        <w:right w:val="none" w:sz="0" w:space="0" w:color="auto"/>
      </w:divBdr>
    </w:div>
    <w:div w:id="365180861">
      <w:bodyDiv w:val="1"/>
      <w:marLeft w:val="0"/>
      <w:marRight w:val="0"/>
      <w:marTop w:val="0"/>
      <w:marBottom w:val="0"/>
      <w:divBdr>
        <w:top w:val="none" w:sz="0" w:space="0" w:color="auto"/>
        <w:left w:val="none" w:sz="0" w:space="0" w:color="auto"/>
        <w:bottom w:val="none" w:sz="0" w:space="0" w:color="auto"/>
        <w:right w:val="none" w:sz="0" w:space="0" w:color="auto"/>
      </w:divBdr>
    </w:div>
    <w:div w:id="366876324">
      <w:bodyDiv w:val="1"/>
      <w:marLeft w:val="0"/>
      <w:marRight w:val="0"/>
      <w:marTop w:val="0"/>
      <w:marBottom w:val="0"/>
      <w:divBdr>
        <w:top w:val="none" w:sz="0" w:space="0" w:color="auto"/>
        <w:left w:val="none" w:sz="0" w:space="0" w:color="auto"/>
        <w:bottom w:val="none" w:sz="0" w:space="0" w:color="auto"/>
        <w:right w:val="none" w:sz="0" w:space="0" w:color="auto"/>
      </w:divBdr>
    </w:div>
    <w:div w:id="382221779">
      <w:bodyDiv w:val="1"/>
      <w:marLeft w:val="0"/>
      <w:marRight w:val="0"/>
      <w:marTop w:val="0"/>
      <w:marBottom w:val="0"/>
      <w:divBdr>
        <w:top w:val="none" w:sz="0" w:space="0" w:color="auto"/>
        <w:left w:val="none" w:sz="0" w:space="0" w:color="auto"/>
        <w:bottom w:val="none" w:sz="0" w:space="0" w:color="auto"/>
        <w:right w:val="none" w:sz="0" w:space="0" w:color="auto"/>
      </w:divBdr>
    </w:div>
    <w:div w:id="384531008">
      <w:bodyDiv w:val="1"/>
      <w:marLeft w:val="0"/>
      <w:marRight w:val="0"/>
      <w:marTop w:val="0"/>
      <w:marBottom w:val="0"/>
      <w:divBdr>
        <w:top w:val="none" w:sz="0" w:space="0" w:color="auto"/>
        <w:left w:val="none" w:sz="0" w:space="0" w:color="auto"/>
        <w:bottom w:val="none" w:sz="0" w:space="0" w:color="auto"/>
        <w:right w:val="none" w:sz="0" w:space="0" w:color="auto"/>
      </w:divBdr>
    </w:div>
    <w:div w:id="387344293">
      <w:bodyDiv w:val="1"/>
      <w:marLeft w:val="0"/>
      <w:marRight w:val="0"/>
      <w:marTop w:val="0"/>
      <w:marBottom w:val="0"/>
      <w:divBdr>
        <w:top w:val="none" w:sz="0" w:space="0" w:color="auto"/>
        <w:left w:val="none" w:sz="0" w:space="0" w:color="auto"/>
        <w:bottom w:val="none" w:sz="0" w:space="0" w:color="auto"/>
        <w:right w:val="none" w:sz="0" w:space="0" w:color="auto"/>
      </w:divBdr>
    </w:div>
    <w:div w:id="394593162">
      <w:bodyDiv w:val="1"/>
      <w:marLeft w:val="0"/>
      <w:marRight w:val="0"/>
      <w:marTop w:val="0"/>
      <w:marBottom w:val="0"/>
      <w:divBdr>
        <w:top w:val="none" w:sz="0" w:space="0" w:color="auto"/>
        <w:left w:val="none" w:sz="0" w:space="0" w:color="auto"/>
        <w:bottom w:val="none" w:sz="0" w:space="0" w:color="auto"/>
        <w:right w:val="none" w:sz="0" w:space="0" w:color="auto"/>
      </w:divBdr>
    </w:div>
    <w:div w:id="399450567">
      <w:bodyDiv w:val="1"/>
      <w:marLeft w:val="0"/>
      <w:marRight w:val="0"/>
      <w:marTop w:val="0"/>
      <w:marBottom w:val="0"/>
      <w:divBdr>
        <w:top w:val="none" w:sz="0" w:space="0" w:color="auto"/>
        <w:left w:val="none" w:sz="0" w:space="0" w:color="auto"/>
        <w:bottom w:val="none" w:sz="0" w:space="0" w:color="auto"/>
        <w:right w:val="none" w:sz="0" w:space="0" w:color="auto"/>
      </w:divBdr>
    </w:div>
    <w:div w:id="406073599">
      <w:bodyDiv w:val="1"/>
      <w:marLeft w:val="0"/>
      <w:marRight w:val="0"/>
      <w:marTop w:val="0"/>
      <w:marBottom w:val="0"/>
      <w:divBdr>
        <w:top w:val="none" w:sz="0" w:space="0" w:color="auto"/>
        <w:left w:val="none" w:sz="0" w:space="0" w:color="auto"/>
        <w:bottom w:val="none" w:sz="0" w:space="0" w:color="auto"/>
        <w:right w:val="none" w:sz="0" w:space="0" w:color="auto"/>
      </w:divBdr>
    </w:div>
    <w:div w:id="412514335">
      <w:bodyDiv w:val="1"/>
      <w:marLeft w:val="0"/>
      <w:marRight w:val="0"/>
      <w:marTop w:val="0"/>
      <w:marBottom w:val="0"/>
      <w:divBdr>
        <w:top w:val="none" w:sz="0" w:space="0" w:color="auto"/>
        <w:left w:val="none" w:sz="0" w:space="0" w:color="auto"/>
        <w:bottom w:val="none" w:sz="0" w:space="0" w:color="auto"/>
        <w:right w:val="none" w:sz="0" w:space="0" w:color="auto"/>
      </w:divBdr>
    </w:div>
    <w:div w:id="414713376">
      <w:bodyDiv w:val="1"/>
      <w:marLeft w:val="0"/>
      <w:marRight w:val="0"/>
      <w:marTop w:val="0"/>
      <w:marBottom w:val="0"/>
      <w:divBdr>
        <w:top w:val="none" w:sz="0" w:space="0" w:color="auto"/>
        <w:left w:val="none" w:sz="0" w:space="0" w:color="auto"/>
        <w:bottom w:val="none" w:sz="0" w:space="0" w:color="auto"/>
        <w:right w:val="none" w:sz="0" w:space="0" w:color="auto"/>
      </w:divBdr>
    </w:div>
    <w:div w:id="442771715">
      <w:bodyDiv w:val="1"/>
      <w:marLeft w:val="0"/>
      <w:marRight w:val="0"/>
      <w:marTop w:val="0"/>
      <w:marBottom w:val="0"/>
      <w:divBdr>
        <w:top w:val="none" w:sz="0" w:space="0" w:color="auto"/>
        <w:left w:val="none" w:sz="0" w:space="0" w:color="auto"/>
        <w:bottom w:val="none" w:sz="0" w:space="0" w:color="auto"/>
        <w:right w:val="none" w:sz="0" w:space="0" w:color="auto"/>
      </w:divBdr>
    </w:div>
    <w:div w:id="446657425">
      <w:bodyDiv w:val="1"/>
      <w:marLeft w:val="0"/>
      <w:marRight w:val="0"/>
      <w:marTop w:val="0"/>
      <w:marBottom w:val="0"/>
      <w:divBdr>
        <w:top w:val="none" w:sz="0" w:space="0" w:color="auto"/>
        <w:left w:val="none" w:sz="0" w:space="0" w:color="auto"/>
        <w:bottom w:val="none" w:sz="0" w:space="0" w:color="auto"/>
        <w:right w:val="none" w:sz="0" w:space="0" w:color="auto"/>
      </w:divBdr>
    </w:div>
    <w:div w:id="456798478">
      <w:bodyDiv w:val="1"/>
      <w:marLeft w:val="0"/>
      <w:marRight w:val="0"/>
      <w:marTop w:val="0"/>
      <w:marBottom w:val="0"/>
      <w:divBdr>
        <w:top w:val="none" w:sz="0" w:space="0" w:color="auto"/>
        <w:left w:val="none" w:sz="0" w:space="0" w:color="auto"/>
        <w:bottom w:val="none" w:sz="0" w:space="0" w:color="auto"/>
        <w:right w:val="none" w:sz="0" w:space="0" w:color="auto"/>
      </w:divBdr>
    </w:div>
    <w:div w:id="457457393">
      <w:bodyDiv w:val="1"/>
      <w:marLeft w:val="0"/>
      <w:marRight w:val="0"/>
      <w:marTop w:val="0"/>
      <w:marBottom w:val="0"/>
      <w:divBdr>
        <w:top w:val="none" w:sz="0" w:space="0" w:color="auto"/>
        <w:left w:val="none" w:sz="0" w:space="0" w:color="auto"/>
        <w:bottom w:val="none" w:sz="0" w:space="0" w:color="auto"/>
        <w:right w:val="none" w:sz="0" w:space="0" w:color="auto"/>
      </w:divBdr>
    </w:div>
    <w:div w:id="457527978">
      <w:bodyDiv w:val="1"/>
      <w:marLeft w:val="0"/>
      <w:marRight w:val="0"/>
      <w:marTop w:val="0"/>
      <w:marBottom w:val="0"/>
      <w:divBdr>
        <w:top w:val="none" w:sz="0" w:space="0" w:color="auto"/>
        <w:left w:val="none" w:sz="0" w:space="0" w:color="auto"/>
        <w:bottom w:val="none" w:sz="0" w:space="0" w:color="auto"/>
        <w:right w:val="none" w:sz="0" w:space="0" w:color="auto"/>
      </w:divBdr>
    </w:div>
    <w:div w:id="464471913">
      <w:bodyDiv w:val="1"/>
      <w:marLeft w:val="0"/>
      <w:marRight w:val="0"/>
      <w:marTop w:val="0"/>
      <w:marBottom w:val="0"/>
      <w:divBdr>
        <w:top w:val="none" w:sz="0" w:space="0" w:color="auto"/>
        <w:left w:val="none" w:sz="0" w:space="0" w:color="auto"/>
        <w:bottom w:val="none" w:sz="0" w:space="0" w:color="auto"/>
        <w:right w:val="none" w:sz="0" w:space="0" w:color="auto"/>
      </w:divBdr>
    </w:div>
    <w:div w:id="465006859">
      <w:bodyDiv w:val="1"/>
      <w:marLeft w:val="0"/>
      <w:marRight w:val="0"/>
      <w:marTop w:val="0"/>
      <w:marBottom w:val="0"/>
      <w:divBdr>
        <w:top w:val="none" w:sz="0" w:space="0" w:color="auto"/>
        <w:left w:val="none" w:sz="0" w:space="0" w:color="auto"/>
        <w:bottom w:val="none" w:sz="0" w:space="0" w:color="auto"/>
        <w:right w:val="none" w:sz="0" w:space="0" w:color="auto"/>
      </w:divBdr>
    </w:div>
    <w:div w:id="469983077">
      <w:bodyDiv w:val="1"/>
      <w:marLeft w:val="0"/>
      <w:marRight w:val="0"/>
      <w:marTop w:val="0"/>
      <w:marBottom w:val="0"/>
      <w:divBdr>
        <w:top w:val="none" w:sz="0" w:space="0" w:color="auto"/>
        <w:left w:val="none" w:sz="0" w:space="0" w:color="auto"/>
        <w:bottom w:val="none" w:sz="0" w:space="0" w:color="auto"/>
        <w:right w:val="none" w:sz="0" w:space="0" w:color="auto"/>
      </w:divBdr>
    </w:div>
    <w:div w:id="488597820">
      <w:bodyDiv w:val="1"/>
      <w:marLeft w:val="0"/>
      <w:marRight w:val="0"/>
      <w:marTop w:val="0"/>
      <w:marBottom w:val="0"/>
      <w:divBdr>
        <w:top w:val="none" w:sz="0" w:space="0" w:color="auto"/>
        <w:left w:val="none" w:sz="0" w:space="0" w:color="auto"/>
        <w:bottom w:val="none" w:sz="0" w:space="0" w:color="auto"/>
        <w:right w:val="none" w:sz="0" w:space="0" w:color="auto"/>
      </w:divBdr>
    </w:div>
    <w:div w:id="489520353">
      <w:bodyDiv w:val="1"/>
      <w:marLeft w:val="0"/>
      <w:marRight w:val="0"/>
      <w:marTop w:val="0"/>
      <w:marBottom w:val="0"/>
      <w:divBdr>
        <w:top w:val="none" w:sz="0" w:space="0" w:color="auto"/>
        <w:left w:val="none" w:sz="0" w:space="0" w:color="auto"/>
        <w:bottom w:val="none" w:sz="0" w:space="0" w:color="auto"/>
        <w:right w:val="none" w:sz="0" w:space="0" w:color="auto"/>
      </w:divBdr>
    </w:div>
    <w:div w:id="489567460">
      <w:bodyDiv w:val="1"/>
      <w:marLeft w:val="0"/>
      <w:marRight w:val="0"/>
      <w:marTop w:val="0"/>
      <w:marBottom w:val="0"/>
      <w:divBdr>
        <w:top w:val="none" w:sz="0" w:space="0" w:color="auto"/>
        <w:left w:val="none" w:sz="0" w:space="0" w:color="auto"/>
        <w:bottom w:val="none" w:sz="0" w:space="0" w:color="auto"/>
        <w:right w:val="none" w:sz="0" w:space="0" w:color="auto"/>
      </w:divBdr>
    </w:div>
    <w:div w:id="492987998">
      <w:bodyDiv w:val="1"/>
      <w:marLeft w:val="0"/>
      <w:marRight w:val="0"/>
      <w:marTop w:val="0"/>
      <w:marBottom w:val="0"/>
      <w:divBdr>
        <w:top w:val="none" w:sz="0" w:space="0" w:color="auto"/>
        <w:left w:val="none" w:sz="0" w:space="0" w:color="auto"/>
        <w:bottom w:val="none" w:sz="0" w:space="0" w:color="auto"/>
        <w:right w:val="none" w:sz="0" w:space="0" w:color="auto"/>
      </w:divBdr>
    </w:div>
    <w:div w:id="498085518">
      <w:bodyDiv w:val="1"/>
      <w:marLeft w:val="0"/>
      <w:marRight w:val="0"/>
      <w:marTop w:val="0"/>
      <w:marBottom w:val="0"/>
      <w:divBdr>
        <w:top w:val="none" w:sz="0" w:space="0" w:color="auto"/>
        <w:left w:val="none" w:sz="0" w:space="0" w:color="auto"/>
        <w:bottom w:val="none" w:sz="0" w:space="0" w:color="auto"/>
        <w:right w:val="none" w:sz="0" w:space="0" w:color="auto"/>
      </w:divBdr>
    </w:div>
    <w:div w:id="501626981">
      <w:bodyDiv w:val="1"/>
      <w:marLeft w:val="0"/>
      <w:marRight w:val="0"/>
      <w:marTop w:val="0"/>
      <w:marBottom w:val="0"/>
      <w:divBdr>
        <w:top w:val="none" w:sz="0" w:space="0" w:color="auto"/>
        <w:left w:val="none" w:sz="0" w:space="0" w:color="auto"/>
        <w:bottom w:val="none" w:sz="0" w:space="0" w:color="auto"/>
        <w:right w:val="none" w:sz="0" w:space="0" w:color="auto"/>
      </w:divBdr>
    </w:div>
    <w:div w:id="505289778">
      <w:bodyDiv w:val="1"/>
      <w:marLeft w:val="0"/>
      <w:marRight w:val="0"/>
      <w:marTop w:val="0"/>
      <w:marBottom w:val="0"/>
      <w:divBdr>
        <w:top w:val="none" w:sz="0" w:space="0" w:color="auto"/>
        <w:left w:val="none" w:sz="0" w:space="0" w:color="auto"/>
        <w:bottom w:val="none" w:sz="0" w:space="0" w:color="auto"/>
        <w:right w:val="none" w:sz="0" w:space="0" w:color="auto"/>
      </w:divBdr>
    </w:div>
    <w:div w:id="520704369">
      <w:bodyDiv w:val="1"/>
      <w:marLeft w:val="0"/>
      <w:marRight w:val="0"/>
      <w:marTop w:val="0"/>
      <w:marBottom w:val="0"/>
      <w:divBdr>
        <w:top w:val="none" w:sz="0" w:space="0" w:color="auto"/>
        <w:left w:val="none" w:sz="0" w:space="0" w:color="auto"/>
        <w:bottom w:val="none" w:sz="0" w:space="0" w:color="auto"/>
        <w:right w:val="none" w:sz="0" w:space="0" w:color="auto"/>
      </w:divBdr>
    </w:div>
    <w:div w:id="520975891">
      <w:bodyDiv w:val="1"/>
      <w:marLeft w:val="0"/>
      <w:marRight w:val="0"/>
      <w:marTop w:val="0"/>
      <w:marBottom w:val="0"/>
      <w:divBdr>
        <w:top w:val="none" w:sz="0" w:space="0" w:color="auto"/>
        <w:left w:val="none" w:sz="0" w:space="0" w:color="auto"/>
        <w:bottom w:val="none" w:sz="0" w:space="0" w:color="auto"/>
        <w:right w:val="none" w:sz="0" w:space="0" w:color="auto"/>
      </w:divBdr>
    </w:div>
    <w:div w:id="522716905">
      <w:bodyDiv w:val="1"/>
      <w:marLeft w:val="0"/>
      <w:marRight w:val="0"/>
      <w:marTop w:val="0"/>
      <w:marBottom w:val="0"/>
      <w:divBdr>
        <w:top w:val="none" w:sz="0" w:space="0" w:color="auto"/>
        <w:left w:val="none" w:sz="0" w:space="0" w:color="auto"/>
        <w:bottom w:val="none" w:sz="0" w:space="0" w:color="auto"/>
        <w:right w:val="none" w:sz="0" w:space="0" w:color="auto"/>
      </w:divBdr>
    </w:div>
    <w:div w:id="523910313">
      <w:bodyDiv w:val="1"/>
      <w:marLeft w:val="0"/>
      <w:marRight w:val="0"/>
      <w:marTop w:val="0"/>
      <w:marBottom w:val="0"/>
      <w:divBdr>
        <w:top w:val="none" w:sz="0" w:space="0" w:color="auto"/>
        <w:left w:val="none" w:sz="0" w:space="0" w:color="auto"/>
        <w:bottom w:val="none" w:sz="0" w:space="0" w:color="auto"/>
        <w:right w:val="none" w:sz="0" w:space="0" w:color="auto"/>
      </w:divBdr>
    </w:div>
    <w:div w:id="526721658">
      <w:bodyDiv w:val="1"/>
      <w:marLeft w:val="0"/>
      <w:marRight w:val="0"/>
      <w:marTop w:val="0"/>
      <w:marBottom w:val="0"/>
      <w:divBdr>
        <w:top w:val="none" w:sz="0" w:space="0" w:color="auto"/>
        <w:left w:val="none" w:sz="0" w:space="0" w:color="auto"/>
        <w:bottom w:val="none" w:sz="0" w:space="0" w:color="auto"/>
        <w:right w:val="none" w:sz="0" w:space="0" w:color="auto"/>
      </w:divBdr>
    </w:div>
    <w:div w:id="529881739">
      <w:bodyDiv w:val="1"/>
      <w:marLeft w:val="0"/>
      <w:marRight w:val="0"/>
      <w:marTop w:val="0"/>
      <w:marBottom w:val="0"/>
      <w:divBdr>
        <w:top w:val="none" w:sz="0" w:space="0" w:color="auto"/>
        <w:left w:val="none" w:sz="0" w:space="0" w:color="auto"/>
        <w:bottom w:val="none" w:sz="0" w:space="0" w:color="auto"/>
        <w:right w:val="none" w:sz="0" w:space="0" w:color="auto"/>
      </w:divBdr>
    </w:div>
    <w:div w:id="540552313">
      <w:bodyDiv w:val="1"/>
      <w:marLeft w:val="0"/>
      <w:marRight w:val="0"/>
      <w:marTop w:val="0"/>
      <w:marBottom w:val="0"/>
      <w:divBdr>
        <w:top w:val="none" w:sz="0" w:space="0" w:color="auto"/>
        <w:left w:val="none" w:sz="0" w:space="0" w:color="auto"/>
        <w:bottom w:val="none" w:sz="0" w:space="0" w:color="auto"/>
        <w:right w:val="none" w:sz="0" w:space="0" w:color="auto"/>
      </w:divBdr>
    </w:div>
    <w:div w:id="542450841">
      <w:bodyDiv w:val="1"/>
      <w:marLeft w:val="0"/>
      <w:marRight w:val="0"/>
      <w:marTop w:val="0"/>
      <w:marBottom w:val="0"/>
      <w:divBdr>
        <w:top w:val="none" w:sz="0" w:space="0" w:color="auto"/>
        <w:left w:val="none" w:sz="0" w:space="0" w:color="auto"/>
        <w:bottom w:val="none" w:sz="0" w:space="0" w:color="auto"/>
        <w:right w:val="none" w:sz="0" w:space="0" w:color="auto"/>
      </w:divBdr>
    </w:div>
    <w:div w:id="547255162">
      <w:bodyDiv w:val="1"/>
      <w:marLeft w:val="0"/>
      <w:marRight w:val="0"/>
      <w:marTop w:val="0"/>
      <w:marBottom w:val="0"/>
      <w:divBdr>
        <w:top w:val="none" w:sz="0" w:space="0" w:color="auto"/>
        <w:left w:val="none" w:sz="0" w:space="0" w:color="auto"/>
        <w:bottom w:val="none" w:sz="0" w:space="0" w:color="auto"/>
        <w:right w:val="none" w:sz="0" w:space="0" w:color="auto"/>
      </w:divBdr>
    </w:div>
    <w:div w:id="557206571">
      <w:bodyDiv w:val="1"/>
      <w:marLeft w:val="0"/>
      <w:marRight w:val="0"/>
      <w:marTop w:val="0"/>
      <w:marBottom w:val="0"/>
      <w:divBdr>
        <w:top w:val="none" w:sz="0" w:space="0" w:color="auto"/>
        <w:left w:val="none" w:sz="0" w:space="0" w:color="auto"/>
        <w:bottom w:val="none" w:sz="0" w:space="0" w:color="auto"/>
        <w:right w:val="none" w:sz="0" w:space="0" w:color="auto"/>
      </w:divBdr>
    </w:div>
    <w:div w:id="571426506">
      <w:bodyDiv w:val="1"/>
      <w:marLeft w:val="0"/>
      <w:marRight w:val="0"/>
      <w:marTop w:val="0"/>
      <w:marBottom w:val="0"/>
      <w:divBdr>
        <w:top w:val="none" w:sz="0" w:space="0" w:color="auto"/>
        <w:left w:val="none" w:sz="0" w:space="0" w:color="auto"/>
        <w:bottom w:val="none" w:sz="0" w:space="0" w:color="auto"/>
        <w:right w:val="none" w:sz="0" w:space="0" w:color="auto"/>
      </w:divBdr>
    </w:div>
    <w:div w:id="572741495">
      <w:bodyDiv w:val="1"/>
      <w:marLeft w:val="0"/>
      <w:marRight w:val="0"/>
      <w:marTop w:val="0"/>
      <w:marBottom w:val="0"/>
      <w:divBdr>
        <w:top w:val="none" w:sz="0" w:space="0" w:color="auto"/>
        <w:left w:val="none" w:sz="0" w:space="0" w:color="auto"/>
        <w:bottom w:val="none" w:sz="0" w:space="0" w:color="auto"/>
        <w:right w:val="none" w:sz="0" w:space="0" w:color="auto"/>
      </w:divBdr>
    </w:div>
    <w:div w:id="591593515">
      <w:bodyDiv w:val="1"/>
      <w:marLeft w:val="0"/>
      <w:marRight w:val="0"/>
      <w:marTop w:val="0"/>
      <w:marBottom w:val="0"/>
      <w:divBdr>
        <w:top w:val="none" w:sz="0" w:space="0" w:color="auto"/>
        <w:left w:val="none" w:sz="0" w:space="0" w:color="auto"/>
        <w:bottom w:val="none" w:sz="0" w:space="0" w:color="auto"/>
        <w:right w:val="none" w:sz="0" w:space="0" w:color="auto"/>
      </w:divBdr>
    </w:div>
    <w:div w:id="597757445">
      <w:bodyDiv w:val="1"/>
      <w:marLeft w:val="0"/>
      <w:marRight w:val="0"/>
      <w:marTop w:val="0"/>
      <w:marBottom w:val="0"/>
      <w:divBdr>
        <w:top w:val="none" w:sz="0" w:space="0" w:color="auto"/>
        <w:left w:val="none" w:sz="0" w:space="0" w:color="auto"/>
        <w:bottom w:val="none" w:sz="0" w:space="0" w:color="auto"/>
        <w:right w:val="none" w:sz="0" w:space="0" w:color="auto"/>
      </w:divBdr>
    </w:div>
    <w:div w:id="603853432">
      <w:bodyDiv w:val="1"/>
      <w:marLeft w:val="0"/>
      <w:marRight w:val="0"/>
      <w:marTop w:val="0"/>
      <w:marBottom w:val="0"/>
      <w:divBdr>
        <w:top w:val="none" w:sz="0" w:space="0" w:color="auto"/>
        <w:left w:val="none" w:sz="0" w:space="0" w:color="auto"/>
        <w:bottom w:val="none" w:sz="0" w:space="0" w:color="auto"/>
        <w:right w:val="none" w:sz="0" w:space="0" w:color="auto"/>
      </w:divBdr>
    </w:div>
    <w:div w:id="604730571">
      <w:bodyDiv w:val="1"/>
      <w:marLeft w:val="0"/>
      <w:marRight w:val="0"/>
      <w:marTop w:val="0"/>
      <w:marBottom w:val="0"/>
      <w:divBdr>
        <w:top w:val="none" w:sz="0" w:space="0" w:color="auto"/>
        <w:left w:val="none" w:sz="0" w:space="0" w:color="auto"/>
        <w:bottom w:val="none" w:sz="0" w:space="0" w:color="auto"/>
        <w:right w:val="none" w:sz="0" w:space="0" w:color="auto"/>
      </w:divBdr>
    </w:div>
    <w:div w:id="605965928">
      <w:bodyDiv w:val="1"/>
      <w:marLeft w:val="0"/>
      <w:marRight w:val="0"/>
      <w:marTop w:val="0"/>
      <w:marBottom w:val="0"/>
      <w:divBdr>
        <w:top w:val="none" w:sz="0" w:space="0" w:color="auto"/>
        <w:left w:val="none" w:sz="0" w:space="0" w:color="auto"/>
        <w:bottom w:val="none" w:sz="0" w:space="0" w:color="auto"/>
        <w:right w:val="none" w:sz="0" w:space="0" w:color="auto"/>
      </w:divBdr>
    </w:div>
    <w:div w:id="606742620">
      <w:bodyDiv w:val="1"/>
      <w:marLeft w:val="0"/>
      <w:marRight w:val="0"/>
      <w:marTop w:val="0"/>
      <w:marBottom w:val="0"/>
      <w:divBdr>
        <w:top w:val="none" w:sz="0" w:space="0" w:color="auto"/>
        <w:left w:val="none" w:sz="0" w:space="0" w:color="auto"/>
        <w:bottom w:val="none" w:sz="0" w:space="0" w:color="auto"/>
        <w:right w:val="none" w:sz="0" w:space="0" w:color="auto"/>
      </w:divBdr>
    </w:div>
    <w:div w:id="607127040">
      <w:bodyDiv w:val="1"/>
      <w:marLeft w:val="0"/>
      <w:marRight w:val="0"/>
      <w:marTop w:val="0"/>
      <w:marBottom w:val="0"/>
      <w:divBdr>
        <w:top w:val="none" w:sz="0" w:space="0" w:color="auto"/>
        <w:left w:val="none" w:sz="0" w:space="0" w:color="auto"/>
        <w:bottom w:val="none" w:sz="0" w:space="0" w:color="auto"/>
        <w:right w:val="none" w:sz="0" w:space="0" w:color="auto"/>
      </w:divBdr>
    </w:div>
    <w:div w:id="610236599">
      <w:bodyDiv w:val="1"/>
      <w:marLeft w:val="0"/>
      <w:marRight w:val="0"/>
      <w:marTop w:val="0"/>
      <w:marBottom w:val="0"/>
      <w:divBdr>
        <w:top w:val="none" w:sz="0" w:space="0" w:color="auto"/>
        <w:left w:val="none" w:sz="0" w:space="0" w:color="auto"/>
        <w:bottom w:val="none" w:sz="0" w:space="0" w:color="auto"/>
        <w:right w:val="none" w:sz="0" w:space="0" w:color="auto"/>
      </w:divBdr>
    </w:div>
    <w:div w:id="615213969">
      <w:bodyDiv w:val="1"/>
      <w:marLeft w:val="0"/>
      <w:marRight w:val="0"/>
      <w:marTop w:val="0"/>
      <w:marBottom w:val="0"/>
      <w:divBdr>
        <w:top w:val="none" w:sz="0" w:space="0" w:color="auto"/>
        <w:left w:val="none" w:sz="0" w:space="0" w:color="auto"/>
        <w:bottom w:val="none" w:sz="0" w:space="0" w:color="auto"/>
        <w:right w:val="none" w:sz="0" w:space="0" w:color="auto"/>
      </w:divBdr>
    </w:div>
    <w:div w:id="619186573">
      <w:bodyDiv w:val="1"/>
      <w:marLeft w:val="0"/>
      <w:marRight w:val="0"/>
      <w:marTop w:val="0"/>
      <w:marBottom w:val="0"/>
      <w:divBdr>
        <w:top w:val="none" w:sz="0" w:space="0" w:color="auto"/>
        <w:left w:val="none" w:sz="0" w:space="0" w:color="auto"/>
        <w:bottom w:val="none" w:sz="0" w:space="0" w:color="auto"/>
        <w:right w:val="none" w:sz="0" w:space="0" w:color="auto"/>
      </w:divBdr>
    </w:div>
    <w:div w:id="620189721">
      <w:bodyDiv w:val="1"/>
      <w:marLeft w:val="0"/>
      <w:marRight w:val="0"/>
      <w:marTop w:val="0"/>
      <w:marBottom w:val="0"/>
      <w:divBdr>
        <w:top w:val="none" w:sz="0" w:space="0" w:color="auto"/>
        <w:left w:val="none" w:sz="0" w:space="0" w:color="auto"/>
        <w:bottom w:val="none" w:sz="0" w:space="0" w:color="auto"/>
        <w:right w:val="none" w:sz="0" w:space="0" w:color="auto"/>
      </w:divBdr>
    </w:div>
    <w:div w:id="622418076">
      <w:bodyDiv w:val="1"/>
      <w:marLeft w:val="0"/>
      <w:marRight w:val="0"/>
      <w:marTop w:val="0"/>
      <w:marBottom w:val="0"/>
      <w:divBdr>
        <w:top w:val="none" w:sz="0" w:space="0" w:color="auto"/>
        <w:left w:val="none" w:sz="0" w:space="0" w:color="auto"/>
        <w:bottom w:val="none" w:sz="0" w:space="0" w:color="auto"/>
        <w:right w:val="none" w:sz="0" w:space="0" w:color="auto"/>
      </w:divBdr>
    </w:div>
    <w:div w:id="622882781">
      <w:bodyDiv w:val="1"/>
      <w:marLeft w:val="0"/>
      <w:marRight w:val="0"/>
      <w:marTop w:val="0"/>
      <w:marBottom w:val="0"/>
      <w:divBdr>
        <w:top w:val="none" w:sz="0" w:space="0" w:color="auto"/>
        <w:left w:val="none" w:sz="0" w:space="0" w:color="auto"/>
        <w:bottom w:val="none" w:sz="0" w:space="0" w:color="auto"/>
        <w:right w:val="none" w:sz="0" w:space="0" w:color="auto"/>
      </w:divBdr>
    </w:div>
    <w:div w:id="629096150">
      <w:bodyDiv w:val="1"/>
      <w:marLeft w:val="0"/>
      <w:marRight w:val="0"/>
      <w:marTop w:val="0"/>
      <w:marBottom w:val="0"/>
      <w:divBdr>
        <w:top w:val="none" w:sz="0" w:space="0" w:color="auto"/>
        <w:left w:val="none" w:sz="0" w:space="0" w:color="auto"/>
        <w:bottom w:val="none" w:sz="0" w:space="0" w:color="auto"/>
        <w:right w:val="none" w:sz="0" w:space="0" w:color="auto"/>
      </w:divBdr>
    </w:div>
    <w:div w:id="647515868">
      <w:bodyDiv w:val="1"/>
      <w:marLeft w:val="0"/>
      <w:marRight w:val="0"/>
      <w:marTop w:val="0"/>
      <w:marBottom w:val="0"/>
      <w:divBdr>
        <w:top w:val="none" w:sz="0" w:space="0" w:color="auto"/>
        <w:left w:val="none" w:sz="0" w:space="0" w:color="auto"/>
        <w:bottom w:val="none" w:sz="0" w:space="0" w:color="auto"/>
        <w:right w:val="none" w:sz="0" w:space="0" w:color="auto"/>
      </w:divBdr>
    </w:div>
    <w:div w:id="651644494">
      <w:bodyDiv w:val="1"/>
      <w:marLeft w:val="0"/>
      <w:marRight w:val="0"/>
      <w:marTop w:val="0"/>
      <w:marBottom w:val="0"/>
      <w:divBdr>
        <w:top w:val="none" w:sz="0" w:space="0" w:color="auto"/>
        <w:left w:val="none" w:sz="0" w:space="0" w:color="auto"/>
        <w:bottom w:val="none" w:sz="0" w:space="0" w:color="auto"/>
        <w:right w:val="none" w:sz="0" w:space="0" w:color="auto"/>
      </w:divBdr>
    </w:div>
    <w:div w:id="653140292">
      <w:bodyDiv w:val="1"/>
      <w:marLeft w:val="0"/>
      <w:marRight w:val="0"/>
      <w:marTop w:val="0"/>
      <w:marBottom w:val="0"/>
      <w:divBdr>
        <w:top w:val="none" w:sz="0" w:space="0" w:color="auto"/>
        <w:left w:val="none" w:sz="0" w:space="0" w:color="auto"/>
        <w:bottom w:val="none" w:sz="0" w:space="0" w:color="auto"/>
        <w:right w:val="none" w:sz="0" w:space="0" w:color="auto"/>
      </w:divBdr>
    </w:div>
    <w:div w:id="659768448">
      <w:bodyDiv w:val="1"/>
      <w:marLeft w:val="0"/>
      <w:marRight w:val="0"/>
      <w:marTop w:val="0"/>
      <w:marBottom w:val="0"/>
      <w:divBdr>
        <w:top w:val="none" w:sz="0" w:space="0" w:color="auto"/>
        <w:left w:val="none" w:sz="0" w:space="0" w:color="auto"/>
        <w:bottom w:val="none" w:sz="0" w:space="0" w:color="auto"/>
        <w:right w:val="none" w:sz="0" w:space="0" w:color="auto"/>
      </w:divBdr>
    </w:div>
    <w:div w:id="661736861">
      <w:bodyDiv w:val="1"/>
      <w:marLeft w:val="0"/>
      <w:marRight w:val="0"/>
      <w:marTop w:val="0"/>
      <w:marBottom w:val="0"/>
      <w:divBdr>
        <w:top w:val="none" w:sz="0" w:space="0" w:color="auto"/>
        <w:left w:val="none" w:sz="0" w:space="0" w:color="auto"/>
        <w:bottom w:val="none" w:sz="0" w:space="0" w:color="auto"/>
        <w:right w:val="none" w:sz="0" w:space="0" w:color="auto"/>
      </w:divBdr>
    </w:div>
    <w:div w:id="661931221">
      <w:bodyDiv w:val="1"/>
      <w:marLeft w:val="0"/>
      <w:marRight w:val="0"/>
      <w:marTop w:val="0"/>
      <w:marBottom w:val="0"/>
      <w:divBdr>
        <w:top w:val="none" w:sz="0" w:space="0" w:color="auto"/>
        <w:left w:val="none" w:sz="0" w:space="0" w:color="auto"/>
        <w:bottom w:val="none" w:sz="0" w:space="0" w:color="auto"/>
        <w:right w:val="none" w:sz="0" w:space="0" w:color="auto"/>
      </w:divBdr>
    </w:div>
    <w:div w:id="664168874">
      <w:bodyDiv w:val="1"/>
      <w:marLeft w:val="0"/>
      <w:marRight w:val="0"/>
      <w:marTop w:val="0"/>
      <w:marBottom w:val="0"/>
      <w:divBdr>
        <w:top w:val="none" w:sz="0" w:space="0" w:color="auto"/>
        <w:left w:val="none" w:sz="0" w:space="0" w:color="auto"/>
        <w:bottom w:val="none" w:sz="0" w:space="0" w:color="auto"/>
        <w:right w:val="none" w:sz="0" w:space="0" w:color="auto"/>
      </w:divBdr>
    </w:div>
    <w:div w:id="668216417">
      <w:bodyDiv w:val="1"/>
      <w:marLeft w:val="0"/>
      <w:marRight w:val="0"/>
      <w:marTop w:val="0"/>
      <w:marBottom w:val="0"/>
      <w:divBdr>
        <w:top w:val="none" w:sz="0" w:space="0" w:color="auto"/>
        <w:left w:val="none" w:sz="0" w:space="0" w:color="auto"/>
        <w:bottom w:val="none" w:sz="0" w:space="0" w:color="auto"/>
        <w:right w:val="none" w:sz="0" w:space="0" w:color="auto"/>
      </w:divBdr>
    </w:div>
    <w:div w:id="668942203">
      <w:bodyDiv w:val="1"/>
      <w:marLeft w:val="0"/>
      <w:marRight w:val="0"/>
      <w:marTop w:val="0"/>
      <w:marBottom w:val="0"/>
      <w:divBdr>
        <w:top w:val="none" w:sz="0" w:space="0" w:color="auto"/>
        <w:left w:val="none" w:sz="0" w:space="0" w:color="auto"/>
        <w:bottom w:val="none" w:sz="0" w:space="0" w:color="auto"/>
        <w:right w:val="none" w:sz="0" w:space="0" w:color="auto"/>
      </w:divBdr>
    </w:div>
    <w:div w:id="677656065">
      <w:bodyDiv w:val="1"/>
      <w:marLeft w:val="0"/>
      <w:marRight w:val="0"/>
      <w:marTop w:val="0"/>
      <w:marBottom w:val="0"/>
      <w:divBdr>
        <w:top w:val="none" w:sz="0" w:space="0" w:color="auto"/>
        <w:left w:val="none" w:sz="0" w:space="0" w:color="auto"/>
        <w:bottom w:val="none" w:sz="0" w:space="0" w:color="auto"/>
        <w:right w:val="none" w:sz="0" w:space="0" w:color="auto"/>
      </w:divBdr>
    </w:div>
    <w:div w:id="678192206">
      <w:bodyDiv w:val="1"/>
      <w:marLeft w:val="0"/>
      <w:marRight w:val="0"/>
      <w:marTop w:val="0"/>
      <w:marBottom w:val="0"/>
      <w:divBdr>
        <w:top w:val="none" w:sz="0" w:space="0" w:color="auto"/>
        <w:left w:val="none" w:sz="0" w:space="0" w:color="auto"/>
        <w:bottom w:val="none" w:sz="0" w:space="0" w:color="auto"/>
        <w:right w:val="none" w:sz="0" w:space="0" w:color="auto"/>
      </w:divBdr>
    </w:div>
    <w:div w:id="688533955">
      <w:bodyDiv w:val="1"/>
      <w:marLeft w:val="0"/>
      <w:marRight w:val="0"/>
      <w:marTop w:val="0"/>
      <w:marBottom w:val="0"/>
      <w:divBdr>
        <w:top w:val="none" w:sz="0" w:space="0" w:color="auto"/>
        <w:left w:val="none" w:sz="0" w:space="0" w:color="auto"/>
        <w:bottom w:val="none" w:sz="0" w:space="0" w:color="auto"/>
        <w:right w:val="none" w:sz="0" w:space="0" w:color="auto"/>
      </w:divBdr>
    </w:div>
    <w:div w:id="721757239">
      <w:bodyDiv w:val="1"/>
      <w:marLeft w:val="0"/>
      <w:marRight w:val="0"/>
      <w:marTop w:val="0"/>
      <w:marBottom w:val="0"/>
      <w:divBdr>
        <w:top w:val="none" w:sz="0" w:space="0" w:color="auto"/>
        <w:left w:val="none" w:sz="0" w:space="0" w:color="auto"/>
        <w:bottom w:val="none" w:sz="0" w:space="0" w:color="auto"/>
        <w:right w:val="none" w:sz="0" w:space="0" w:color="auto"/>
      </w:divBdr>
    </w:div>
    <w:div w:id="722482491">
      <w:bodyDiv w:val="1"/>
      <w:marLeft w:val="0"/>
      <w:marRight w:val="0"/>
      <w:marTop w:val="0"/>
      <w:marBottom w:val="0"/>
      <w:divBdr>
        <w:top w:val="none" w:sz="0" w:space="0" w:color="auto"/>
        <w:left w:val="none" w:sz="0" w:space="0" w:color="auto"/>
        <w:bottom w:val="none" w:sz="0" w:space="0" w:color="auto"/>
        <w:right w:val="none" w:sz="0" w:space="0" w:color="auto"/>
      </w:divBdr>
    </w:div>
    <w:div w:id="726759296">
      <w:bodyDiv w:val="1"/>
      <w:marLeft w:val="0"/>
      <w:marRight w:val="0"/>
      <w:marTop w:val="0"/>
      <w:marBottom w:val="0"/>
      <w:divBdr>
        <w:top w:val="none" w:sz="0" w:space="0" w:color="auto"/>
        <w:left w:val="none" w:sz="0" w:space="0" w:color="auto"/>
        <w:bottom w:val="none" w:sz="0" w:space="0" w:color="auto"/>
        <w:right w:val="none" w:sz="0" w:space="0" w:color="auto"/>
      </w:divBdr>
    </w:div>
    <w:div w:id="731662355">
      <w:bodyDiv w:val="1"/>
      <w:marLeft w:val="0"/>
      <w:marRight w:val="0"/>
      <w:marTop w:val="0"/>
      <w:marBottom w:val="0"/>
      <w:divBdr>
        <w:top w:val="none" w:sz="0" w:space="0" w:color="auto"/>
        <w:left w:val="none" w:sz="0" w:space="0" w:color="auto"/>
        <w:bottom w:val="none" w:sz="0" w:space="0" w:color="auto"/>
        <w:right w:val="none" w:sz="0" w:space="0" w:color="auto"/>
      </w:divBdr>
    </w:div>
    <w:div w:id="731733174">
      <w:bodyDiv w:val="1"/>
      <w:marLeft w:val="0"/>
      <w:marRight w:val="0"/>
      <w:marTop w:val="0"/>
      <w:marBottom w:val="0"/>
      <w:divBdr>
        <w:top w:val="none" w:sz="0" w:space="0" w:color="auto"/>
        <w:left w:val="none" w:sz="0" w:space="0" w:color="auto"/>
        <w:bottom w:val="none" w:sz="0" w:space="0" w:color="auto"/>
        <w:right w:val="none" w:sz="0" w:space="0" w:color="auto"/>
      </w:divBdr>
    </w:div>
    <w:div w:id="736635359">
      <w:bodyDiv w:val="1"/>
      <w:marLeft w:val="0"/>
      <w:marRight w:val="0"/>
      <w:marTop w:val="0"/>
      <w:marBottom w:val="0"/>
      <w:divBdr>
        <w:top w:val="none" w:sz="0" w:space="0" w:color="auto"/>
        <w:left w:val="none" w:sz="0" w:space="0" w:color="auto"/>
        <w:bottom w:val="none" w:sz="0" w:space="0" w:color="auto"/>
        <w:right w:val="none" w:sz="0" w:space="0" w:color="auto"/>
      </w:divBdr>
    </w:div>
    <w:div w:id="738789278">
      <w:bodyDiv w:val="1"/>
      <w:marLeft w:val="0"/>
      <w:marRight w:val="0"/>
      <w:marTop w:val="0"/>
      <w:marBottom w:val="0"/>
      <w:divBdr>
        <w:top w:val="none" w:sz="0" w:space="0" w:color="auto"/>
        <w:left w:val="none" w:sz="0" w:space="0" w:color="auto"/>
        <w:bottom w:val="none" w:sz="0" w:space="0" w:color="auto"/>
        <w:right w:val="none" w:sz="0" w:space="0" w:color="auto"/>
      </w:divBdr>
    </w:div>
    <w:div w:id="750857324">
      <w:bodyDiv w:val="1"/>
      <w:marLeft w:val="0"/>
      <w:marRight w:val="0"/>
      <w:marTop w:val="0"/>
      <w:marBottom w:val="0"/>
      <w:divBdr>
        <w:top w:val="none" w:sz="0" w:space="0" w:color="auto"/>
        <w:left w:val="none" w:sz="0" w:space="0" w:color="auto"/>
        <w:bottom w:val="none" w:sz="0" w:space="0" w:color="auto"/>
        <w:right w:val="none" w:sz="0" w:space="0" w:color="auto"/>
      </w:divBdr>
    </w:div>
    <w:div w:id="756245184">
      <w:bodyDiv w:val="1"/>
      <w:marLeft w:val="0"/>
      <w:marRight w:val="0"/>
      <w:marTop w:val="0"/>
      <w:marBottom w:val="0"/>
      <w:divBdr>
        <w:top w:val="none" w:sz="0" w:space="0" w:color="auto"/>
        <w:left w:val="none" w:sz="0" w:space="0" w:color="auto"/>
        <w:bottom w:val="none" w:sz="0" w:space="0" w:color="auto"/>
        <w:right w:val="none" w:sz="0" w:space="0" w:color="auto"/>
      </w:divBdr>
    </w:div>
    <w:div w:id="757561593">
      <w:bodyDiv w:val="1"/>
      <w:marLeft w:val="0"/>
      <w:marRight w:val="0"/>
      <w:marTop w:val="0"/>
      <w:marBottom w:val="0"/>
      <w:divBdr>
        <w:top w:val="none" w:sz="0" w:space="0" w:color="auto"/>
        <w:left w:val="none" w:sz="0" w:space="0" w:color="auto"/>
        <w:bottom w:val="none" w:sz="0" w:space="0" w:color="auto"/>
        <w:right w:val="none" w:sz="0" w:space="0" w:color="auto"/>
      </w:divBdr>
    </w:div>
    <w:div w:id="758134402">
      <w:bodyDiv w:val="1"/>
      <w:marLeft w:val="0"/>
      <w:marRight w:val="0"/>
      <w:marTop w:val="0"/>
      <w:marBottom w:val="0"/>
      <w:divBdr>
        <w:top w:val="none" w:sz="0" w:space="0" w:color="auto"/>
        <w:left w:val="none" w:sz="0" w:space="0" w:color="auto"/>
        <w:bottom w:val="none" w:sz="0" w:space="0" w:color="auto"/>
        <w:right w:val="none" w:sz="0" w:space="0" w:color="auto"/>
      </w:divBdr>
    </w:div>
    <w:div w:id="759524395">
      <w:bodyDiv w:val="1"/>
      <w:marLeft w:val="0"/>
      <w:marRight w:val="0"/>
      <w:marTop w:val="0"/>
      <w:marBottom w:val="0"/>
      <w:divBdr>
        <w:top w:val="none" w:sz="0" w:space="0" w:color="auto"/>
        <w:left w:val="none" w:sz="0" w:space="0" w:color="auto"/>
        <w:bottom w:val="none" w:sz="0" w:space="0" w:color="auto"/>
        <w:right w:val="none" w:sz="0" w:space="0" w:color="auto"/>
      </w:divBdr>
    </w:div>
    <w:div w:id="760637203">
      <w:bodyDiv w:val="1"/>
      <w:marLeft w:val="0"/>
      <w:marRight w:val="0"/>
      <w:marTop w:val="0"/>
      <w:marBottom w:val="0"/>
      <w:divBdr>
        <w:top w:val="none" w:sz="0" w:space="0" w:color="auto"/>
        <w:left w:val="none" w:sz="0" w:space="0" w:color="auto"/>
        <w:bottom w:val="none" w:sz="0" w:space="0" w:color="auto"/>
        <w:right w:val="none" w:sz="0" w:space="0" w:color="auto"/>
      </w:divBdr>
    </w:div>
    <w:div w:id="762605027">
      <w:bodyDiv w:val="1"/>
      <w:marLeft w:val="0"/>
      <w:marRight w:val="0"/>
      <w:marTop w:val="0"/>
      <w:marBottom w:val="0"/>
      <w:divBdr>
        <w:top w:val="none" w:sz="0" w:space="0" w:color="auto"/>
        <w:left w:val="none" w:sz="0" w:space="0" w:color="auto"/>
        <w:bottom w:val="none" w:sz="0" w:space="0" w:color="auto"/>
        <w:right w:val="none" w:sz="0" w:space="0" w:color="auto"/>
      </w:divBdr>
    </w:div>
    <w:div w:id="773331786">
      <w:bodyDiv w:val="1"/>
      <w:marLeft w:val="0"/>
      <w:marRight w:val="0"/>
      <w:marTop w:val="0"/>
      <w:marBottom w:val="0"/>
      <w:divBdr>
        <w:top w:val="none" w:sz="0" w:space="0" w:color="auto"/>
        <w:left w:val="none" w:sz="0" w:space="0" w:color="auto"/>
        <w:bottom w:val="none" w:sz="0" w:space="0" w:color="auto"/>
        <w:right w:val="none" w:sz="0" w:space="0" w:color="auto"/>
      </w:divBdr>
    </w:div>
    <w:div w:id="775908543">
      <w:bodyDiv w:val="1"/>
      <w:marLeft w:val="0"/>
      <w:marRight w:val="0"/>
      <w:marTop w:val="0"/>
      <w:marBottom w:val="0"/>
      <w:divBdr>
        <w:top w:val="none" w:sz="0" w:space="0" w:color="auto"/>
        <w:left w:val="none" w:sz="0" w:space="0" w:color="auto"/>
        <w:bottom w:val="none" w:sz="0" w:space="0" w:color="auto"/>
        <w:right w:val="none" w:sz="0" w:space="0" w:color="auto"/>
      </w:divBdr>
    </w:div>
    <w:div w:id="781918827">
      <w:bodyDiv w:val="1"/>
      <w:marLeft w:val="0"/>
      <w:marRight w:val="0"/>
      <w:marTop w:val="0"/>
      <w:marBottom w:val="0"/>
      <w:divBdr>
        <w:top w:val="none" w:sz="0" w:space="0" w:color="auto"/>
        <w:left w:val="none" w:sz="0" w:space="0" w:color="auto"/>
        <w:bottom w:val="none" w:sz="0" w:space="0" w:color="auto"/>
        <w:right w:val="none" w:sz="0" w:space="0" w:color="auto"/>
      </w:divBdr>
    </w:div>
    <w:div w:id="785007371">
      <w:bodyDiv w:val="1"/>
      <w:marLeft w:val="0"/>
      <w:marRight w:val="0"/>
      <w:marTop w:val="0"/>
      <w:marBottom w:val="0"/>
      <w:divBdr>
        <w:top w:val="none" w:sz="0" w:space="0" w:color="auto"/>
        <w:left w:val="none" w:sz="0" w:space="0" w:color="auto"/>
        <w:bottom w:val="none" w:sz="0" w:space="0" w:color="auto"/>
        <w:right w:val="none" w:sz="0" w:space="0" w:color="auto"/>
      </w:divBdr>
    </w:div>
    <w:div w:id="786312314">
      <w:bodyDiv w:val="1"/>
      <w:marLeft w:val="0"/>
      <w:marRight w:val="0"/>
      <w:marTop w:val="0"/>
      <w:marBottom w:val="0"/>
      <w:divBdr>
        <w:top w:val="none" w:sz="0" w:space="0" w:color="auto"/>
        <w:left w:val="none" w:sz="0" w:space="0" w:color="auto"/>
        <w:bottom w:val="none" w:sz="0" w:space="0" w:color="auto"/>
        <w:right w:val="none" w:sz="0" w:space="0" w:color="auto"/>
      </w:divBdr>
    </w:div>
    <w:div w:id="788669061">
      <w:bodyDiv w:val="1"/>
      <w:marLeft w:val="0"/>
      <w:marRight w:val="0"/>
      <w:marTop w:val="0"/>
      <w:marBottom w:val="0"/>
      <w:divBdr>
        <w:top w:val="none" w:sz="0" w:space="0" w:color="auto"/>
        <w:left w:val="none" w:sz="0" w:space="0" w:color="auto"/>
        <w:bottom w:val="none" w:sz="0" w:space="0" w:color="auto"/>
        <w:right w:val="none" w:sz="0" w:space="0" w:color="auto"/>
      </w:divBdr>
    </w:div>
    <w:div w:id="796684540">
      <w:bodyDiv w:val="1"/>
      <w:marLeft w:val="0"/>
      <w:marRight w:val="0"/>
      <w:marTop w:val="0"/>
      <w:marBottom w:val="0"/>
      <w:divBdr>
        <w:top w:val="none" w:sz="0" w:space="0" w:color="auto"/>
        <w:left w:val="none" w:sz="0" w:space="0" w:color="auto"/>
        <w:bottom w:val="none" w:sz="0" w:space="0" w:color="auto"/>
        <w:right w:val="none" w:sz="0" w:space="0" w:color="auto"/>
      </w:divBdr>
    </w:div>
    <w:div w:id="799230413">
      <w:bodyDiv w:val="1"/>
      <w:marLeft w:val="0"/>
      <w:marRight w:val="0"/>
      <w:marTop w:val="0"/>
      <w:marBottom w:val="0"/>
      <w:divBdr>
        <w:top w:val="none" w:sz="0" w:space="0" w:color="auto"/>
        <w:left w:val="none" w:sz="0" w:space="0" w:color="auto"/>
        <w:bottom w:val="none" w:sz="0" w:space="0" w:color="auto"/>
        <w:right w:val="none" w:sz="0" w:space="0" w:color="auto"/>
      </w:divBdr>
    </w:div>
    <w:div w:id="799877633">
      <w:bodyDiv w:val="1"/>
      <w:marLeft w:val="0"/>
      <w:marRight w:val="0"/>
      <w:marTop w:val="0"/>
      <w:marBottom w:val="0"/>
      <w:divBdr>
        <w:top w:val="none" w:sz="0" w:space="0" w:color="auto"/>
        <w:left w:val="none" w:sz="0" w:space="0" w:color="auto"/>
        <w:bottom w:val="none" w:sz="0" w:space="0" w:color="auto"/>
        <w:right w:val="none" w:sz="0" w:space="0" w:color="auto"/>
      </w:divBdr>
    </w:div>
    <w:div w:id="807669419">
      <w:bodyDiv w:val="1"/>
      <w:marLeft w:val="0"/>
      <w:marRight w:val="0"/>
      <w:marTop w:val="0"/>
      <w:marBottom w:val="0"/>
      <w:divBdr>
        <w:top w:val="none" w:sz="0" w:space="0" w:color="auto"/>
        <w:left w:val="none" w:sz="0" w:space="0" w:color="auto"/>
        <w:bottom w:val="none" w:sz="0" w:space="0" w:color="auto"/>
        <w:right w:val="none" w:sz="0" w:space="0" w:color="auto"/>
      </w:divBdr>
    </w:div>
    <w:div w:id="814837336">
      <w:bodyDiv w:val="1"/>
      <w:marLeft w:val="0"/>
      <w:marRight w:val="0"/>
      <w:marTop w:val="0"/>
      <w:marBottom w:val="0"/>
      <w:divBdr>
        <w:top w:val="none" w:sz="0" w:space="0" w:color="auto"/>
        <w:left w:val="none" w:sz="0" w:space="0" w:color="auto"/>
        <w:bottom w:val="none" w:sz="0" w:space="0" w:color="auto"/>
        <w:right w:val="none" w:sz="0" w:space="0" w:color="auto"/>
      </w:divBdr>
    </w:div>
    <w:div w:id="818770186">
      <w:bodyDiv w:val="1"/>
      <w:marLeft w:val="0"/>
      <w:marRight w:val="0"/>
      <w:marTop w:val="0"/>
      <w:marBottom w:val="0"/>
      <w:divBdr>
        <w:top w:val="none" w:sz="0" w:space="0" w:color="auto"/>
        <w:left w:val="none" w:sz="0" w:space="0" w:color="auto"/>
        <w:bottom w:val="none" w:sz="0" w:space="0" w:color="auto"/>
        <w:right w:val="none" w:sz="0" w:space="0" w:color="auto"/>
      </w:divBdr>
    </w:div>
    <w:div w:id="820079075">
      <w:bodyDiv w:val="1"/>
      <w:marLeft w:val="0"/>
      <w:marRight w:val="0"/>
      <w:marTop w:val="0"/>
      <w:marBottom w:val="0"/>
      <w:divBdr>
        <w:top w:val="none" w:sz="0" w:space="0" w:color="auto"/>
        <w:left w:val="none" w:sz="0" w:space="0" w:color="auto"/>
        <w:bottom w:val="none" w:sz="0" w:space="0" w:color="auto"/>
        <w:right w:val="none" w:sz="0" w:space="0" w:color="auto"/>
      </w:divBdr>
    </w:div>
    <w:div w:id="824124407">
      <w:bodyDiv w:val="1"/>
      <w:marLeft w:val="0"/>
      <w:marRight w:val="0"/>
      <w:marTop w:val="0"/>
      <w:marBottom w:val="0"/>
      <w:divBdr>
        <w:top w:val="none" w:sz="0" w:space="0" w:color="auto"/>
        <w:left w:val="none" w:sz="0" w:space="0" w:color="auto"/>
        <w:bottom w:val="none" w:sz="0" w:space="0" w:color="auto"/>
        <w:right w:val="none" w:sz="0" w:space="0" w:color="auto"/>
      </w:divBdr>
    </w:div>
    <w:div w:id="828133924">
      <w:bodyDiv w:val="1"/>
      <w:marLeft w:val="0"/>
      <w:marRight w:val="0"/>
      <w:marTop w:val="0"/>
      <w:marBottom w:val="0"/>
      <w:divBdr>
        <w:top w:val="none" w:sz="0" w:space="0" w:color="auto"/>
        <w:left w:val="none" w:sz="0" w:space="0" w:color="auto"/>
        <w:bottom w:val="none" w:sz="0" w:space="0" w:color="auto"/>
        <w:right w:val="none" w:sz="0" w:space="0" w:color="auto"/>
      </w:divBdr>
    </w:div>
    <w:div w:id="832766038">
      <w:bodyDiv w:val="1"/>
      <w:marLeft w:val="0"/>
      <w:marRight w:val="0"/>
      <w:marTop w:val="0"/>
      <w:marBottom w:val="0"/>
      <w:divBdr>
        <w:top w:val="none" w:sz="0" w:space="0" w:color="auto"/>
        <w:left w:val="none" w:sz="0" w:space="0" w:color="auto"/>
        <w:bottom w:val="none" w:sz="0" w:space="0" w:color="auto"/>
        <w:right w:val="none" w:sz="0" w:space="0" w:color="auto"/>
      </w:divBdr>
    </w:div>
    <w:div w:id="834565141">
      <w:bodyDiv w:val="1"/>
      <w:marLeft w:val="0"/>
      <w:marRight w:val="0"/>
      <w:marTop w:val="0"/>
      <w:marBottom w:val="0"/>
      <w:divBdr>
        <w:top w:val="none" w:sz="0" w:space="0" w:color="auto"/>
        <w:left w:val="none" w:sz="0" w:space="0" w:color="auto"/>
        <w:bottom w:val="none" w:sz="0" w:space="0" w:color="auto"/>
        <w:right w:val="none" w:sz="0" w:space="0" w:color="auto"/>
      </w:divBdr>
    </w:div>
    <w:div w:id="845944088">
      <w:bodyDiv w:val="1"/>
      <w:marLeft w:val="0"/>
      <w:marRight w:val="0"/>
      <w:marTop w:val="0"/>
      <w:marBottom w:val="0"/>
      <w:divBdr>
        <w:top w:val="none" w:sz="0" w:space="0" w:color="auto"/>
        <w:left w:val="none" w:sz="0" w:space="0" w:color="auto"/>
        <w:bottom w:val="none" w:sz="0" w:space="0" w:color="auto"/>
        <w:right w:val="none" w:sz="0" w:space="0" w:color="auto"/>
      </w:divBdr>
    </w:div>
    <w:div w:id="852955407">
      <w:bodyDiv w:val="1"/>
      <w:marLeft w:val="0"/>
      <w:marRight w:val="0"/>
      <w:marTop w:val="0"/>
      <w:marBottom w:val="0"/>
      <w:divBdr>
        <w:top w:val="none" w:sz="0" w:space="0" w:color="auto"/>
        <w:left w:val="none" w:sz="0" w:space="0" w:color="auto"/>
        <w:bottom w:val="none" w:sz="0" w:space="0" w:color="auto"/>
        <w:right w:val="none" w:sz="0" w:space="0" w:color="auto"/>
      </w:divBdr>
    </w:div>
    <w:div w:id="857812743">
      <w:bodyDiv w:val="1"/>
      <w:marLeft w:val="0"/>
      <w:marRight w:val="0"/>
      <w:marTop w:val="0"/>
      <w:marBottom w:val="0"/>
      <w:divBdr>
        <w:top w:val="none" w:sz="0" w:space="0" w:color="auto"/>
        <w:left w:val="none" w:sz="0" w:space="0" w:color="auto"/>
        <w:bottom w:val="none" w:sz="0" w:space="0" w:color="auto"/>
        <w:right w:val="none" w:sz="0" w:space="0" w:color="auto"/>
      </w:divBdr>
    </w:div>
    <w:div w:id="861016616">
      <w:bodyDiv w:val="1"/>
      <w:marLeft w:val="0"/>
      <w:marRight w:val="0"/>
      <w:marTop w:val="0"/>
      <w:marBottom w:val="0"/>
      <w:divBdr>
        <w:top w:val="none" w:sz="0" w:space="0" w:color="auto"/>
        <w:left w:val="none" w:sz="0" w:space="0" w:color="auto"/>
        <w:bottom w:val="none" w:sz="0" w:space="0" w:color="auto"/>
        <w:right w:val="none" w:sz="0" w:space="0" w:color="auto"/>
      </w:divBdr>
    </w:div>
    <w:div w:id="862743127">
      <w:bodyDiv w:val="1"/>
      <w:marLeft w:val="0"/>
      <w:marRight w:val="0"/>
      <w:marTop w:val="0"/>
      <w:marBottom w:val="0"/>
      <w:divBdr>
        <w:top w:val="none" w:sz="0" w:space="0" w:color="auto"/>
        <w:left w:val="none" w:sz="0" w:space="0" w:color="auto"/>
        <w:bottom w:val="none" w:sz="0" w:space="0" w:color="auto"/>
        <w:right w:val="none" w:sz="0" w:space="0" w:color="auto"/>
      </w:divBdr>
    </w:div>
    <w:div w:id="870344838">
      <w:bodyDiv w:val="1"/>
      <w:marLeft w:val="0"/>
      <w:marRight w:val="0"/>
      <w:marTop w:val="0"/>
      <w:marBottom w:val="0"/>
      <w:divBdr>
        <w:top w:val="none" w:sz="0" w:space="0" w:color="auto"/>
        <w:left w:val="none" w:sz="0" w:space="0" w:color="auto"/>
        <w:bottom w:val="none" w:sz="0" w:space="0" w:color="auto"/>
        <w:right w:val="none" w:sz="0" w:space="0" w:color="auto"/>
      </w:divBdr>
    </w:div>
    <w:div w:id="876501935">
      <w:bodyDiv w:val="1"/>
      <w:marLeft w:val="0"/>
      <w:marRight w:val="0"/>
      <w:marTop w:val="0"/>
      <w:marBottom w:val="0"/>
      <w:divBdr>
        <w:top w:val="none" w:sz="0" w:space="0" w:color="auto"/>
        <w:left w:val="none" w:sz="0" w:space="0" w:color="auto"/>
        <w:bottom w:val="none" w:sz="0" w:space="0" w:color="auto"/>
        <w:right w:val="none" w:sz="0" w:space="0" w:color="auto"/>
      </w:divBdr>
    </w:div>
    <w:div w:id="879246352">
      <w:bodyDiv w:val="1"/>
      <w:marLeft w:val="0"/>
      <w:marRight w:val="0"/>
      <w:marTop w:val="0"/>
      <w:marBottom w:val="0"/>
      <w:divBdr>
        <w:top w:val="none" w:sz="0" w:space="0" w:color="auto"/>
        <w:left w:val="none" w:sz="0" w:space="0" w:color="auto"/>
        <w:bottom w:val="none" w:sz="0" w:space="0" w:color="auto"/>
        <w:right w:val="none" w:sz="0" w:space="0" w:color="auto"/>
      </w:divBdr>
    </w:div>
    <w:div w:id="885995182">
      <w:bodyDiv w:val="1"/>
      <w:marLeft w:val="0"/>
      <w:marRight w:val="0"/>
      <w:marTop w:val="0"/>
      <w:marBottom w:val="0"/>
      <w:divBdr>
        <w:top w:val="none" w:sz="0" w:space="0" w:color="auto"/>
        <w:left w:val="none" w:sz="0" w:space="0" w:color="auto"/>
        <w:bottom w:val="none" w:sz="0" w:space="0" w:color="auto"/>
        <w:right w:val="none" w:sz="0" w:space="0" w:color="auto"/>
      </w:divBdr>
    </w:div>
    <w:div w:id="889078685">
      <w:bodyDiv w:val="1"/>
      <w:marLeft w:val="0"/>
      <w:marRight w:val="0"/>
      <w:marTop w:val="0"/>
      <w:marBottom w:val="0"/>
      <w:divBdr>
        <w:top w:val="none" w:sz="0" w:space="0" w:color="auto"/>
        <w:left w:val="none" w:sz="0" w:space="0" w:color="auto"/>
        <w:bottom w:val="none" w:sz="0" w:space="0" w:color="auto"/>
        <w:right w:val="none" w:sz="0" w:space="0" w:color="auto"/>
      </w:divBdr>
    </w:div>
    <w:div w:id="890262802">
      <w:bodyDiv w:val="1"/>
      <w:marLeft w:val="0"/>
      <w:marRight w:val="0"/>
      <w:marTop w:val="0"/>
      <w:marBottom w:val="0"/>
      <w:divBdr>
        <w:top w:val="none" w:sz="0" w:space="0" w:color="auto"/>
        <w:left w:val="none" w:sz="0" w:space="0" w:color="auto"/>
        <w:bottom w:val="none" w:sz="0" w:space="0" w:color="auto"/>
        <w:right w:val="none" w:sz="0" w:space="0" w:color="auto"/>
      </w:divBdr>
    </w:div>
    <w:div w:id="897672329">
      <w:bodyDiv w:val="1"/>
      <w:marLeft w:val="0"/>
      <w:marRight w:val="0"/>
      <w:marTop w:val="0"/>
      <w:marBottom w:val="0"/>
      <w:divBdr>
        <w:top w:val="none" w:sz="0" w:space="0" w:color="auto"/>
        <w:left w:val="none" w:sz="0" w:space="0" w:color="auto"/>
        <w:bottom w:val="none" w:sz="0" w:space="0" w:color="auto"/>
        <w:right w:val="none" w:sz="0" w:space="0" w:color="auto"/>
      </w:divBdr>
    </w:div>
    <w:div w:id="913197267">
      <w:bodyDiv w:val="1"/>
      <w:marLeft w:val="0"/>
      <w:marRight w:val="0"/>
      <w:marTop w:val="0"/>
      <w:marBottom w:val="0"/>
      <w:divBdr>
        <w:top w:val="none" w:sz="0" w:space="0" w:color="auto"/>
        <w:left w:val="none" w:sz="0" w:space="0" w:color="auto"/>
        <w:bottom w:val="none" w:sz="0" w:space="0" w:color="auto"/>
        <w:right w:val="none" w:sz="0" w:space="0" w:color="auto"/>
      </w:divBdr>
    </w:div>
    <w:div w:id="916133373">
      <w:bodyDiv w:val="1"/>
      <w:marLeft w:val="0"/>
      <w:marRight w:val="0"/>
      <w:marTop w:val="0"/>
      <w:marBottom w:val="0"/>
      <w:divBdr>
        <w:top w:val="none" w:sz="0" w:space="0" w:color="auto"/>
        <w:left w:val="none" w:sz="0" w:space="0" w:color="auto"/>
        <w:bottom w:val="none" w:sz="0" w:space="0" w:color="auto"/>
        <w:right w:val="none" w:sz="0" w:space="0" w:color="auto"/>
      </w:divBdr>
    </w:div>
    <w:div w:id="916481503">
      <w:bodyDiv w:val="1"/>
      <w:marLeft w:val="0"/>
      <w:marRight w:val="0"/>
      <w:marTop w:val="0"/>
      <w:marBottom w:val="0"/>
      <w:divBdr>
        <w:top w:val="none" w:sz="0" w:space="0" w:color="auto"/>
        <w:left w:val="none" w:sz="0" w:space="0" w:color="auto"/>
        <w:bottom w:val="none" w:sz="0" w:space="0" w:color="auto"/>
        <w:right w:val="none" w:sz="0" w:space="0" w:color="auto"/>
      </w:divBdr>
    </w:div>
    <w:div w:id="917792447">
      <w:bodyDiv w:val="1"/>
      <w:marLeft w:val="0"/>
      <w:marRight w:val="0"/>
      <w:marTop w:val="0"/>
      <w:marBottom w:val="0"/>
      <w:divBdr>
        <w:top w:val="none" w:sz="0" w:space="0" w:color="auto"/>
        <w:left w:val="none" w:sz="0" w:space="0" w:color="auto"/>
        <w:bottom w:val="none" w:sz="0" w:space="0" w:color="auto"/>
        <w:right w:val="none" w:sz="0" w:space="0" w:color="auto"/>
      </w:divBdr>
    </w:div>
    <w:div w:id="921447171">
      <w:bodyDiv w:val="1"/>
      <w:marLeft w:val="0"/>
      <w:marRight w:val="0"/>
      <w:marTop w:val="0"/>
      <w:marBottom w:val="0"/>
      <w:divBdr>
        <w:top w:val="none" w:sz="0" w:space="0" w:color="auto"/>
        <w:left w:val="none" w:sz="0" w:space="0" w:color="auto"/>
        <w:bottom w:val="none" w:sz="0" w:space="0" w:color="auto"/>
        <w:right w:val="none" w:sz="0" w:space="0" w:color="auto"/>
      </w:divBdr>
    </w:div>
    <w:div w:id="921526457">
      <w:bodyDiv w:val="1"/>
      <w:marLeft w:val="0"/>
      <w:marRight w:val="0"/>
      <w:marTop w:val="0"/>
      <w:marBottom w:val="0"/>
      <w:divBdr>
        <w:top w:val="none" w:sz="0" w:space="0" w:color="auto"/>
        <w:left w:val="none" w:sz="0" w:space="0" w:color="auto"/>
        <w:bottom w:val="none" w:sz="0" w:space="0" w:color="auto"/>
        <w:right w:val="none" w:sz="0" w:space="0" w:color="auto"/>
      </w:divBdr>
    </w:div>
    <w:div w:id="921992832">
      <w:bodyDiv w:val="1"/>
      <w:marLeft w:val="0"/>
      <w:marRight w:val="0"/>
      <w:marTop w:val="0"/>
      <w:marBottom w:val="0"/>
      <w:divBdr>
        <w:top w:val="none" w:sz="0" w:space="0" w:color="auto"/>
        <w:left w:val="none" w:sz="0" w:space="0" w:color="auto"/>
        <w:bottom w:val="none" w:sz="0" w:space="0" w:color="auto"/>
        <w:right w:val="none" w:sz="0" w:space="0" w:color="auto"/>
      </w:divBdr>
    </w:div>
    <w:div w:id="933436343">
      <w:bodyDiv w:val="1"/>
      <w:marLeft w:val="0"/>
      <w:marRight w:val="0"/>
      <w:marTop w:val="0"/>
      <w:marBottom w:val="0"/>
      <w:divBdr>
        <w:top w:val="none" w:sz="0" w:space="0" w:color="auto"/>
        <w:left w:val="none" w:sz="0" w:space="0" w:color="auto"/>
        <w:bottom w:val="none" w:sz="0" w:space="0" w:color="auto"/>
        <w:right w:val="none" w:sz="0" w:space="0" w:color="auto"/>
      </w:divBdr>
    </w:div>
    <w:div w:id="943657237">
      <w:bodyDiv w:val="1"/>
      <w:marLeft w:val="0"/>
      <w:marRight w:val="0"/>
      <w:marTop w:val="0"/>
      <w:marBottom w:val="0"/>
      <w:divBdr>
        <w:top w:val="none" w:sz="0" w:space="0" w:color="auto"/>
        <w:left w:val="none" w:sz="0" w:space="0" w:color="auto"/>
        <w:bottom w:val="none" w:sz="0" w:space="0" w:color="auto"/>
        <w:right w:val="none" w:sz="0" w:space="0" w:color="auto"/>
      </w:divBdr>
    </w:div>
    <w:div w:id="945041200">
      <w:bodyDiv w:val="1"/>
      <w:marLeft w:val="0"/>
      <w:marRight w:val="0"/>
      <w:marTop w:val="0"/>
      <w:marBottom w:val="0"/>
      <w:divBdr>
        <w:top w:val="none" w:sz="0" w:space="0" w:color="auto"/>
        <w:left w:val="none" w:sz="0" w:space="0" w:color="auto"/>
        <w:bottom w:val="none" w:sz="0" w:space="0" w:color="auto"/>
        <w:right w:val="none" w:sz="0" w:space="0" w:color="auto"/>
      </w:divBdr>
    </w:div>
    <w:div w:id="946081556">
      <w:bodyDiv w:val="1"/>
      <w:marLeft w:val="0"/>
      <w:marRight w:val="0"/>
      <w:marTop w:val="0"/>
      <w:marBottom w:val="0"/>
      <w:divBdr>
        <w:top w:val="none" w:sz="0" w:space="0" w:color="auto"/>
        <w:left w:val="none" w:sz="0" w:space="0" w:color="auto"/>
        <w:bottom w:val="none" w:sz="0" w:space="0" w:color="auto"/>
        <w:right w:val="none" w:sz="0" w:space="0" w:color="auto"/>
      </w:divBdr>
    </w:div>
    <w:div w:id="948704592">
      <w:bodyDiv w:val="1"/>
      <w:marLeft w:val="0"/>
      <w:marRight w:val="0"/>
      <w:marTop w:val="0"/>
      <w:marBottom w:val="0"/>
      <w:divBdr>
        <w:top w:val="none" w:sz="0" w:space="0" w:color="auto"/>
        <w:left w:val="none" w:sz="0" w:space="0" w:color="auto"/>
        <w:bottom w:val="none" w:sz="0" w:space="0" w:color="auto"/>
        <w:right w:val="none" w:sz="0" w:space="0" w:color="auto"/>
      </w:divBdr>
    </w:div>
    <w:div w:id="955065873">
      <w:bodyDiv w:val="1"/>
      <w:marLeft w:val="0"/>
      <w:marRight w:val="0"/>
      <w:marTop w:val="0"/>
      <w:marBottom w:val="0"/>
      <w:divBdr>
        <w:top w:val="none" w:sz="0" w:space="0" w:color="auto"/>
        <w:left w:val="none" w:sz="0" w:space="0" w:color="auto"/>
        <w:bottom w:val="none" w:sz="0" w:space="0" w:color="auto"/>
        <w:right w:val="none" w:sz="0" w:space="0" w:color="auto"/>
      </w:divBdr>
    </w:div>
    <w:div w:id="963392252">
      <w:bodyDiv w:val="1"/>
      <w:marLeft w:val="0"/>
      <w:marRight w:val="0"/>
      <w:marTop w:val="0"/>
      <w:marBottom w:val="0"/>
      <w:divBdr>
        <w:top w:val="none" w:sz="0" w:space="0" w:color="auto"/>
        <w:left w:val="none" w:sz="0" w:space="0" w:color="auto"/>
        <w:bottom w:val="none" w:sz="0" w:space="0" w:color="auto"/>
        <w:right w:val="none" w:sz="0" w:space="0" w:color="auto"/>
      </w:divBdr>
    </w:div>
    <w:div w:id="981546943">
      <w:bodyDiv w:val="1"/>
      <w:marLeft w:val="0"/>
      <w:marRight w:val="0"/>
      <w:marTop w:val="0"/>
      <w:marBottom w:val="0"/>
      <w:divBdr>
        <w:top w:val="none" w:sz="0" w:space="0" w:color="auto"/>
        <w:left w:val="none" w:sz="0" w:space="0" w:color="auto"/>
        <w:bottom w:val="none" w:sz="0" w:space="0" w:color="auto"/>
        <w:right w:val="none" w:sz="0" w:space="0" w:color="auto"/>
      </w:divBdr>
    </w:div>
    <w:div w:id="987512715">
      <w:bodyDiv w:val="1"/>
      <w:marLeft w:val="0"/>
      <w:marRight w:val="0"/>
      <w:marTop w:val="0"/>
      <w:marBottom w:val="0"/>
      <w:divBdr>
        <w:top w:val="none" w:sz="0" w:space="0" w:color="auto"/>
        <w:left w:val="none" w:sz="0" w:space="0" w:color="auto"/>
        <w:bottom w:val="none" w:sz="0" w:space="0" w:color="auto"/>
        <w:right w:val="none" w:sz="0" w:space="0" w:color="auto"/>
      </w:divBdr>
    </w:div>
    <w:div w:id="997612217">
      <w:bodyDiv w:val="1"/>
      <w:marLeft w:val="0"/>
      <w:marRight w:val="0"/>
      <w:marTop w:val="0"/>
      <w:marBottom w:val="0"/>
      <w:divBdr>
        <w:top w:val="none" w:sz="0" w:space="0" w:color="auto"/>
        <w:left w:val="none" w:sz="0" w:space="0" w:color="auto"/>
        <w:bottom w:val="none" w:sz="0" w:space="0" w:color="auto"/>
        <w:right w:val="none" w:sz="0" w:space="0" w:color="auto"/>
      </w:divBdr>
    </w:div>
    <w:div w:id="1001079767">
      <w:bodyDiv w:val="1"/>
      <w:marLeft w:val="0"/>
      <w:marRight w:val="0"/>
      <w:marTop w:val="0"/>
      <w:marBottom w:val="0"/>
      <w:divBdr>
        <w:top w:val="none" w:sz="0" w:space="0" w:color="auto"/>
        <w:left w:val="none" w:sz="0" w:space="0" w:color="auto"/>
        <w:bottom w:val="none" w:sz="0" w:space="0" w:color="auto"/>
        <w:right w:val="none" w:sz="0" w:space="0" w:color="auto"/>
      </w:divBdr>
    </w:div>
    <w:div w:id="1003781896">
      <w:bodyDiv w:val="1"/>
      <w:marLeft w:val="0"/>
      <w:marRight w:val="0"/>
      <w:marTop w:val="0"/>
      <w:marBottom w:val="0"/>
      <w:divBdr>
        <w:top w:val="none" w:sz="0" w:space="0" w:color="auto"/>
        <w:left w:val="none" w:sz="0" w:space="0" w:color="auto"/>
        <w:bottom w:val="none" w:sz="0" w:space="0" w:color="auto"/>
        <w:right w:val="none" w:sz="0" w:space="0" w:color="auto"/>
      </w:divBdr>
    </w:div>
    <w:div w:id="1009597432">
      <w:bodyDiv w:val="1"/>
      <w:marLeft w:val="0"/>
      <w:marRight w:val="0"/>
      <w:marTop w:val="0"/>
      <w:marBottom w:val="0"/>
      <w:divBdr>
        <w:top w:val="none" w:sz="0" w:space="0" w:color="auto"/>
        <w:left w:val="none" w:sz="0" w:space="0" w:color="auto"/>
        <w:bottom w:val="none" w:sz="0" w:space="0" w:color="auto"/>
        <w:right w:val="none" w:sz="0" w:space="0" w:color="auto"/>
      </w:divBdr>
    </w:div>
    <w:div w:id="1012531880">
      <w:bodyDiv w:val="1"/>
      <w:marLeft w:val="0"/>
      <w:marRight w:val="0"/>
      <w:marTop w:val="0"/>
      <w:marBottom w:val="0"/>
      <w:divBdr>
        <w:top w:val="none" w:sz="0" w:space="0" w:color="auto"/>
        <w:left w:val="none" w:sz="0" w:space="0" w:color="auto"/>
        <w:bottom w:val="none" w:sz="0" w:space="0" w:color="auto"/>
        <w:right w:val="none" w:sz="0" w:space="0" w:color="auto"/>
      </w:divBdr>
    </w:div>
    <w:div w:id="1013608185">
      <w:bodyDiv w:val="1"/>
      <w:marLeft w:val="0"/>
      <w:marRight w:val="0"/>
      <w:marTop w:val="0"/>
      <w:marBottom w:val="0"/>
      <w:divBdr>
        <w:top w:val="none" w:sz="0" w:space="0" w:color="auto"/>
        <w:left w:val="none" w:sz="0" w:space="0" w:color="auto"/>
        <w:bottom w:val="none" w:sz="0" w:space="0" w:color="auto"/>
        <w:right w:val="none" w:sz="0" w:space="0" w:color="auto"/>
      </w:divBdr>
    </w:div>
    <w:div w:id="1019234745">
      <w:bodyDiv w:val="1"/>
      <w:marLeft w:val="0"/>
      <w:marRight w:val="0"/>
      <w:marTop w:val="0"/>
      <w:marBottom w:val="0"/>
      <w:divBdr>
        <w:top w:val="none" w:sz="0" w:space="0" w:color="auto"/>
        <w:left w:val="none" w:sz="0" w:space="0" w:color="auto"/>
        <w:bottom w:val="none" w:sz="0" w:space="0" w:color="auto"/>
        <w:right w:val="none" w:sz="0" w:space="0" w:color="auto"/>
      </w:divBdr>
    </w:div>
    <w:div w:id="1021275199">
      <w:bodyDiv w:val="1"/>
      <w:marLeft w:val="0"/>
      <w:marRight w:val="0"/>
      <w:marTop w:val="0"/>
      <w:marBottom w:val="0"/>
      <w:divBdr>
        <w:top w:val="none" w:sz="0" w:space="0" w:color="auto"/>
        <w:left w:val="none" w:sz="0" w:space="0" w:color="auto"/>
        <w:bottom w:val="none" w:sz="0" w:space="0" w:color="auto"/>
        <w:right w:val="none" w:sz="0" w:space="0" w:color="auto"/>
      </w:divBdr>
    </w:div>
    <w:div w:id="1024356790">
      <w:bodyDiv w:val="1"/>
      <w:marLeft w:val="0"/>
      <w:marRight w:val="0"/>
      <w:marTop w:val="0"/>
      <w:marBottom w:val="0"/>
      <w:divBdr>
        <w:top w:val="none" w:sz="0" w:space="0" w:color="auto"/>
        <w:left w:val="none" w:sz="0" w:space="0" w:color="auto"/>
        <w:bottom w:val="none" w:sz="0" w:space="0" w:color="auto"/>
        <w:right w:val="none" w:sz="0" w:space="0" w:color="auto"/>
      </w:divBdr>
    </w:div>
    <w:div w:id="1031078820">
      <w:bodyDiv w:val="1"/>
      <w:marLeft w:val="0"/>
      <w:marRight w:val="0"/>
      <w:marTop w:val="0"/>
      <w:marBottom w:val="0"/>
      <w:divBdr>
        <w:top w:val="none" w:sz="0" w:space="0" w:color="auto"/>
        <w:left w:val="none" w:sz="0" w:space="0" w:color="auto"/>
        <w:bottom w:val="none" w:sz="0" w:space="0" w:color="auto"/>
        <w:right w:val="none" w:sz="0" w:space="0" w:color="auto"/>
      </w:divBdr>
    </w:div>
    <w:div w:id="1031734440">
      <w:bodyDiv w:val="1"/>
      <w:marLeft w:val="0"/>
      <w:marRight w:val="0"/>
      <w:marTop w:val="0"/>
      <w:marBottom w:val="0"/>
      <w:divBdr>
        <w:top w:val="none" w:sz="0" w:space="0" w:color="auto"/>
        <w:left w:val="none" w:sz="0" w:space="0" w:color="auto"/>
        <w:bottom w:val="none" w:sz="0" w:space="0" w:color="auto"/>
        <w:right w:val="none" w:sz="0" w:space="0" w:color="auto"/>
      </w:divBdr>
    </w:div>
    <w:div w:id="1037662437">
      <w:bodyDiv w:val="1"/>
      <w:marLeft w:val="0"/>
      <w:marRight w:val="0"/>
      <w:marTop w:val="0"/>
      <w:marBottom w:val="0"/>
      <w:divBdr>
        <w:top w:val="none" w:sz="0" w:space="0" w:color="auto"/>
        <w:left w:val="none" w:sz="0" w:space="0" w:color="auto"/>
        <w:bottom w:val="none" w:sz="0" w:space="0" w:color="auto"/>
        <w:right w:val="none" w:sz="0" w:space="0" w:color="auto"/>
      </w:divBdr>
    </w:div>
    <w:div w:id="1042632845">
      <w:bodyDiv w:val="1"/>
      <w:marLeft w:val="0"/>
      <w:marRight w:val="0"/>
      <w:marTop w:val="0"/>
      <w:marBottom w:val="0"/>
      <w:divBdr>
        <w:top w:val="none" w:sz="0" w:space="0" w:color="auto"/>
        <w:left w:val="none" w:sz="0" w:space="0" w:color="auto"/>
        <w:bottom w:val="none" w:sz="0" w:space="0" w:color="auto"/>
        <w:right w:val="none" w:sz="0" w:space="0" w:color="auto"/>
      </w:divBdr>
    </w:div>
    <w:div w:id="1055617563">
      <w:bodyDiv w:val="1"/>
      <w:marLeft w:val="0"/>
      <w:marRight w:val="0"/>
      <w:marTop w:val="0"/>
      <w:marBottom w:val="0"/>
      <w:divBdr>
        <w:top w:val="none" w:sz="0" w:space="0" w:color="auto"/>
        <w:left w:val="none" w:sz="0" w:space="0" w:color="auto"/>
        <w:bottom w:val="none" w:sz="0" w:space="0" w:color="auto"/>
        <w:right w:val="none" w:sz="0" w:space="0" w:color="auto"/>
      </w:divBdr>
    </w:div>
    <w:div w:id="1059401866">
      <w:bodyDiv w:val="1"/>
      <w:marLeft w:val="0"/>
      <w:marRight w:val="0"/>
      <w:marTop w:val="0"/>
      <w:marBottom w:val="0"/>
      <w:divBdr>
        <w:top w:val="none" w:sz="0" w:space="0" w:color="auto"/>
        <w:left w:val="none" w:sz="0" w:space="0" w:color="auto"/>
        <w:bottom w:val="none" w:sz="0" w:space="0" w:color="auto"/>
        <w:right w:val="none" w:sz="0" w:space="0" w:color="auto"/>
      </w:divBdr>
    </w:div>
    <w:div w:id="1060011506">
      <w:bodyDiv w:val="1"/>
      <w:marLeft w:val="0"/>
      <w:marRight w:val="0"/>
      <w:marTop w:val="0"/>
      <w:marBottom w:val="0"/>
      <w:divBdr>
        <w:top w:val="none" w:sz="0" w:space="0" w:color="auto"/>
        <w:left w:val="none" w:sz="0" w:space="0" w:color="auto"/>
        <w:bottom w:val="none" w:sz="0" w:space="0" w:color="auto"/>
        <w:right w:val="none" w:sz="0" w:space="0" w:color="auto"/>
      </w:divBdr>
    </w:div>
    <w:div w:id="1066758996">
      <w:bodyDiv w:val="1"/>
      <w:marLeft w:val="0"/>
      <w:marRight w:val="0"/>
      <w:marTop w:val="0"/>
      <w:marBottom w:val="0"/>
      <w:divBdr>
        <w:top w:val="none" w:sz="0" w:space="0" w:color="auto"/>
        <w:left w:val="none" w:sz="0" w:space="0" w:color="auto"/>
        <w:bottom w:val="none" w:sz="0" w:space="0" w:color="auto"/>
        <w:right w:val="none" w:sz="0" w:space="0" w:color="auto"/>
      </w:divBdr>
    </w:div>
    <w:div w:id="1075979419">
      <w:bodyDiv w:val="1"/>
      <w:marLeft w:val="0"/>
      <w:marRight w:val="0"/>
      <w:marTop w:val="0"/>
      <w:marBottom w:val="0"/>
      <w:divBdr>
        <w:top w:val="none" w:sz="0" w:space="0" w:color="auto"/>
        <w:left w:val="none" w:sz="0" w:space="0" w:color="auto"/>
        <w:bottom w:val="none" w:sz="0" w:space="0" w:color="auto"/>
        <w:right w:val="none" w:sz="0" w:space="0" w:color="auto"/>
      </w:divBdr>
    </w:div>
    <w:div w:id="1076245277">
      <w:bodyDiv w:val="1"/>
      <w:marLeft w:val="0"/>
      <w:marRight w:val="0"/>
      <w:marTop w:val="0"/>
      <w:marBottom w:val="0"/>
      <w:divBdr>
        <w:top w:val="none" w:sz="0" w:space="0" w:color="auto"/>
        <w:left w:val="none" w:sz="0" w:space="0" w:color="auto"/>
        <w:bottom w:val="none" w:sz="0" w:space="0" w:color="auto"/>
        <w:right w:val="none" w:sz="0" w:space="0" w:color="auto"/>
      </w:divBdr>
    </w:div>
    <w:div w:id="1078019562">
      <w:bodyDiv w:val="1"/>
      <w:marLeft w:val="0"/>
      <w:marRight w:val="0"/>
      <w:marTop w:val="0"/>
      <w:marBottom w:val="0"/>
      <w:divBdr>
        <w:top w:val="none" w:sz="0" w:space="0" w:color="auto"/>
        <w:left w:val="none" w:sz="0" w:space="0" w:color="auto"/>
        <w:bottom w:val="none" w:sz="0" w:space="0" w:color="auto"/>
        <w:right w:val="none" w:sz="0" w:space="0" w:color="auto"/>
      </w:divBdr>
    </w:div>
    <w:div w:id="1082022565">
      <w:bodyDiv w:val="1"/>
      <w:marLeft w:val="0"/>
      <w:marRight w:val="0"/>
      <w:marTop w:val="0"/>
      <w:marBottom w:val="0"/>
      <w:divBdr>
        <w:top w:val="none" w:sz="0" w:space="0" w:color="auto"/>
        <w:left w:val="none" w:sz="0" w:space="0" w:color="auto"/>
        <w:bottom w:val="none" w:sz="0" w:space="0" w:color="auto"/>
        <w:right w:val="none" w:sz="0" w:space="0" w:color="auto"/>
      </w:divBdr>
    </w:div>
    <w:div w:id="1082071319">
      <w:bodyDiv w:val="1"/>
      <w:marLeft w:val="0"/>
      <w:marRight w:val="0"/>
      <w:marTop w:val="0"/>
      <w:marBottom w:val="0"/>
      <w:divBdr>
        <w:top w:val="none" w:sz="0" w:space="0" w:color="auto"/>
        <w:left w:val="none" w:sz="0" w:space="0" w:color="auto"/>
        <w:bottom w:val="none" w:sz="0" w:space="0" w:color="auto"/>
        <w:right w:val="none" w:sz="0" w:space="0" w:color="auto"/>
      </w:divBdr>
    </w:div>
    <w:div w:id="1083184634">
      <w:bodyDiv w:val="1"/>
      <w:marLeft w:val="0"/>
      <w:marRight w:val="0"/>
      <w:marTop w:val="0"/>
      <w:marBottom w:val="0"/>
      <w:divBdr>
        <w:top w:val="none" w:sz="0" w:space="0" w:color="auto"/>
        <w:left w:val="none" w:sz="0" w:space="0" w:color="auto"/>
        <w:bottom w:val="none" w:sz="0" w:space="0" w:color="auto"/>
        <w:right w:val="none" w:sz="0" w:space="0" w:color="auto"/>
      </w:divBdr>
    </w:div>
    <w:div w:id="1086271083">
      <w:bodyDiv w:val="1"/>
      <w:marLeft w:val="0"/>
      <w:marRight w:val="0"/>
      <w:marTop w:val="0"/>
      <w:marBottom w:val="0"/>
      <w:divBdr>
        <w:top w:val="none" w:sz="0" w:space="0" w:color="auto"/>
        <w:left w:val="none" w:sz="0" w:space="0" w:color="auto"/>
        <w:bottom w:val="none" w:sz="0" w:space="0" w:color="auto"/>
        <w:right w:val="none" w:sz="0" w:space="0" w:color="auto"/>
      </w:divBdr>
    </w:div>
    <w:div w:id="1091900445">
      <w:bodyDiv w:val="1"/>
      <w:marLeft w:val="0"/>
      <w:marRight w:val="0"/>
      <w:marTop w:val="0"/>
      <w:marBottom w:val="0"/>
      <w:divBdr>
        <w:top w:val="none" w:sz="0" w:space="0" w:color="auto"/>
        <w:left w:val="none" w:sz="0" w:space="0" w:color="auto"/>
        <w:bottom w:val="none" w:sz="0" w:space="0" w:color="auto"/>
        <w:right w:val="none" w:sz="0" w:space="0" w:color="auto"/>
      </w:divBdr>
    </w:div>
    <w:div w:id="1096092436">
      <w:bodyDiv w:val="1"/>
      <w:marLeft w:val="0"/>
      <w:marRight w:val="0"/>
      <w:marTop w:val="0"/>
      <w:marBottom w:val="0"/>
      <w:divBdr>
        <w:top w:val="none" w:sz="0" w:space="0" w:color="auto"/>
        <w:left w:val="none" w:sz="0" w:space="0" w:color="auto"/>
        <w:bottom w:val="none" w:sz="0" w:space="0" w:color="auto"/>
        <w:right w:val="none" w:sz="0" w:space="0" w:color="auto"/>
      </w:divBdr>
    </w:div>
    <w:div w:id="1096482874">
      <w:bodyDiv w:val="1"/>
      <w:marLeft w:val="0"/>
      <w:marRight w:val="0"/>
      <w:marTop w:val="0"/>
      <w:marBottom w:val="0"/>
      <w:divBdr>
        <w:top w:val="none" w:sz="0" w:space="0" w:color="auto"/>
        <w:left w:val="none" w:sz="0" w:space="0" w:color="auto"/>
        <w:bottom w:val="none" w:sz="0" w:space="0" w:color="auto"/>
        <w:right w:val="none" w:sz="0" w:space="0" w:color="auto"/>
      </w:divBdr>
    </w:div>
    <w:div w:id="1101491650">
      <w:bodyDiv w:val="1"/>
      <w:marLeft w:val="0"/>
      <w:marRight w:val="0"/>
      <w:marTop w:val="0"/>
      <w:marBottom w:val="0"/>
      <w:divBdr>
        <w:top w:val="none" w:sz="0" w:space="0" w:color="auto"/>
        <w:left w:val="none" w:sz="0" w:space="0" w:color="auto"/>
        <w:bottom w:val="none" w:sz="0" w:space="0" w:color="auto"/>
        <w:right w:val="none" w:sz="0" w:space="0" w:color="auto"/>
      </w:divBdr>
    </w:div>
    <w:div w:id="1103959939">
      <w:bodyDiv w:val="1"/>
      <w:marLeft w:val="0"/>
      <w:marRight w:val="0"/>
      <w:marTop w:val="0"/>
      <w:marBottom w:val="0"/>
      <w:divBdr>
        <w:top w:val="none" w:sz="0" w:space="0" w:color="auto"/>
        <w:left w:val="none" w:sz="0" w:space="0" w:color="auto"/>
        <w:bottom w:val="none" w:sz="0" w:space="0" w:color="auto"/>
        <w:right w:val="none" w:sz="0" w:space="0" w:color="auto"/>
      </w:divBdr>
    </w:div>
    <w:div w:id="1105349935">
      <w:bodyDiv w:val="1"/>
      <w:marLeft w:val="0"/>
      <w:marRight w:val="0"/>
      <w:marTop w:val="0"/>
      <w:marBottom w:val="0"/>
      <w:divBdr>
        <w:top w:val="none" w:sz="0" w:space="0" w:color="auto"/>
        <w:left w:val="none" w:sz="0" w:space="0" w:color="auto"/>
        <w:bottom w:val="none" w:sz="0" w:space="0" w:color="auto"/>
        <w:right w:val="none" w:sz="0" w:space="0" w:color="auto"/>
      </w:divBdr>
    </w:div>
    <w:div w:id="1105687519">
      <w:bodyDiv w:val="1"/>
      <w:marLeft w:val="0"/>
      <w:marRight w:val="0"/>
      <w:marTop w:val="0"/>
      <w:marBottom w:val="0"/>
      <w:divBdr>
        <w:top w:val="none" w:sz="0" w:space="0" w:color="auto"/>
        <w:left w:val="none" w:sz="0" w:space="0" w:color="auto"/>
        <w:bottom w:val="none" w:sz="0" w:space="0" w:color="auto"/>
        <w:right w:val="none" w:sz="0" w:space="0" w:color="auto"/>
      </w:divBdr>
    </w:div>
    <w:div w:id="1106078031">
      <w:bodyDiv w:val="1"/>
      <w:marLeft w:val="0"/>
      <w:marRight w:val="0"/>
      <w:marTop w:val="0"/>
      <w:marBottom w:val="0"/>
      <w:divBdr>
        <w:top w:val="none" w:sz="0" w:space="0" w:color="auto"/>
        <w:left w:val="none" w:sz="0" w:space="0" w:color="auto"/>
        <w:bottom w:val="none" w:sz="0" w:space="0" w:color="auto"/>
        <w:right w:val="none" w:sz="0" w:space="0" w:color="auto"/>
      </w:divBdr>
    </w:div>
    <w:div w:id="1121270067">
      <w:bodyDiv w:val="1"/>
      <w:marLeft w:val="0"/>
      <w:marRight w:val="0"/>
      <w:marTop w:val="0"/>
      <w:marBottom w:val="0"/>
      <w:divBdr>
        <w:top w:val="none" w:sz="0" w:space="0" w:color="auto"/>
        <w:left w:val="none" w:sz="0" w:space="0" w:color="auto"/>
        <w:bottom w:val="none" w:sz="0" w:space="0" w:color="auto"/>
        <w:right w:val="none" w:sz="0" w:space="0" w:color="auto"/>
      </w:divBdr>
    </w:div>
    <w:div w:id="1125660289">
      <w:bodyDiv w:val="1"/>
      <w:marLeft w:val="0"/>
      <w:marRight w:val="0"/>
      <w:marTop w:val="0"/>
      <w:marBottom w:val="0"/>
      <w:divBdr>
        <w:top w:val="none" w:sz="0" w:space="0" w:color="auto"/>
        <w:left w:val="none" w:sz="0" w:space="0" w:color="auto"/>
        <w:bottom w:val="none" w:sz="0" w:space="0" w:color="auto"/>
        <w:right w:val="none" w:sz="0" w:space="0" w:color="auto"/>
      </w:divBdr>
    </w:div>
    <w:div w:id="1126191974">
      <w:bodyDiv w:val="1"/>
      <w:marLeft w:val="0"/>
      <w:marRight w:val="0"/>
      <w:marTop w:val="0"/>
      <w:marBottom w:val="0"/>
      <w:divBdr>
        <w:top w:val="none" w:sz="0" w:space="0" w:color="auto"/>
        <w:left w:val="none" w:sz="0" w:space="0" w:color="auto"/>
        <w:bottom w:val="none" w:sz="0" w:space="0" w:color="auto"/>
        <w:right w:val="none" w:sz="0" w:space="0" w:color="auto"/>
      </w:divBdr>
    </w:div>
    <w:div w:id="1128475880">
      <w:bodyDiv w:val="1"/>
      <w:marLeft w:val="0"/>
      <w:marRight w:val="0"/>
      <w:marTop w:val="0"/>
      <w:marBottom w:val="0"/>
      <w:divBdr>
        <w:top w:val="none" w:sz="0" w:space="0" w:color="auto"/>
        <w:left w:val="none" w:sz="0" w:space="0" w:color="auto"/>
        <w:bottom w:val="none" w:sz="0" w:space="0" w:color="auto"/>
        <w:right w:val="none" w:sz="0" w:space="0" w:color="auto"/>
      </w:divBdr>
    </w:div>
    <w:div w:id="1131249476">
      <w:bodyDiv w:val="1"/>
      <w:marLeft w:val="0"/>
      <w:marRight w:val="0"/>
      <w:marTop w:val="0"/>
      <w:marBottom w:val="0"/>
      <w:divBdr>
        <w:top w:val="none" w:sz="0" w:space="0" w:color="auto"/>
        <w:left w:val="none" w:sz="0" w:space="0" w:color="auto"/>
        <w:bottom w:val="none" w:sz="0" w:space="0" w:color="auto"/>
        <w:right w:val="none" w:sz="0" w:space="0" w:color="auto"/>
      </w:divBdr>
    </w:div>
    <w:div w:id="1134714046">
      <w:bodyDiv w:val="1"/>
      <w:marLeft w:val="0"/>
      <w:marRight w:val="0"/>
      <w:marTop w:val="0"/>
      <w:marBottom w:val="0"/>
      <w:divBdr>
        <w:top w:val="none" w:sz="0" w:space="0" w:color="auto"/>
        <w:left w:val="none" w:sz="0" w:space="0" w:color="auto"/>
        <w:bottom w:val="none" w:sz="0" w:space="0" w:color="auto"/>
        <w:right w:val="none" w:sz="0" w:space="0" w:color="auto"/>
      </w:divBdr>
    </w:div>
    <w:div w:id="1141657723">
      <w:bodyDiv w:val="1"/>
      <w:marLeft w:val="0"/>
      <w:marRight w:val="0"/>
      <w:marTop w:val="0"/>
      <w:marBottom w:val="0"/>
      <w:divBdr>
        <w:top w:val="none" w:sz="0" w:space="0" w:color="auto"/>
        <w:left w:val="none" w:sz="0" w:space="0" w:color="auto"/>
        <w:bottom w:val="none" w:sz="0" w:space="0" w:color="auto"/>
        <w:right w:val="none" w:sz="0" w:space="0" w:color="auto"/>
      </w:divBdr>
    </w:div>
    <w:div w:id="1141727222">
      <w:bodyDiv w:val="1"/>
      <w:marLeft w:val="0"/>
      <w:marRight w:val="0"/>
      <w:marTop w:val="0"/>
      <w:marBottom w:val="0"/>
      <w:divBdr>
        <w:top w:val="none" w:sz="0" w:space="0" w:color="auto"/>
        <w:left w:val="none" w:sz="0" w:space="0" w:color="auto"/>
        <w:bottom w:val="none" w:sz="0" w:space="0" w:color="auto"/>
        <w:right w:val="none" w:sz="0" w:space="0" w:color="auto"/>
      </w:divBdr>
    </w:div>
    <w:div w:id="1148210277">
      <w:bodyDiv w:val="1"/>
      <w:marLeft w:val="0"/>
      <w:marRight w:val="0"/>
      <w:marTop w:val="0"/>
      <w:marBottom w:val="0"/>
      <w:divBdr>
        <w:top w:val="none" w:sz="0" w:space="0" w:color="auto"/>
        <w:left w:val="none" w:sz="0" w:space="0" w:color="auto"/>
        <w:bottom w:val="none" w:sz="0" w:space="0" w:color="auto"/>
        <w:right w:val="none" w:sz="0" w:space="0" w:color="auto"/>
      </w:divBdr>
    </w:div>
    <w:div w:id="1152216291">
      <w:bodyDiv w:val="1"/>
      <w:marLeft w:val="0"/>
      <w:marRight w:val="0"/>
      <w:marTop w:val="0"/>
      <w:marBottom w:val="0"/>
      <w:divBdr>
        <w:top w:val="none" w:sz="0" w:space="0" w:color="auto"/>
        <w:left w:val="none" w:sz="0" w:space="0" w:color="auto"/>
        <w:bottom w:val="none" w:sz="0" w:space="0" w:color="auto"/>
        <w:right w:val="none" w:sz="0" w:space="0" w:color="auto"/>
      </w:divBdr>
    </w:div>
    <w:div w:id="1168133747">
      <w:bodyDiv w:val="1"/>
      <w:marLeft w:val="0"/>
      <w:marRight w:val="0"/>
      <w:marTop w:val="0"/>
      <w:marBottom w:val="0"/>
      <w:divBdr>
        <w:top w:val="none" w:sz="0" w:space="0" w:color="auto"/>
        <w:left w:val="none" w:sz="0" w:space="0" w:color="auto"/>
        <w:bottom w:val="none" w:sz="0" w:space="0" w:color="auto"/>
        <w:right w:val="none" w:sz="0" w:space="0" w:color="auto"/>
      </w:divBdr>
    </w:div>
    <w:div w:id="1168518544">
      <w:bodyDiv w:val="1"/>
      <w:marLeft w:val="0"/>
      <w:marRight w:val="0"/>
      <w:marTop w:val="0"/>
      <w:marBottom w:val="0"/>
      <w:divBdr>
        <w:top w:val="none" w:sz="0" w:space="0" w:color="auto"/>
        <w:left w:val="none" w:sz="0" w:space="0" w:color="auto"/>
        <w:bottom w:val="none" w:sz="0" w:space="0" w:color="auto"/>
        <w:right w:val="none" w:sz="0" w:space="0" w:color="auto"/>
      </w:divBdr>
    </w:div>
    <w:div w:id="1176531013">
      <w:bodyDiv w:val="1"/>
      <w:marLeft w:val="0"/>
      <w:marRight w:val="0"/>
      <w:marTop w:val="0"/>
      <w:marBottom w:val="0"/>
      <w:divBdr>
        <w:top w:val="none" w:sz="0" w:space="0" w:color="auto"/>
        <w:left w:val="none" w:sz="0" w:space="0" w:color="auto"/>
        <w:bottom w:val="none" w:sz="0" w:space="0" w:color="auto"/>
        <w:right w:val="none" w:sz="0" w:space="0" w:color="auto"/>
      </w:divBdr>
    </w:div>
    <w:div w:id="1180391323">
      <w:bodyDiv w:val="1"/>
      <w:marLeft w:val="0"/>
      <w:marRight w:val="0"/>
      <w:marTop w:val="0"/>
      <w:marBottom w:val="0"/>
      <w:divBdr>
        <w:top w:val="none" w:sz="0" w:space="0" w:color="auto"/>
        <w:left w:val="none" w:sz="0" w:space="0" w:color="auto"/>
        <w:bottom w:val="none" w:sz="0" w:space="0" w:color="auto"/>
        <w:right w:val="none" w:sz="0" w:space="0" w:color="auto"/>
      </w:divBdr>
    </w:div>
    <w:div w:id="1184980246">
      <w:bodyDiv w:val="1"/>
      <w:marLeft w:val="0"/>
      <w:marRight w:val="0"/>
      <w:marTop w:val="0"/>
      <w:marBottom w:val="0"/>
      <w:divBdr>
        <w:top w:val="none" w:sz="0" w:space="0" w:color="auto"/>
        <w:left w:val="none" w:sz="0" w:space="0" w:color="auto"/>
        <w:bottom w:val="none" w:sz="0" w:space="0" w:color="auto"/>
        <w:right w:val="none" w:sz="0" w:space="0" w:color="auto"/>
      </w:divBdr>
    </w:div>
    <w:div w:id="1188254503">
      <w:bodyDiv w:val="1"/>
      <w:marLeft w:val="0"/>
      <w:marRight w:val="0"/>
      <w:marTop w:val="0"/>
      <w:marBottom w:val="0"/>
      <w:divBdr>
        <w:top w:val="none" w:sz="0" w:space="0" w:color="auto"/>
        <w:left w:val="none" w:sz="0" w:space="0" w:color="auto"/>
        <w:bottom w:val="none" w:sz="0" w:space="0" w:color="auto"/>
        <w:right w:val="none" w:sz="0" w:space="0" w:color="auto"/>
      </w:divBdr>
    </w:div>
    <w:div w:id="1189173020">
      <w:bodyDiv w:val="1"/>
      <w:marLeft w:val="0"/>
      <w:marRight w:val="0"/>
      <w:marTop w:val="0"/>
      <w:marBottom w:val="0"/>
      <w:divBdr>
        <w:top w:val="none" w:sz="0" w:space="0" w:color="auto"/>
        <w:left w:val="none" w:sz="0" w:space="0" w:color="auto"/>
        <w:bottom w:val="none" w:sz="0" w:space="0" w:color="auto"/>
        <w:right w:val="none" w:sz="0" w:space="0" w:color="auto"/>
      </w:divBdr>
    </w:div>
    <w:div w:id="1190219220">
      <w:bodyDiv w:val="1"/>
      <w:marLeft w:val="0"/>
      <w:marRight w:val="0"/>
      <w:marTop w:val="0"/>
      <w:marBottom w:val="0"/>
      <w:divBdr>
        <w:top w:val="none" w:sz="0" w:space="0" w:color="auto"/>
        <w:left w:val="none" w:sz="0" w:space="0" w:color="auto"/>
        <w:bottom w:val="none" w:sz="0" w:space="0" w:color="auto"/>
        <w:right w:val="none" w:sz="0" w:space="0" w:color="auto"/>
      </w:divBdr>
    </w:div>
    <w:div w:id="1203517623">
      <w:bodyDiv w:val="1"/>
      <w:marLeft w:val="0"/>
      <w:marRight w:val="0"/>
      <w:marTop w:val="0"/>
      <w:marBottom w:val="0"/>
      <w:divBdr>
        <w:top w:val="none" w:sz="0" w:space="0" w:color="auto"/>
        <w:left w:val="none" w:sz="0" w:space="0" w:color="auto"/>
        <w:bottom w:val="none" w:sz="0" w:space="0" w:color="auto"/>
        <w:right w:val="none" w:sz="0" w:space="0" w:color="auto"/>
      </w:divBdr>
    </w:div>
    <w:div w:id="1213073929">
      <w:bodyDiv w:val="1"/>
      <w:marLeft w:val="0"/>
      <w:marRight w:val="0"/>
      <w:marTop w:val="0"/>
      <w:marBottom w:val="0"/>
      <w:divBdr>
        <w:top w:val="none" w:sz="0" w:space="0" w:color="auto"/>
        <w:left w:val="none" w:sz="0" w:space="0" w:color="auto"/>
        <w:bottom w:val="none" w:sz="0" w:space="0" w:color="auto"/>
        <w:right w:val="none" w:sz="0" w:space="0" w:color="auto"/>
      </w:divBdr>
    </w:div>
    <w:div w:id="1214463923">
      <w:bodyDiv w:val="1"/>
      <w:marLeft w:val="0"/>
      <w:marRight w:val="0"/>
      <w:marTop w:val="0"/>
      <w:marBottom w:val="0"/>
      <w:divBdr>
        <w:top w:val="none" w:sz="0" w:space="0" w:color="auto"/>
        <w:left w:val="none" w:sz="0" w:space="0" w:color="auto"/>
        <w:bottom w:val="none" w:sz="0" w:space="0" w:color="auto"/>
        <w:right w:val="none" w:sz="0" w:space="0" w:color="auto"/>
      </w:divBdr>
    </w:div>
    <w:div w:id="1217934406">
      <w:bodyDiv w:val="1"/>
      <w:marLeft w:val="0"/>
      <w:marRight w:val="0"/>
      <w:marTop w:val="0"/>
      <w:marBottom w:val="0"/>
      <w:divBdr>
        <w:top w:val="none" w:sz="0" w:space="0" w:color="auto"/>
        <w:left w:val="none" w:sz="0" w:space="0" w:color="auto"/>
        <w:bottom w:val="none" w:sz="0" w:space="0" w:color="auto"/>
        <w:right w:val="none" w:sz="0" w:space="0" w:color="auto"/>
      </w:divBdr>
    </w:div>
    <w:div w:id="1218516687">
      <w:bodyDiv w:val="1"/>
      <w:marLeft w:val="0"/>
      <w:marRight w:val="0"/>
      <w:marTop w:val="0"/>
      <w:marBottom w:val="0"/>
      <w:divBdr>
        <w:top w:val="none" w:sz="0" w:space="0" w:color="auto"/>
        <w:left w:val="none" w:sz="0" w:space="0" w:color="auto"/>
        <w:bottom w:val="none" w:sz="0" w:space="0" w:color="auto"/>
        <w:right w:val="none" w:sz="0" w:space="0" w:color="auto"/>
      </w:divBdr>
    </w:div>
    <w:div w:id="1220701619">
      <w:bodyDiv w:val="1"/>
      <w:marLeft w:val="0"/>
      <w:marRight w:val="0"/>
      <w:marTop w:val="0"/>
      <w:marBottom w:val="0"/>
      <w:divBdr>
        <w:top w:val="none" w:sz="0" w:space="0" w:color="auto"/>
        <w:left w:val="none" w:sz="0" w:space="0" w:color="auto"/>
        <w:bottom w:val="none" w:sz="0" w:space="0" w:color="auto"/>
        <w:right w:val="none" w:sz="0" w:space="0" w:color="auto"/>
      </w:divBdr>
    </w:div>
    <w:div w:id="1221014716">
      <w:bodyDiv w:val="1"/>
      <w:marLeft w:val="0"/>
      <w:marRight w:val="0"/>
      <w:marTop w:val="0"/>
      <w:marBottom w:val="0"/>
      <w:divBdr>
        <w:top w:val="none" w:sz="0" w:space="0" w:color="auto"/>
        <w:left w:val="none" w:sz="0" w:space="0" w:color="auto"/>
        <w:bottom w:val="none" w:sz="0" w:space="0" w:color="auto"/>
        <w:right w:val="none" w:sz="0" w:space="0" w:color="auto"/>
      </w:divBdr>
    </w:div>
    <w:div w:id="1225334922">
      <w:bodyDiv w:val="1"/>
      <w:marLeft w:val="0"/>
      <w:marRight w:val="0"/>
      <w:marTop w:val="0"/>
      <w:marBottom w:val="0"/>
      <w:divBdr>
        <w:top w:val="none" w:sz="0" w:space="0" w:color="auto"/>
        <w:left w:val="none" w:sz="0" w:space="0" w:color="auto"/>
        <w:bottom w:val="none" w:sz="0" w:space="0" w:color="auto"/>
        <w:right w:val="none" w:sz="0" w:space="0" w:color="auto"/>
      </w:divBdr>
    </w:div>
    <w:div w:id="1226143401">
      <w:bodyDiv w:val="1"/>
      <w:marLeft w:val="0"/>
      <w:marRight w:val="0"/>
      <w:marTop w:val="0"/>
      <w:marBottom w:val="0"/>
      <w:divBdr>
        <w:top w:val="none" w:sz="0" w:space="0" w:color="auto"/>
        <w:left w:val="none" w:sz="0" w:space="0" w:color="auto"/>
        <w:bottom w:val="none" w:sz="0" w:space="0" w:color="auto"/>
        <w:right w:val="none" w:sz="0" w:space="0" w:color="auto"/>
      </w:divBdr>
    </w:div>
    <w:div w:id="1232934378">
      <w:bodyDiv w:val="1"/>
      <w:marLeft w:val="0"/>
      <w:marRight w:val="0"/>
      <w:marTop w:val="0"/>
      <w:marBottom w:val="0"/>
      <w:divBdr>
        <w:top w:val="none" w:sz="0" w:space="0" w:color="auto"/>
        <w:left w:val="none" w:sz="0" w:space="0" w:color="auto"/>
        <w:bottom w:val="none" w:sz="0" w:space="0" w:color="auto"/>
        <w:right w:val="none" w:sz="0" w:space="0" w:color="auto"/>
      </w:divBdr>
    </w:div>
    <w:div w:id="1236864900">
      <w:bodyDiv w:val="1"/>
      <w:marLeft w:val="0"/>
      <w:marRight w:val="0"/>
      <w:marTop w:val="0"/>
      <w:marBottom w:val="0"/>
      <w:divBdr>
        <w:top w:val="none" w:sz="0" w:space="0" w:color="auto"/>
        <w:left w:val="none" w:sz="0" w:space="0" w:color="auto"/>
        <w:bottom w:val="none" w:sz="0" w:space="0" w:color="auto"/>
        <w:right w:val="none" w:sz="0" w:space="0" w:color="auto"/>
      </w:divBdr>
    </w:div>
    <w:div w:id="1243757526">
      <w:bodyDiv w:val="1"/>
      <w:marLeft w:val="0"/>
      <w:marRight w:val="0"/>
      <w:marTop w:val="0"/>
      <w:marBottom w:val="0"/>
      <w:divBdr>
        <w:top w:val="none" w:sz="0" w:space="0" w:color="auto"/>
        <w:left w:val="none" w:sz="0" w:space="0" w:color="auto"/>
        <w:bottom w:val="none" w:sz="0" w:space="0" w:color="auto"/>
        <w:right w:val="none" w:sz="0" w:space="0" w:color="auto"/>
      </w:divBdr>
    </w:div>
    <w:div w:id="1244489259">
      <w:bodyDiv w:val="1"/>
      <w:marLeft w:val="0"/>
      <w:marRight w:val="0"/>
      <w:marTop w:val="0"/>
      <w:marBottom w:val="0"/>
      <w:divBdr>
        <w:top w:val="none" w:sz="0" w:space="0" w:color="auto"/>
        <w:left w:val="none" w:sz="0" w:space="0" w:color="auto"/>
        <w:bottom w:val="none" w:sz="0" w:space="0" w:color="auto"/>
        <w:right w:val="none" w:sz="0" w:space="0" w:color="auto"/>
      </w:divBdr>
    </w:div>
    <w:div w:id="1244880064">
      <w:bodyDiv w:val="1"/>
      <w:marLeft w:val="0"/>
      <w:marRight w:val="0"/>
      <w:marTop w:val="0"/>
      <w:marBottom w:val="0"/>
      <w:divBdr>
        <w:top w:val="none" w:sz="0" w:space="0" w:color="auto"/>
        <w:left w:val="none" w:sz="0" w:space="0" w:color="auto"/>
        <w:bottom w:val="none" w:sz="0" w:space="0" w:color="auto"/>
        <w:right w:val="none" w:sz="0" w:space="0" w:color="auto"/>
      </w:divBdr>
    </w:div>
    <w:div w:id="1249774203">
      <w:bodyDiv w:val="1"/>
      <w:marLeft w:val="0"/>
      <w:marRight w:val="0"/>
      <w:marTop w:val="0"/>
      <w:marBottom w:val="0"/>
      <w:divBdr>
        <w:top w:val="none" w:sz="0" w:space="0" w:color="auto"/>
        <w:left w:val="none" w:sz="0" w:space="0" w:color="auto"/>
        <w:bottom w:val="none" w:sz="0" w:space="0" w:color="auto"/>
        <w:right w:val="none" w:sz="0" w:space="0" w:color="auto"/>
      </w:divBdr>
    </w:div>
    <w:div w:id="1250386507">
      <w:bodyDiv w:val="1"/>
      <w:marLeft w:val="0"/>
      <w:marRight w:val="0"/>
      <w:marTop w:val="0"/>
      <w:marBottom w:val="0"/>
      <w:divBdr>
        <w:top w:val="none" w:sz="0" w:space="0" w:color="auto"/>
        <w:left w:val="none" w:sz="0" w:space="0" w:color="auto"/>
        <w:bottom w:val="none" w:sz="0" w:space="0" w:color="auto"/>
        <w:right w:val="none" w:sz="0" w:space="0" w:color="auto"/>
      </w:divBdr>
    </w:div>
    <w:div w:id="1253663973">
      <w:bodyDiv w:val="1"/>
      <w:marLeft w:val="0"/>
      <w:marRight w:val="0"/>
      <w:marTop w:val="0"/>
      <w:marBottom w:val="0"/>
      <w:divBdr>
        <w:top w:val="none" w:sz="0" w:space="0" w:color="auto"/>
        <w:left w:val="none" w:sz="0" w:space="0" w:color="auto"/>
        <w:bottom w:val="none" w:sz="0" w:space="0" w:color="auto"/>
        <w:right w:val="none" w:sz="0" w:space="0" w:color="auto"/>
      </w:divBdr>
    </w:div>
    <w:div w:id="1261257596">
      <w:bodyDiv w:val="1"/>
      <w:marLeft w:val="0"/>
      <w:marRight w:val="0"/>
      <w:marTop w:val="0"/>
      <w:marBottom w:val="0"/>
      <w:divBdr>
        <w:top w:val="none" w:sz="0" w:space="0" w:color="auto"/>
        <w:left w:val="none" w:sz="0" w:space="0" w:color="auto"/>
        <w:bottom w:val="none" w:sz="0" w:space="0" w:color="auto"/>
        <w:right w:val="none" w:sz="0" w:space="0" w:color="auto"/>
      </w:divBdr>
    </w:div>
    <w:div w:id="1266619179">
      <w:bodyDiv w:val="1"/>
      <w:marLeft w:val="0"/>
      <w:marRight w:val="0"/>
      <w:marTop w:val="0"/>
      <w:marBottom w:val="0"/>
      <w:divBdr>
        <w:top w:val="none" w:sz="0" w:space="0" w:color="auto"/>
        <w:left w:val="none" w:sz="0" w:space="0" w:color="auto"/>
        <w:bottom w:val="none" w:sz="0" w:space="0" w:color="auto"/>
        <w:right w:val="none" w:sz="0" w:space="0" w:color="auto"/>
      </w:divBdr>
    </w:div>
    <w:div w:id="1273706997">
      <w:bodyDiv w:val="1"/>
      <w:marLeft w:val="0"/>
      <w:marRight w:val="0"/>
      <w:marTop w:val="0"/>
      <w:marBottom w:val="0"/>
      <w:divBdr>
        <w:top w:val="none" w:sz="0" w:space="0" w:color="auto"/>
        <w:left w:val="none" w:sz="0" w:space="0" w:color="auto"/>
        <w:bottom w:val="none" w:sz="0" w:space="0" w:color="auto"/>
        <w:right w:val="none" w:sz="0" w:space="0" w:color="auto"/>
      </w:divBdr>
    </w:div>
    <w:div w:id="1275988203">
      <w:bodyDiv w:val="1"/>
      <w:marLeft w:val="0"/>
      <w:marRight w:val="0"/>
      <w:marTop w:val="0"/>
      <w:marBottom w:val="0"/>
      <w:divBdr>
        <w:top w:val="none" w:sz="0" w:space="0" w:color="auto"/>
        <w:left w:val="none" w:sz="0" w:space="0" w:color="auto"/>
        <w:bottom w:val="none" w:sz="0" w:space="0" w:color="auto"/>
        <w:right w:val="none" w:sz="0" w:space="0" w:color="auto"/>
      </w:divBdr>
    </w:div>
    <w:div w:id="1277445987">
      <w:bodyDiv w:val="1"/>
      <w:marLeft w:val="0"/>
      <w:marRight w:val="0"/>
      <w:marTop w:val="0"/>
      <w:marBottom w:val="0"/>
      <w:divBdr>
        <w:top w:val="none" w:sz="0" w:space="0" w:color="auto"/>
        <w:left w:val="none" w:sz="0" w:space="0" w:color="auto"/>
        <w:bottom w:val="none" w:sz="0" w:space="0" w:color="auto"/>
        <w:right w:val="none" w:sz="0" w:space="0" w:color="auto"/>
      </w:divBdr>
    </w:div>
    <w:div w:id="1283489380">
      <w:bodyDiv w:val="1"/>
      <w:marLeft w:val="0"/>
      <w:marRight w:val="0"/>
      <w:marTop w:val="0"/>
      <w:marBottom w:val="0"/>
      <w:divBdr>
        <w:top w:val="none" w:sz="0" w:space="0" w:color="auto"/>
        <w:left w:val="none" w:sz="0" w:space="0" w:color="auto"/>
        <w:bottom w:val="none" w:sz="0" w:space="0" w:color="auto"/>
        <w:right w:val="none" w:sz="0" w:space="0" w:color="auto"/>
      </w:divBdr>
    </w:div>
    <w:div w:id="1283616255">
      <w:bodyDiv w:val="1"/>
      <w:marLeft w:val="0"/>
      <w:marRight w:val="0"/>
      <w:marTop w:val="0"/>
      <w:marBottom w:val="0"/>
      <w:divBdr>
        <w:top w:val="none" w:sz="0" w:space="0" w:color="auto"/>
        <w:left w:val="none" w:sz="0" w:space="0" w:color="auto"/>
        <w:bottom w:val="none" w:sz="0" w:space="0" w:color="auto"/>
        <w:right w:val="none" w:sz="0" w:space="0" w:color="auto"/>
      </w:divBdr>
    </w:div>
    <w:div w:id="1284653933">
      <w:bodyDiv w:val="1"/>
      <w:marLeft w:val="0"/>
      <w:marRight w:val="0"/>
      <w:marTop w:val="0"/>
      <w:marBottom w:val="0"/>
      <w:divBdr>
        <w:top w:val="none" w:sz="0" w:space="0" w:color="auto"/>
        <w:left w:val="none" w:sz="0" w:space="0" w:color="auto"/>
        <w:bottom w:val="none" w:sz="0" w:space="0" w:color="auto"/>
        <w:right w:val="none" w:sz="0" w:space="0" w:color="auto"/>
      </w:divBdr>
    </w:div>
    <w:div w:id="1291742971">
      <w:bodyDiv w:val="1"/>
      <w:marLeft w:val="0"/>
      <w:marRight w:val="0"/>
      <w:marTop w:val="0"/>
      <w:marBottom w:val="0"/>
      <w:divBdr>
        <w:top w:val="none" w:sz="0" w:space="0" w:color="auto"/>
        <w:left w:val="none" w:sz="0" w:space="0" w:color="auto"/>
        <w:bottom w:val="none" w:sz="0" w:space="0" w:color="auto"/>
        <w:right w:val="none" w:sz="0" w:space="0" w:color="auto"/>
      </w:divBdr>
    </w:div>
    <w:div w:id="1296444911">
      <w:bodyDiv w:val="1"/>
      <w:marLeft w:val="0"/>
      <w:marRight w:val="0"/>
      <w:marTop w:val="0"/>
      <w:marBottom w:val="0"/>
      <w:divBdr>
        <w:top w:val="none" w:sz="0" w:space="0" w:color="auto"/>
        <w:left w:val="none" w:sz="0" w:space="0" w:color="auto"/>
        <w:bottom w:val="none" w:sz="0" w:space="0" w:color="auto"/>
        <w:right w:val="none" w:sz="0" w:space="0" w:color="auto"/>
      </w:divBdr>
    </w:div>
    <w:div w:id="1296839811">
      <w:bodyDiv w:val="1"/>
      <w:marLeft w:val="0"/>
      <w:marRight w:val="0"/>
      <w:marTop w:val="0"/>
      <w:marBottom w:val="0"/>
      <w:divBdr>
        <w:top w:val="none" w:sz="0" w:space="0" w:color="auto"/>
        <w:left w:val="none" w:sz="0" w:space="0" w:color="auto"/>
        <w:bottom w:val="none" w:sz="0" w:space="0" w:color="auto"/>
        <w:right w:val="none" w:sz="0" w:space="0" w:color="auto"/>
      </w:divBdr>
    </w:div>
    <w:div w:id="1302926804">
      <w:bodyDiv w:val="1"/>
      <w:marLeft w:val="0"/>
      <w:marRight w:val="0"/>
      <w:marTop w:val="0"/>
      <w:marBottom w:val="0"/>
      <w:divBdr>
        <w:top w:val="none" w:sz="0" w:space="0" w:color="auto"/>
        <w:left w:val="none" w:sz="0" w:space="0" w:color="auto"/>
        <w:bottom w:val="none" w:sz="0" w:space="0" w:color="auto"/>
        <w:right w:val="none" w:sz="0" w:space="0" w:color="auto"/>
      </w:divBdr>
    </w:div>
    <w:div w:id="1305543625">
      <w:bodyDiv w:val="1"/>
      <w:marLeft w:val="0"/>
      <w:marRight w:val="0"/>
      <w:marTop w:val="0"/>
      <w:marBottom w:val="0"/>
      <w:divBdr>
        <w:top w:val="none" w:sz="0" w:space="0" w:color="auto"/>
        <w:left w:val="none" w:sz="0" w:space="0" w:color="auto"/>
        <w:bottom w:val="none" w:sz="0" w:space="0" w:color="auto"/>
        <w:right w:val="none" w:sz="0" w:space="0" w:color="auto"/>
      </w:divBdr>
    </w:div>
    <w:div w:id="1307662614">
      <w:bodyDiv w:val="1"/>
      <w:marLeft w:val="0"/>
      <w:marRight w:val="0"/>
      <w:marTop w:val="0"/>
      <w:marBottom w:val="0"/>
      <w:divBdr>
        <w:top w:val="none" w:sz="0" w:space="0" w:color="auto"/>
        <w:left w:val="none" w:sz="0" w:space="0" w:color="auto"/>
        <w:bottom w:val="none" w:sz="0" w:space="0" w:color="auto"/>
        <w:right w:val="none" w:sz="0" w:space="0" w:color="auto"/>
      </w:divBdr>
    </w:div>
    <w:div w:id="1312370656">
      <w:bodyDiv w:val="1"/>
      <w:marLeft w:val="0"/>
      <w:marRight w:val="0"/>
      <w:marTop w:val="0"/>
      <w:marBottom w:val="0"/>
      <w:divBdr>
        <w:top w:val="none" w:sz="0" w:space="0" w:color="auto"/>
        <w:left w:val="none" w:sz="0" w:space="0" w:color="auto"/>
        <w:bottom w:val="none" w:sz="0" w:space="0" w:color="auto"/>
        <w:right w:val="none" w:sz="0" w:space="0" w:color="auto"/>
      </w:divBdr>
    </w:div>
    <w:div w:id="1314215086">
      <w:bodyDiv w:val="1"/>
      <w:marLeft w:val="0"/>
      <w:marRight w:val="0"/>
      <w:marTop w:val="0"/>
      <w:marBottom w:val="0"/>
      <w:divBdr>
        <w:top w:val="none" w:sz="0" w:space="0" w:color="auto"/>
        <w:left w:val="none" w:sz="0" w:space="0" w:color="auto"/>
        <w:bottom w:val="none" w:sz="0" w:space="0" w:color="auto"/>
        <w:right w:val="none" w:sz="0" w:space="0" w:color="auto"/>
      </w:divBdr>
    </w:div>
    <w:div w:id="1323048491">
      <w:bodyDiv w:val="1"/>
      <w:marLeft w:val="0"/>
      <w:marRight w:val="0"/>
      <w:marTop w:val="0"/>
      <w:marBottom w:val="0"/>
      <w:divBdr>
        <w:top w:val="none" w:sz="0" w:space="0" w:color="auto"/>
        <w:left w:val="none" w:sz="0" w:space="0" w:color="auto"/>
        <w:bottom w:val="none" w:sz="0" w:space="0" w:color="auto"/>
        <w:right w:val="none" w:sz="0" w:space="0" w:color="auto"/>
      </w:divBdr>
    </w:div>
    <w:div w:id="1329751517">
      <w:bodyDiv w:val="1"/>
      <w:marLeft w:val="0"/>
      <w:marRight w:val="0"/>
      <w:marTop w:val="0"/>
      <w:marBottom w:val="0"/>
      <w:divBdr>
        <w:top w:val="none" w:sz="0" w:space="0" w:color="auto"/>
        <w:left w:val="none" w:sz="0" w:space="0" w:color="auto"/>
        <w:bottom w:val="none" w:sz="0" w:space="0" w:color="auto"/>
        <w:right w:val="none" w:sz="0" w:space="0" w:color="auto"/>
      </w:divBdr>
    </w:div>
    <w:div w:id="1332564916">
      <w:bodyDiv w:val="1"/>
      <w:marLeft w:val="0"/>
      <w:marRight w:val="0"/>
      <w:marTop w:val="0"/>
      <w:marBottom w:val="0"/>
      <w:divBdr>
        <w:top w:val="none" w:sz="0" w:space="0" w:color="auto"/>
        <w:left w:val="none" w:sz="0" w:space="0" w:color="auto"/>
        <w:bottom w:val="none" w:sz="0" w:space="0" w:color="auto"/>
        <w:right w:val="none" w:sz="0" w:space="0" w:color="auto"/>
      </w:divBdr>
    </w:div>
    <w:div w:id="1335838689">
      <w:bodyDiv w:val="1"/>
      <w:marLeft w:val="0"/>
      <w:marRight w:val="0"/>
      <w:marTop w:val="0"/>
      <w:marBottom w:val="0"/>
      <w:divBdr>
        <w:top w:val="none" w:sz="0" w:space="0" w:color="auto"/>
        <w:left w:val="none" w:sz="0" w:space="0" w:color="auto"/>
        <w:bottom w:val="none" w:sz="0" w:space="0" w:color="auto"/>
        <w:right w:val="none" w:sz="0" w:space="0" w:color="auto"/>
      </w:divBdr>
    </w:div>
    <w:div w:id="1336569186">
      <w:bodyDiv w:val="1"/>
      <w:marLeft w:val="0"/>
      <w:marRight w:val="0"/>
      <w:marTop w:val="0"/>
      <w:marBottom w:val="0"/>
      <w:divBdr>
        <w:top w:val="none" w:sz="0" w:space="0" w:color="auto"/>
        <w:left w:val="none" w:sz="0" w:space="0" w:color="auto"/>
        <w:bottom w:val="none" w:sz="0" w:space="0" w:color="auto"/>
        <w:right w:val="none" w:sz="0" w:space="0" w:color="auto"/>
      </w:divBdr>
    </w:div>
    <w:div w:id="1341541413">
      <w:bodyDiv w:val="1"/>
      <w:marLeft w:val="0"/>
      <w:marRight w:val="0"/>
      <w:marTop w:val="0"/>
      <w:marBottom w:val="0"/>
      <w:divBdr>
        <w:top w:val="none" w:sz="0" w:space="0" w:color="auto"/>
        <w:left w:val="none" w:sz="0" w:space="0" w:color="auto"/>
        <w:bottom w:val="none" w:sz="0" w:space="0" w:color="auto"/>
        <w:right w:val="none" w:sz="0" w:space="0" w:color="auto"/>
      </w:divBdr>
    </w:div>
    <w:div w:id="1344210174">
      <w:bodyDiv w:val="1"/>
      <w:marLeft w:val="0"/>
      <w:marRight w:val="0"/>
      <w:marTop w:val="0"/>
      <w:marBottom w:val="0"/>
      <w:divBdr>
        <w:top w:val="none" w:sz="0" w:space="0" w:color="auto"/>
        <w:left w:val="none" w:sz="0" w:space="0" w:color="auto"/>
        <w:bottom w:val="none" w:sz="0" w:space="0" w:color="auto"/>
        <w:right w:val="none" w:sz="0" w:space="0" w:color="auto"/>
      </w:divBdr>
    </w:div>
    <w:div w:id="1344550656">
      <w:bodyDiv w:val="1"/>
      <w:marLeft w:val="0"/>
      <w:marRight w:val="0"/>
      <w:marTop w:val="0"/>
      <w:marBottom w:val="0"/>
      <w:divBdr>
        <w:top w:val="none" w:sz="0" w:space="0" w:color="auto"/>
        <w:left w:val="none" w:sz="0" w:space="0" w:color="auto"/>
        <w:bottom w:val="none" w:sz="0" w:space="0" w:color="auto"/>
        <w:right w:val="none" w:sz="0" w:space="0" w:color="auto"/>
      </w:divBdr>
    </w:div>
    <w:div w:id="1345551307">
      <w:bodyDiv w:val="1"/>
      <w:marLeft w:val="0"/>
      <w:marRight w:val="0"/>
      <w:marTop w:val="0"/>
      <w:marBottom w:val="0"/>
      <w:divBdr>
        <w:top w:val="none" w:sz="0" w:space="0" w:color="auto"/>
        <w:left w:val="none" w:sz="0" w:space="0" w:color="auto"/>
        <w:bottom w:val="none" w:sz="0" w:space="0" w:color="auto"/>
        <w:right w:val="none" w:sz="0" w:space="0" w:color="auto"/>
      </w:divBdr>
    </w:div>
    <w:div w:id="1349142042">
      <w:bodyDiv w:val="1"/>
      <w:marLeft w:val="0"/>
      <w:marRight w:val="0"/>
      <w:marTop w:val="0"/>
      <w:marBottom w:val="0"/>
      <w:divBdr>
        <w:top w:val="none" w:sz="0" w:space="0" w:color="auto"/>
        <w:left w:val="none" w:sz="0" w:space="0" w:color="auto"/>
        <w:bottom w:val="none" w:sz="0" w:space="0" w:color="auto"/>
        <w:right w:val="none" w:sz="0" w:space="0" w:color="auto"/>
      </w:divBdr>
    </w:div>
    <w:div w:id="1349287010">
      <w:bodyDiv w:val="1"/>
      <w:marLeft w:val="0"/>
      <w:marRight w:val="0"/>
      <w:marTop w:val="0"/>
      <w:marBottom w:val="0"/>
      <w:divBdr>
        <w:top w:val="none" w:sz="0" w:space="0" w:color="auto"/>
        <w:left w:val="none" w:sz="0" w:space="0" w:color="auto"/>
        <w:bottom w:val="none" w:sz="0" w:space="0" w:color="auto"/>
        <w:right w:val="none" w:sz="0" w:space="0" w:color="auto"/>
      </w:divBdr>
    </w:div>
    <w:div w:id="1359313170">
      <w:bodyDiv w:val="1"/>
      <w:marLeft w:val="0"/>
      <w:marRight w:val="0"/>
      <w:marTop w:val="0"/>
      <w:marBottom w:val="0"/>
      <w:divBdr>
        <w:top w:val="none" w:sz="0" w:space="0" w:color="auto"/>
        <w:left w:val="none" w:sz="0" w:space="0" w:color="auto"/>
        <w:bottom w:val="none" w:sz="0" w:space="0" w:color="auto"/>
        <w:right w:val="none" w:sz="0" w:space="0" w:color="auto"/>
      </w:divBdr>
    </w:div>
    <w:div w:id="1362631691">
      <w:bodyDiv w:val="1"/>
      <w:marLeft w:val="0"/>
      <w:marRight w:val="0"/>
      <w:marTop w:val="0"/>
      <w:marBottom w:val="0"/>
      <w:divBdr>
        <w:top w:val="none" w:sz="0" w:space="0" w:color="auto"/>
        <w:left w:val="none" w:sz="0" w:space="0" w:color="auto"/>
        <w:bottom w:val="none" w:sz="0" w:space="0" w:color="auto"/>
        <w:right w:val="none" w:sz="0" w:space="0" w:color="auto"/>
      </w:divBdr>
    </w:div>
    <w:div w:id="1365909174">
      <w:bodyDiv w:val="1"/>
      <w:marLeft w:val="0"/>
      <w:marRight w:val="0"/>
      <w:marTop w:val="0"/>
      <w:marBottom w:val="0"/>
      <w:divBdr>
        <w:top w:val="none" w:sz="0" w:space="0" w:color="auto"/>
        <w:left w:val="none" w:sz="0" w:space="0" w:color="auto"/>
        <w:bottom w:val="none" w:sz="0" w:space="0" w:color="auto"/>
        <w:right w:val="none" w:sz="0" w:space="0" w:color="auto"/>
      </w:divBdr>
    </w:div>
    <w:div w:id="1367831318">
      <w:bodyDiv w:val="1"/>
      <w:marLeft w:val="0"/>
      <w:marRight w:val="0"/>
      <w:marTop w:val="0"/>
      <w:marBottom w:val="0"/>
      <w:divBdr>
        <w:top w:val="none" w:sz="0" w:space="0" w:color="auto"/>
        <w:left w:val="none" w:sz="0" w:space="0" w:color="auto"/>
        <w:bottom w:val="none" w:sz="0" w:space="0" w:color="auto"/>
        <w:right w:val="none" w:sz="0" w:space="0" w:color="auto"/>
      </w:divBdr>
    </w:div>
    <w:div w:id="1374963338">
      <w:bodyDiv w:val="1"/>
      <w:marLeft w:val="0"/>
      <w:marRight w:val="0"/>
      <w:marTop w:val="0"/>
      <w:marBottom w:val="0"/>
      <w:divBdr>
        <w:top w:val="none" w:sz="0" w:space="0" w:color="auto"/>
        <w:left w:val="none" w:sz="0" w:space="0" w:color="auto"/>
        <w:bottom w:val="none" w:sz="0" w:space="0" w:color="auto"/>
        <w:right w:val="none" w:sz="0" w:space="0" w:color="auto"/>
      </w:divBdr>
    </w:div>
    <w:div w:id="1382752691">
      <w:bodyDiv w:val="1"/>
      <w:marLeft w:val="0"/>
      <w:marRight w:val="0"/>
      <w:marTop w:val="0"/>
      <w:marBottom w:val="0"/>
      <w:divBdr>
        <w:top w:val="none" w:sz="0" w:space="0" w:color="auto"/>
        <w:left w:val="none" w:sz="0" w:space="0" w:color="auto"/>
        <w:bottom w:val="none" w:sz="0" w:space="0" w:color="auto"/>
        <w:right w:val="none" w:sz="0" w:space="0" w:color="auto"/>
      </w:divBdr>
    </w:div>
    <w:div w:id="1390425113">
      <w:bodyDiv w:val="1"/>
      <w:marLeft w:val="0"/>
      <w:marRight w:val="0"/>
      <w:marTop w:val="0"/>
      <w:marBottom w:val="0"/>
      <w:divBdr>
        <w:top w:val="none" w:sz="0" w:space="0" w:color="auto"/>
        <w:left w:val="none" w:sz="0" w:space="0" w:color="auto"/>
        <w:bottom w:val="none" w:sz="0" w:space="0" w:color="auto"/>
        <w:right w:val="none" w:sz="0" w:space="0" w:color="auto"/>
      </w:divBdr>
    </w:div>
    <w:div w:id="1391146741">
      <w:bodyDiv w:val="1"/>
      <w:marLeft w:val="0"/>
      <w:marRight w:val="0"/>
      <w:marTop w:val="0"/>
      <w:marBottom w:val="0"/>
      <w:divBdr>
        <w:top w:val="none" w:sz="0" w:space="0" w:color="auto"/>
        <w:left w:val="none" w:sz="0" w:space="0" w:color="auto"/>
        <w:bottom w:val="none" w:sz="0" w:space="0" w:color="auto"/>
        <w:right w:val="none" w:sz="0" w:space="0" w:color="auto"/>
      </w:divBdr>
    </w:div>
    <w:div w:id="1393961320">
      <w:bodyDiv w:val="1"/>
      <w:marLeft w:val="0"/>
      <w:marRight w:val="0"/>
      <w:marTop w:val="0"/>
      <w:marBottom w:val="0"/>
      <w:divBdr>
        <w:top w:val="none" w:sz="0" w:space="0" w:color="auto"/>
        <w:left w:val="none" w:sz="0" w:space="0" w:color="auto"/>
        <w:bottom w:val="none" w:sz="0" w:space="0" w:color="auto"/>
        <w:right w:val="none" w:sz="0" w:space="0" w:color="auto"/>
      </w:divBdr>
    </w:div>
    <w:div w:id="1397895815">
      <w:bodyDiv w:val="1"/>
      <w:marLeft w:val="0"/>
      <w:marRight w:val="0"/>
      <w:marTop w:val="0"/>
      <w:marBottom w:val="0"/>
      <w:divBdr>
        <w:top w:val="none" w:sz="0" w:space="0" w:color="auto"/>
        <w:left w:val="none" w:sz="0" w:space="0" w:color="auto"/>
        <w:bottom w:val="none" w:sz="0" w:space="0" w:color="auto"/>
        <w:right w:val="none" w:sz="0" w:space="0" w:color="auto"/>
      </w:divBdr>
    </w:div>
    <w:div w:id="1399548958">
      <w:bodyDiv w:val="1"/>
      <w:marLeft w:val="0"/>
      <w:marRight w:val="0"/>
      <w:marTop w:val="0"/>
      <w:marBottom w:val="0"/>
      <w:divBdr>
        <w:top w:val="none" w:sz="0" w:space="0" w:color="auto"/>
        <w:left w:val="none" w:sz="0" w:space="0" w:color="auto"/>
        <w:bottom w:val="none" w:sz="0" w:space="0" w:color="auto"/>
        <w:right w:val="none" w:sz="0" w:space="0" w:color="auto"/>
      </w:divBdr>
    </w:div>
    <w:div w:id="1405950969">
      <w:bodyDiv w:val="1"/>
      <w:marLeft w:val="0"/>
      <w:marRight w:val="0"/>
      <w:marTop w:val="0"/>
      <w:marBottom w:val="0"/>
      <w:divBdr>
        <w:top w:val="none" w:sz="0" w:space="0" w:color="auto"/>
        <w:left w:val="none" w:sz="0" w:space="0" w:color="auto"/>
        <w:bottom w:val="none" w:sz="0" w:space="0" w:color="auto"/>
        <w:right w:val="none" w:sz="0" w:space="0" w:color="auto"/>
      </w:divBdr>
    </w:div>
    <w:div w:id="1406226067">
      <w:bodyDiv w:val="1"/>
      <w:marLeft w:val="0"/>
      <w:marRight w:val="0"/>
      <w:marTop w:val="0"/>
      <w:marBottom w:val="0"/>
      <w:divBdr>
        <w:top w:val="none" w:sz="0" w:space="0" w:color="auto"/>
        <w:left w:val="none" w:sz="0" w:space="0" w:color="auto"/>
        <w:bottom w:val="none" w:sz="0" w:space="0" w:color="auto"/>
        <w:right w:val="none" w:sz="0" w:space="0" w:color="auto"/>
      </w:divBdr>
    </w:div>
    <w:div w:id="1417094005">
      <w:bodyDiv w:val="1"/>
      <w:marLeft w:val="0"/>
      <w:marRight w:val="0"/>
      <w:marTop w:val="0"/>
      <w:marBottom w:val="0"/>
      <w:divBdr>
        <w:top w:val="none" w:sz="0" w:space="0" w:color="auto"/>
        <w:left w:val="none" w:sz="0" w:space="0" w:color="auto"/>
        <w:bottom w:val="none" w:sz="0" w:space="0" w:color="auto"/>
        <w:right w:val="none" w:sz="0" w:space="0" w:color="auto"/>
      </w:divBdr>
    </w:div>
    <w:div w:id="1419476763">
      <w:bodyDiv w:val="1"/>
      <w:marLeft w:val="0"/>
      <w:marRight w:val="0"/>
      <w:marTop w:val="0"/>
      <w:marBottom w:val="0"/>
      <w:divBdr>
        <w:top w:val="none" w:sz="0" w:space="0" w:color="auto"/>
        <w:left w:val="none" w:sz="0" w:space="0" w:color="auto"/>
        <w:bottom w:val="none" w:sz="0" w:space="0" w:color="auto"/>
        <w:right w:val="none" w:sz="0" w:space="0" w:color="auto"/>
      </w:divBdr>
    </w:div>
    <w:div w:id="1443839017">
      <w:bodyDiv w:val="1"/>
      <w:marLeft w:val="0"/>
      <w:marRight w:val="0"/>
      <w:marTop w:val="0"/>
      <w:marBottom w:val="0"/>
      <w:divBdr>
        <w:top w:val="none" w:sz="0" w:space="0" w:color="auto"/>
        <w:left w:val="none" w:sz="0" w:space="0" w:color="auto"/>
        <w:bottom w:val="none" w:sz="0" w:space="0" w:color="auto"/>
        <w:right w:val="none" w:sz="0" w:space="0" w:color="auto"/>
      </w:divBdr>
    </w:div>
    <w:div w:id="1449662763">
      <w:bodyDiv w:val="1"/>
      <w:marLeft w:val="0"/>
      <w:marRight w:val="0"/>
      <w:marTop w:val="0"/>
      <w:marBottom w:val="0"/>
      <w:divBdr>
        <w:top w:val="none" w:sz="0" w:space="0" w:color="auto"/>
        <w:left w:val="none" w:sz="0" w:space="0" w:color="auto"/>
        <w:bottom w:val="none" w:sz="0" w:space="0" w:color="auto"/>
        <w:right w:val="none" w:sz="0" w:space="0" w:color="auto"/>
      </w:divBdr>
    </w:div>
    <w:div w:id="1471677269">
      <w:bodyDiv w:val="1"/>
      <w:marLeft w:val="0"/>
      <w:marRight w:val="0"/>
      <w:marTop w:val="0"/>
      <w:marBottom w:val="0"/>
      <w:divBdr>
        <w:top w:val="none" w:sz="0" w:space="0" w:color="auto"/>
        <w:left w:val="none" w:sz="0" w:space="0" w:color="auto"/>
        <w:bottom w:val="none" w:sz="0" w:space="0" w:color="auto"/>
        <w:right w:val="none" w:sz="0" w:space="0" w:color="auto"/>
      </w:divBdr>
    </w:div>
    <w:div w:id="1473670782">
      <w:bodyDiv w:val="1"/>
      <w:marLeft w:val="0"/>
      <w:marRight w:val="0"/>
      <w:marTop w:val="0"/>
      <w:marBottom w:val="0"/>
      <w:divBdr>
        <w:top w:val="none" w:sz="0" w:space="0" w:color="auto"/>
        <w:left w:val="none" w:sz="0" w:space="0" w:color="auto"/>
        <w:bottom w:val="none" w:sz="0" w:space="0" w:color="auto"/>
        <w:right w:val="none" w:sz="0" w:space="0" w:color="auto"/>
      </w:divBdr>
    </w:div>
    <w:div w:id="1475875333">
      <w:bodyDiv w:val="1"/>
      <w:marLeft w:val="0"/>
      <w:marRight w:val="0"/>
      <w:marTop w:val="0"/>
      <w:marBottom w:val="0"/>
      <w:divBdr>
        <w:top w:val="none" w:sz="0" w:space="0" w:color="auto"/>
        <w:left w:val="none" w:sz="0" w:space="0" w:color="auto"/>
        <w:bottom w:val="none" w:sz="0" w:space="0" w:color="auto"/>
        <w:right w:val="none" w:sz="0" w:space="0" w:color="auto"/>
      </w:divBdr>
    </w:div>
    <w:div w:id="1484470132">
      <w:bodyDiv w:val="1"/>
      <w:marLeft w:val="0"/>
      <w:marRight w:val="0"/>
      <w:marTop w:val="0"/>
      <w:marBottom w:val="0"/>
      <w:divBdr>
        <w:top w:val="none" w:sz="0" w:space="0" w:color="auto"/>
        <w:left w:val="none" w:sz="0" w:space="0" w:color="auto"/>
        <w:bottom w:val="none" w:sz="0" w:space="0" w:color="auto"/>
        <w:right w:val="none" w:sz="0" w:space="0" w:color="auto"/>
      </w:divBdr>
    </w:div>
    <w:div w:id="1486168567">
      <w:bodyDiv w:val="1"/>
      <w:marLeft w:val="0"/>
      <w:marRight w:val="0"/>
      <w:marTop w:val="0"/>
      <w:marBottom w:val="0"/>
      <w:divBdr>
        <w:top w:val="none" w:sz="0" w:space="0" w:color="auto"/>
        <w:left w:val="none" w:sz="0" w:space="0" w:color="auto"/>
        <w:bottom w:val="none" w:sz="0" w:space="0" w:color="auto"/>
        <w:right w:val="none" w:sz="0" w:space="0" w:color="auto"/>
      </w:divBdr>
    </w:div>
    <w:div w:id="1486622291">
      <w:bodyDiv w:val="1"/>
      <w:marLeft w:val="0"/>
      <w:marRight w:val="0"/>
      <w:marTop w:val="0"/>
      <w:marBottom w:val="0"/>
      <w:divBdr>
        <w:top w:val="none" w:sz="0" w:space="0" w:color="auto"/>
        <w:left w:val="none" w:sz="0" w:space="0" w:color="auto"/>
        <w:bottom w:val="none" w:sz="0" w:space="0" w:color="auto"/>
        <w:right w:val="none" w:sz="0" w:space="0" w:color="auto"/>
      </w:divBdr>
    </w:div>
    <w:div w:id="1492603046">
      <w:bodyDiv w:val="1"/>
      <w:marLeft w:val="0"/>
      <w:marRight w:val="0"/>
      <w:marTop w:val="0"/>
      <w:marBottom w:val="0"/>
      <w:divBdr>
        <w:top w:val="none" w:sz="0" w:space="0" w:color="auto"/>
        <w:left w:val="none" w:sz="0" w:space="0" w:color="auto"/>
        <w:bottom w:val="none" w:sz="0" w:space="0" w:color="auto"/>
        <w:right w:val="none" w:sz="0" w:space="0" w:color="auto"/>
      </w:divBdr>
    </w:div>
    <w:div w:id="1495488309">
      <w:bodyDiv w:val="1"/>
      <w:marLeft w:val="0"/>
      <w:marRight w:val="0"/>
      <w:marTop w:val="0"/>
      <w:marBottom w:val="0"/>
      <w:divBdr>
        <w:top w:val="none" w:sz="0" w:space="0" w:color="auto"/>
        <w:left w:val="none" w:sz="0" w:space="0" w:color="auto"/>
        <w:bottom w:val="none" w:sz="0" w:space="0" w:color="auto"/>
        <w:right w:val="none" w:sz="0" w:space="0" w:color="auto"/>
      </w:divBdr>
    </w:div>
    <w:div w:id="1504516520">
      <w:bodyDiv w:val="1"/>
      <w:marLeft w:val="0"/>
      <w:marRight w:val="0"/>
      <w:marTop w:val="0"/>
      <w:marBottom w:val="0"/>
      <w:divBdr>
        <w:top w:val="none" w:sz="0" w:space="0" w:color="auto"/>
        <w:left w:val="none" w:sz="0" w:space="0" w:color="auto"/>
        <w:bottom w:val="none" w:sz="0" w:space="0" w:color="auto"/>
        <w:right w:val="none" w:sz="0" w:space="0" w:color="auto"/>
      </w:divBdr>
    </w:div>
    <w:div w:id="1513454607">
      <w:bodyDiv w:val="1"/>
      <w:marLeft w:val="0"/>
      <w:marRight w:val="0"/>
      <w:marTop w:val="0"/>
      <w:marBottom w:val="0"/>
      <w:divBdr>
        <w:top w:val="none" w:sz="0" w:space="0" w:color="auto"/>
        <w:left w:val="none" w:sz="0" w:space="0" w:color="auto"/>
        <w:bottom w:val="none" w:sz="0" w:space="0" w:color="auto"/>
        <w:right w:val="none" w:sz="0" w:space="0" w:color="auto"/>
      </w:divBdr>
    </w:div>
    <w:div w:id="1513835799">
      <w:bodyDiv w:val="1"/>
      <w:marLeft w:val="0"/>
      <w:marRight w:val="0"/>
      <w:marTop w:val="0"/>
      <w:marBottom w:val="0"/>
      <w:divBdr>
        <w:top w:val="none" w:sz="0" w:space="0" w:color="auto"/>
        <w:left w:val="none" w:sz="0" w:space="0" w:color="auto"/>
        <w:bottom w:val="none" w:sz="0" w:space="0" w:color="auto"/>
        <w:right w:val="none" w:sz="0" w:space="0" w:color="auto"/>
      </w:divBdr>
    </w:div>
    <w:div w:id="1516766676">
      <w:bodyDiv w:val="1"/>
      <w:marLeft w:val="0"/>
      <w:marRight w:val="0"/>
      <w:marTop w:val="0"/>
      <w:marBottom w:val="0"/>
      <w:divBdr>
        <w:top w:val="none" w:sz="0" w:space="0" w:color="auto"/>
        <w:left w:val="none" w:sz="0" w:space="0" w:color="auto"/>
        <w:bottom w:val="none" w:sz="0" w:space="0" w:color="auto"/>
        <w:right w:val="none" w:sz="0" w:space="0" w:color="auto"/>
      </w:divBdr>
    </w:div>
    <w:div w:id="1521895257">
      <w:bodyDiv w:val="1"/>
      <w:marLeft w:val="0"/>
      <w:marRight w:val="0"/>
      <w:marTop w:val="0"/>
      <w:marBottom w:val="0"/>
      <w:divBdr>
        <w:top w:val="none" w:sz="0" w:space="0" w:color="auto"/>
        <w:left w:val="none" w:sz="0" w:space="0" w:color="auto"/>
        <w:bottom w:val="none" w:sz="0" w:space="0" w:color="auto"/>
        <w:right w:val="none" w:sz="0" w:space="0" w:color="auto"/>
      </w:divBdr>
    </w:div>
    <w:div w:id="1523282102">
      <w:bodyDiv w:val="1"/>
      <w:marLeft w:val="0"/>
      <w:marRight w:val="0"/>
      <w:marTop w:val="0"/>
      <w:marBottom w:val="0"/>
      <w:divBdr>
        <w:top w:val="none" w:sz="0" w:space="0" w:color="auto"/>
        <w:left w:val="none" w:sz="0" w:space="0" w:color="auto"/>
        <w:bottom w:val="none" w:sz="0" w:space="0" w:color="auto"/>
        <w:right w:val="none" w:sz="0" w:space="0" w:color="auto"/>
      </w:divBdr>
    </w:div>
    <w:div w:id="1528790323">
      <w:bodyDiv w:val="1"/>
      <w:marLeft w:val="0"/>
      <w:marRight w:val="0"/>
      <w:marTop w:val="0"/>
      <w:marBottom w:val="0"/>
      <w:divBdr>
        <w:top w:val="none" w:sz="0" w:space="0" w:color="auto"/>
        <w:left w:val="none" w:sz="0" w:space="0" w:color="auto"/>
        <w:bottom w:val="none" w:sz="0" w:space="0" w:color="auto"/>
        <w:right w:val="none" w:sz="0" w:space="0" w:color="auto"/>
      </w:divBdr>
    </w:div>
    <w:div w:id="1529566602">
      <w:bodyDiv w:val="1"/>
      <w:marLeft w:val="0"/>
      <w:marRight w:val="0"/>
      <w:marTop w:val="0"/>
      <w:marBottom w:val="0"/>
      <w:divBdr>
        <w:top w:val="none" w:sz="0" w:space="0" w:color="auto"/>
        <w:left w:val="none" w:sz="0" w:space="0" w:color="auto"/>
        <w:bottom w:val="none" w:sz="0" w:space="0" w:color="auto"/>
        <w:right w:val="none" w:sz="0" w:space="0" w:color="auto"/>
      </w:divBdr>
    </w:div>
    <w:div w:id="1537693387">
      <w:bodyDiv w:val="1"/>
      <w:marLeft w:val="0"/>
      <w:marRight w:val="0"/>
      <w:marTop w:val="0"/>
      <w:marBottom w:val="0"/>
      <w:divBdr>
        <w:top w:val="none" w:sz="0" w:space="0" w:color="auto"/>
        <w:left w:val="none" w:sz="0" w:space="0" w:color="auto"/>
        <w:bottom w:val="none" w:sz="0" w:space="0" w:color="auto"/>
        <w:right w:val="none" w:sz="0" w:space="0" w:color="auto"/>
      </w:divBdr>
    </w:div>
    <w:div w:id="1538078336">
      <w:bodyDiv w:val="1"/>
      <w:marLeft w:val="0"/>
      <w:marRight w:val="0"/>
      <w:marTop w:val="0"/>
      <w:marBottom w:val="0"/>
      <w:divBdr>
        <w:top w:val="none" w:sz="0" w:space="0" w:color="auto"/>
        <w:left w:val="none" w:sz="0" w:space="0" w:color="auto"/>
        <w:bottom w:val="none" w:sz="0" w:space="0" w:color="auto"/>
        <w:right w:val="none" w:sz="0" w:space="0" w:color="auto"/>
      </w:divBdr>
    </w:div>
    <w:div w:id="1542933191">
      <w:bodyDiv w:val="1"/>
      <w:marLeft w:val="0"/>
      <w:marRight w:val="0"/>
      <w:marTop w:val="0"/>
      <w:marBottom w:val="0"/>
      <w:divBdr>
        <w:top w:val="none" w:sz="0" w:space="0" w:color="auto"/>
        <w:left w:val="none" w:sz="0" w:space="0" w:color="auto"/>
        <w:bottom w:val="none" w:sz="0" w:space="0" w:color="auto"/>
        <w:right w:val="none" w:sz="0" w:space="0" w:color="auto"/>
      </w:divBdr>
    </w:div>
    <w:div w:id="1543588264">
      <w:bodyDiv w:val="1"/>
      <w:marLeft w:val="0"/>
      <w:marRight w:val="0"/>
      <w:marTop w:val="0"/>
      <w:marBottom w:val="0"/>
      <w:divBdr>
        <w:top w:val="none" w:sz="0" w:space="0" w:color="auto"/>
        <w:left w:val="none" w:sz="0" w:space="0" w:color="auto"/>
        <w:bottom w:val="none" w:sz="0" w:space="0" w:color="auto"/>
        <w:right w:val="none" w:sz="0" w:space="0" w:color="auto"/>
      </w:divBdr>
    </w:div>
    <w:div w:id="1548448289">
      <w:bodyDiv w:val="1"/>
      <w:marLeft w:val="0"/>
      <w:marRight w:val="0"/>
      <w:marTop w:val="0"/>
      <w:marBottom w:val="0"/>
      <w:divBdr>
        <w:top w:val="none" w:sz="0" w:space="0" w:color="auto"/>
        <w:left w:val="none" w:sz="0" w:space="0" w:color="auto"/>
        <w:bottom w:val="none" w:sz="0" w:space="0" w:color="auto"/>
        <w:right w:val="none" w:sz="0" w:space="0" w:color="auto"/>
      </w:divBdr>
    </w:div>
    <w:div w:id="1548493734">
      <w:bodyDiv w:val="1"/>
      <w:marLeft w:val="0"/>
      <w:marRight w:val="0"/>
      <w:marTop w:val="0"/>
      <w:marBottom w:val="0"/>
      <w:divBdr>
        <w:top w:val="none" w:sz="0" w:space="0" w:color="auto"/>
        <w:left w:val="none" w:sz="0" w:space="0" w:color="auto"/>
        <w:bottom w:val="none" w:sz="0" w:space="0" w:color="auto"/>
        <w:right w:val="none" w:sz="0" w:space="0" w:color="auto"/>
      </w:divBdr>
    </w:div>
    <w:div w:id="1550871494">
      <w:bodyDiv w:val="1"/>
      <w:marLeft w:val="0"/>
      <w:marRight w:val="0"/>
      <w:marTop w:val="0"/>
      <w:marBottom w:val="0"/>
      <w:divBdr>
        <w:top w:val="none" w:sz="0" w:space="0" w:color="auto"/>
        <w:left w:val="none" w:sz="0" w:space="0" w:color="auto"/>
        <w:bottom w:val="none" w:sz="0" w:space="0" w:color="auto"/>
        <w:right w:val="none" w:sz="0" w:space="0" w:color="auto"/>
      </w:divBdr>
    </w:div>
    <w:div w:id="1553347698">
      <w:bodyDiv w:val="1"/>
      <w:marLeft w:val="0"/>
      <w:marRight w:val="0"/>
      <w:marTop w:val="0"/>
      <w:marBottom w:val="0"/>
      <w:divBdr>
        <w:top w:val="none" w:sz="0" w:space="0" w:color="auto"/>
        <w:left w:val="none" w:sz="0" w:space="0" w:color="auto"/>
        <w:bottom w:val="none" w:sz="0" w:space="0" w:color="auto"/>
        <w:right w:val="none" w:sz="0" w:space="0" w:color="auto"/>
      </w:divBdr>
    </w:div>
    <w:div w:id="1556236230">
      <w:bodyDiv w:val="1"/>
      <w:marLeft w:val="0"/>
      <w:marRight w:val="0"/>
      <w:marTop w:val="0"/>
      <w:marBottom w:val="0"/>
      <w:divBdr>
        <w:top w:val="none" w:sz="0" w:space="0" w:color="auto"/>
        <w:left w:val="none" w:sz="0" w:space="0" w:color="auto"/>
        <w:bottom w:val="none" w:sz="0" w:space="0" w:color="auto"/>
        <w:right w:val="none" w:sz="0" w:space="0" w:color="auto"/>
      </w:divBdr>
    </w:div>
    <w:div w:id="1561285295">
      <w:bodyDiv w:val="1"/>
      <w:marLeft w:val="0"/>
      <w:marRight w:val="0"/>
      <w:marTop w:val="0"/>
      <w:marBottom w:val="0"/>
      <w:divBdr>
        <w:top w:val="none" w:sz="0" w:space="0" w:color="auto"/>
        <w:left w:val="none" w:sz="0" w:space="0" w:color="auto"/>
        <w:bottom w:val="none" w:sz="0" w:space="0" w:color="auto"/>
        <w:right w:val="none" w:sz="0" w:space="0" w:color="auto"/>
      </w:divBdr>
    </w:div>
    <w:div w:id="1584411076">
      <w:bodyDiv w:val="1"/>
      <w:marLeft w:val="0"/>
      <w:marRight w:val="0"/>
      <w:marTop w:val="0"/>
      <w:marBottom w:val="0"/>
      <w:divBdr>
        <w:top w:val="none" w:sz="0" w:space="0" w:color="auto"/>
        <w:left w:val="none" w:sz="0" w:space="0" w:color="auto"/>
        <w:bottom w:val="none" w:sz="0" w:space="0" w:color="auto"/>
        <w:right w:val="none" w:sz="0" w:space="0" w:color="auto"/>
      </w:divBdr>
    </w:div>
    <w:div w:id="1595935138">
      <w:bodyDiv w:val="1"/>
      <w:marLeft w:val="0"/>
      <w:marRight w:val="0"/>
      <w:marTop w:val="0"/>
      <w:marBottom w:val="0"/>
      <w:divBdr>
        <w:top w:val="none" w:sz="0" w:space="0" w:color="auto"/>
        <w:left w:val="none" w:sz="0" w:space="0" w:color="auto"/>
        <w:bottom w:val="none" w:sz="0" w:space="0" w:color="auto"/>
        <w:right w:val="none" w:sz="0" w:space="0" w:color="auto"/>
      </w:divBdr>
    </w:div>
    <w:div w:id="1598364481">
      <w:bodyDiv w:val="1"/>
      <w:marLeft w:val="0"/>
      <w:marRight w:val="0"/>
      <w:marTop w:val="0"/>
      <w:marBottom w:val="0"/>
      <w:divBdr>
        <w:top w:val="none" w:sz="0" w:space="0" w:color="auto"/>
        <w:left w:val="none" w:sz="0" w:space="0" w:color="auto"/>
        <w:bottom w:val="none" w:sz="0" w:space="0" w:color="auto"/>
        <w:right w:val="none" w:sz="0" w:space="0" w:color="auto"/>
      </w:divBdr>
    </w:div>
    <w:div w:id="1601060204">
      <w:bodyDiv w:val="1"/>
      <w:marLeft w:val="0"/>
      <w:marRight w:val="0"/>
      <w:marTop w:val="0"/>
      <w:marBottom w:val="0"/>
      <w:divBdr>
        <w:top w:val="none" w:sz="0" w:space="0" w:color="auto"/>
        <w:left w:val="none" w:sz="0" w:space="0" w:color="auto"/>
        <w:bottom w:val="none" w:sz="0" w:space="0" w:color="auto"/>
        <w:right w:val="none" w:sz="0" w:space="0" w:color="auto"/>
      </w:divBdr>
    </w:div>
    <w:div w:id="1607150129">
      <w:bodyDiv w:val="1"/>
      <w:marLeft w:val="0"/>
      <w:marRight w:val="0"/>
      <w:marTop w:val="0"/>
      <w:marBottom w:val="0"/>
      <w:divBdr>
        <w:top w:val="none" w:sz="0" w:space="0" w:color="auto"/>
        <w:left w:val="none" w:sz="0" w:space="0" w:color="auto"/>
        <w:bottom w:val="none" w:sz="0" w:space="0" w:color="auto"/>
        <w:right w:val="none" w:sz="0" w:space="0" w:color="auto"/>
      </w:divBdr>
    </w:div>
    <w:div w:id="1610627361">
      <w:bodyDiv w:val="1"/>
      <w:marLeft w:val="0"/>
      <w:marRight w:val="0"/>
      <w:marTop w:val="0"/>
      <w:marBottom w:val="0"/>
      <w:divBdr>
        <w:top w:val="none" w:sz="0" w:space="0" w:color="auto"/>
        <w:left w:val="none" w:sz="0" w:space="0" w:color="auto"/>
        <w:bottom w:val="none" w:sz="0" w:space="0" w:color="auto"/>
        <w:right w:val="none" w:sz="0" w:space="0" w:color="auto"/>
      </w:divBdr>
    </w:div>
    <w:div w:id="1611232226">
      <w:bodyDiv w:val="1"/>
      <w:marLeft w:val="0"/>
      <w:marRight w:val="0"/>
      <w:marTop w:val="0"/>
      <w:marBottom w:val="0"/>
      <w:divBdr>
        <w:top w:val="none" w:sz="0" w:space="0" w:color="auto"/>
        <w:left w:val="none" w:sz="0" w:space="0" w:color="auto"/>
        <w:bottom w:val="none" w:sz="0" w:space="0" w:color="auto"/>
        <w:right w:val="none" w:sz="0" w:space="0" w:color="auto"/>
      </w:divBdr>
    </w:div>
    <w:div w:id="1611819541">
      <w:bodyDiv w:val="1"/>
      <w:marLeft w:val="0"/>
      <w:marRight w:val="0"/>
      <w:marTop w:val="0"/>
      <w:marBottom w:val="0"/>
      <w:divBdr>
        <w:top w:val="none" w:sz="0" w:space="0" w:color="auto"/>
        <w:left w:val="none" w:sz="0" w:space="0" w:color="auto"/>
        <w:bottom w:val="none" w:sz="0" w:space="0" w:color="auto"/>
        <w:right w:val="none" w:sz="0" w:space="0" w:color="auto"/>
      </w:divBdr>
    </w:div>
    <w:div w:id="1617325035">
      <w:bodyDiv w:val="1"/>
      <w:marLeft w:val="0"/>
      <w:marRight w:val="0"/>
      <w:marTop w:val="0"/>
      <w:marBottom w:val="0"/>
      <w:divBdr>
        <w:top w:val="none" w:sz="0" w:space="0" w:color="auto"/>
        <w:left w:val="none" w:sz="0" w:space="0" w:color="auto"/>
        <w:bottom w:val="none" w:sz="0" w:space="0" w:color="auto"/>
        <w:right w:val="none" w:sz="0" w:space="0" w:color="auto"/>
      </w:divBdr>
    </w:div>
    <w:div w:id="1622565316">
      <w:bodyDiv w:val="1"/>
      <w:marLeft w:val="0"/>
      <w:marRight w:val="0"/>
      <w:marTop w:val="0"/>
      <w:marBottom w:val="0"/>
      <w:divBdr>
        <w:top w:val="none" w:sz="0" w:space="0" w:color="auto"/>
        <w:left w:val="none" w:sz="0" w:space="0" w:color="auto"/>
        <w:bottom w:val="none" w:sz="0" w:space="0" w:color="auto"/>
        <w:right w:val="none" w:sz="0" w:space="0" w:color="auto"/>
      </w:divBdr>
    </w:div>
    <w:div w:id="1625963913">
      <w:bodyDiv w:val="1"/>
      <w:marLeft w:val="0"/>
      <w:marRight w:val="0"/>
      <w:marTop w:val="0"/>
      <w:marBottom w:val="0"/>
      <w:divBdr>
        <w:top w:val="none" w:sz="0" w:space="0" w:color="auto"/>
        <w:left w:val="none" w:sz="0" w:space="0" w:color="auto"/>
        <w:bottom w:val="none" w:sz="0" w:space="0" w:color="auto"/>
        <w:right w:val="none" w:sz="0" w:space="0" w:color="auto"/>
      </w:divBdr>
    </w:div>
    <w:div w:id="1629582153">
      <w:bodyDiv w:val="1"/>
      <w:marLeft w:val="0"/>
      <w:marRight w:val="0"/>
      <w:marTop w:val="0"/>
      <w:marBottom w:val="0"/>
      <w:divBdr>
        <w:top w:val="none" w:sz="0" w:space="0" w:color="auto"/>
        <w:left w:val="none" w:sz="0" w:space="0" w:color="auto"/>
        <w:bottom w:val="none" w:sz="0" w:space="0" w:color="auto"/>
        <w:right w:val="none" w:sz="0" w:space="0" w:color="auto"/>
      </w:divBdr>
    </w:div>
    <w:div w:id="1640382163">
      <w:bodyDiv w:val="1"/>
      <w:marLeft w:val="0"/>
      <w:marRight w:val="0"/>
      <w:marTop w:val="0"/>
      <w:marBottom w:val="0"/>
      <w:divBdr>
        <w:top w:val="none" w:sz="0" w:space="0" w:color="auto"/>
        <w:left w:val="none" w:sz="0" w:space="0" w:color="auto"/>
        <w:bottom w:val="none" w:sz="0" w:space="0" w:color="auto"/>
        <w:right w:val="none" w:sz="0" w:space="0" w:color="auto"/>
      </w:divBdr>
    </w:div>
    <w:div w:id="1645508307">
      <w:bodyDiv w:val="1"/>
      <w:marLeft w:val="0"/>
      <w:marRight w:val="0"/>
      <w:marTop w:val="0"/>
      <w:marBottom w:val="0"/>
      <w:divBdr>
        <w:top w:val="none" w:sz="0" w:space="0" w:color="auto"/>
        <w:left w:val="none" w:sz="0" w:space="0" w:color="auto"/>
        <w:bottom w:val="none" w:sz="0" w:space="0" w:color="auto"/>
        <w:right w:val="none" w:sz="0" w:space="0" w:color="auto"/>
      </w:divBdr>
    </w:div>
    <w:div w:id="1648433176">
      <w:bodyDiv w:val="1"/>
      <w:marLeft w:val="0"/>
      <w:marRight w:val="0"/>
      <w:marTop w:val="0"/>
      <w:marBottom w:val="0"/>
      <w:divBdr>
        <w:top w:val="none" w:sz="0" w:space="0" w:color="auto"/>
        <w:left w:val="none" w:sz="0" w:space="0" w:color="auto"/>
        <w:bottom w:val="none" w:sz="0" w:space="0" w:color="auto"/>
        <w:right w:val="none" w:sz="0" w:space="0" w:color="auto"/>
      </w:divBdr>
    </w:div>
    <w:div w:id="1650936884">
      <w:bodyDiv w:val="1"/>
      <w:marLeft w:val="0"/>
      <w:marRight w:val="0"/>
      <w:marTop w:val="0"/>
      <w:marBottom w:val="0"/>
      <w:divBdr>
        <w:top w:val="none" w:sz="0" w:space="0" w:color="auto"/>
        <w:left w:val="none" w:sz="0" w:space="0" w:color="auto"/>
        <w:bottom w:val="none" w:sz="0" w:space="0" w:color="auto"/>
        <w:right w:val="none" w:sz="0" w:space="0" w:color="auto"/>
      </w:divBdr>
    </w:div>
    <w:div w:id="1655572437">
      <w:bodyDiv w:val="1"/>
      <w:marLeft w:val="0"/>
      <w:marRight w:val="0"/>
      <w:marTop w:val="0"/>
      <w:marBottom w:val="0"/>
      <w:divBdr>
        <w:top w:val="none" w:sz="0" w:space="0" w:color="auto"/>
        <w:left w:val="none" w:sz="0" w:space="0" w:color="auto"/>
        <w:bottom w:val="none" w:sz="0" w:space="0" w:color="auto"/>
        <w:right w:val="none" w:sz="0" w:space="0" w:color="auto"/>
      </w:divBdr>
    </w:div>
    <w:div w:id="1659309484">
      <w:bodyDiv w:val="1"/>
      <w:marLeft w:val="0"/>
      <w:marRight w:val="0"/>
      <w:marTop w:val="0"/>
      <w:marBottom w:val="0"/>
      <w:divBdr>
        <w:top w:val="none" w:sz="0" w:space="0" w:color="auto"/>
        <w:left w:val="none" w:sz="0" w:space="0" w:color="auto"/>
        <w:bottom w:val="none" w:sz="0" w:space="0" w:color="auto"/>
        <w:right w:val="none" w:sz="0" w:space="0" w:color="auto"/>
      </w:divBdr>
    </w:div>
    <w:div w:id="1659768101">
      <w:bodyDiv w:val="1"/>
      <w:marLeft w:val="0"/>
      <w:marRight w:val="0"/>
      <w:marTop w:val="0"/>
      <w:marBottom w:val="0"/>
      <w:divBdr>
        <w:top w:val="none" w:sz="0" w:space="0" w:color="auto"/>
        <w:left w:val="none" w:sz="0" w:space="0" w:color="auto"/>
        <w:bottom w:val="none" w:sz="0" w:space="0" w:color="auto"/>
        <w:right w:val="none" w:sz="0" w:space="0" w:color="auto"/>
      </w:divBdr>
    </w:div>
    <w:div w:id="1675448948">
      <w:bodyDiv w:val="1"/>
      <w:marLeft w:val="0"/>
      <w:marRight w:val="0"/>
      <w:marTop w:val="0"/>
      <w:marBottom w:val="0"/>
      <w:divBdr>
        <w:top w:val="none" w:sz="0" w:space="0" w:color="auto"/>
        <w:left w:val="none" w:sz="0" w:space="0" w:color="auto"/>
        <w:bottom w:val="none" w:sz="0" w:space="0" w:color="auto"/>
        <w:right w:val="none" w:sz="0" w:space="0" w:color="auto"/>
      </w:divBdr>
    </w:div>
    <w:div w:id="1677885082">
      <w:bodyDiv w:val="1"/>
      <w:marLeft w:val="0"/>
      <w:marRight w:val="0"/>
      <w:marTop w:val="0"/>
      <w:marBottom w:val="0"/>
      <w:divBdr>
        <w:top w:val="none" w:sz="0" w:space="0" w:color="auto"/>
        <w:left w:val="none" w:sz="0" w:space="0" w:color="auto"/>
        <w:bottom w:val="none" w:sz="0" w:space="0" w:color="auto"/>
        <w:right w:val="none" w:sz="0" w:space="0" w:color="auto"/>
      </w:divBdr>
    </w:div>
    <w:div w:id="1678117093">
      <w:bodyDiv w:val="1"/>
      <w:marLeft w:val="0"/>
      <w:marRight w:val="0"/>
      <w:marTop w:val="0"/>
      <w:marBottom w:val="0"/>
      <w:divBdr>
        <w:top w:val="none" w:sz="0" w:space="0" w:color="auto"/>
        <w:left w:val="none" w:sz="0" w:space="0" w:color="auto"/>
        <w:bottom w:val="none" w:sz="0" w:space="0" w:color="auto"/>
        <w:right w:val="none" w:sz="0" w:space="0" w:color="auto"/>
      </w:divBdr>
    </w:div>
    <w:div w:id="1684210741">
      <w:bodyDiv w:val="1"/>
      <w:marLeft w:val="0"/>
      <w:marRight w:val="0"/>
      <w:marTop w:val="0"/>
      <w:marBottom w:val="0"/>
      <w:divBdr>
        <w:top w:val="none" w:sz="0" w:space="0" w:color="auto"/>
        <w:left w:val="none" w:sz="0" w:space="0" w:color="auto"/>
        <w:bottom w:val="none" w:sz="0" w:space="0" w:color="auto"/>
        <w:right w:val="none" w:sz="0" w:space="0" w:color="auto"/>
      </w:divBdr>
    </w:div>
    <w:div w:id="1685742904">
      <w:bodyDiv w:val="1"/>
      <w:marLeft w:val="0"/>
      <w:marRight w:val="0"/>
      <w:marTop w:val="0"/>
      <w:marBottom w:val="0"/>
      <w:divBdr>
        <w:top w:val="none" w:sz="0" w:space="0" w:color="auto"/>
        <w:left w:val="none" w:sz="0" w:space="0" w:color="auto"/>
        <w:bottom w:val="none" w:sz="0" w:space="0" w:color="auto"/>
        <w:right w:val="none" w:sz="0" w:space="0" w:color="auto"/>
      </w:divBdr>
    </w:div>
    <w:div w:id="1691296130">
      <w:bodyDiv w:val="1"/>
      <w:marLeft w:val="0"/>
      <w:marRight w:val="0"/>
      <w:marTop w:val="0"/>
      <w:marBottom w:val="0"/>
      <w:divBdr>
        <w:top w:val="none" w:sz="0" w:space="0" w:color="auto"/>
        <w:left w:val="none" w:sz="0" w:space="0" w:color="auto"/>
        <w:bottom w:val="none" w:sz="0" w:space="0" w:color="auto"/>
        <w:right w:val="none" w:sz="0" w:space="0" w:color="auto"/>
      </w:divBdr>
    </w:div>
    <w:div w:id="1714110693">
      <w:bodyDiv w:val="1"/>
      <w:marLeft w:val="0"/>
      <w:marRight w:val="0"/>
      <w:marTop w:val="0"/>
      <w:marBottom w:val="0"/>
      <w:divBdr>
        <w:top w:val="none" w:sz="0" w:space="0" w:color="auto"/>
        <w:left w:val="none" w:sz="0" w:space="0" w:color="auto"/>
        <w:bottom w:val="none" w:sz="0" w:space="0" w:color="auto"/>
        <w:right w:val="none" w:sz="0" w:space="0" w:color="auto"/>
      </w:divBdr>
    </w:div>
    <w:div w:id="1717318649">
      <w:bodyDiv w:val="1"/>
      <w:marLeft w:val="0"/>
      <w:marRight w:val="0"/>
      <w:marTop w:val="0"/>
      <w:marBottom w:val="0"/>
      <w:divBdr>
        <w:top w:val="none" w:sz="0" w:space="0" w:color="auto"/>
        <w:left w:val="none" w:sz="0" w:space="0" w:color="auto"/>
        <w:bottom w:val="none" w:sz="0" w:space="0" w:color="auto"/>
        <w:right w:val="none" w:sz="0" w:space="0" w:color="auto"/>
      </w:divBdr>
    </w:div>
    <w:div w:id="1722902990">
      <w:bodyDiv w:val="1"/>
      <w:marLeft w:val="0"/>
      <w:marRight w:val="0"/>
      <w:marTop w:val="0"/>
      <w:marBottom w:val="0"/>
      <w:divBdr>
        <w:top w:val="none" w:sz="0" w:space="0" w:color="auto"/>
        <w:left w:val="none" w:sz="0" w:space="0" w:color="auto"/>
        <w:bottom w:val="none" w:sz="0" w:space="0" w:color="auto"/>
        <w:right w:val="none" w:sz="0" w:space="0" w:color="auto"/>
      </w:divBdr>
    </w:div>
    <w:div w:id="1727415596">
      <w:bodyDiv w:val="1"/>
      <w:marLeft w:val="0"/>
      <w:marRight w:val="0"/>
      <w:marTop w:val="0"/>
      <w:marBottom w:val="0"/>
      <w:divBdr>
        <w:top w:val="none" w:sz="0" w:space="0" w:color="auto"/>
        <w:left w:val="none" w:sz="0" w:space="0" w:color="auto"/>
        <w:bottom w:val="none" w:sz="0" w:space="0" w:color="auto"/>
        <w:right w:val="none" w:sz="0" w:space="0" w:color="auto"/>
      </w:divBdr>
    </w:div>
    <w:div w:id="1728070867">
      <w:bodyDiv w:val="1"/>
      <w:marLeft w:val="0"/>
      <w:marRight w:val="0"/>
      <w:marTop w:val="0"/>
      <w:marBottom w:val="0"/>
      <w:divBdr>
        <w:top w:val="none" w:sz="0" w:space="0" w:color="auto"/>
        <w:left w:val="none" w:sz="0" w:space="0" w:color="auto"/>
        <w:bottom w:val="none" w:sz="0" w:space="0" w:color="auto"/>
        <w:right w:val="none" w:sz="0" w:space="0" w:color="auto"/>
      </w:divBdr>
    </w:div>
    <w:div w:id="1728727077">
      <w:bodyDiv w:val="1"/>
      <w:marLeft w:val="0"/>
      <w:marRight w:val="0"/>
      <w:marTop w:val="0"/>
      <w:marBottom w:val="0"/>
      <w:divBdr>
        <w:top w:val="none" w:sz="0" w:space="0" w:color="auto"/>
        <w:left w:val="none" w:sz="0" w:space="0" w:color="auto"/>
        <w:bottom w:val="none" w:sz="0" w:space="0" w:color="auto"/>
        <w:right w:val="none" w:sz="0" w:space="0" w:color="auto"/>
      </w:divBdr>
    </w:div>
    <w:div w:id="1733581703">
      <w:bodyDiv w:val="1"/>
      <w:marLeft w:val="0"/>
      <w:marRight w:val="0"/>
      <w:marTop w:val="0"/>
      <w:marBottom w:val="0"/>
      <w:divBdr>
        <w:top w:val="none" w:sz="0" w:space="0" w:color="auto"/>
        <w:left w:val="none" w:sz="0" w:space="0" w:color="auto"/>
        <w:bottom w:val="none" w:sz="0" w:space="0" w:color="auto"/>
        <w:right w:val="none" w:sz="0" w:space="0" w:color="auto"/>
      </w:divBdr>
    </w:div>
    <w:div w:id="1736968968">
      <w:bodyDiv w:val="1"/>
      <w:marLeft w:val="0"/>
      <w:marRight w:val="0"/>
      <w:marTop w:val="0"/>
      <w:marBottom w:val="0"/>
      <w:divBdr>
        <w:top w:val="none" w:sz="0" w:space="0" w:color="auto"/>
        <w:left w:val="none" w:sz="0" w:space="0" w:color="auto"/>
        <w:bottom w:val="none" w:sz="0" w:space="0" w:color="auto"/>
        <w:right w:val="none" w:sz="0" w:space="0" w:color="auto"/>
      </w:divBdr>
    </w:div>
    <w:div w:id="1746221318">
      <w:bodyDiv w:val="1"/>
      <w:marLeft w:val="0"/>
      <w:marRight w:val="0"/>
      <w:marTop w:val="0"/>
      <w:marBottom w:val="0"/>
      <w:divBdr>
        <w:top w:val="none" w:sz="0" w:space="0" w:color="auto"/>
        <w:left w:val="none" w:sz="0" w:space="0" w:color="auto"/>
        <w:bottom w:val="none" w:sz="0" w:space="0" w:color="auto"/>
        <w:right w:val="none" w:sz="0" w:space="0" w:color="auto"/>
      </w:divBdr>
    </w:div>
    <w:div w:id="1750693866">
      <w:bodyDiv w:val="1"/>
      <w:marLeft w:val="0"/>
      <w:marRight w:val="0"/>
      <w:marTop w:val="0"/>
      <w:marBottom w:val="0"/>
      <w:divBdr>
        <w:top w:val="none" w:sz="0" w:space="0" w:color="auto"/>
        <w:left w:val="none" w:sz="0" w:space="0" w:color="auto"/>
        <w:bottom w:val="none" w:sz="0" w:space="0" w:color="auto"/>
        <w:right w:val="none" w:sz="0" w:space="0" w:color="auto"/>
      </w:divBdr>
    </w:div>
    <w:div w:id="1761370066">
      <w:bodyDiv w:val="1"/>
      <w:marLeft w:val="0"/>
      <w:marRight w:val="0"/>
      <w:marTop w:val="0"/>
      <w:marBottom w:val="0"/>
      <w:divBdr>
        <w:top w:val="none" w:sz="0" w:space="0" w:color="auto"/>
        <w:left w:val="none" w:sz="0" w:space="0" w:color="auto"/>
        <w:bottom w:val="none" w:sz="0" w:space="0" w:color="auto"/>
        <w:right w:val="none" w:sz="0" w:space="0" w:color="auto"/>
      </w:divBdr>
    </w:div>
    <w:div w:id="1762337045">
      <w:bodyDiv w:val="1"/>
      <w:marLeft w:val="0"/>
      <w:marRight w:val="0"/>
      <w:marTop w:val="0"/>
      <w:marBottom w:val="0"/>
      <w:divBdr>
        <w:top w:val="none" w:sz="0" w:space="0" w:color="auto"/>
        <w:left w:val="none" w:sz="0" w:space="0" w:color="auto"/>
        <w:bottom w:val="none" w:sz="0" w:space="0" w:color="auto"/>
        <w:right w:val="none" w:sz="0" w:space="0" w:color="auto"/>
      </w:divBdr>
    </w:div>
    <w:div w:id="1762412049">
      <w:bodyDiv w:val="1"/>
      <w:marLeft w:val="0"/>
      <w:marRight w:val="0"/>
      <w:marTop w:val="0"/>
      <w:marBottom w:val="0"/>
      <w:divBdr>
        <w:top w:val="none" w:sz="0" w:space="0" w:color="auto"/>
        <w:left w:val="none" w:sz="0" w:space="0" w:color="auto"/>
        <w:bottom w:val="none" w:sz="0" w:space="0" w:color="auto"/>
        <w:right w:val="none" w:sz="0" w:space="0" w:color="auto"/>
      </w:divBdr>
    </w:div>
    <w:div w:id="1770349323">
      <w:bodyDiv w:val="1"/>
      <w:marLeft w:val="0"/>
      <w:marRight w:val="0"/>
      <w:marTop w:val="0"/>
      <w:marBottom w:val="0"/>
      <w:divBdr>
        <w:top w:val="none" w:sz="0" w:space="0" w:color="auto"/>
        <w:left w:val="none" w:sz="0" w:space="0" w:color="auto"/>
        <w:bottom w:val="none" w:sz="0" w:space="0" w:color="auto"/>
        <w:right w:val="none" w:sz="0" w:space="0" w:color="auto"/>
      </w:divBdr>
    </w:div>
    <w:div w:id="1772777223">
      <w:bodyDiv w:val="1"/>
      <w:marLeft w:val="0"/>
      <w:marRight w:val="0"/>
      <w:marTop w:val="0"/>
      <w:marBottom w:val="0"/>
      <w:divBdr>
        <w:top w:val="none" w:sz="0" w:space="0" w:color="auto"/>
        <w:left w:val="none" w:sz="0" w:space="0" w:color="auto"/>
        <w:bottom w:val="none" w:sz="0" w:space="0" w:color="auto"/>
        <w:right w:val="none" w:sz="0" w:space="0" w:color="auto"/>
      </w:divBdr>
    </w:div>
    <w:div w:id="1777213111">
      <w:bodyDiv w:val="1"/>
      <w:marLeft w:val="0"/>
      <w:marRight w:val="0"/>
      <w:marTop w:val="0"/>
      <w:marBottom w:val="0"/>
      <w:divBdr>
        <w:top w:val="none" w:sz="0" w:space="0" w:color="auto"/>
        <w:left w:val="none" w:sz="0" w:space="0" w:color="auto"/>
        <w:bottom w:val="none" w:sz="0" w:space="0" w:color="auto"/>
        <w:right w:val="none" w:sz="0" w:space="0" w:color="auto"/>
      </w:divBdr>
    </w:div>
    <w:div w:id="1785228673">
      <w:bodyDiv w:val="1"/>
      <w:marLeft w:val="0"/>
      <w:marRight w:val="0"/>
      <w:marTop w:val="0"/>
      <w:marBottom w:val="0"/>
      <w:divBdr>
        <w:top w:val="none" w:sz="0" w:space="0" w:color="auto"/>
        <w:left w:val="none" w:sz="0" w:space="0" w:color="auto"/>
        <w:bottom w:val="none" w:sz="0" w:space="0" w:color="auto"/>
        <w:right w:val="none" w:sz="0" w:space="0" w:color="auto"/>
      </w:divBdr>
    </w:div>
    <w:div w:id="1795637154">
      <w:bodyDiv w:val="1"/>
      <w:marLeft w:val="0"/>
      <w:marRight w:val="0"/>
      <w:marTop w:val="0"/>
      <w:marBottom w:val="0"/>
      <w:divBdr>
        <w:top w:val="none" w:sz="0" w:space="0" w:color="auto"/>
        <w:left w:val="none" w:sz="0" w:space="0" w:color="auto"/>
        <w:bottom w:val="none" w:sz="0" w:space="0" w:color="auto"/>
        <w:right w:val="none" w:sz="0" w:space="0" w:color="auto"/>
      </w:divBdr>
    </w:div>
    <w:div w:id="1796099351">
      <w:bodyDiv w:val="1"/>
      <w:marLeft w:val="0"/>
      <w:marRight w:val="0"/>
      <w:marTop w:val="0"/>
      <w:marBottom w:val="0"/>
      <w:divBdr>
        <w:top w:val="none" w:sz="0" w:space="0" w:color="auto"/>
        <w:left w:val="none" w:sz="0" w:space="0" w:color="auto"/>
        <w:bottom w:val="none" w:sz="0" w:space="0" w:color="auto"/>
        <w:right w:val="none" w:sz="0" w:space="0" w:color="auto"/>
      </w:divBdr>
    </w:div>
    <w:div w:id="1805735564">
      <w:bodyDiv w:val="1"/>
      <w:marLeft w:val="0"/>
      <w:marRight w:val="0"/>
      <w:marTop w:val="0"/>
      <w:marBottom w:val="0"/>
      <w:divBdr>
        <w:top w:val="none" w:sz="0" w:space="0" w:color="auto"/>
        <w:left w:val="none" w:sz="0" w:space="0" w:color="auto"/>
        <w:bottom w:val="none" w:sz="0" w:space="0" w:color="auto"/>
        <w:right w:val="none" w:sz="0" w:space="0" w:color="auto"/>
      </w:divBdr>
    </w:div>
    <w:div w:id="1811360185">
      <w:bodyDiv w:val="1"/>
      <w:marLeft w:val="0"/>
      <w:marRight w:val="0"/>
      <w:marTop w:val="0"/>
      <w:marBottom w:val="0"/>
      <w:divBdr>
        <w:top w:val="none" w:sz="0" w:space="0" w:color="auto"/>
        <w:left w:val="none" w:sz="0" w:space="0" w:color="auto"/>
        <w:bottom w:val="none" w:sz="0" w:space="0" w:color="auto"/>
        <w:right w:val="none" w:sz="0" w:space="0" w:color="auto"/>
      </w:divBdr>
    </w:div>
    <w:div w:id="1815023169">
      <w:bodyDiv w:val="1"/>
      <w:marLeft w:val="0"/>
      <w:marRight w:val="0"/>
      <w:marTop w:val="0"/>
      <w:marBottom w:val="0"/>
      <w:divBdr>
        <w:top w:val="none" w:sz="0" w:space="0" w:color="auto"/>
        <w:left w:val="none" w:sz="0" w:space="0" w:color="auto"/>
        <w:bottom w:val="none" w:sz="0" w:space="0" w:color="auto"/>
        <w:right w:val="none" w:sz="0" w:space="0" w:color="auto"/>
      </w:divBdr>
    </w:div>
    <w:div w:id="1824619328">
      <w:bodyDiv w:val="1"/>
      <w:marLeft w:val="0"/>
      <w:marRight w:val="0"/>
      <w:marTop w:val="0"/>
      <w:marBottom w:val="0"/>
      <w:divBdr>
        <w:top w:val="none" w:sz="0" w:space="0" w:color="auto"/>
        <w:left w:val="none" w:sz="0" w:space="0" w:color="auto"/>
        <w:bottom w:val="none" w:sz="0" w:space="0" w:color="auto"/>
        <w:right w:val="none" w:sz="0" w:space="0" w:color="auto"/>
      </w:divBdr>
    </w:div>
    <w:div w:id="1827238223">
      <w:bodyDiv w:val="1"/>
      <w:marLeft w:val="0"/>
      <w:marRight w:val="0"/>
      <w:marTop w:val="0"/>
      <w:marBottom w:val="0"/>
      <w:divBdr>
        <w:top w:val="none" w:sz="0" w:space="0" w:color="auto"/>
        <w:left w:val="none" w:sz="0" w:space="0" w:color="auto"/>
        <w:bottom w:val="none" w:sz="0" w:space="0" w:color="auto"/>
        <w:right w:val="none" w:sz="0" w:space="0" w:color="auto"/>
      </w:divBdr>
    </w:div>
    <w:div w:id="1828400407">
      <w:bodyDiv w:val="1"/>
      <w:marLeft w:val="0"/>
      <w:marRight w:val="0"/>
      <w:marTop w:val="0"/>
      <w:marBottom w:val="0"/>
      <w:divBdr>
        <w:top w:val="none" w:sz="0" w:space="0" w:color="auto"/>
        <w:left w:val="none" w:sz="0" w:space="0" w:color="auto"/>
        <w:bottom w:val="none" w:sz="0" w:space="0" w:color="auto"/>
        <w:right w:val="none" w:sz="0" w:space="0" w:color="auto"/>
      </w:divBdr>
    </w:div>
    <w:div w:id="1846744487">
      <w:bodyDiv w:val="1"/>
      <w:marLeft w:val="0"/>
      <w:marRight w:val="0"/>
      <w:marTop w:val="0"/>
      <w:marBottom w:val="0"/>
      <w:divBdr>
        <w:top w:val="none" w:sz="0" w:space="0" w:color="auto"/>
        <w:left w:val="none" w:sz="0" w:space="0" w:color="auto"/>
        <w:bottom w:val="none" w:sz="0" w:space="0" w:color="auto"/>
        <w:right w:val="none" w:sz="0" w:space="0" w:color="auto"/>
      </w:divBdr>
    </w:div>
    <w:div w:id="1862430436">
      <w:bodyDiv w:val="1"/>
      <w:marLeft w:val="0"/>
      <w:marRight w:val="0"/>
      <w:marTop w:val="0"/>
      <w:marBottom w:val="0"/>
      <w:divBdr>
        <w:top w:val="none" w:sz="0" w:space="0" w:color="auto"/>
        <w:left w:val="none" w:sz="0" w:space="0" w:color="auto"/>
        <w:bottom w:val="none" w:sz="0" w:space="0" w:color="auto"/>
        <w:right w:val="none" w:sz="0" w:space="0" w:color="auto"/>
      </w:divBdr>
    </w:div>
    <w:div w:id="1872376683">
      <w:bodyDiv w:val="1"/>
      <w:marLeft w:val="0"/>
      <w:marRight w:val="0"/>
      <w:marTop w:val="0"/>
      <w:marBottom w:val="0"/>
      <w:divBdr>
        <w:top w:val="none" w:sz="0" w:space="0" w:color="auto"/>
        <w:left w:val="none" w:sz="0" w:space="0" w:color="auto"/>
        <w:bottom w:val="none" w:sz="0" w:space="0" w:color="auto"/>
        <w:right w:val="none" w:sz="0" w:space="0" w:color="auto"/>
      </w:divBdr>
    </w:div>
    <w:div w:id="1876232080">
      <w:bodyDiv w:val="1"/>
      <w:marLeft w:val="0"/>
      <w:marRight w:val="0"/>
      <w:marTop w:val="0"/>
      <w:marBottom w:val="0"/>
      <w:divBdr>
        <w:top w:val="none" w:sz="0" w:space="0" w:color="auto"/>
        <w:left w:val="none" w:sz="0" w:space="0" w:color="auto"/>
        <w:bottom w:val="none" w:sz="0" w:space="0" w:color="auto"/>
        <w:right w:val="none" w:sz="0" w:space="0" w:color="auto"/>
      </w:divBdr>
    </w:div>
    <w:div w:id="1880776537">
      <w:bodyDiv w:val="1"/>
      <w:marLeft w:val="0"/>
      <w:marRight w:val="0"/>
      <w:marTop w:val="0"/>
      <w:marBottom w:val="0"/>
      <w:divBdr>
        <w:top w:val="none" w:sz="0" w:space="0" w:color="auto"/>
        <w:left w:val="none" w:sz="0" w:space="0" w:color="auto"/>
        <w:bottom w:val="none" w:sz="0" w:space="0" w:color="auto"/>
        <w:right w:val="none" w:sz="0" w:space="0" w:color="auto"/>
      </w:divBdr>
    </w:div>
    <w:div w:id="1890531147">
      <w:bodyDiv w:val="1"/>
      <w:marLeft w:val="0"/>
      <w:marRight w:val="0"/>
      <w:marTop w:val="0"/>
      <w:marBottom w:val="0"/>
      <w:divBdr>
        <w:top w:val="none" w:sz="0" w:space="0" w:color="auto"/>
        <w:left w:val="none" w:sz="0" w:space="0" w:color="auto"/>
        <w:bottom w:val="none" w:sz="0" w:space="0" w:color="auto"/>
        <w:right w:val="none" w:sz="0" w:space="0" w:color="auto"/>
      </w:divBdr>
    </w:div>
    <w:div w:id="1891261694">
      <w:bodyDiv w:val="1"/>
      <w:marLeft w:val="0"/>
      <w:marRight w:val="0"/>
      <w:marTop w:val="0"/>
      <w:marBottom w:val="0"/>
      <w:divBdr>
        <w:top w:val="none" w:sz="0" w:space="0" w:color="auto"/>
        <w:left w:val="none" w:sz="0" w:space="0" w:color="auto"/>
        <w:bottom w:val="none" w:sz="0" w:space="0" w:color="auto"/>
        <w:right w:val="none" w:sz="0" w:space="0" w:color="auto"/>
      </w:divBdr>
    </w:div>
    <w:div w:id="1894123785">
      <w:bodyDiv w:val="1"/>
      <w:marLeft w:val="0"/>
      <w:marRight w:val="0"/>
      <w:marTop w:val="0"/>
      <w:marBottom w:val="0"/>
      <w:divBdr>
        <w:top w:val="none" w:sz="0" w:space="0" w:color="auto"/>
        <w:left w:val="none" w:sz="0" w:space="0" w:color="auto"/>
        <w:bottom w:val="none" w:sz="0" w:space="0" w:color="auto"/>
        <w:right w:val="none" w:sz="0" w:space="0" w:color="auto"/>
      </w:divBdr>
    </w:div>
    <w:div w:id="1895309517">
      <w:bodyDiv w:val="1"/>
      <w:marLeft w:val="0"/>
      <w:marRight w:val="0"/>
      <w:marTop w:val="0"/>
      <w:marBottom w:val="0"/>
      <w:divBdr>
        <w:top w:val="none" w:sz="0" w:space="0" w:color="auto"/>
        <w:left w:val="none" w:sz="0" w:space="0" w:color="auto"/>
        <w:bottom w:val="none" w:sz="0" w:space="0" w:color="auto"/>
        <w:right w:val="none" w:sz="0" w:space="0" w:color="auto"/>
      </w:divBdr>
    </w:div>
    <w:div w:id="1898273153">
      <w:bodyDiv w:val="1"/>
      <w:marLeft w:val="0"/>
      <w:marRight w:val="0"/>
      <w:marTop w:val="0"/>
      <w:marBottom w:val="0"/>
      <w:divBdr>
        <w:top w:val="none" w:sz="0" w:space="0" w:color="auto"/>
        <w:left w:val="none" w:sz="0" w:space="0" w:color="auto"/>
        <w:bottom w:val="none" w:sz="0" w:space="0" w:color="auto"/>
        <w:right w:val="none" w:sz="0" w:space="0" w:color="auto"/>
      </w:divBdr>
    </w:div>
    <w:div w:id="1904632010">
      <w:bodyDiv w:val="1"/>
      <w:marLeft w:val="0"/>
      <w:marRight w:val="0"/>
      <w:marTop w:val="0"/>
      <w:marBottom w:val="0"/>
      <w:divBdr>
        <w:top w:val="none" w:sz="0" w:space="0" w:color="auto"/>
        <w:left w:val="none" w:sz="0" w:space="0" w:color="auto"/>
        <w:bottom w:val="none" w:sz="0" w:space="0" w:color="auto"/>
        <w:right w:val="none" w:sz="0" w:space="0" w:color="auto"/>
      </w:divBdr>
    </w:div>
    <w:div w:id="1905096342">
      <w:bodyDiv w:val="1"/>
      <w:marLeft w:val="0"/>
      <w:marRight w:val="0"/>
      <w:marTop w:val="0"/>
      <w:marBottom w:val="0"/>
      <w:divBdr>
        <w:top w:val="none" w:sz="0" w:space="0" w:color="auto"/>
        <w:left w:val="none" w:sz="0" w:space="0" w:color="auto"/>
        <w:bottom w:val="none" w:sz="0" w:space="0" w:color="auto"/>
        <w:right w:val="none" w:sz="0" w:space="0" w:color="auto"/>
      </w:divBdr>
    </w:div>
    <w:div w:id="1911646175">
      <w:bodyDiv w:val="1"/>
      <w:marLeft w:val="0"/>
      <w:marRight w:val="0"/>
      <w:marTop w:val="0"/>
      <w:marBottom w:val="0"/>
      <w:divBdr>
        <w:top w:val="none" w:sz="0" w:space="0" w:color="auto"/>
        <w:left w:val="none" w:sz="0" w:space="0" w:color="auto"/>
        <w:bottom w:val="none" w:sz="0" w:space="0" w:color="auto"/>
        <w:right w:val="none" w:sz="0" w:space="0" w:color="auto"/>
      </w:divBdr>
    </w:div>
    <w:div w:id="1914243863">
      <w:bodyDiv w:val="1"/>
      <w:marLeft w:val="0"/>
      <w:marRight w:val="0"/>
      <w:marTop w:val="0"/>
      <w:marBottom w:val="0"/>
      <w:divBdr>
        <w:top w:val="none" w:sz="0" w:space="0" w:color="auto"/>
        <w:left w:val="none" w:sz="0" w:space="0" w:color="auto"/>
        <w:bottom w:val="none" w:sz="0" w:space="0" w:color="auto"/>
        <w:right w:val="none" w:sz="0" w:space="0" w:color="auto"/>
      </w:divBdr>
    </w:div>
    <w:div w:id="1916469960">
      <w:bodyDiv w:val="1"/>
      <w:marLeft w:val="0"/>
      <w:marRight w:val="0"/>
      <w:marTop w:val="0"/>
      <w:marBottom w:val="0"/>
      <w:divBdr>
        <w:top w:val="none" w:sz="0" w:space="0" w:color="auto"/>
        <w:left w:val="none" w:sz="0" w:space="0" w:color="auto"/>
        <w:bottom w:val="none" w:sz="0" w:space="0" w:color="auto"/>
        <w:right w:val="none" w:sz="0" w:space="0" w:color="auto"/>
      </w:divBdr>
    </w:div>
    <w:div w:id="1920863704">
      <w:bodyDiv w:val="1"/>
      <w:marLeft w:val="0"/>
      <w:marRight w:val="0"/>
      <w:marTop w:val="0"/>
      <w:marBottom w:val="0"/>
      <w:divBdr>
        <w:top w:val="none" w:sz="0" w:space="0" w:color="auto"/>
        <w:left w:val="none" w:sz="0" w:space="0" w:color="auto"/>
        <w:bottom w:val="none" w:sz="0" w:space="0" w:color="auto"/>
        <w:right w:val="none" w:sz="0" w:space="0" w:color="auto"/>
      </w:divBdr>
    </w:div>
    <w:div w:id="1925873194">
      <w:bodyDiv w:val="1"/>
      <w:marLeft w:val="0"/>
      <w:marRight w:val="0"/>
      <w:marTop w:val="0"/>
      <w:marBottom w:val="0"/>
      <w:divBdr>
        <w:top w:val="none" w:sz="0" w:space="0" w:color="auto"/>
        <w:left w:val="none" w:sz="0" w:space="0" w:color="auto"/>
        <w:bottom w:val="none" w:sz="0" w:space="0" w:color="auto"/>
        <w:right w:val="none" w:sz="0" w:space="0" w:color="auto"/>
      </w:divBdr>
    </w:div>
    <w:div w:id="1927612131">
      <w:bodyDiv w:val="1"/>
      <w:marLeft w:val="0"/>
      <w:marRight w:val="0"/>
      <w:marTop w:val="0"/>
      <w:marBottom w:val="0"/>
      <w:divBdr>
        <w:top w:val="none" w:sz="0" w:space="0" w:color="auto"/>
        <w:left w:val="none" w:sz="0" w:space="0" w:color="auto"/>
        <w:bottom w:val="none" w:sz="0" w:space="0" w:color="auto"/>
        <w:right w:val="none" w:sz="0" w:space="0" w:color="auto"/>
      </w:divBdr>
    </w:div>
    <w:div w:id="1941526685">
      <w:bodyDiv w:val="1"/>
      <w:marLeft w:val="0"/>
      <w:marRight w:val="0"/>
      <w:marTop w:val="0"/>
      <w:marBottom w:val="0"/>
      <w:divBdr>
        <w:top w:val="none" w:sz="0" w:space="0" w:color="auto"/>
        <w:left w:val="none" w:sz="0" w:space="0" w:color="auto"/>
        <w:bottom w:val="none" w:sz="0" w:space="0" w:color="auto"/>
        <w:right w:val="none" w:sz="0" w:space="0" w:color="auto"/>
      </w:divBdr>
    </w:div>
    <w:div w:id="1943370856">
      <w:bodyDiv w:val="1"/>
      <w:marLeft w:val="0"/>
      <w:marRight w:val="0"/>
      <w:marTop w:val="0"/>
      <w:marBottom w:val="0"/>
      <w:divBdr>
        <w:top w:val="none" w:sz="0" w:space="0" w:color="auto"/>
        <w:left w:val="none" w:sz="0" w:space="0" w:color="auto"/>
        <w:bottom w:val="none" w:sz="0" w:space="0" w:color="auto"/>
        <w:right w:val="none" w:sz="0" w:space="0" w:color="auto"/>
      </w:divBdr>
    </w:div>
    <w:div w:id="1950115872">
      <w:bodyDiv w:val="1"/>
      <w:marLeft w:val="0"/>
      <w:marRight w:val="0"/>
      <w:marTop w:val="0"/>
      <w:marBottom w:val="0"/>
      <w:divBdr>
        <w:top w:val="none" w:sz="0" w:space="0" w:color="auto"/>
        <w:left w:val="none" w:sz="0" w:space="0" w:color="auto"/>
        <w:bottom w:val="none" w:sz="0" w:space="0" w:color="auto"/>
        <w:right w:val="none" w:sz="0" w:space="0" w:color="auto"/>
      </w:divBdr>
    </w:div>
    <w:div w:id="1951814203">
      <w:bodyDiv w:val="1"/>
      <w:marLeft w:val="0"/>
      <w:marRight w:val="0"/>
      <w:marTop w:val="0"/>
      <w:marBottom w:val="0"/>
      <w:divBdr>
        <w:top w:val="none" w:sz="0" w:space="0" w:color="auto"/>
        <w:left w:val="none" w:sz="0" w:space="0" w:color="auto"/>
        <w:bottom w:val="none" w:sz="0" w:space="0" w:color="auto"/>
        <w:right w:val="none" w:sz="0" w:space="0" w:color="auto"/>
      </w:divBdr>
    </w:div>
    <w:div w:id="1955094540">
      <w:bodyDiv w:val="1"/>
      <w:marLeft w:val="0"/>
      <w:marRight w:val="0"/>
      <w:marTop w:val="0"/>
      <w:marBottom w:val="0"/>
      <w:divBdr>
        <w:top w:val="none" w:sz="0" w:space="0" w:color="auto"/>
        <w:left w:val="none" w:sz="0" w:space="0" w:color="auto"/>
        <w:bottom w:val="none" w:sz="0" w:space="0" w:color="auto"/>
        <w:right w:val="none" w:sz="0" w:space="0" w:color="auto"/>
      </w:divBdr>
    </w:div>
    <w:div w:id="1957058624">
      <w:bodyDiv w:val="1"/>
      <w:marLeft w:val="0"/>
      <w:marRight w:val="0"/>
      <w:marTop w:val="0"/>
      <w:marBottom w:val="0"/>
      <w:divBdr>
        <w:top w:val="none" w:sz="0" w:space="0" w:color="auto"/>
        <w:left w:val="none" w:sz="0" w:space="0" w:color="auto"/>
        <w:bottom w:val="none" w:sz="0" w:space="0" w:color="auto"/>
        <w:right w:val="none" w:sz="0" w:space="0" w:color="auto"/>
      </w:divBdr>
    </w:div>
    <w:div w:id="1959141696">
      <w:bodyDiv w:val="1"/>
      <w:marLeft w:val="0"/>
      <w:marRight w:val="0"/>
      <w:marTop w:val="0"/>
      <w:marBottom w:val="0"/>
      <w:divBdr>
        <w:top w:val="none" w:sz="0" w:space="0" w:color="auto"/>
        <w:left w:val="none" w:sz="0" w:space="0" w:color="auto"/>
        <w:bottom w:val="none" w:sz="0" w:space="0" w:color="auto"/>
        <w:right w:val="none" w:sz="0" w:space="0" w:color="auto"/>
      </w:divBdr>
    </w:div>
    <w:div w:id="1978219108">
      <w:bodyDiv w:val="1"/>
      <w:marLeft w:val="0"/>
      <w:marRight w:val="0"/>
      <w:marTop w:val="0"/>
      <w:marBottom w:val="0"/>
      <w:divBdr>
        <w:top w:val="none" w:sz="0" w:space="0" w:color="auto"/>
        <w:left w:val="none" w:sz="0" w:space="0" w:color="auto"/>
        <w:bottom w:val="none" w:sz="0" w:space="0" w:color="auto"/>
        <w:right w:val="none" w:sz="0" w:space="0" w:color="auto"/>
      </w:divBdr>
    </w:div>
    <w:div w:id="1981614671">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2010518309">
      <w:bodyDiv w:val="1"/>
      <w:marLeft w:val="0"/>
      <w:marRight w:val="0"/>
      <w:marTop w:val="0"/>
      <w:marBottom w:val="0"/>
      <w:divBdr>
        <w:top w:val="none" w:sz="0" w:space="0" w:color="auto"/>
        <w:left w:val="none" w:sz="0" w:space="0" w:color="auto"/>
        <w:bottom w:val="none" w:sz="0" w:space="0" w:color="auto"/>
        <w:right w:val="none" w:sz="0" w:space="0" w:color="auto"/>
      </w:divBdr>
    </w:div>
    <w:div w:id="2011789247">
      <w:bodyDiv w:val="1"/>
      <w:marLeft w:val="0"/>
      <w:marRight w:val="0"/>
      <w:marTop w:val="0"/>
      <w:marBottom w:val="0"/>
      <w:divBdr>
        <w:top w:val="none" w:sz="0" w:space="0" w:color="auto"/>
        <w:left w:val="none" w:sz="0" w:space="0" w:color="auto"/>
        <w:bottom w:val="none" w:sz="0" w:space="0" w:color="auto"/>
        <w:right w:val="none" w:sz="0" w:space="0" w:color="auto"/>
      </w:divBdr>
    </w:div>
    <w:div w:id="2012104860">
      <w:bodyDiv w:val="1"/>
      <w:marLeft w:val="0"/>
      <w:marRight w:val="0"/>
      <w:marTop w:val="0"/>
      <w:marBottom w:val="0"/>
      <w:divBdr>
        <w:top w:val="none" w:sz="0" w:space="0" w:color="auto"/>
        <w:left w:val="none" w:sz="0" w:space="0" w:color="auto"/>
        <w:bottom w:val="none" w:sz="0" w:space="0" w:color="auto"/>
        <w:right w:val="none" w:sz="0" w:space="0" w:color="auto"/>
      </w:divBdr>
    </w:div>
    <w:div w:id="2016692208">
      <w:bodyDiv w:val="1"/>
      <w:marLeft w:val="0"/>
      <w:marRight w:val="0"/>
      <w:marTop w:val="0"/>
      <w:marBottom w:val="0"/>
      <w:divBdr>
        <w:top w:val="none" w:sz="0" w:space="0" w:color="auto"/>
        <w:left w:val="none" w:sz="0" w:space="0" w:color="auto"/>
        <w:bottom w:val="none" w:sz="0" w:space="0" w:color="auto"/>
        <w:right w:val="none" w:sz="0" w:space="0" w:color="auto"/>
      </w:divBdr>
    </w:div>
    <w:div w:id="2030108729">
      <w:bodyDiv w:val="1"/>
      <w:marLeft w:val="0"/>
      <w:marRight w:val="0"/>
      <w:marTop w:val="0"/>
      <w:marBottom w:val="0"/>
      <w:divBdr>
        <w:top w:val="none" w:sz="0" w:space="0" w:color="auto"/>
        <w:left w:val="none" w:sz="0" w:space="0" w:color="auto"/>
        <w:bottom w:val="none" w:sz="0" w:space="0" w:color="auto"/>
        <w:right w:val="none" w:sz="0" w:space="0" w:color="auto"/>
      </w:divBdr>
    </w:div>
    <w:div w:id="2030377193">
      <w:bodyDiv w:val="1"/>
      <w:marLeft w:val="0"/>
      <w:marRight w:val="0"/>
      <w:marTop w:val="0"/>
      <w:marBottom w:val="0"/>
      <w:divBdr>
        <w:top w:val="none" w:sz="0" w:space="0" w:color="auto"/>
        <w:left w:val="none" w:sz="0" w:space="0" w:color="auto"/>
        <w:bottom w:val="none" w:sz="0" w:space="0" w:color="auto"/>
        <w:right w:val="none" w:sz="0" w:space="0" w:color="auto"/>
      </w:divBdr>
    </w:div>
    <w:div w:id="2031180527">
      <w:bodyDiv w:val="1"/>
      <w:marLeft w:val="0"/>
      <w:marRight w:val="0"/>
      <w:marTop w:val="0"/>
      <w:marBottom w:val="0"/>
      <w:divBdr>
        <w:top w:val="none" w:sz="0" w:space="0" w:color="auto"/>
        <w:left w:val="none" w:sz="0" w:space="0" w:color="auto"/>
        <w:bottom w:val="none" w:sz="0" w:space="0" w:color="auto"/>
        <w:right w:val="none" w:sz="0" w:space="0" w:color="auto"/>
      </w:divBdr>
    </w:div>
    <w:div w:id="2037925712">
      <w:bodyDiv w:val="1"/>
      <w:marLeft w:val="0"/>
      <w:marRight w:val="0"/>
      <w:marTop w:val="0"/>
      <w:marBottom w:val="0"/>
      <w:divBdr>
        <w:top w:val="none" w:sz="0" w:space="0" w:color="auto"/>
        <w:left w:val="none" w:sz="0" w:space="0" w:color="auto"/>
        <w:bottom w:val="none" w:sz="0" w:space="0" w:color="auto"/>
        <w:right w:val="none" w:sz="0" w:space="0" w:color="auto"/>
      </w:divBdr>
    </w:div>
    <w:div w:id="2046367616">
      <w:bodyDiv w:val="1"/>
      <w:marLeft w:val="0"/>
      <w:marRight w:val="0"/>
      <w:marTop w:val="0"/>
      <w:marBottom w:val="0"/>
      <w:divBdr>
        <w:top w:val="none" w:sz="0" w:space="0" w:color="auto"/>
        <w:left w:val="none" w:sz="0" w:space="0" w:color="auto"/>
        <w:bottom w:val="none" w:sz="0" w:space="0" w:color="auto"/>
        <w:right w:val="none" w:sz="0" w:space="0" w:color="auto"/>
      </w:divBdr>
    </w:div>
    <w:div w:id="2049332980">
      <w:bodyDiv w:val="1"/>
      <w:marLeft w:val="0"/>
      <w:marRight w:val="0"/>
      <w:marTop w:val="0"/>
      <w:marBottom w:val="0"/>
      <w:divBdr>
        <w:top w:val="none" w:sz="0" w:space="0" w:color="auto"/>
        <w:left w:val="none" w:sz="0" w:space="0" w:color="auto"/>
        <w:bottom w:val="none" w:sz="0" w:space="0" w:color="auto"/>
        <w:right w:val="none" w:sz="0" w:space="0" w:color="auto"/>
      </w:divBdr>
    </w:div>
    <w:div w:id="2051494775">
      <w:bodyDiv w:val="1"/>
      <w:marLeft w:val="0"/>
      <w:marRight w:val="0"/>
      <w:marTop w:val="0"/>
      <w:marBottom w:val="0"/>
      <w:divBdr>
        <w:top w:val="none" w:sz="0" w:space="0" w:color="auto"/>
        <w:left w:val="none" w:sz="0" w:space="0" w:color="auto"/>
        <w:bottom w:val="none" w:sz="0" w:space="0" w:color="auto"/>
        <w:right w:val="none" w:sz="0" w:space="0" w:color="auto"/>
      </w:divBdr>
    </w:div>
    <w:div w:id="2051682414">
      <w:bodyDiv w:val="1"/>
      <w:marLeft w:val="0"/>
      <w:marRight w:val="0"/>
      <w:marTop w:val="0"/>
      <w:marBottom w:val="0"/>
      <w:divBdr>
        <w:top w:val="none" w:sz="0" w:space="0" w:color="auto"/>
        <w:left w:val="none" w:sz="0" w:space="0" w:color="auto"/>
        <w:bottom w:val="none" w:sz="0" w:space="0" w:color="auto"/>
        <w:right w:val="none" w:sz="0" w:space="0" w:color="auto"/>
      </w:divBdr>
    </w:div>
    <w:div w:id="2061053305">
      <w:bodyDiv w:val="1"/>
      <w:marLeft w:val="0"/>
      <w:marRight w:val="0"/>
      <w:marTop w:val="0"/>
      <w:marBottom w:val="0"/>
      <w:divBdr>
        <w:top w:val="none" w:sz="0" w:space="0" w:color="auto"/>
        <w:left w:val="none" w:sz="0" w:space="0" w:color="auto"/>
        <w:bottom w:val="none" w:sz="0" w:space="0" w:color="auto"/>
        <w:right w:val="none" w:sz="0" w:space="0" w:color="auto"/>
      </w:divBdr>
    </w:div>
    <w:div w:id="2070035485">
      <w:bodyDiv w:val="1"/>
      <w:marLeft w:val="0"/>
      <w:marRight w:val="0"/>
      <w:marTop w:val="0"/>
      <w:marBottom w:val="0"/>
      <w:divBdr>
        <w:top w:val="none" w:sz="0" w:space="0" w:color="auto"/>
        <w:left w:val="none" w:sz="0" w:space="0" w:color="auto"/>
        <w:bottom w:val="none" w:sz="0" w:space="0" w:color="auto"/>
        <w:right w:val="none" w:sz="0" w:space="0" w:color="auto"/>
      </w:divBdr>
    </w:div>
    <w:div w:id="2074044080">
      <w:bodyDiv w:val="1"/>
      <w:marLeft w:val="0"/>
      <w:marRight w:val="0"/>
      <w:marTop w:val="0"/>
      <w:marBottom w:val="0"/>
      <w:divBdr>
        <w:top w:val="none" w:sz="0" w:space="0" w:color="auto"/>
        <w:left w:val="none" w:sz="0" w:space="0" w:color="auto"/>
        <w:bottom w:val="none" w:sz="0" w:space="0" w:color="auto"/>
        <w:right w:val="none" w:sz="0" w:space="0" w:color="auto"/>
      </w:divBdr>
    </w:div>
    <w:div w:id="2075855746">
      <w:bodyDiv w:val="1"/>
      <w:marLeft w:val="0"/>
      <w:marRight w:val="0"/>
      <w:marTop w:val="0"/>
      <w:marBottom w:val="0"/>
      <w:divBdr>
        <w:top w:val="none" w:sz="0" w:space="0" w:color="auto"/>
        <w:left w:val="none" w:sz="0" w:space="0" w:color="auto"/>
        <w:bottom w:val="none" w:sz="0" w:space="0" w:color="auto"/>
        <w:right w:val="none" w:sz="0" w:space="0" w:color="auto"/>
      </w:divBdr>
    </w:div>
    <w:div w:id="2084796782">
      <w:bodyDiv w:val="1"/>
      <w:marLeft w:val="0"/>
      <w:marRight w:val="0"/>
      <w:marTop w:val="0"/>
      <w:marBottom w:val="0"/>
      <w:divBdr>
        <w:top w:val="none" w:sz="0" w:space="0" w:color="auto"/>
        <w:left w:val="none" w:sz="0" w:space="0" w:color="auto"/>
        <w:bottom w:val="none" w:sz="0" w:space="0" w:color="auto"/>
        <w:right w:val="none" w:sz="0" w:space="0" w:color="auto"/>
      </w:divBdr>
    </w:div>
    <w:div w:id="2085644933">
      <w:bodyDiv w:val="1"/>
      <w:marLeft w:val="0"/>
      <w:marRight w:val="0"/>
      <w:marTop w:val="0"/>
      <w:marBottom w:val="0"/>
      <w:divBdr>
        <w:top w:val="none" w:sz="0" w:space="0" w:color="auto"/>
        <w:left w:val="none" w:sz="0" w:space="0" w:color="auto"/>
        <w:bottom w:val="none" w:sz="0" w:space="0" w:color="auto"/>
        <w:right w:val="none" w:sz="0" w:space="0" w:color="auto"/>
      </w:divBdr>
    </w:div>
    <w:div w:id="2086604786">
      <w:bodyDiv w:val="1"/>
      <w:marLeft w:val="0"/>
      <w:marRight w:val="0"/>
      <w:marTop w:val="0"/>
      <w:marBottom w:val="0"/>
      <w:divBdr>
        <w:top w:val="none" w:sz="0" w:space="0" w:color="auto"/>
        <w:left w:val="none" w:sz="0" w:space="0" w:color="auto"/>
        <w:bottom w:val="none" w:sz="0" w:space="0" w:color="auto"/>
        <w:right w:val="none" w:sz="0" w:space="0" w:color="auto"/>
      </w:divBdr>
    </w:div>
    <w:div w:id="2087458539">
      <w:bodyDiv w:val="1"/>
      <w:marLeft w:val="0"/>
      <w:marRight w:val="0"/>
      <w:marTop w:val="0"/>
      <w:marBottom w:val="0"/>
      <w:divBdr>
        <w:top w:val="none" w:sz="0" w:space="0" w:color="auto"/>
        <w:left w:val="none" w:sz="0" w:space="0" w:color="auto"/>
        <w:bottom w:val="none" w:sz="0" w:space="0" w:color="auto"/>
        <w:right w:val="none" w:sz="0" w:space="0" w:color="auto"/>
      </w:divBdr>
    </w:div>
    <w:div w:id="2090878792">
      <w:bodyDiv w:val="1"/>
      <w:marLeft w:val="0"/>
      <w:marRight w:val="0"/>
      <w:marTop w:val="0"/>
      <w:marBottom w:val="0"/>
      <w:divBdr>
        <w:top w:val="none" w:sz="0" w:space="0" w:color="auto"/>
        <w:left w:val="none" w:sz="0" w:space="0" w:color="auto"/>
        <w:bottom w:val="none" w:sz="0" w:space="0" w:color="auto"/>
        <w:right w:val="none" w:sz="0" w:space="0" w:color="auto"/>
      </w:divBdr>
    </w:div>
    <w:div w:id="2092120504">
      <w:bodyDiv w:val="1"/>
      <w:marLeft w:val="0"/>
      <w:marRight w:val="0"/>
      <w:marTop w:val="0"/>
      <w:marBottom w:val="0"/>
      <w:divBdr>
        <w:top w:val="none" w:sz="0" w:space="0" w:color="auto"/>
        <w:left w:val="none" w:sz="0" w:space="0" w:color="auto"/>
        <w:bottom w:val="none" w:sz="0" w:space="0" w:color="auto"/>
        <w:right w:val="none" w:sz="0" w:space="0" w:color="auto"/>
      </w:divBdr>
    </w:div>
    <w:div w:id="2097359053">
      <w:bodyDiv w:val="1"/>
      <w:marLeft w:val="0"/>
      <w:marRight w:val="0"/>
      <w:marTop w:val="0"/>
      <w:marBottom w:val="0"/>
      <w:divBdr>
        <w:top w:val="none" w:sz="0" w:space="0" w:color="auto"/>
        <w:left w:val="none" w:sz="0" w:space="0" w:color="auto"/>
        <w:bottom w:val="none" w:sz="0" w:space="0" w:color="auto"/>
        <w:right w:val="none" w:sz="0" w:space="0" w:color="auto"/>
      </w:divBdr>
    </w:div>
    <w:div w:id="2103992869">
      <w:bodyDiv w:val="1"/>
      <w:marLeft w:val="0"/>
      <w:marRight w:val="0"/>
      <w:marTop w:val="0"/>
      <w:marBottom w:val="0"/>
      <w:divBdr>
        <w:top w:val="none" w:sz="0" w:space="0" w:color="auto"/>
        <w:left w:val="none" w:sz="0" w:space="0" w:color="auto"/>
        <w:bottom w:val="none" w:sz="0" w:space="0" w:color="auto"/>
        <w:right w:val="none" w:sz="0" w:space="0" w:color="auto"/>
      </w:divBdr>
    </w:div>
    <w:div w:id="2108228138">
      <w:bodyDiv w:val="1"/>
      <w:marLeft w:val="0"/>
      <w:marRight w:val="0"/>
      <w:marTop w:val="0"/>
      <w:marBottom w:val="0"/>
      <w:divBdr>
        <w:top w:val="none" w:sz="0" w:space="0" w:color="auto"/>
        <w:left w:val="none" w:sz="0" w:space="0" w:color="auto"/>
        <w:bottom w:val="none" w:sz="0" w:space="0" w:color="auto"/>
        <w:right w:val="none" w:sz="0" w:space="0" w:color="auto"/>
      </w:divBdr>
    </w:div>
    <w:div w:id="2120907328">
      <w:bodyDiv w:val="1"/>
      <w:marLeft w:val="0"/>
      <w:marRight w:val="0"/>
      <w:marTop w:val="0"/>
      <w:marBottom w:val="0"/>
      <w:divBdr>
        <w:top w:val="none" w:sz="0" w:space="0" w:color="auto"/>
        <w:left w:val="none" w:sz="0" w:space="0" w:color="auto"/>
        <w:bottom w:val="none" w:sz="0" w:space="0" w:color="auto"/>
        <w:right w:val="none" w:sz="0" w:space="0" w:color="auto"/>
      </w:divBdr>
    </w:div>
    <w:div w:id="2132432418">
      <w:bodyDiv w:val="1"/>
      <w:marLeft w:val="0"/>
      <w:marRight w:val="0"/>
      <w:marTop w:val="0"/>
      <w:marBottom w:val="0"/>
      <w:divBdr>
        <w:top w:val="none" w:sz="0" w:space="0" w:color="auto"/>
        <w:left w:val="none" w:sz="0" w:space="0" w:color="auto"/>
        <w:bottom w:val="none" w:sz="0" w:space="0" w:color="auto"/>
        <w:right w:val="none" w:sz="0" w:space="0" w:color="auto"/>
      </w:divBdr>
    </w:div>
    <w:div w:id="2133398556">
      <w:bodyDiv w:val="1"/>
      <w:marLeft w:val="0"/>
      <w:marRight w:val="0"/>
      <w:marTop w:val="0"/>
      <w:marBottom w:val="0"/>
      <w:divBdr>
        <w:top w:val="none" w:sz="0" w:space="0" w:color="auto"/>
        <w:left w:val="none" w:sz="0" w:space="0" w:color="auto"/>
        <w:bottom w:val="none" w:sz="0" w:space="0" w:color="auto"/>
        <w:right w:val="none" w:sz="0" w:space="0" w:color="auto"/>
      </w:divBdr>
    </w:div>
    <w:div w:id="2133742154">
      <w:bodyDiv w:val="1"/>
      <w:marLeft w:val="0"/>
      <w:marRight w:val="0"/>
      <w:marTop w:val="0"/>
      <w:marBottom w:val="0"/>
      <w:divBdr>
        <w:top w:val="none" w:sz="0" w:space="0" w:color="auto"/>
        <w:left w:val="none" w:sz="0" w:space="0" w:color="auto"/>
        <w:bottom w:val="none" w:sz="0" w:space="0" w:color="auto"/>
        <w:right w:val="none" w:sz="0" w:space="0" w:color="auto"/>
      </w:divBdr>
    </w:div>
    <w:div w:id="214080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hyperlink" Target="http://www.cgc.gov.au" TargetMode="External"/><Relationship Id="rId42" Type="http://schemas.openxmlformats.org/officeDocument/2006/relationships/footer" Target="footer16.xml"/><Relationship Id="rId47" Type="http://schemas.openxmlformats.org/officeDocument/2006/relationships/hyperlink" Target="https://cgc.gov.au/" TargetMode="External"/><Relationship Id="rId63" Type="http://schemas.openxmlformats.org/officeDocument/2006/relationships/header" Target="header5.xml"/><Relationship Id="rId68" Type="http://schemas.openxmlformats.org/officeDocument/2006/relationships/footer" Target="footer23.xml"/><Relationship Id="rId16" Type="http://schemas.openxmlformats.org/officeDocument/2006/relationships/hyperlink" Target="http://creativecommons.org/licenses/by/4.0" TargetMode="External"/><Relationship Id="rId11" Type="http://schemas.openxmlformats.org/officeDocument/2006/relationships/footer" Target="footer1.xml"/><Relationship Id="rId32" Type="http://schemas.openxmlformats.org/officeDocument/2006/relationships/footer" Target="footer6.xml"/><Relationship Id="rId37" Type="http://schemas.openxmlformats.org/officeDocument/2006/relationships/footer" Target="footer11.xml"/><Relationship Id="rId53" Type="http://schemas.openxmlformats.org/officeDocument/2006/relationships/image" Target="media/image10.emf"/><Relationship Id="rId58" Type="http://schemas.openxmlformats.org/officeDocument/2006/relationships/image" Target="media/image14.emf"/><Relationship Id="rId74" Type="http://schemas.openxmlformats.org/officeDocument/2006/relationships/image" Target="media/image17.emf"/><Relationship Id="rId79" Type="http://schemas.openxmlformats.org/officeDocument/2006/relationships/footer" Target="footer27.xml"/><Relationship Id="rId5" Type="http://schemas.openxmlformats.org/officeDocument/2006/relationships/settings" Target="settings.xml"/><Relationship Id="rId61" Type="http://schemas.openxmlformats.org/officeDocument/2006/relationships/image" Target="media/image16.emf"/><Relationship Id="rId19" Type="http://schemas.openxmlformats.org/officeDocument/2006/relationships/hyperlink" Target="mailto:phil.parkins@cgc.gov.au" TargetMode="Externa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image" Target="media/image6.emf"/><Relationship Id="rId30" Type="http://schemas.openxmlformats.org/officeDocument/2006/relationships/footer" Target="footer4.xml"/><Relationship Id="rId35" Type="http://schemas.openxmlformats.org/officeDocument/2006/relationships/footer" Target="footer9.xml"/><Relationship Id="rId43" Type="http://schemas.openxmlformats.org/officeDocument/2006/relationships/footer" Target="footer17.xml"/><Relationship Id="rId48" Type="http://schemas.openxmlformats.org/officeDocument/2006/relationships/hyperlink" Target="https://www.cgc.gov.au/" TargetMode="External"/><Relationship Id="rId56" Type="http://schemas.openxmlformats.org/officeDocument/2006/relationships/image" Target="media/image13.emf"/><Relationship Id="rId64" Type="http://schemas.openxmlformats.org/officeDocument/2006/relationships/header" Target="header6.xml"/><Relationship Id="rId69" Type="http://schemas.openxmlformats.org/officeDocument/2006/relationships/hyperlink" Target="https://cgc.gov.au/" TargetMode="External"/><Relationship Id="rId77" Type="http://schemas.openxmlformats.org/officeDocument/2006/relationships/hyperlink" Target="https://cgc.gov.au/" TargetMode="External"/><Relationship Id="rId8" Type="http://schemas.openxmlformats.org/officeDocument/2006/relationships/endnotes" Target="endnotes.xml"/><Relationship Id="rId51" Type="http://schemas.openxmlformats.org/officeDocument/2006/relationships/image" Target="media/image9.emf"/><Relationship Id="rId72" Type="http://schemas.openxmlformats.org/officeDocument/2006/relationships/header" Target="header9.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creativecommons.org/licenses/by/4.0/legalcode" TargetMode="External"/><Relationship Id="rId25" Type="http://schemas.openxmlformats.org/officeDocument/2006/relationships/image" Target="media/image4.emf"/><Relationship Id="rId33" Type="http://schemas.openxmlformats.org/officeDocument/2006/relationships/footer" Target="footer7.xml"/><Relationship Id="rId38" Type="http://schemas.openxmlformats.org/officeDocument/2006/relationships/footer" Target="footer12.xml"/><Relationship Id="rId46" Type="http://schemas.openxmlformats.org/officeDocument/2006/relationships/footer" Target="footer20.xml"/><Relationship Id="rId59" Type="http://schemas.openxmlformats.org/officeDocument/2006/relationships/hyperlink" Target="https://www.cgc.gov.au/" TargetMode="External"/><Relationship Id="rId67" Type="http://schemas.openxmlformats.org/officeDocument/2006/relationships/header" Target="header7.xml"/><Relationship Id="rId20" Type="http://schemas.openxmlformats.org/officeDocument/2006/relationships/header" Target="header2.xml"/><Relationship Id="rId41" Type="http://schemas.openxmlformats.org/officeDocument/2006/relationships/footer" Target="footer15.xml"/><Relationship Id="rId54" Type="http://schemas.openxmlformats.org/officeDocument/2006/relationships/image" Target="media/image11.emf"/><Relationship Id="rId62" Type="http://schemas.openxmlformats.org/officeDocument/2006/relationships/hyperlink" Target="https://cgc.gov.au/" TargetMode="External"/><Relationship Id="rId70" Type="http://schemas.openxmlformats.org/officeDocument/2006/relationships/header" Target="header8.xml"/><Relationship Id="rId75"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reativecommons.org/licenses/by/3.0" TargetMode="External"/><Relationship Id="rId23" Type="http://schemas.openxmlformats.org/officeDocument/2006/relationships/image" Target="media/image3.emf"/><Relationship Id="rId28" Type="http://schemas.openxmlformats.org/officeDocument/2006/relationships/hyperlink" Target="https://cgc.gov.au/" TargetMode="External"/><Relationship Id="rId36" Type="http://schemas.openxmlformats.org/officeDocument/2006/relationships/footer" Target="footer10.xml"/><Relationship Id="rId49" Type="http://schemas.openxmlformats.org/officeDocument/2006/relationships/image" Target="media/image7.emf"/><Relationship Id="rId57" Type="http://schemas.openxmlformats.org/officeDocument/2006/relationships/hyperlink" Target="https://cgc.gov.au/" TargetMode="External"/><Relationship Id="rId10" Type="http://schemas.openxmlformats.org/officeDocument/2006/relationships/header" Target="header1.xml"/><Relationship Id="rId31" Type="http://schemas.openxmlformats.org/officeDocument/2006/relationships/footer" Target="footer5.xml"/><Relationship Id="rId44" Type="http://schemas.openxmlformats.org/officeDocument/2006/relationships/footer" Target="footer18.xml"/><Relationship Id="rId52" Type="http://schemas.openxmlformats.org/officeDocument/2006/relationships/hyperlink" Target="https://www.cgc.gov.au/" TargetMode="External"/><Relationship Id="rId60" Type="http://schemas.openxmlformats.org/officeDocument/2006/relationships/image" Target="media/image15.emf"/><Relationship Id="rId65" Type="http://schemas.openxmlformats.org/officeDocument/2006/relationships/footer" Target="footer21.xml"/><Relationship Id="rId73" Type="http://schemas.openxmlformats.org/officeDocument/2006/relationships/hyperlink" Target="https://cgc.gov.au/" TargetMode="External"/><Relationship Id="rId78" Type="http://schemas.openxmlformats.org/officeDocument/2006/relationships/footer" Target="footer26.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creativecommons.org/licenses/by/4.0" TargetMode="External"/><Relationship Id="rId18" Type="http://schemas.openxmlformats.org/officeDocument/2006/relationships/hyperlink" Target="http://www.itsanhonour.gov.au/coat-arms/" TargetMode="External"/><Relationship Id="rId39" Type="http://schemas.openxmlformats.org/officeDocument/2006/relationships/footer" Target="footer13.xml"/><Relationship Id="rId34" Type="http://schemas.openxmlformats.org/officeDocument/2006/relationships/footer" Target="footer8.xml"/><Relationship Id="rId50" Type="http://schemas.openxmlformats.org/officeDocument/2006/relationships/image" Target="media/image8.emf"/><Relationship Id="rId55" Type="http://schemas.openxmlformats.org/officeDocument/2006/relationships/image" Target="media/image12.emf"/><Relationship Id="rId76" Type="http://schemas.openxmlformats.org/officeDocument/2006/relationships/header" Target="header10.xml"/><Relationship Id="rId7" Type="http://schemas.openxmlformats.org/officeDocument/2006/relationships/footnotes" Target="footnotes.xml"/><Relationship Id="rId71" Type="http://schemas.openxmlformats.org/officeDocument/2006/relationships/footer" Target="footer24.xm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eader" Target="header4.xml"/><Relationship Id="rId40" Type="http://schemas.openxmlformats.org/officeDocument/2006/relationships/footer" Target="footer14.xml"/><Relationship Id="rId45" Type="http://schemas.openxmlformats.org/officeDocument/2006/relationships/footer" Target="footer19.xml"/><Relationship Id="rId66" Type="http://schemas.openxmlformats.org/officeDocument/2006/relationships/footer" Target="footer22.xml"/></Relationships>
</file>

<file path=word/_rels/footnotes.xml.rels><?xml version="1.0" encoding="UTF-8" standalone="yes"?>
<Relationships xmlns="http://schemas.openxmlformats.org/package/2006/relationships"><Relationship Id="rId1" Type="http://schemas.openxmlformats.org/officeDocument/2006/relationships/hyperlink" Target="https://cgc.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O:\Word%20Templates\Official%20Template\Document%20Templates\Agenda%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186C8-98A3-4DE5-A999-10A53221B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Paper.dotx</Template>
  <TotalTime>369</TotalTime>
  <Pages>92</Pages>
  <Words>30930</Words>
  <Characters>167456</Characters>
  <Application>Microsoft Office Word</Application>
  <DocSecurity>0</DocSecurity>
  <Lines>1395</Lines>
  <Paragraphs>395</Paragraphs>
  <ScaleCrop>false</ScaleCrop>
  <HeadingPairs>
    <vt:vector size="2" baseType="variant">
      <vt:variant>
        <vt:lpstr>Title</vt:lpstr>
      </vt:variant>
      <vt:variant>
        <vt:i4>1</vt:i4>
      </vt:variant>
    </vt:vector>
  </HeadingPairs>
  <TitlesOfParts>
    <vt:vector size="1" baseType="lpstr">
      <vt:lpstr>•</vt:lpstr>
    </vt:vector>
  </TitlesOfParts>
  <Company>Commonwealth Grants Commission</Company>
  <LinksUpToDate>false</LinksUpToDate>
  <CharactersWithSpaces>197991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Alison Harper</dc:creator>
  <cp:lastModifiedBy>Kathleen Morris</cp:lastModifiedBy>
  <cp:revision>70</cp:revision>
  <cp:lastPrinted>2016-03-31T22:32:00Z</cp:lastPrinted>
  <dcterms:created xsi:type="dcterms:W3CDTF">2016-02-12T00:51:00Z</dcterms:created>
  <dcterms:modified xsi:type="dcterms:W3CDTF">2016-04-04T04:19:00Z</dcterms:modified>
</cp:coreProperties>
</file>