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4.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6.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7.xml" ContentType="application/vnd.openxmlformats-officedocument.wordprocessingml.footer+xml"/>
  <Override PartName="/word/header46.xml" ContentType="application/vnd.openxmlformats-officedocument.wordprocessingml.header+xml"/>
  <Override PartName="/word/footer1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19.xml" ContentType="application/vnd.openxmlformats-officedocument.wordprocessingml.footer+xml"/>
  <Override PartName="/word/header49.xml" ContentType="application/vnd.openxmlformats-officedocument.wordprocessingml.header+xml"/>
  <Override PartName="/word/footer2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2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2.xml" ContentType="application/vnd.openxmlformats-officedocument.wordprocessingml.footer+xml"/>
  <Override PartName="/word/header55.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126" w:rsidRDefault="00BB3126" w:rsidP="00BB3126">
      <w:pPr>
        <w:jc w:val="center"/>
      </w:pPr>
    </w:p>
    <w:p w:rsidR="00BB3126" w:rsidRPr="002A48E0" w:rsidRDefault="00BB3126" w:rsidP="00BB3126">
      <w:pPr>
        <w:jc w:val="center"/>
      </w:pPr>
      <w:bookmarkStart w:id="0" w:name="_GoBack"/>
      <w:bookmarkEnd w:id="0"/>
      <w:r w:rsidRPr="002A48E0">
        <w:rPr>
          <w:noProof/>
          <w:lang w:eastAsia="en-AU"/>
        </w:rPr>
        <w:drawing>
          <wp:inline distT="0" distB="0" distL="0" distR="0" wp14:anchorId="5F8705D0" wp14:editId="59F6DF04">
            <wp:extent cx="3050540" cy="1575435"/>
            <wp:effectExtent l="0" t="0" r="0" b="5715"/>
            <wp:docPr id="24" name="Picture 24" descr="Description: Description: Description: CGC_stackedstrip resized"/>
            <wp:cNvGraphicFramePr/>
            <a:graphic xmlns:a="http://schemas.openxmlformats.org/drawingml/2006/main">
              <a:graphicData uri="http://schemas.openxmlformats.org/drawingml/2006/picture">
                <pic:pic xmlns:pic="http://schemas.openxmlformats.org/drawingml/2006/picture">
                  <pic:nvPicPr>
                    <pic:cNvPr id="24" name="Picture 24" descr="Description: Description: Description: CGC_stackedstrip resize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0540" cy="1575435"/>
                    </a:xfrm>
                    <a:prstGeom prst="rect">
                      <a:avLst/>
                    </a:prstGeom>
                    <a:noFill/>
                    <a:ln>
                      <a:noFill/>
                    </a:ln>
                  </pic:spPr>
                </pic:pic>
              </a:graphicData>
            </a:graphic>
          </wp:inline>
        </w:drawing>
      </w:r>
    </w:p>
    <w:p w:rsidR="00BB3126" w:rsidRPr="002A48E0" w:rsidRDefault="00BB3126" w:rsidP="00BB3126">
      <w:pPr>
        <w:spacing w:before="3360"/>
        <w:jc w:val="center"/>
        <w:rPr>
          <w:b/>
          <w:color w:val="329664"/>
          <w:sz w:val="52"/>
          <w:szCs w:val="52"/>
        </w:rPr>
      </w:pPr>
      <w:r w:rsidRPr="002A48E0">
        <w:rPr>
          <w:b/>
          <w:color w:val="329664"/>
          <w:sz w:val="52"/>
          <w:szCs w:val="52"/>
        </w:rPr>
        <w:t>Report on</w:t>
      </w:r>
    </w:p>
    <w:p w:rsidR="00BB3126" w:rsidRPr="002A48E0" w:rsidRDefault="00BB3126" w:rsidP="00BB3126">
      <w:pPr>
        <w:jc w:val="center"/>
        <w:rPr>
          <w:b/>
          <w:color w:val="329664"/>
          <w:sz w:val="52"/>
          <w:szCs w:val="52"/>
        </w:rPr>
      </w:pPr>
      <w:r w:rsidRPr="002A48E0">
        <w:rPr>
          <w:b/>
          <w:color w:val="329664"/>
          <w:sz w:val="52"/>
          <w:szCs w:val="52"/>
        </w:rPr>
        <w:t>GST Revenue Sharing Relativities</w:t>
      </w:r>
    </w:p>
    <w:p w:rsidR="00BB3126" w:rsidRPr="002A48E0" w:rsidRDefault="00BB3126" w:rsidP="00BB3126">
      <w:pPr>
        <w:spacing w:before="720"/>
        <w:jc w:val="center"/>
        <w:rPr>
          <w:b/>
          <w:color w:val="329664"/>
          <w:sz w:val="52"/>
          <w:szCs w:val="52"/>
        </w:rPr>
      </w:pPr>
      <w:r w:rsidRPr="002A48E0">
        <w:rPr>
          <w:b/>
          <w:color w:val="329664"/>
          <w:sz w:val="52"/>
          <w:szCs w:val="52"/>
        </w:rPr>
        <w:t>201</w:t>
      </w:r>
      <w:r>
        <w:rPr>
          <w:b/>
          <w:color w:val="329664"/>
          <w:sz w:val="52"/>
          <w:szCs w:val="52"/>
        </w:rPr>
        <w:t>9 </w:t>
      </w:r>
      <w:r w:rsidRPr="002A48E0">
        <w:rPr>
          <w:b/>
          <w:color w:val="329664"/>
          <w:sz w:val="52"/>
          <w:szCs w:val="52"/>
        </w:rPr>
        <w:t>Update</w:t>
      </w:r>
    </w:p>
    <w:p w:rsidR="00BB3126" w:rsidRPr="002A48E0" w:rsidRDefault="00BB3126" w:rsidP="00BB3126">
      <w:pPr>
        <w:spacing w:before="3600"/>
        <w:jc w:val="center"/>
        <w:rPr>
          <w:b/>
          <w:color w:val="329664"/>
          <w:sz w:val="40"/>
          <w:szCs w:val="40"/>
        </w:rPr>
      </w:pPr>
      <w:r w:rsidRPr="002A48E0">
        <w:rPr>
          <w:b/>
          <w:color w:val="329664"/>
          <w:sz w:val="40"/>
          <w:szCs w:val="40"/>
        </w:rPr>
        <w:t>Canberra</w:t>
      </w:r>
    </w:p>
    <w:p w:rsidR="00A67EE3" w:rsidRDefault="00A67EE3">
      <w:pPr>
        <w:tabs>
          <w:tab w:val="clear" w:pos="567"/>
        </w:tabs>
        <w:spacing w:after="200" w:line="276" w:lineRule="auto"/>
        <w:rPr>
          <w:b/>
          <w:color w:val="329664"/>
          <w:sz w:val="40"/>
          <w:szCs w:val="40"/>
        </w:rPr>
      </w:pPr>
      <w:r>
        <w:rPr>
          <w:b/>
          <w:color w:val="329664"/>
          <w:sz w:val="40"/>
          <w:szCs w:val="40"/>
        </w:rPr>
        <w:lastRenderedPageBreak/>
        <w:br w:type="page"/>
      </w:r>
    </w:p>
    <w:p w:rsidR="00BB3126" w:rsidRPr="002A48E0" w:rsidRDefault="00BB3126" w:rsidP="00BB3126">
      <w:pPr>
        <w:spacing w:before="3600"/>
        <w:jc w:val="center"/>
        <w:rPr>
          <w:b/>
          <w:color w:val="329664"/>
          <w:sz w:val="40"/>
          <w:szCs w:val="40"/>
        </w:rPr>
        <w:sectPr w:rsidR="00BB3126" w:rsidRPr="002A48E0" w:rsidSect="00C7618F">
          <w:headerReference w:type="default" r:id="rId9"/>
          <w:footerReference w:type="default" r:id="rId10"/>
          <w:footerReference w:type="first" r:id="rId11"/>
          <w:pgSz w:w="11899" w:h="16838" w:code="9"/>
          <w:pgMar w:top="1701" w:right="1474" w:bottom="1701" w:left="1474" w:header="709" w:footer="709" w:gutter="0"/>
          <w:cols w:space="708"/>
          <w:titlePg/>
          <w:docGrid w:linePitch="326"/>
        </w:sectPr>
      </w:pPr>
    </w:p>
    <w:p w:rsidR="00BB3126" w:rsidRPr="002A48E0" w:rsidRDefault="00BB3126" w:rsidP="00BB3126">
      <w:pPr>
        <w:pStyle w:val="H3notoc"/>
      </w:pPr>
      <w:bookmarkStart w:id="1" w:name="_Toc283907661"/>
      <w:bookmarkStart w:id="2" w:name="_Toc283984117"/>
      <w:bookmarkStart w:id="3" w:name="_Toc283984283"/>
      <w:bookmarkStart w:id="4" w:name="_Toc283984534"/>
      <w:bookmarkStart w:id="5" w:name="_Toc284593047"/>
      <w:bookmarkStart w:id="6" w:name="_Toc284950444"/>
      <w:bookmarkStart w:id="7" w:name="_Toc284950513"/>
      <w:bookmarkStart w:id="8" w:name="_Toc284950874"/>
      <w:bookmarkStart w:id="9" w:name="_Toc284951045"/>
      <w:bookmarkStart w:id="10" w:name="_Toc284951274"/>
      <w:bookmarkStart w:id="11" w:name="_Toc285634893"/>
      <w:bookmarkStart w:id="12" w:name="_Toc285635052"/>
      <w:bookmarkStart w:id="13" w:name="_Toc300732051"/>
      <w:bookmarkStart w:id="14" w:name="_Toc300732121"/>
      <w:bookmarkStart w:id="15" w:name="_Toc300732197"/>
      <w:bookmarkStart w:id="16" w:name="_Toc300732263"/>
      <w:bookmarkStart w:id="17" w:name="_Toc300732337"/>
      <w:bookmarkStart w:id="18" w:name="_Toc300732455"/>
      <w:bookmarkStart w:id="19" w:name="_Toc303952552"/>
      <w:bookmarkStart w:id="20" w:name="_Toc333409208"/>
      <w:bookmarkStart w:id="21" w:name="_Toc333409439"/>
      <w:bookmarkStart w:id="22" w:name="_Toc336335853"/>
      <w:bookmarkStart w:id="23" w:name="_Toc399487783"/>
      <w:bookmarkStart w:id="24" w:name="_Toc399487986"/>
      <w:bookmarkStart w:id="25" w:name="_Toc410741645"/>
      <w:bookmarkStart w:id="26" w:name="_Toc410744191"/>
      <w:bookmarkStart w:id="27" w:name="_Toc411511181"/>
      <w:bookmarkStart w:id="28" w:name="_Toc411511634"/>
      <w:bookmarkStart w:id="29" w:name="_Toc411924574"/>
      <w:bookmarkStart w:id="30" w:name="_Toc428435377"/>
      <w:bookmarkStart w:id="31" w:name="_Toc428435613"/>
      <w:bookmarkStart w:id="32" w:name="_Toc428435775"/>
      <w:bookmarkStart w:id="33" w:name="_Toc428435859"/>
      <w:bookmarkStart w:id="34" w:name="_Toc428803203"/>
      <w:bookmarkStart w:id="35" w:name="_Toc430166067"/>
      <w:bookmarkStart w:id="36" w:name="_Toc441241570"/>
      <w:bookmarkStart w:id="37" w:name="_Toc441242255"/>
      <w:bookmarkStart w:id="38" w:name="_Toc441242309"/>
      <w:bookmarkStart w:id="39" w:name="_Toc441499240"/>
      <w:bookmarkStart w:id="40" w:name="_Toc441655981"/>
      <w:bookmarkStart w:id="41" w:name="_Toc441656017"/>
      <w:bookmarkStart w:id="42" w:name="_Toc442191896"/>
      <w:bookmarkStart w:id="43" w:name="_Toc442192078"/>
      <w:bookmarkStart w:id="44" w:name="_Toc442192143"/>
      <w:bookmarkStart w:id="45" w:name="_Toc442192208"/>
      <w:r w:rsidRPr="002A48E0">
        <w:lastRenderedPageBreak/>
        <w:t>Copyright</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BB3126" w:rsidRPr="002A48E0" w:rsidRDefault="00BB3126" w:rsidP="00BB3126">
      <w:r w:rsidRPr="002A48E0">
        <w:t>© Commonwealth of Australia 201</w:t>
      </w:r>
      <w:r>
        <w:t>9</w:t>
      </w:r>
      <w:r w:rsidRPr="002A48E0">
        <w:tab/>
      </w:r>
      <w:r w:rsidRPr="002A48E0">
        <w:tab/>
      </w:r>
      <w:r w:rsidRPr="00C04C25">
        <w:t>ISBN:  978-0-9923954-7-6</w:t>
      </w:r>
    </w:p>
    <w:p w:rsidR="00BB3126" w:rsidRPr="002A48E0" w:rsidRDefault="00BB3126" w:rsidP="00BB3126">
      <w:pPr>
        <w:rPr>
          <w:i/>
        </w:rPr>
      </w:pPr>
      <w:r w:rsidRPr="002A48E0">
        <w:t xml:space="preserve">With the exception of the Commonwealth Coat of Arms, all material presented in this document is provided under an </w:t>
      </w:r>
      <w:hyperlink r:id="rId12" w:history="1">
        <w:r w:rsidRPr="002A48E0">
          <w:rPr>
            <w:rStyle w:val="Hyperlink"/>
          </w:rPr>
          <w:t>Attribution 4.0 (CC BY 4.0) licence</w:t>
        </w:r>
      </w:hyperlink>
      <w:r w:rsidRPr="002A48E0">
        <w:t xml:space="preserve"> (http://creativecommons.org/licenses/by/4.0).</w:t>
      </w:r>
    </w:p>
    <w:p w:rsidR="00BB3126" w:rsidRPr="002A48E0" w:rsidRDefault="00BB3126" w:rsidP="00BB3126">
      <w:r w:rsidRPr="002A48E0">
        <w:rPr>
          <w:noProof/>
          <w:lang w:eastAsia="en-AU"/>
        </w:rPr>
        <w:drawing>
          <wp:inline distT="0" distB="0" distL="0" distR="0" wp14:anchorId="6ED69037" wp14:editId="3867802C">
            <wp:extent cx="828675" cy="295275"/>
            <wp:effectExtent l="19050" t="0" r="9525" b="0"/>
            <wp:docPr id="16" name="Picture 1"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3" cstate="print"/>
                    <a:srcRect/>
                    <a:stretch>
                      <a:fillRect/>
                    </a:stretch>
                  </pic:blipFill>
                  <pic:spPr bwMode="auto">
                    <a:xfrm>
                      <a:off x="0" y="0"/>
                      <a:ext cx="828675" cy="295275"/>
                    </a:xfrm>
                    <a:prstGeom prst="rect">
                      <a:avLst/>
                    </a:prstGeom>
                    <a:noFill/>
                    <a:ln w="9525">
                      <a:noFill/>
                      <a:miter lim="800000"/>
                      <a:headEnd/>
                      <a:tailEnd/>
                    </a:ln>
                  </pic:spPr>
                </pic:pic>
              </a:graphicData>
            </a:graphic>
          </wp:inline>
        </w:drawing>
      </w:r>
    </w:p>
    <w:p w:rsidR="00BB3126" w:rsidRPr="002A48E0" w:rsidRDefault="00BB3126" w:rsidP="00BB3126">
      <w:pPr>
        <w:pStyle w:val="H3notoc"/>
      </w:pPr>
      <w:bookmarkStart w:id="46" w:name="_Toc283907662"/>
      <w:bookmarkStart w:id="47" w:name="_Toc283984118"/>
      <w:bookmarkStart w:id="48" w:name="_Toc283984284"/>
      <w:bookmarkStart w:id="49" w:name="_Toc284951046"/>
      <w:bookmarkStart w:id="50" w:name="_Toc300732052"/>
      <w:bookmarkStart w:id="51" w:name="_Toc300732122"/>
      <w:bookmarkStart w:id="52" w:name="_Toc300732338"/>
      <w:bookmarkStart w:id="53" w:name="_Toc300732456"/>
      <w:bookmarkStart w:id="54" w:name="_Toc303952553"/>
      <w:bookmarkStart w:id="55" w:name="_Toc336335854"/>
      <w:bookmarkStart w:id="56" w:name="_Toc399487987"/>
      <w:bookmarkStart w:id="57" w:name="_Toc428435614"/>
      <w:bookmarkStart w:id="58" w:name="_Toc428435776"/>
      <w:bookmarkStart w:id="59" w:name="_Toc428435860"/>
      <w:bookmarkStart w:id="60" w:name="_Toc428803204"/>
      <w:bookmarkStart w:id="61" w:name="_Toc430166068"/>
      <w:bookmarkStart w:id="62" w:name="_Toc441241571"/>
      <w:bookmarkStart w:id="63" w:name="_Toc441242256"/>
      <w:bookmarkStart w:id="64" w:name="_Toc441242310"/>
      <w:bookmarkStart w:id="65" w:name="_Toc441499241"/>
      <w:bookmarkStart w:id="66" w:name="_Toc442191897"/>
      <w:bookmarkStart w:id="67" w:name="_Toc442192079"/>
      <w:bookmarkStart w:id="68" w:name="_Toc442192144"/>
      <w:bookmarkStart w:id="69" w:name="_Toc442192209"/>
      <w:r w:rsidRPr="002A48E0">
        <w:t>Attribution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BB3126" w:rsidRPr="002A48E0" w:rsidRDefault="00BB3126" w:rsidP="00BB3126">
      <w:pPr>
        <w:rPr>
          <w:i/>
        </w:rPr>
      </w:pPr>
      <w:r w:rsidRPr="002A48E0">
        <w:t xml:space="preserve">This document should be attributed as: Commonwealth Grants Commission, </w:t>
      </w:r>
      <w:r w:rsidRPr="002A48E0">
        <w:rPr>
          <w:i/>
        </w:rPr>
        <w:t>Report on GST Revenue Sharing Relativities, 201</w:t>
      </w:r>
      <w:r>
        <w:rPr>
          <w:i/>
        </w:rPr>
        <w:t>9 </w:t>
      </w:r>
      <w:r w:rsidRPr="002A48E0">
        <w:rPr>
          <w:i/>
        </w:rPr>
        <w:t>Update.</w:t>
      </w:r>
      <w:r w:rsidR="00577B74">
        <w:rPr>
          <w:i/>
        </w:rPr>
        <w:t xml:space="preserve"> </w:t>
      </w:r>
    </w:p>
    <w:p w:rsidR="00BB3126" w:rsidRPr="002A48E0" w:rsidRDefault="00BB3126" w:rsidP="00BB3126">
      <w:pPr>
        <w:pStyle w:val="H3notoc"/>
      </w:pPr>
      <w:bookmarkStart w:id="70" w:name="_Toc283907663"/>
      <w:bookmarkStart w:id="71" w:name="_Toc283984119"/>
      <w:bookmarkStart w:id="72" w:name="_Toc283984285"/>
      <w:bookmarkStart w:id="73" w:name="_Toc284951047"/>
      <w:bookmarkStart w:id="74" w:name="_Toc300732053"/>
      <w:bookmarkStart w:id="75" w:name="_Toc300732123"/>
      <w:bookmarkStart w:id="76" w:name="_Toc300732339"/>
      <w:bookmarkStart w:id="77" w:name="_Toc300732457"/>
      <w:bookmarkStart w:id="78" w:name="_Toc303952554"/>
      <w:bookmarkStart w:id="79" w:name="_Toc336335855"/>
      <w:bookmarkStart w:id="80" w:name="_Toc399487988"/>
      <w:bookmarkStart w:id="81" w:name="_Toc428435615"/>
      <w:bookmarkStart w:id="82" w:name="_Toc428435777"/>
      <w:bookmarkStart w:id="83" w:name="_Toc428435861"/>
      <w:bookmarkStart w:id="84" w:name="_Toc428803205"/>
      <w:bookmarkStart w:id="85" w:name="_Toc430166069"/>
      <w:bookmarkStart w:id="86" w:name="_Toc441241572"/>
      <w:bookmarkStart w:id="87" w:name="_Toc441242257"/>
      <w:bookmarkStart w:id="88" w:name="_Toc441242311"/>
      <w:bookmarkStart w:id="89" w:name="_Toc441499242"/>
      <w:bookmarkStart w:id="90" w:name="_Toc442191898"/>
      <w:bookmarkStart w:id="91" w:name="_Toc442192080"/>
      <w:bookmarkStart w:id="92" w:name="_Toc442192145"/>
      <w:bookmarkStart w:id="93" w:name="_Toc442192210"/>
      <w:r w:rsidRPr="002A48E0">
        <w:t>Licence conditions</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BB3126" w:rsidRPr="002A48E0" w:rsidRDefault="00BB3126" w:rsidP="00BB3126">
      <w:pPr>
        <w:rPr>
          <w:i/>
        </w:rPr>
      </w:pPr>
      <w:r w:rsidRPr="002A48E0">
        <w:t xml:space="preserve">The details of the relevant licence conditions are available on the </w:t>
      </w:r>
      <w:hyperlink r:id="rId14" w:history="1">
        <w:r w:rsidRPr="002A48E0">
          <w:rPr>
            <w:rStyle w:val="Hyperlink"/>
          </w:rPr>
          <w:t>Creative Commons website</w:t>
        </w:r>
      </w:hyperlink>
      <w:r w:rsidRPr="002A48E0">
        <w:t xml:space="preserve"> (http://creativecommons.org), </w:t>
      </w:r>
      <w:r w:rsidRPr="002A48E0">
        <w:br/>
        <w:t xml:space="preserve">as are the </w:t>
      </w:r>
      <w:hyperlink r:id="rId15" w:history="1">
        <w:r w:rsidRPr="002A48E0">
          <w:rPr>
            <w:rStyle w:val="Hyperlink"/>
          </w:rPr>
          <w:t>CC BY 4.0 licence deed</w:t>
        </w:r>
      </w:hyperlink>
      <w:r w:rsidRPr="002A48E0">
        <w:t xml:space="preserve"> (http://creativecommons.org/licenses/by/4.0) </w:t>
      </w:r>
      <w:r w:rsidRPr="002A48E0">
        <w:br/>
        <w:t xml:space="preserve">and </w:t>
      </w:r>
      <w:hyperlink r:id="rId16" w:history="1">
        <w:r w:rsidRPr="002A48E0">
          <w:rPr>
            <w:rStyle w:val="Hyperlink"/>
          </w:rPr>
          <w:t>full legal code</w:t>
        </w:r>
      </w:hyperlink>
      <w:r w:rsidRPr="002A48E0">
        <w:t xml:space="preserve"> (http://creativecommons.org/licenses/by/4.0/legalcode).</w:t>
      </w:r>
    </w:p>
    <w:p w:rsidR="00BB3126" w:rsidRPr="002A48E0" w:rsidRDefault="00BB3126" w:rsidP="00BB3126">
      <w:pPr>
        <w:pStyle w:val="H3notoc"/>
      </w:pPr>
      <w:bookmarkStart w:id="94" w:name="_Toc283907664"/>
      <w:bookmarkStart w:id="95" w:name="_Toc283984120"/>
      <w:bookmarkStart w:id="96" w:name="_Toc283984286"/>
      <w:bookmarkStart w:id="97" w:name="_Toc284951048"/>
      <w:bookmarkStart w:id="98" w:name="_Toc300732054"/>
      <w:bookmarkStart w:id="99" w:name="_Toc300732124"/>
      <w:bookmarkStart w:id="100" w:name="_Toc300732340"/>
      <w:bookmarkStart w:id="101" w:name="_Toc300732458"/>
      <w:bookmarkStart w:id="102" w:name="_Toc303952555"/>
      <w:bookmarkStart w:id="103" w:name="_Toc336335856"/>
      <w:bookmarkStart w:id="104" w:name="_Toc399487989"/>
      <w:bookmarkStart w:id="105" w:name="_Toc428435616"/>
      <w:bookmarkStart w:id="106" w:name="_Toc428435778"/>
      <w:bookmarkStart w:id="107" w:name="_Toc428435862"/>
      <w:bookmarkStart w:id="108" w:name="_Toc428803206"/>
      <w:bookmarkStart w:id="109" w:name="_Toc430166070"/>
      <w:bookmarkStart w:id="110" w:name="_Toc441241573"/>
      <w:bookmarkStart w:id="111" w:name="_Toc441242258"/>
      <w:bookmarkStart w:id="112" w:name="_Toc441242312"/>
      <w:bookmarkStart w:id="113" w:name="_Toc441499243"/>
      <w:bookmarkStart w:id="114" w:name="_Toc442191899"/>
      <w:bookmarkStart w:id="115" w:name="_Toc442192081"/>
      <w:bookmarkStart w:id="116" w:name="_Toc442192146"/>
      <w:bookmarkStart w:id="117" w:name="_Toc442192211"/>
      <w:r w:rsidRPr="002A48E0">
        <w:t>Use of the Coat of Arms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BB3126" w:rsidRPr="002A48E0" w:rsidRDefault="00BB3126" w:rsidP="00BB3126">
      <w:pPr>
        <w:rPr>
          <w:i/>
        </w:rPr>
      </w:pPr>
      <w:r w:rsidRPr="002A48E0">
        <w:t xml:space="preserve">The terms under which the Coat of Arms can be used are detailed on the </w:t>
      </w:r>
      <w:hyperlink r:id="rId17" w:history="1">
        <w:r w:rsidRPr="002A48E0">
          <w:rPr>
            <w:rStyle w:val="Hyperlink"/>
          </w:rPr>
          <w:t>It’s an Honour website</w:t>
        </w:r>
      </w:hyperlink>
      <w:r w:rsidRPr="002A48E0">
        <w:t xml:space="preserve"> (http://www.itsanhonour.gov.au/coat-arms/).</w:t>
      </w:r>
    </w:p>
    <w:p w:rsidR="00BB3126" w:rsidRPr="002A48E0" w:rsidRDefault="00BB3126" w:rsidP="00BB3126">
      <w:pPr>
        <w:pStyle w:val="H3notoc"/>
      </w:pPr>
      <w:bookmarkStart w:id="118" w:name="_Toc283907665"/>
      <w:bookmarkStart w:id="119" w:name="_Toc283984121"/>
      <w:bookmarkStart w:id="120" w:name="_Toc283984287"/>
      <w:bookmarkStart w:id="121" w:name="_Toc284951049"/>
      <w:bookmarkStart w:id="122" w:name="_Toc300732055"/>
      <w:bookmarkStart w:id="123" w:name="_Toc300732125"/>
      <w:bookmarkStart w:id="124" w:name="_Toc300732198"/>
      <w:bookmarkStart w:id="125" w:name="_Toc300732264"/>
      <w:bookmarkStart w:id="126" w:name="_Toc300732341"/>
      <w:bookmarkStart w:id="127" w:name="_Toc300732459"/>
      <w:bookmarkStart w:id="128" w:name="_Toc303952556"/>
      <w:bookmarkStart w:id="129" w:name="_Toc333409209"/>
      <w:bookmarkStart w:id="130" w:name="_Toc333409440"/>
      <w:bookmarkStart w:id="131" w:name="_Toc336335857"/>
      <w:bookmarkStart w:id="132" w:name="_Toc399487784"/>
      <w:bookmarkStart w:id="133" w:name="_Toc399487990"/>
      <w:bookmarkStart w:id="134" w:name="_Toc410741646"/>
      <w:bookmarkStart w:id="135" w:name="_Toc410744192"/>
      <w:bookmarkStart w:id="136" w:name="_Toc411511182"/>
      <w:bookmarkStart w:id="137" w:name="_Toc411511635"/>
      <w:bookmarkStart w:id="138" w:name="_Toc411924575"/>
      <w:bookmarkStart w:id="139" w:name="_Toc428435378"/>
      <w:bookmarkStart w:id="140" w:name="_Toc428435617"/>
      <w:bookmarkStart w:id="141" w:name="_Toc428435779"/>
      <w:bookmarkStart w:id="142" w:name="_Toc428435863"/>
      <w:bookmarkStart w:id="143" w:name="_Toc428803207"/>
      <w:bookmarkStart w:id="144" w:name="_Toc430166071"/>
      <w:bookmarkStart w:id="145" w:name="_Toc441241574"/>
      <w:bookmarkStart w:id="146" w:name="_Toc441242259"/>
      <w:bookmarkStart w:id="147" w:name="_Toc441242313"/>
      <w:bookmarkStart w:id="148" w:name="_Toc441499244"/>
      <w:bookmarkStart w:id="149" w:name="_Toc441655982"/>
      <w:bookmarkStart w:id="150" w:name="_Toc441656018"/>
      <w:bookmarkStart w:id="151" w:name="_Toc442191900"/>
      <w:bookmarkStart w:id="152" w:name="_Toc442192082"/>
      <w:bookmarkStart w:id="153" w:name="_Toc442192147"/>
      <w:bookmarkStart w:id="154" w:name="_Toc442192212"/>
      <w:r w:rsidRPr="002A48E0">
        <w:t>CONTACT US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BB3126" w:rsidRPr="002A48E0" w:rsidRDefault="00BB3126" w:rsidP="00BB3126">
      <w:pPr>
        <w:pStyle w:val="NoSpacing"/>
      </w:pPr>
      <w:r w:rsidRPr="002A48E0">
        <w:t>Inquiries regarding the licence and any use of this document should be directed to:</w:t>
      </w:r>
    </w:p>
    <w:p w:rsidR="00BB3126" w:rsidRPr="002A48E0" w:rsidRDefault="00BB3126" w:rsidP="00BB3126">
      <w:pPr>
        <w:pStyle w:val="NoSpacing"/>
      </w:pPr>
    </w:p>
    <w:p w:rsidR="00BB3126" w:rsidRPr="002A48E0" w:rsidRDefault="00BB3126" w:rsidP="00BB3126">
      <w:pPr>
        <w:pStyle w:val="NoSpacing"/>
      </w:pPr>
      <w:r>
        <w:t>Secretary</w:t>
      </w:r>
    </w:p>
    <w:p w:rsidR="00BB3126" w:rsidRPr="002A48E0" w:rsidRDefault="00BB3126" w:rsidP="00BB3126">
      <w:pPr>
        <w:pStyle w:val="NoSpacing"/>
      </w:pPr>
      <w:r w:rsidRPr="002A48E0">
        <w:t>Commonwealth Grants Commission</w:t>
      </w:r>
    </w:p>
    <w:p w:rsidR="00BB3126" w:rsidRPr="002A48E0" w:rsidRDefault="00BB3126" w:rsidP="00BB3126">
      <w:pPr>
        <w:pStyle w:val="NoSpacing"/>
      </w:pPr>
      <w:r w:rsidRPr="002A48E0">
        <w:t>First Floor, Phoenix House</w:t>
      </w:r>
    </w:p>
    <w:p w:rsidR="00BB3126" w:rsidRPr="002A48E0" w:rsidRDefault="00BB3126" w:rsidP="00BB3126">
      <w:pPr>
        <w:pStyle w:val="NoSpacing"/>
      </w:pPr>
      <w:r w:rsidRPr="002A48E0">
        <w:t>86-88 Northbourne Avenue</w:t>
      </w:r>
    </w:p>
    <w:p w:rsidR="00BB3126" w:rsidRPr="002A48E0" w:rsidRDefault="00BB3126" w:rsidP="00BB3126">
      <w:pPr>
        <w:pStyle w:val="NoSpacing"/>
      </w:pPr>
      <w:r w:rsidRPr="002A48E0">
        <w:t>BRADDON ACT 2612</w:t>
      </w:r>
    </w:p>
    <w:p w:rsidR="00BB3126" w:rsidRPr="002A48E0" w:rsidRDefault="00BB3126" w:rsidP="00BB3126">
      <w:pPr>
        <w:pStyle w:val="NoSpacing"/>
      </w:pPr>
      <w:r w:rsidRPr="002A48E0">
        <w:t>Telephone (02) 6229 88</w:t>
      </w:r>
      <w:r>
        <w:t>61</w:t>
      </w:r>
    </w:p>
    <w:p w:rsidR="00BB3126" w:rsidRPr="002A48E0" w:rsidRDefault="00BB3126" w:rsidP="00BB3126">
      <w:pPr>
        <w:pStyle w:val="NoSpacing"/>
      </w:pPr>
      <w:r w:rsidRPr="002A48E0">
        <w:t>Facsimile (02) 6229 8821</w:t>
      </w:r>
    </w:p>
    <w:p w:rsidR="00BB3126" w:rsidRPr="002A48E0" w:rsidRDefault="00BB3126" w:rsidP="00BB3126">
      <w:pPr>
        <w:pStyle w:val="NoSpacing"/>
      </w:pPr>
      <w:r w:rsidRPr="002A48E0">
        <w:t xml:space="preserve">Email </w:t>
      </w:r>
      <w:hyperlink r:id="rId18" w:history="1">
        <w:r>
          <w:rPr>
            <w:rStyle w:val="Hyperlink"/>
          </w:rPr>
          <w:t>secretary</w:t>
        </w:r>
        <w:r w:rsidRPr="005958F5">
          <w:rPr>
            <w:rStyle w:val="Hyperlink"/>
          </w:rPr>
          <w:t>@cgc.gov.au</w:t>
        </w:r>
      </w:hyperlink>
    </w:p>
    <w:p w:rsidR="00BB3126" w:rsidRPr="002A48E0" w:rsidRDefault="00BB3126" w:rsidP="00BB3126">
      <w:pPr>
        <w:pStyle w:val="H3notoc"/>
      </w:pPr>
      <w:bookmarkStart w:id="155" w:name="_Toc411511183"/>
      <w:bookmarkStart w:id="156" w:name="_Toc411511636"/>
      <w:bookmarkStart w:id="157" w:name="_Toc411924576"/>
      <w:bookmarkStart w:id="158" w:name="_Toc428435379"/>
      <w:bookmarkStart w:id="159" w:name="_Toc428435618"/>
      <w:bookmarkStart w:id="160" w:name="_Toc428435780"/>
      <w:bookmarkStart w:id="161" w:name="_Toc428435864"/>
      <w:bookmarkStart w:id="162" w:name="_Toc428803208"/>
      <w:bookmarkStart w:id="163" w:name="_Toc430166072"/>
      <w:bookmarkStart w:id="164" w:name="_Toc441241575"/>
      <w:bookmarkStart w:id="165" w:name="_Toc441242260"/>
      <w:bookmarkStart w:id="166" w:name="_Toc441242314"/>
      <w:bookmarkStart w:id="167" w:name="_Toc441499245"/>
      <w:bookmarkStart w:id="168" w:name="_Toc441655983"/>
      <w:bookmarkStart w:id="169" w:name="_Toc441656019"/>
      <w:bookmarkStart w:id="170" w:name="_Toc442191901"/>
      <w:bookmarkStart w:id="171" w:name="_Toc442192083"/>
      <w:bookmarkStart w:id="172" w:name="_Toc442192148"/>
      <w:bookmarkStart w:id="173" w:name="_Toc442192213"/>
      <w:r w:rsidRPr="002A48E0">
        <w:t>INTERNET</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BB3126" w:rsidRPr="002A48E0" w:rsidRDefault="00BB3126" w:rsidP="00BB3126">
      <w:pPr>
        <w:pStyle w:val="NoSpacing"/>
        <w:sectPr w:rsidR="00BB3126" w:rsidRPr="002A48E0" w:rsidSect="00A67EE3">
          <w:headerReference w:type="even" r:id="rId19"/>
          <w:headerReference w:type="default" r:id="rId20"/>
          <w:headerReference w:type="first" r:id="rId21"/>
          <w:pgSz w:w="11899" w:h="16838" w:code="9"/>
          <w:pgMar w:top="1701" w:right="1474" w:bottom="1701" w:left="1474" w:header="709" w:footer="709" w:gutter="0"/>
          <w:pgNumType w:fmt="lowerRoman" w:start="1"/>
          <w:cols w:space="708"/>
          <w:docGrid w:linePitch="326"/>
        </w:sectPr>
      </w:pPr>
      <w:r w:rsidRPr="002A48E0">
        <w:t xml:space="preserve">A copy of this report can be obtained from the </w:t>
      </w:r>
      <w:hyperlink r:id="rId22" w:history="1">
        <w:r w:rsidRPr="002A48E0">
          <w:rPr>
            <w:rStyle w:val="Hyperlink"/>
          </w:rPr>
          <w:t>Commission’s website</w:t>
        </w:r>
      </w:hyperlink>
      <w:r w:rsidRPr="002A48E0">
        <w:t xml:space="preserve"> (</w:t>
      </w:r>
      <w:r w:rsidRPr="00103485">
        <w:t>https://</w:t>
      </w:r>
      <w:r>
        <w:t>www.</w:t>
      </w:r>
      <w:r w:rsidRPr="00103485">
        <w:t>cgc.gov.au/</w:t>
      </w:r>
      <w:r w:rsidRPr="002A48E0">
        <w:t>).</w:t>
      </w:r>
    </w:p>
    <w:p w:rsidR="00BB3126" w:rsidRDefault="00BB3126" w:rsidP="00BB3126">
      <w:pPr>
        <w:pStyle w:val="H1notoc"/>
        <w:spacing w:before="360"/>
      </w:pPr>
      <w:bookmarkStart w:id="174" w:name="_Toc441241576"/>
      <w:bookmarkStart w:id="175" w:name="_Toc441242261"/>
      <w:bookmarkStart w:id="176" w:name="_Toc441242315"/>
      <w:bookmarkStart w:id="177" w:name="_Toc441499246"/>
      <w:bookmarkStart w:id="178" w:name="_Toc441656020"/>
      <w:bookmarkStart w:id="179" w:name="_Toc442191902"/>
      <w:bookmarkStart w:id="180" w:name="_Toc442192084"/>
      <w:bookmarkStart w:id="181" w:name="_Toc442192149"/>
      <w:bookmarkStart w:id="182" w:name="_Toc442192214"/>
      <w:r w:rsidRPr="002A48E0">
        <w:lastRenderedPageBreak/>
        <w:t>LETTER OF TRANSMITTAL</w:t>
      </w:r>
      <w:bookmarkEnd w:id="174"/>
      <w:bookmarkEnd w:id="175"/>
      <w:bookmarkEnd w:id="176"/>
      <w:bookmarkEnd w:id="177"/>
      <w:bookmarkEnd w:id="178"/>
      <w:bookmarkEnd w:id="179"/>
      <w:bookmarkEnd w:id="180"/>
      <w:bookmarkEnd w:id="181"/>
      <w:bookmarkEnd w:id="182"/>
    </w:p>
    <w:p w:rsidR="00BB3126" w:rsidRDefault="00B40128" w:rsidP="00BB3126">
      <w:pPr>
        <w:rPr>
          <w:noProof/>
          <w:lang w:eastAsia="en-AU"/>
        </w:rPr>
      </w:pPr>
      <w:r>
        <w:rPr>
          <w:noProof/>
          <w:lang w:eastAsia="en-AU"/>
        </w:rPr>
        <w:drawing>
          <wp:inline distT="0" distB="0" distL="0" distR="0">
            <wp:extent cx="5448300" cy="7877175"/>
            <wp:effectExtent l="0" t="0" r="0" b="9525"/>
            <wp:docPr id="9" name="Picture 9" descr="Letter of transmittal&#10;19 February 2019&#10;The Hon Josh Frydenberg MP&#10;Treasurer&#10;Parliament House&#10;CANBERRA  ACT  2600&#10;&#10;Dear Treasurer&#10;As members of the Commonwealth Grants Commission appointed under the Commonwealth Grants Commission Act 1973, and in response to the terms of reference provided by you, we have prepared this report to provide updated per capita relativities for use in distributing GST revenue among the States and Territories in 2019-20.&#10;&#10;In accordance with those terms of reference, we are also providing the results of the update to the States and Territories.&#10;&#10;Yours sincerely&#10;G J Smith Chairperson&#10;JD Petchey Member&#10;LS Williams AM Member&#10;PW Hendy M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1361" t="480" r="1349" b="190"/>
                    <a:stretch/>
                  </pic:blipFill>
                  <pic:spPr bwMode="auto">
                    <a:xfrm>
                      <a:off x="0" y="0"/>
                      <a:ext cx="5480569" cy="7923830"/>
                    </a:xfrm>
                    <a:prstGeom prst="rect">
                      <a:avLst/>
                    </a:prstGeom>
                    <a:noFill/>
                    <a:ln>
                      <a:noFill/>
                    </a:ln>
                    <a:extLst>
                      <a:ext uri="{53640926-AAD7-44D8-BBD7-CCE9431645EC}">
                        <a14:shadowObscured xmlns:a14="http://schemas.microsoft.com/office/drawing/2010/main"/>
                      </a:ext>
                    </a:extLst>
                  </pic:spPr>
                </pic:pic>
              </a:graphicData>
            </a:graphic>
          </wp:inline>
        </w:drawing>
      </w:r>
    </w:p>
    <w:p w:rsidR="006D788F" w:rsidRDefault="006D788F" w:rsidP="006D788F">
      <w:pPr>
        <w:sectPr w:rsidR="006D788F" w:rsidSect="00C7618F">
          <w:headerReference w:type="even" r:id="rId24"/>
          <w:headerReference w:type="default" r:id="rId25"/>
          <w:footerReference w:type="default" r:id="rId26"/>
          <w:headerReference w:type="first" r:id="rId27"/>
          <w:footerReference w:type="first" r:id="rId28"/>
          <w:pgSz w:w="11899" w:h="16838" w:code="9"/>
          <w:pgMar w:top="1701" w:right="1474" w:bottom="1701" w:left="1474" w:header="709" w:footer="709" w:gutter="0"/>
          <w:pgNumType w:fmt="lowerRoman"/>
          <w:cols w:space="708"/>
          <w:titlePg/>
          <w:docGrid w:linePitch="299"/>
        </w:sectPr>
      </w:pPr>
    </w:p>
    <w:p w:rsidR="00BB3126" w:rsidRPr="002A48E0" w:rsidRDefault="00BB3126" w:rsidP="00BB3126">
      <w:pPr>
        <w:pStyle w:val="H1notoc"/>
      </w:pPr>
      <w:bookmarkStart w:id="183" w:name="_Toc428353470"/>
      <w:bookmarkStart w:id="184" w:name="_Toc428354217"/>
      <w:bookmarkStart w:id="185" w:name="_Toc428435380"/>
      <w:bookmarkStart w:id="186" w:name="_Toc428435619"/>
      <w:bookmarkStart w:id="187" w:name="_Toc428435781"/>
      <w:bookmarkStart w:id="188" w:name="_Toc428435865"/>
      <w:bookmarkStart w:id="189" w:name="_Toc428803209"/>
      <w:bookmarkStart w:id="190" w:name="_Toc430166073"/>
      <w:bookmarkStart w:id="191" w:name="_Toc442192085"/>
      <w:bookmarkStart w:id="192" w:name="_Toc442192150"/>
      <w:bookmarkStart w:id="193" w:name="_Toc442192215"/>
      <w:r w:rsidRPr="002A48E0">
        <w:lastRenderedPageBreak/>
        <w:t>Acknowledg</w:t>
      </w:r>
      <w:r>
        <w:t>e</w:t>
      </w:r>
      <w:r w:rsidRPr="002A48E0">
        <w:t>ments</w:t>
      </w:r>
      <w:bookmarkEnd w:id="183"/>
      <w:bookmarkEnd w:id="184"/>
      <w:bookmarkEnd w:id="185"/>
      <w:bookmarkEnd w:id="186"/>
      <w:bookmarkEnd w:id="187"/>
      <w:bookmarkEnd w:id="188"/>
      <w:bookmarkEnd w:id="189"/>
      <w:bookmarkEnd w:id="190"/>
      <w:bookmarkEnd w:id="191"/>
      <w:bookmarkEnd w:id="192"/>
      <w:bookmarkEnd w:id="193"/>
    </w:p>
    <w:p w:rsidR="00BB3126" w:rsidRPr="002A48E0" w:rsidRDefault="00BB3126" w:rsidP="00BB3126">
      <w:pPr>
        <w:pStyle w:val="NoSpacing"/>
      </w:pPr>
    </w:p>
    <w:p w:rsidR="00BB3126" w:rsidRPr="002A48E0" w:rsidRDefault="00BB3126" w:rsidP="00BB3126">
      <w:r w:rsidRPr="002A48E0">
        <w:t xml:space="preserve">The Commission appreciates the ready co-operation extended to it and its staff during this update by staff of Commonwealth </w:t>
      </w:r>
      <w:r>
        <w:t xml:space="preserve">and State Treasuries </w:t>
      </w:r>
      <w:r w:rsidRPr="002A48E0">
        <w:t>and other agencies.</w:t>
      </w:r>
    </w:p>
    <w:p w:rsidR="00BB3126" w:rsidRPr="002A48E0" w:rsidRDefault="00BB3126" w:rsidP="00BB3126">
      <w:pPr>
        <w:pStyle w:val="NoSpacing"/>
      </w:pPr>
    </w:p>
    <w:p w:rsidR="00BB3126" w:rsidRPr="002A48E0" w:rsidRDefault="00BB3126" w:rsidP="00BB3126">
      <w:pPr>
        <w:sectPr w:rsidR="00BB3126" w:rsidRPr="002A48E0" w:rsidSect="00C7618F">
          <w:headerReference w:type="even" r:id="rId29"/>
          <w:headerReference w:type="default" r:id="rId30"/>
          <w:footerReference w:type="default" r:id="rId31"/>
          <w:headerReference w:type="first" r:id="rId32"/>
          <w:pgSz w:w="11899" w:h="16838" w:code="9"/>
          <w:pgMar w:top="1701" w:right="1474" w:bottom="1701" w:left="1474" w:header="709" w:footer="709" w:gutter="0"/>
          <w:pgNumType w:fmt="lowerRoman"/>
          <w:cols w:space="708"/>
          <w:docGrid w:linePitch="326"/>
        </w:sectPr>
      </w:pPr>
      <w:r w:rsidRPr="002A48E0">
        <w:t xml:space="preserve">The Commission also acknowledges the commitment and capable contribution </w:t>
      </w:r>
      <w:r>
        <w:t>of</w:t>
      </w:r>
      <w:r w:rsidRPr="002A48E0">
        <w:t xml:space="preserve"> its staff.</w:t>
      </w:r>
    </w:p>
    <w:p w:rsidR="00BB3126" w:rsidRDefault="00BB3126" w:rsidP="00BB3126">
      <w:pPr>
        <w:pStyle w:val="H1notoc"/>
        <w:spacing w:before="360"/>
      </w:pPr>
      <w:bookmarkStart w:id="194" w:name="_Toc428353471"/>
      <w:bookmarkStart w:id="195" w:name="_Toc428354218"/>
      <w:bookmarkStart w:id="196" w:name="_Toc428435381"/>
      <w:bookmarkStart w:id="197" w:name="_Toc428435620"/>
      <w:bookmarkStart w:id="198" w:name="_Toc428435782"/>
      <w:bookmarkStart w:id="199" w:name="_Toc428435866"/>
      <w:bookmarkStart w:id="200" w:name="_Toc428803210"/>
      <w:bookmarkStart w:id="201" w:name="_Toc430166074"/>
      <w:bookmarkStart w:id="202" w:name="_Toc442192086"/>
      <w:bookmarkStart w:id="203" w:name="_Toc442192151"/>
      <w:bookmarkStart w:id="204" w:name="_Toc442192216"/>
      <w:r w:rsidRPr="002A48E0">
        <w:lastRenderedPageBreak/>
        <w:t>Terms of reference</w:t>
      </w:r>
      <w:bookmarkEnd w:id="194"/>
      <w:bookmarkEnd w:id="195"/>
      <w:bookmarkEnd w:id="196"/>
      <w:bookmarkEnd w:id="197"/>
      <w:bookmarkEnd w:id="198"/>
      <w:bookmarkEnd w:id="199"/>
      <w:bookmarkEnd w:id="200"/>
      <w:bookmarkEnd w:id="201"/>
      <w:bookmarkEnd w:id="202"/>
      <w:bookmarkEnd w:id="203"/>
      <w:bookmarkEnd w:id="204"/>
    </w:p>
    <w:p w:rsidR="006D788F" w:rsidRPr="006D788F" w:rsidRDefault="006D788F" w:rsidP="006D788F">
      <w:r>
        <w:rPr>
          <w:noProof/>
          <w:lang w:eastAsia="en-AU"/>
        </w:rPr>
        <w:drawing>
          <wp:inline distT="0" distB="0" distL="0" distR="0" wp14:anchorId="527E6A4C" wp14:editId="56C0C1D8">
            <wp:extent cx="5505450" cy="7925435"/>
            <wp:effectExtent l="0" t="0" r="0" b="0"/>
            <wp:docPr id="14" name="Picture 14" descr="The Hon Josh Frydenberg MP&#10;Treasurer&#10;Depputy leader of the liberal party &#10;Ref: MS19-000271&#10;Mr Greg Smith Chairperson&#10;Commonwealth Grants Commission&#10;Second floor, Phoenix House 86-88 Northbourne Ave&#10;Braddon ACT 2612&#10;Dear Mr  Smith&#10;I am writing to you to convey the enclosed terms of reference for the Commonwealth Grants Commission's 2019 Update of GST Revenue Sharing Relativities.&#10;The Commission should provide its report to the Government by 19 February 2019. A copy of the report should also be provided, under embargo, to the states and territories by 19 February 2019.&#10;Yours sincerely&#10;The Hon Josh Frydenberg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r="1863"/>
                    <a:stretch/>
                  </pic:blipFill>
                  <pic:spPr bwMode="auto">
                    <a:xfrm>
                      <a:off x="0" y="0"/>
                      <a:ext cx="5518974" cy="7944904"/>
                    </a:xfrm>
                    <a:prstGeom prst="rect">
                      <a:avLst/>
                    </a:prstGeom>
                    <a:noFill/>
                    <a:ln>
                      <a:noFill/>
                    </a:ln>
                    <a:extLst>
                      <a:ext uri="{53640926-AAD7-44D8-BBD7-CCE9431645EC}">
                        <a14:shadowObscured xmlns:a14="http://schemas.microsoft.com/office/drawing/2010/main"/>
                      </a:ext>
                    </a:extLst>
                  </pic:spPr>
                </pic:pic>
              </a:graphicData>
            </a:graphic>
          </wp:inline>
        </w:drawing>
      </w:r>
    </w:p>
    <w:p w:rsidR="003E2F38" w:rsidRDefault="003E2F38" w:rsidP="00BB3126">
      <w:pPr>
        <w:tabs>
          <w:tab w:val="clear" w:pos="567"/>
        </w:tabs>
        <w:spacing w:after="200" w:line="276" w:lineRule="auto"/>
      </w:pPr>
      <w:r>
        <w:rPr>
          <w:noProof/>
          <w:lang w:eastAsia="en-AU"/>
        </w:rPr>
        <w:lastRenderedPageBreak/>
        <w:drawing>
          <wp:inline distT="0" distB="0" distL="0" distR="0">
            <wp:extent cx="5810250" cy="7962357"/>
            <wp:effectExtent l="0" t="0" r="0" b="635"/>
            <wp:docPr id="11" name="Picture 11" descr="Terms of Reference for the 2019 Update of GST Revenue Sharing Relativities&#10;Commonwealth grants commission ACT 1973&#10;I, Josh Frydenberg, Treasurer, pursuant to sections 16, 16A and 16AA of the Commonwealth Grants Commission Act 1973, refer to the Commission for inquiry into and report upon the recommended per capita relativities to be used to distribute GST revenue among the States, the Northern Territory and the Australian Capital Territory (collectively referred to as the States) in 2019-20. The Commission should provide a copy of its report, under embargo, to the Commonwealth and the State Treasuries by 19 February 2019.&#10;2. The Commission should undertake an assessment of the per capita relativities recommended to be used to distribute GST revenue among the States in 2019-20 (the GST relativities).&#10;3. The Commission's assessment should take into account the Intergovernmental Agreement on Federal Financial Relations (as amended), which provides that GST revenue will be distributed among the States in accordance with the principle of horizontal fiscal equalisation (HFE).&#10;4. The Commission's assessment should be based on the review period 2015-16 to 2017-18 inclusive. Where possible, the Commission should use the latest available data.&#10;5. Subject to paragraphs 6-8, the Commission's assessment should be based on the application of the same principles, categories and methods of assessment that the Commission used to calculate the per capita relativities in its Report on GST Revenue Sharing Relativities -2018 Update.&#10;6. The Commission's assessment should treat Commonwealth payments to the States as follows:&#10;(a) National Specific Purpose Payments (NSPPs), National Health Reform (NHR) funding, Quality Schools funding (for government schools) and National Partnership project payments should affect the relativities, recognising that these payments provide the States with budget support for providing standard state services.&#10;1. NHR funding and corresponding expenditure relating to the provision of&#10;cross-border services to the residents of other States should be allocated to States on the basis of residence.&#10;(b) National Partnership facilitation and reward payments should not affect the relativities, so that any benefit to a State from achieving specified outputs sought by the Commonwealth, or through implementing reforms, will not be redistributed to other States through the horizontal fiscal equalisation process.&#10;(c) General revenue assistance, excluding GST payments, will affect the relativities, recognising that these payments are available to provide untied general budget support to a State.&#10;(d) Notwithstanding subparagraphs 6(a) - (c), the Commission may determine that it is appropriate for particular payments to be treated differently, reflecting the nature of the particular payment and the role of State governments in providing particular services.&#10;(e) Those payments which the Commission has previously been directed to treat as having no direct influence on the relativities, including payments for which the Commission has been directed to apply a 50 per cent discount, should continue to be treated in that w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r="1930"/>
                    <a:stretch/>
                  </pic:blipFill>
                  <pic:spPr bwMode="auto">
                    <a:xfrm>
                      <a:off x="0" y="0"/>
                      <a:ext cx="5821917" cy="7978346"/>
                    </a:xfrm>
                    <a:prstGeom prst="rect">
                      <a:avLst/>
                    </a:prstGeom>
                    <a:noFill/>
                    <a:ln>
                      <a:noFill/>
                    </a:ln>
                    <a:extLst>
                      <a:ext uri="{53640926-AAD7-44D8-BBD7-CCE9431645EC}">
                        <a14:shadowObscured xmlns:a14="http://schemas.microsoft.com/office/drawing/2010/main"/>
                      </a:ext>
                    </a:extLst>
                  </pic:spPr>
                </pic:pic>
              </a:graphicData>
            </a:graphic>
          </wp:inline>
        </w:drawing>
      </w:r>
    </w:p>
    <w:p w:rsidR="00BB3126" w:rsidRDefault="003E2F38" w:rsidP="00BB3126">
      <w:pPr>
        <w:tabs>
          <w:tab w:val="clear" w:pos="567"/>
        </w:tabs>
        <w:spacing w:after="200" w:line="276" w:lineRule="auto"/>
      </w:pPr>
      <w:r>
        <w:rPr>
          <w:noProof/>
          <w:lang w:eastAsia="en-AU"/>
        </w:rPr>
        <w:lastRenderedPageBreak/>
        <w:drawing>
          <wp:inline distT="0" distB="0" distL="0" distR="0">
            <wp:extent cx="5943600" cy="8543058"/>
            <wp:effectExtent l="0" t="0" r="0" b="0"/>
            <wp:docPr id="12" name="Picture 12" descr="Where those payments are replaced, the treatment of the new payment should be guided by subparagraphs 6(a)- (d), unless otherwise directed.&#10;7. The Commission should prepare its assessment on a basis consistent with the Commonwealth's intention that the following Commonwealth payments should not directly influence the per capita relativities:&#10;(a) Payments to New South Wales and Victoria relating to the sale of Snowy Hydro Ltd to the Commonwealth.&#10;(b) Payments relating to the Project Agreement for the Health Innovation Fund - Stage 1.&#10;(c) Payments to South Australia relating to the Project Agreement for the Proton Beam Facility.&#10;(d) Payments to Tasmania relating to the Project Agreement for Queensland Fruit Fly Response in Tasmania.&#10;(e) Payments to the Australian Capital Territory relating to the Project Agreement for the Expansion of Clare Holland House.&#10;(f) Payments relating to the Project Agreement for the Western Australian Hospital Infrastructure Package.&#10;(g) $259.6 million in additional General Revenue Assistance to the Northern Territory to offset the reduction in its GST share.&#10;(h) Payments to the Northern Territory of up to $110 million per annum for 5 years for Remote Indigenous Housing commencing in 2018-19.&#10;(i) Additional General Revenue Assistance relating to GST transitional support and top-up payments under the Commonwealth's HFE reform package:&#10;i. to the Northern Territory to effectively lift its GST relativity to 4.66;&#10;ii. to any other State or Territory to effectively lift their GST relativities to 0.7;&#10;iii . to any State or Territory under subsection 5(3) of the Federal Financial Relations Act&#10;2009 (the cumulative 'no worse off' guarantee).&#10;8. If data problems necessitate changes, the Commission should proceed on the basis that:&#10;(a) new, more reliable data would be used in the first possible update, if method changes were not required; or&#10;(b) if overcoming the data problems necessitated method changes, revised methods would be used in the first possible update, subject to consultation with the States during that update.&#10;9. The Commission should consult the Commonwealth and the States before deciding on any changes in methods that arise as a result of a significant change in arrangements which govern Commonwealth-State relations and which are considered appropriate for the Commission to fulfil its obligations in respect of these terms of reference.&#10;10. To the extent possible, the Commission should upon reporting, provide all parties with details underpinning its calculations and assessments , and endeavour to meet requests for supplementary calculations.&#10;Josh Fryde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r="1712"/>
                    <a:stretch/>
                  </pic:blipFill>
                  <pic:spPr bwMode="auto">
                    <a:xfrm>
                      <a:off x="0" y="0"/>
                      <a:ext cx="5955344" cy="8559939"/>
                    </a:xfrm>
                    <a:prstGeom prst="rect">
                      <a:avLst/>
                    </a:prstGeom>
                    <a:noFill/>
                    <a:ln>
                      <a:noFill/>
                    </a:ln>
                    <a:extLst>
                      <a:ext uri="{53640926-AAD7-44D8-BBD7-CCE9431645EC}">
                        <a14:shadowObscured xmlns:a14="http://schemas.microsoft.com/office/drawing/2010/main"/>
                      </a:ext>
                    </a:extLst>
                  </pic:spPr>
                </pic:pic>
              </a:graphicData>
            </a:graphic>
          </wp:inline>
        </w:drawing>
      </w:r>
      <w:r w:rsidR="00BB3126">
        <w:br w:type="page"/>
      </w:r>
    </w:p>
    <w:p w:rsidR="00BB3126" w:rsidRPr="002A48E0" w:rsidRDefault="00BB3126" w:rsidP="00BB3126">
      <w:pPr>
        <w:pStyle w:val="H1notoc"/>
      </w:pPr>
      <w:bookmarkStart w:id="205" w:name="_Toc442192087"/>
      <w:bookmarkStart w:id="206" w:name="_Toc442192152"/>
      <w:bookmarkStart w:id="207" w:name="_Toc442192217"/>
      <w:r w:rsidRPr="002A48E0">
        <w:lastRenderedPageBreak/>
        <w:t>The Task</w:t>
      </w:r>
      <w:bookmarkEnd w:id="205"/>
      <w:bookmarkEnd w:id="206"/>
      <w:bookmarkEnd w:id="207"/>
    </w:p>
    <w:p w:rsidR="00BB3126" w:rsidRPr="002A48E0" w:rsidRDefault="00BB3126" w:rsidP="00BB3126">
      <w:pPr>
        <w:pStyle w:val="NoSpacing"/>
      </w:pPr>
    </w:p>
    <w:tbl>
      <w:tblPr>
        <w:tblStyle w:val="TableGrid"/>
        <w:tblW w:w="0" w:type="auto"/>
        <w:tblLook w:val="04A0" w:firstRow="1" w:lastRow="0" w:firstColumn="1" w:lastColumn="0" w:noHBand="0" w:noVBand="1"/>
      </w:tblPr>
      <w:tblGrid>
        <w:gridCol w:w="8951"/>
      </w:tblGrid>
      <w:tr w:rsidR="00BB3126" w:rsidRPr="002A48E0" w:rsidTr="00C7618F">
        <w:tc>
          <w:tcPr>
            <w:tcW w:w="9374" w:type="dxa"/>
            <w:tcBorders>
              <w:top w:val="nil"/>
              <w:left w:val="nil"/>
              <w:bottom w:val="nil"/>
              <w:right w:val="nil"/>
            </w:tcBorders>
            <w:shd w:val="clear" w:color="auto" w:fill="D9F3E6"/>
          </w:tcPr>
          <w:p w:rsidR="00BB3126" w:rsidRPr="000C6CD9" w:rsidRDefault="00BB3126" w:rsidP="00C7618F">
            <w:pPr>
              <w:rPr>
                <w:szCs w:val="24"/>
              </w:rPr>
            </w:pPr>
            <w:r w:rsidRPr="000C6CD9">
              <w:rPr>
                <w:szCs w:val="24"/>
              </w:rPr>
              <w:t xml:space="preserve">This report contains the Commission’s response to the terms of reference for the 2019 Update received from the Commonwealth Treasurer on </w:t>
            </w:r>
            <w:r w:rsidR="000C6CD9" w:rsidRPr="000C6CD9">
              <w:rPr>
                <w:szCs w:val="24"/>
              </w:rPr>
              <w:t>12</w:t>
            </w:r>
            <w:r w:rsidRPr="000C6CD9">
              <w:rPr>
                <w:szCs w:val="24"/>
              </w:rPr>
              <w:t xml:space="preserve"> February 2019. </w:t>
            </w:r>
          </w:p>
          <w:p w:rsidR="00BB3126" w:rsidRPr="00AF5813" w:rsidRDefault="00BB3126" w:rsidP="00C7618F">
            <w:pPr>
              <w:rPr>
                <w:szCs w:val="24"/>
              </w:rPr>
            </w:pPr>
            <w:r w:rsidRPr="00AF5813">
              <w:rPr>
                <w:szCs w:val="24"/>
              </w:rPr>
              <w:t>The Commission has been asked to advise how Goods and Services Tax (GST) revenue should be distributed among the States in 2019</w:t>
            </w:r>
            <w:r w:rsidRPr="00AF5813">
              <w:rPr>
                <w:szCs w:val="24"/>
              </w:rPr>
              <w:noBreakHyphen/>
              <w:t>20. As directed in the terms of reference the Commission has:</w:t>
            </w:r>
          </w:p>
          <w:p w:rsidR="00BB3126" w:rsidRPr="00AF5813" w:rsidRDefault="00BB3126" w:rsidP="00C7618F">
            <w:pPr>
              <w:pStyle w:val="CGCBulletlist"/>
              <w:numPr>
                <w:ilvl w:val="0"/>
                <w:numId w:val="1"/>
              </w:numPr>
              <w:tabs>
                <w:tab w:val="clear" w:pos="927"/>
              </w:tabs>
              <w:ind w:left="1134" w:hanging="567"/>
            </w:pPr>
            <w:r w:rsidRPr="00AF5813">
              <w:t>used the same principles and methods used in the 2018 Update</w:t>
            </w:r>
          </w:p>
          <w:p w:rsidR="00BB3126" w:rsidRPr="00AF5813" w:rsidRDefault="00BB3126" w:rsidP="00C7618F">
            <w:pPr>
              <w:pStyle w:val="CGCBulletlist"/>
              <w:numPr>
                <w:ilvl w:val="0"/>
                <w:numId w:val="1"/>
              </w:numPr>
              <w:tabs>
                <w:tab w:val="clear" w:pos="927"/>
              </w:tabs>
              <w:ind w:left="1134" w:hanging="567"/>
            </w:pPr>
            <w:r w:rsidRPr="00AF5813">
              <w:t>used the latest available reliable data for the three years 2015</w:t>
            </w:r>
            <w:r w:rsidRPr="00AF5813">
              <w:noBreakHyphen/>
              <w:t>16 to 2017</w:t>
            </w:r>
            <w:r w:rsidRPr="00AF5813">
              <w:noBreakHyphen/>
              <w:t>18</w:t>
            </w:r>
          </w:p>
          <w:p w:rsidR="00BB3126" w:rsidRPr="00AF5813" w:rsidRDefault="00BB3126" w:rsidP="00C7618F">
            <w:pPr>
              <w:pStyle w:val="CGCBulletlist"/>
              <w:numPr>
                <w:ilvl w:val="0"/>
                <w:numId w:val="1"/>
              </w:numPr>
              <w:tabs>
                <w:tab w:val="clear" w:pos="927"/>
              </w:tabs>
              <w:ind w:left="1134" w:hanging="567"/>
            </w:pPr>
            <w:r w:rsidRPr="00AF5813">
              <w:t xml:space="preserve">followed the guidance on the treatment of Commonwealth payments and direction on how some payments should be treated. </w:t>
            </w:r>
          </w:p>
          <w:p w:rsidR="00BB3126" w:rsidRPr="002A48E0" w:rsidRDefault="00BB3126" w:rsidP="00C7618F">
            <w:r w:rsidRPr="00AF5813">
              <w:rPr>
                <w:szCs w:val="24"/>
              </w:rPr>
              <w:t xml:space="preserve">Details of the Commission’s task are in Chapter 1 of the </w:t>
            </w:r>
            <w:r w:rsidRPr="00AF5813">
              <w:rPr>
                <w:i/>
                <w:szCs w:val="24"/>
              </w:rPr>
              <w:t>Report on GST Revenue Sharing Relativities, 2015 Review, Volume 1</w:t>
            </w:r>
            <w:r w:rsidRPr="00AF5813">
              <w:rPr>
                <w:szCs w:val="24"/>
              </w:rPr>
              <w:t xml:space="preserve"> and the principles used in undertaking it are in Chapter 1 of Volume 2 in the same report. These documents are available on the </w:t>
            </w:r>
            <w:hyperlink r:id="rId36" w:history="1">
              <w:r w:rsidRPr="00AF5813">
                <w:rPr>
                  <w:rStyle w:val="Hyperlink"/>
                  <w:szCs w:val="24"/>
                </w:rPr>
                <w:t>Commission’s website</w:t>
              </w:r>
            </w:hyperlink>
            <w:r w:rsidRPr="00AF5813">
              <w:rPr>
                <w:szCs w:val="24"/>
              </w:rPr>
              <w:t xml:space="preserve"> (</w:t>
            </w:r>
            <w:r>
              <w:t>https</w:t>
            </w:r>
            <w:r w:rsidRPr="00AF5813">
              <w:t>://</w:t>
            </w:r>
            <w:r>
              <w:t>www.</w:t>
            </w:r>
            <w:r w:rsidRPr="00AF5813">
              <w:t>cgc.gov.au/</w:t>
            </w:r>
            <w:r w:rsidRPr="00AF5813">
              <w:rPr>
                <w:szCs w:val="24"/>
              </w:rPr>
              <w:t>). An overview of the Commission’s update processes is also available on the website.</w:t>
            </w:r>
          </w:p>
          <w:p w:rsidR="00BB3126" w:rsidRPr="002A48E0" w:rsidRDefault="00BB3126" w:rsidP="00C7618F"/>
        </w:tc>
      </w:tr>
    </w:tbl>
    <w:p w:rsidR="00BB3126" w:rsidRPr="002A48E0" w:rsidRDefault="00BB3126" w:rsidP="00BB3126">
      <w:r w:rsidRPr="002A48E0">
        <w:br w:type="page"/>
      </w:r>
    </w:p>
    <w:p w:rsidR="00BB3126" w:rsidRPr="002A48E0" w:rsidRDefault="00BB3126" w:rsidP="00BB3126">
      <w:pPr>
        <w:pStyle w:val="H1notoc"/>
      </w:pPr>
      <w:r w:rsidRPr="002A48E0">
        <w:lastRenderedPageBreak/>
        <w:t>Contents</w:t>
      </w:r>
    </w:p>
    <w:p w:rsidR="00BB3126" w:rsidRDefault="00BB3126" w:rsidP="00BB3126"/>
    <w:p w:rsidR="00E82224" w:rsidRDefault="00BB3126" w:rsidP="009328A0">
      <w:pPr>
        <w:pStyle w:val="TOC3"/>
        <w:ind w:left="0"/>
        <w:rPr>
          <w:rFonts w:eastAsiaTheme="minorEastAsia"/>
          <w:iCs w:val="0"/>
          <w:noProof/>
          <w:sz w:val="22"/>
          <w:lang w:eastAsia="en-AU"/>
        </w:rPr>
      </w:pPr>
      <w:r>
        <w:rPr>
          <w:sz w:val="20"/>
          <w:szCs w:val="24"/>
        </w:rPr>
        <w:fldChar w:fldCharType="begin"/>
      </w:r>
      <w:r>
        <w:rPr>
          <w:szCs w:val="24"/>
        </w:rPr>
        <w:instrText xml:space="preserve"> TOC \o "1-4" \h \z \u </w:instrText>
      </w:r>
      <w:r>
        <w:rPr>
          <w:sz w:val="20"/>
          <w:szCs w:val="24"/>
        </w:rPr>
        <w:fldChar w:fldCharType="separate"/>
      </w:r>
      <w:hyperlink w:anchor="_Toc1115125" w:history="1">
        <w:r w:rsidR="00E82224" w:rsidRPr="009126BF">
          <w:rPr>
            <w:rStyle w:val="Hyperlink"/>
            <w:b/>
            <w:bCs/>
            <w:iCs w:val="0"/>
            <w:caps/>
            <w:noProof/>
            <w:szCs w:val="20"/>
          </w:rPr>
          <w:t>Executive summary</w:t>
        </w:r>
        <w:r w:rsidR="00E82224">
          <w:rPr>
            <w:noProof/>
            <w:webHidden/>
          </w:rPr>
          <w:tab/>
        </w:r>
        <w:r w:rsidR="00E82224" w:rsidRPr="009328A0">
          <w:rPr>
            <w:b/>
            <w:noProof/>
            <w:webHidden/>
          </w:rPr>
          <w:fldChar w:fldCharType="begin"/>
        </w:r>
        <w:r w:rsidR="00E82224" w:rsidRPr="009328A0">
          <w:rPr>
            <w:b/>
            <w:noProof/>
            <w:webHidden/>
          </w:rPr>
          <w:instrText xml:space="preserve"> PAGEREF _Toc1115125 \h </w:instrText>
        </w:r>
        <w:r w:rsidR="00E82224" w:rsidRPr="009328A0">
          <w:rPr>
            <w:b/>
            <w:noProof/>
            <w:webHidden/>
          </w:rPr>
        </w:r>
        <w:r w:rsidR="00E82224" w:rsidRPr="009328A0">
          <w:rPr>
            <w:b/>
            <w:noProof/>
            <w:webHidden/>
          </w:rPr>
          <w:fldChar w:fldCharType="separate"/>
        </w:r>
        <w:r w:rsidR="00E82224" w:rsidRPr="009328A0">
          <w:rPr>
            <w:b/>
            <w:noProof/>
            <w:webHidden/>
          </w:rPr>
          <w:t>1</w:t>
        </w:r>
        <w:r w:rsidR="00E82224" w:rsidRPr="009328A0">
          <w:rPr>
            <w:b/>
            <w:noProof/>
            <w:webHidden/>
          </w:rPr>
          <w:fldChar w:fldCharType="end"/>
        </w:r>
      </w:hyperlink>
    </w:p>
    <w:p w:rsidR="00E82224" w:rsidRDefault="00B91233">
      <w:pPr>
        <w:pStyle w:val="TOC1"/>
        <w:rPr>
          <w:rFonts w:eastAsiaTheme="minorEastAsia"/>
          <w:b w:val="0"/>
          <w:bCs w:val="0"/>
          <w:caps w:val="0"/>
          <w:noProof/>
          <w:sz w:val="22"/>
          <w:szCs w:val="22"/>
          <w:lang w:eastAsia="en-AU"/>
        </w:rPr>
      </w:pPr>
      <w:hyperlink w:anchor="_Toc1115126" w:history="1">
        <w:r w:rsidR="00E82224" w:rsidRPr="00B810EB">
          <w:rPr>
            <w:rStyle w:val="Hyperlink"/>
            <w:noProof/>
          </w:rPr>
          <w:t>Overview</w:t>
        </w:r>
        <w:r w:rsidR="00E82224">
          <w:rPr>
            <w:noProof/>
            <w:webHidden/>
          </w:rPr>
          <w:tab/>
        </w:r>
        <w:r w:rsidR="00E82224">
          <w:rPr>
            <w:noProof/>
            <w:webHidden/>
          </w:rPr>
          <w:fldChar w:fldCharType="begin"/>
        </w:r>
        <w:r w:rsidR="00E82224">
          <w:rPr>
            <w:noProof/>
            <w:webHidden/>
          </w:rPr>
          <w:instrText xml:space="preserve"> PAGEREF _Toc1115126 \h </w:instrText>
        </w:r>
        <w:r w:rsidR="00E82224">
          <w:rPr>
            <w:noProof/>
            <w:webHidden/>
          </w:rPr>
        </w:r>
        <w:r w:rsidR="00E82224">
          <w:rPr>
            <w:noProof/>
            <w:webHidden/>
          </w:rPr>
          <w:fldChar w:fldCharType="separate"/>
        </w:r>
        <w:r w:rsidR="00E82224">
          <w:rPr>
            <w:noProof/>
            <w:webHidden/>
          </w:rPr>
          <w:t>2</w:t>
        </w:r>
        <w:r w:rsidR="00E82224">
          <w:rPr>
            <w:noProof/>
            <w:webHidden/>
          </w:rPr>
          <w:fldChar w:fldCharType="end"/>
        </w:r>
      </w:hyperlink>
    </w:p>
    <w:p w:rsidR="00E82224" w:rsidRPr="009328A0" w:rsidRDefault="00B91233">
      <w:pPr>
        <w:pStyle w:val="TOC3"/>
        <w:rPr>
          <w:rFonts w:eastAsiaTheme="minorEastAsia"/>
          <w:b/>
          <w:iCs w:val="0"/>
          <w:noProof/>
          <w:sz w:val="22"/>
          <w:lang w:eastAsia="en-AU"/>
        </w:rPr>
      </w:pPr>
      <w:hyperlink w:anchor="_Toc1115127" w:history="1">
        <w:r w:rsidR="00E82224" w:rsidRPr="009328A0">
          <w:rPr>
            <w:rStyle w:val="Hyperlink"/>
            <w:b/>
            <w:noProof/>
          </w:rPr>
          <w:t>Recommended GST distribution</w:t>
        </w:r>
        <w:r w:rsidR="00E82224" w:rsidRPr="009328A0">
          <w:rPr>
            <w:b/>
            <w:noProof/>
            <w:webHidden/>
          </w:rPr>
          <w:tab/>
        </w:r>
        <w:r w:rsidR="00E82224" w:rsidRPr="009328A0">
          <w:rPr>
            <w:b/>
            <w:noProof/>
            <w:webHidden/>
          </w:rPr>
          <w:fldChar w:fldCharType="begin"/>
        </w:r>
        <w:r w:rsidR="00E82224" w:rsidRPr="009328A0">
          <w:rPr>
            <w:b/>
            <w:noProof/>
            <w:webHidden/>
          </w:rPr>
          <w:instrText xml:space="preserve"> PAGEREF _Toc1115127 \h </w:instrText>
        </w:r>
        <w:r w:rsidR="00E82224" w:rsidRPr="009328A0">
          <w:rPr>
            <w:b/>
            <w:noProof/>
            <w:webHidden/>
          </w:rPr>
        </w:r>
        <w:r w:rsidR="00E82224" w:rsidRPr="009328A0">
          <w:rPr>
            <w:b/>
            <w:noProof/>
            <w:webHidden/>
          </w:rPr>
          <w:fldChar w:fldCharType="separate"/>
        </w:r>
        <w:r w:rsidR="00E82224" w:rsidRPr="009328A0">
          <w:rPr>
            <w:b/>
            <w:noProof/>
            <w:webHidden/>
          </w:rPr>
          <w:t>2</w:t>
        </w:r>
        <w:r w:rsidR="00E82224" w:rsidRPr="009328A0">
          <w:rPr>
            <w:b/>
            <w:noProof/>
            <w:webHidden/>
          </w:rPr>
          <w:fldChar w:fldCharType="end"/>
        </w:r>
      </w:hyperlink>
    </w:p>
    <w:p w:rsidR="00E82224" w:rsidRPr="009328A0" w:rsidRDefault="00B91233">
      <w:pPr>
        <w:pStyle w:val="TOC3"/>
        <w:rPr>
          <w:rFonts w:eastAsiaTheme="minorEastAsia"/>
          <w:b/>
          <w:iCs w:val="0"/>
          <w:noProof/>
          <w:sz w:val="22"/>
          <w:lang w:eastAsia="en-AU"/>
        </w:rPr>
      </w:pPr>
      <w:hyperlink w:anchor="_Toc1115128" w:history="1">
        <w:r w:rsidR="00E82224" w:rsidRPr="009328A0">
          <w:rPr>
            <w:rStyle w:val="Hyperlink"/>
            <w:b/>
            <w:noProof/>
          </w:rPr>
          <w:t>Movements in the GST distribution</w:t>
        </w:r>
        <w:r w:rsidR="00E82224" w:rsidRPr="009328A0">
          <w:rPr>
            <w:b/>
            <w:noProof/>
            <w:webHidden/>
          </w:rPr>
          <w:tab/>
        </w:r>
        <w:r w:rsidR="00E82224" w:rsidRPr="009328A0">
          <w:rPr>
            <w:b/>
            <w:noProof/>
            <w:webHidden/>
          </w:rPr>
          <w:fldChar w:fldCharType="begin"/>
        </w:r>
        <w:r w:rsidR="00E82224" w:rsidRPr="009328A0">
          <w:rPr>
            <w:b/>
            <w:noProof/>
            <w:webHidden/>
          </w:rPr>
          <w:instrText xml:space="preserve"> PAGEREF _Toc1115128 \h </w:instrText>
        </w:r>
        <w:r w:rsidR="00E82224" w:rsidRPr="009328A0">
          <w:rPr>
            <w:b/>
            <w:noProof/>
            <w:webHidden/>
          </w:rPr>
        </w:r>
        <w:r w:rsidR="00E82224" w:rsidRPr="009328A0">
          <w:rPr>
            <w:b/>
            <w:noProof/>
            <w:webHidden/>
          </w:rPr>
          <w:fldChar w:fldCharType="separate"/>
        </w:r>
        <w:r w:rsidR="00E82224" w:rsidRPr="009328A0">
          <w:rPr>
            <w:b/>
            <w:noProof/>
            <w:webHidden/>
          </w:rPr>
          <w:t>4</w:t>
        </w:r>
        <w:r w:rsidR="00E82224" w:rsidRPr="009328A0">
          <w:rPr>
            <w:b/>
            <w:noProof/>
            <w:webHidden/>
          </w:rPr>
          <w:fldChar w:fldCharType="end"/>
        </w:r>
      </w:hyperlink>
    </w:p>
    <w:p w:rsidR="00E82224" w:rsidRPr="009328A0" w:rsidRDefault="00B91233">
      <w:pPr>
        <w:pStyle w:val="TOC3"/>
        <w:rPr>
          <w:rFonts w:eastAsiaTheme="minorEastAsia"/>
          <w:b/>
          <w:iCs w:val="0"/>
          <w:noProof/>
          <w:sz w:val="22"/>
          <w:lang w:eastAsia="en-AU"/>
        </w:rPr>
      </w:pPr>
      <w:hyperlink w:anchor="_Toc1115129" w:history="1">
        <w:r w:rsidR="00E82224" w:rsidRPr="009328A0">
          <w:rPr>
            <w:rStyle w:val="Hyperlink"/>
            <w:b/>
            <w:noProof/>
          </w:rPr>
          <w:t>Why State fiscal capacities have changed</w:t>
        </w:r>
        <w:r w:rsidR="00E82224" w:rsidRPr="009328A0">
          <w:rPr>
            <w:b/>
            <w:noProof/>
            <w:webHidden/>
          </w:rPr>
          <w:tab/>
        </w:r>
        <w:r w:rsidR="00E82224" w:rsidRPr="009328A0">
          <w:rPr>
            <w:b/>
            <w:noProof/>
            <w:webHidden/>
          </w:rPr>
          <w:fldChar w:fldCharType="begin"/>
        </w:r>
        <w:r w:rsidR="00E82224" w:rsidRPr="009328A0">
          <w:rPr>
            <w:b/>
            <w:noProof/>
            <w:webHidden/>
          </w:rPr>
          <w:instrText xml:space="preserve"> PAGEREF _Toc1115129 \h </w:instrText>
        </w:r>
        <w:r w:rsidR="00E82224" w:rsidRPr="009328A0">
          <w:rPr>
            <w:b/>
            <w:noProof/>
            <w:webHidden/>
          </w:rPr>
        </w:r>
        <w:r w:rsidR="00E82224" w:rsidRPr="009328A0">
          <w:rPr>
            <w:b/>
            <w:noProof/>
            <w:webHidden/>
          </w:rPr>
          <w:fldChar w:fldCharType="separate"/>
        </w:r>
        <w:r w:rsidR="00E82224" w:rsidRPr="009328A0">
          <w:rPr>
            <w:b/>
            <w:noProof/>
            <w:webHidden/>
          </w:rPr>
          <w:t>5</w:t>
        </w:r>
        <w:r w:rsidR="00E82224" w:rsidRPr="009328A0">
          <w:rPr>
            <w:b/>
            <w:noProof/>
            <w:webHidden/>
          </w:rPr>
          <w:fldChar w:fldCharType="end"/>
        </w:r>
      </w:hyperlink>
    </w:p>
    <w:p w:rsidR="00E82224" w:rsidRPr="009328A0" w:rsidRDefault="00B91233">
      <w:pPr>
        <w:pStyle w:val="TOC3"/>
        <w:rPr>
          <w:rFonts w:eastAsiaTheme="minorEastAsia"/>
          <w:b/>
          <w:iCs w:val="0"/>
          <w:noProof/>
          <w:sz w:val="22"/>
          <w:lang w:eastAsia="en-AU"/>
        </w:rPr>
      </w:pPr>
      <w:hyperlink w:anchor="_Toc1115130" w:history="1">
        <w:r w:rsidR="00E82224" w:rsidRPr="009328A0">
          <w:rPr>
            <w:rStyle w:val="Hyperlink"/>
            <w:b/>
            <w:noProof/>
          </w:rPr>
          <w:t>State by State changes since the 2018 Update</w:t>
        </w:r>
        <w:r w:rsidR="00E82224" w:rsidRPr="009328A0">
          <w:rPr>
            <w:b/>
            <w:noProof/>
            <w:webHidden/>
          </w:rPr>
          <w:tab/>
        </w:r>
        <w:r w:rsidR="00E82224" w:rsidRPr="009328A0">
          <w:rPr>
            <w:b/>
            <w:noProof/>
            <w:webHidden/>
          </w:rPr>
          <w:fldChar w:fldCharType="begin"/>
        </w:r>
        <w:r w:rsidR="00E82224" w:rsidRPr="009328A0">
          <w:rPr>
            <w:b/>
            <w:noProof/>
            <w:webHidden/>
          </w:rPr>
          <w:instrText xml:space="preserve"> PAGEREF _Toc1115130 \h </w:instrText>
        </w:r>
        <w:r w:rsidR="00E82224" w:rsidRPr="009328A0">
          <w:rPr>
            <w:b/>
            <w:noProof/>
            <w:webHidden/>
          </w:rPr>
        </w:r>
        <w:r w:rsidR="00E82224" w:rsidRPr="009328A0">
          <w:rPr>
            <w:b/>
            <w:noProof/>
            <w:webHidden/>
          </w:rPr>
          <w:fldChar w:fldCharType="separate"/>
        </w:r>
        <w:r w:rsidR="00E82224" w:rsidRPr="009328A0">
          <w:rPr>
            <w:b/>
            <w:noProof/>
            <w:webHidden/>
          </w:rPr>
          <w:t>8</w:t>
        </w:r>
        <w:r w:rsidR="00E82224" w:rsidRPr="009328A0">
          <w:rPr>
            <w:b/>
            <w:noProof/>
            <w:webHidden/>
          </w:rPr>
          <w:fldChar w:fldCharType="end"/>
        </w:r>
      </w:hyperlink>
    </w:p>
    <w:p w:rsidR="00E82224" w:rsidRDefault="00B91233">
      <w:pPr>
        <w:pStyle w:val="TOC4"/>
        <w:rPr>
          <w:rFonts w:eastAsiaTheme="minorEastAsia"/>
          <w:noProof/>
          <w:sz w:val="22"/>
          <w:lang w:eastAsia="en-AU"/>
        </w:rPr>
      </w:pPr>
      <w:hyperlink w:anchor="_Toc1115131" w:history="1">
        <w:r w:rsidR="00E82224" w:rsidRPr="00B810EB">
          <w:rPr>
            <w:rStyle w:val="Hyperlink"/>
            <w:noProof/>
          </w:rPr>
          <w:t>New South Wales</w:t>
        </w:r>
        <w:r w:rsidR="00E82224">
          <w:rPr>
            <w:noProof/>
            <w:webHidden/>
          </w:rPr>
          <w:tab/>
        </w:r>
        <w:r w:rsidR="00E82224">
          <w:rPr>
            <w:noProof/>
            <w:webHidden/>
          </w:rPr>
          <w:fldChar w:fldCharType="begin"/>
        </w:r>
        <w:r w:rsidR="00E82224">
          <w:rPr>
            <w:noProof/>
            <w:webHidden/>
          </w:rPr>
          <w:instrText xml:space="preserve"> PAGEREF _Toc1115131 \h </w:instrText>
        </w:r>
        <w:r w:rsidR="00E82224">
          <w:rPr>
            <w:noProof/>
            <w:webHidden/>
          </w:rPr>
        </w:r>
        <w:r w:rsidR="00E82224">
          <w:rPr>
            <w:noProof/>
            <w:webHidden/>
          </w:rPr>
          <w:fldChar w:fldCharType="separate"/>
        </w:r>
        <w:r w:rsidR="00E82224">
          <w:rPr>
            <w:noProof/>
            <w:webHidden/>
          </w:rPr>
          <w:t>9</w:t>
        </w:r>
        <w:r w:rsidR="00E82224">
          <w:rPr>
            <w:noProof/>
            <w:webHidden/>
          </w:rPr>
          <w:fldChar w:fldCharType="end"/>
        </w:r>
      </w:hyperlink>
    </w:p>
    <w:p w:rsidR="00E82224" w:rsidRDefault="00B91233">
      <w:pPr>
        <w:pStyle w:val="TOC4"/>
        <w:rPr>
          <w:rFonts w:eastAsiaTheme="minorEastAsia"/>
          <w:noProof/>
          <w:sz w:val="22"/>
          <w:lang w:eastAsia="en-AU"/>
        </w:rPr>
      </w:pPr>
      <w:hyperlink w:anchor="_Toc1115132" w:history="1">
        <w:r w:rsidR="00E82224" w:rsidRPr="00B810EB">
          <w:rPr>
            <w:rStyle w:val="Hyperlink"/>
            <w:noProof/>
          </w:rPr>
          <w:t>Victoria</w:t>
        </w:r>
        <w:r w:rsidR="00E82224">
          <w:rPr>
            <w:noProof/>
            <w:webHidden/>
          </w:rPr>
          <w:tab/>
        </w:r>
        <w:r w:rsidR="00E82224">
          <w:rPr>
            <w:noProof/>
            <w:webHidden/>
          </w:rPr>
          <w:fldChar w:fldCharType="begin"/>
        </w:r>
        <w:r w:rsidR="00E82224">
          <w:rPr>
            <w:noProof/>
            <w:webHidden/>
          </w:rPr>
          <w:instrText xml:space="preserve"> PAGEREF _Toc1115132 \h </w:instrText>
        </w:r>
        <w:r w:rsidR="00E82224">
          <w:rPr>
            <w:noProof/>
            <w:webHidden/>
          </w:rPr>
        </w:r>
        <w:r w:rsidR="00E82224">
          <w:rPr>
            <w:noProof/>
            <w:webHidden/>
          </w:rPr>
          <w:fldChar w:fldCharType="separate"/>
        </w:r>
        <w:r w:rsidR="00E82224">
          <w:rPr>
            <w:noProof/>
            <w:webHidden/>
          </w:rPr>
          <w:t>10</w:t>
        </w:r>
        <w:r w:rsidR="00E82224">
          <w:rPr>
            <w:noProof/>
            <w:webHidden/>
          </w:rPr>
          <w:fldChar w:fldCharType="end"/>
        </w:r>
      </w:hyperlink>
    </w:p>
    <w:p w:rsidR="00E82224" w:rsidRDefault="00B91233">
      <w:pPr>
        <w:pStyle w:val="TOC4"/>
        <w:rPr>
          <w:rFonts w:eastAsiaTheme="minorEastAsia"/>
          <w:noProof/>
          <w:sz w:val="22"/>
          <w:lang w:eastAsia="en-AU"/>
        </w:rPr>
      </w:pPr>
      <w:hyperlink w:anchor="_Toc1115133" w:history="1">
        <w:r w:rsidR="00E82224" w:rsidRPr="00B810EB">
          <w:rPr>
            <w:rStyle w:val="Hyperlink"/>
            <w:noProof/>
          </w:rPr>
          <w:t>Queensland</w:t>
        </w:r>
        <w:r w:rsidR="00E82224">
          <w:rPr>
            <w:noProof/>
            <w:webHidden/>
          </w:rPr>
          <w:tab/>
        </w:r>
        <w:r w:rsidR="00E82224">
          <w:rPr>
            <w:noProof/>
            <w:webHidden/>
          </w:rPr>
          <w:fldChar w:fldCharType="begin"/>
        </w:r>
        <w:r w:rsidR="00E82224">
          <w:rPr>
            <w:noProof/>
            <w:webHidden/>
          </w:rPr>
          <w:instrText xml:space="preserve"> PAGEREF _Toc1115133 \h </w:instrText>
        </w:r>
        <w:r w:rsidR="00E82224">
          <w:rPr>
            <w:noProof/>
            <w:webHidden/>
          </w:rPr>
        </w:r>
        <w:r w:rsidR="00E82224">
          <w:rPr>
            <w:noProof/>
            <w:webHidden/>
          </w:rPr>
          <w:fldChar w:fldCharType="separate"/>
        </w:r>
        <w:r w:rsidR="00E82224">
          <w:rPr>
            <w:noProof/>
            <w:webHidden/>
          </w:rPr>
          <w:t>11</w:t>
        </w:r>
        <w:r w:rsidR="00E82224">
          <w:rPr>
            <w:noProof/>
            <w:webHidden/>
          </w:rPr>
          <w:fldChar w:fldCharType="end"/>
        </w:r>
      </w:hyperlink>
    </w:p>
    <w:p w:rsidR="00E82224" w:rsidRDefault="00B91233">
      <w:pPr>
        <w:pStyle w:val="TOC4"/>
        <w:rPr>
          <w:rFonts w:eastAsiaTheme="minorEastAsia"/>
          <w:noProof/>
          <w:sz w:val="22"/>
          <w:lang w:eastAsia="en-AU"/>
        </w:rPr>
      </w:pPr>
      <w:hyperlink w:anchor="_Toc1115134" w:history="1">
        <w:r w:rsidR="00E82224" w:rsidRPr="00B810EB">
          <w:rPr>
            <w:rStyle w:val="Hyperlink"/>
            <w:noProof/>
          </w:rPr>
          <w:t>Western Australia</w:t>
        </w:r>
        <w:r w:rsidR="00E82224">
          <w:rPr>
            <w:noProof/>
            <w:webHidden/>
          </w:rPr>
          <w:tab/>
        </w:r>
        <w:r w:rsidR="00E82224">
          <w:rPr>
            <w:noProof/>
            <w:webHidden/>
          </w:rPr>
          <w:fldChar w:fldCharType="begin"/>
        </w:r>
        <w:r w:rsidR="00E82224">
          <w:rPr>
            <w:noProof/>
            <w:webHidden/>
          </w:rPr>
          <w:instrText xml:space="preserve"> PAGEREF _Toc1115134 \h </w:instrText>
        </w:r>
        <w:r w:rsidR="00E82224">
          <w:rPr>
            <w:noProof/>
            <w:webHidden/>
          </w:rPr>
        </w:r>
        <w:r w:rsidR="00E82224">
          <w:rPr>
            <w:noProof/>
            <w:webHidden/>
          </w:rPr>
          <w:fldChar w:fldCharType="separate"/>
        </w:r>
        <w:r w:rsidR="00E82224">
          <w:rPr>
            <w:noProof/>
            <w:webHidden/>
          </w:rPr>
          <w:t>12</w:t>
        </w:r>
        <w:r w:rsidR="00E82224">
          <w:rPr>
            <w:noProof/>
            <w:webHidden/>
          </w:rPr>
          <w:fldChar w:fldCharType="end"/>
        </w:r>
      </w:hyperlink>
    </w:p>
    <w:p w:rsidR="00E82224" w:rsidRDefault="00B91233">
      <w:pPr>
        <w:pStyle w:val="TOC4"/>
        <w:rPr>
          <w:rFonts w:eastAsiaTheme="minorEastAsia"/>
          <w:noProof/>
          <w:sz w:val="22"/>
          <w:lang w:eastAsia="en-AU"/>
        </w:rPr>
      </w:pPr>
      <w:hyperlink w:anchor="_Toc1115135" w:history="1">
        <w:r w:rsidR="00E82224" w:rsidRPr="00B810EB">
          <w:rPr>
            <w:rStyle w:val="Hyperlink"/>
            <w:noProof/>
          </w:rPr>
          <w:t>South Australia</w:t>
        </w:r>
        <w:r w:rsidR="00E82224">
          <w:rPr>
            <w:noProof/>
            <w:webHidden/>
          </w:rPr>
          <w:tab/>
        </w:r>
        <w:r w:rsidR="00E82224">
          <w:rPr>
            <w:noProof/>
            <w:webHidden/>
          </w:rPr>
          <w:fldChar w:fldCharType="begin"/>
        </w:r>
        <w:r w:rsidR="00E82224">
          <w:rPr>
            <w:noProof/>
            <w:webHidden/>
          </w:rPr>
          <w:instrText xml:space="preserve"> PAGEREF _Toc1115135 \h </w:instrText>
        </w:r>
        <w:r w:rsidR="00E82224">
          <w:rPr>
            <w:noProof/>
            <w:webHidden/>
          </w:rPr>
        </w:r>
        <w:r w:rsidR="00E82224">
          <w:rPr>
            <w:noProof/>
            <w:webHidden/>
          </w:rPr>
          <w:fldChar w:fldCharType="separate"/>
        </w:r>
        <w:r w:rsidR="00E82224">
          <w:rPr>
            <w:noProof/>
            <w:webHidden/>
          </w:rPr>
          <w:t>13</w:t>
        </w:r>
        <w:r w:rsidR="00E82224">
          <w:rPr>
            <w:noProof/>
            <w:webHidden/>
          </w:rPr>
          <w:fldChar w:fldCharType="end"/>
        </w:r>
      </w:hyperlink>
    </w:p>
    <w:p w:rsidR="00E82224" w:rsidRDefault="00B91233">
      <w:pPr>
        <w:pStyle w:val="TOC4"/>
        <w:rPr>
          <w:rFonts w:eastAsiaTheme="minorEastAsia"/>
          <w:noProof/>
          <w:sz w:val="22"/>
          <w:lang w:eastAsia="en-AU"/>
        </w:rPr>
      </w:pPr>
      <w:hyperlink w:anchor="_Toc1115136" w:history="1">
        <w:r w:rsidR="00E82224" w:rsidRPr="00B810EB">
          <w:rPr>
            <w:rStyle w:val="Hyperlink"/>
            <w:noProof/>
          </w:rPr>
          <w:t>Tasmania</w:t>
        </w:r>
        <w:r w:rsidR="00E82224">
          <w:rPr>
            <w:noProof/>
            <w:webHidden/>
          </w:rPr>
          <w:tab/>
        </w:r>
        <w:r w:rsidR="00E82224">
          <w:rPr>
            <w:noProof/>
            <w:webHidden/>
          </w:rPr>
          <w:fldChar w:fldCharType="begin"/>
        </w:r>
        <w:r w:rsidR="00E82224">
          <w:rPr>
            <w:noProof/>
            <w:webHidden/>
          </w:rPr>
          <w:instrText xml:space="preserve"> PAGEREF _Toc1115136 \h </w:instrText>
        </w:r>
        <w:r w:rsidR="00E82224">
          <w:rPr>
            <w:noProof/>
            <w:webHidden/>
          </w:rPr>
        </w:r>
        <w:r w:rsidR="00E82224">
          <w:rPr>
            <w:noProof/>
            <w:webHidden/>
          </w:rPr>
          <w:fldChar w:fldCharType="separate"/>
        </w:r>
        <w:r w:rsidR="00E82224">
          <w:rPr>
            <w:noProof/>
            <w:webHidden/>
          </w:rPr>
          <w:t>14</w:t>
        </w:r>
        <w:r w:rsidR="00E82224">
          <w:rPr>
            <w:noProof/>
            <w:webHidden/>
          </w:rPr>
          <w:fldChar w:fldCharType="end"/>
        </w:r>
      </w:hyperlink>
    </w:p>
    <w:p w:rsidR="00E82224" w:rsidRDefault="00B91233">
      <w:pPr>
        <w:pStyle w:val="TOC4"/>
        <w:rPr>
          <w:rFonts w:eastAsiaTheme="minorEastAsia"/>
          <w:noProof/>
          <w:sz w:val="22"/>
          <w:lang w:eastAsia="en-AU"/>
        </w:rPr>
      </w:pPr>
      <w:hyperlink w:anchor="_Toc1115137" w:history="1">
        <w:r w:rsidR="00E82224" w:rsidRPr="00B810EB">
          <w:rPr>
            <w:rStyle w:val="Hyperlink"/>
            <w:noProof/>
          </w:rPr>
          <w:t>Australian Capital Territory</w:t>
        </w:r>
        <w:r w:rsidR="00E82224">
          <w:rPr>
            <w:noProof/>
            <w:webHidden/>
          </w:rPr>
          <w:tab/>
        </w:r>
        <w:r w:rsidR="00E82224">
          <w:rPr>
            <w:noProof/>
            <w:webHidden/>
          </w:rPr>
          <w:fldChar w:fldCharType="begin"/>
        </w:r>
        <w:r w:rsidR="00E82224">
          <w:rPr>
            <w:noProof/>
            <w:webHidden/>
          </w:rPr>
          <w:instrText xml:space="preserve"> PAGEREF _Toc1115137 \h </w:instrText>
        </w:r>
        <w:r w:rsidR="00E82224">
          <w:rPr>
            <w:noProof/>
            <w:webHidden/>
          </w:rPr>
        </w:r>
        <w:r w:rsidR="00E82224">
          <w:rPr>
            <w:noProof/>
            <w:webHidden/>
          </w:rPr>
          <w:fldChar w:fldCharType="separate"/>
        </w:r>
        <w:r w:rsidR="00E82224">
          <w:rPr>
            <w:noProof/>
            <w:webHidden/>
          </w:rPr>
          <w:t>15</w:t>
        </w:r>
        <w:r w:rsidR="00E82224">
          <w:rPr>
            <w:noProof/>
            <w:webHidden/>
          </w:rPr>
          <w:fldChar w:fldCharType="end"/>
        </w:r>
      </w:hyperlink>
    </w:p>
    <w:p w:rsidR="00E82224" w:rsidRDefault="00B91233">
      <w:pPr>
        <w:pStyle w:val="TOC4"/>
        <w:rPr>
          <w:rFonts w:eastAsiaTheme="minorEastAsia"/>
          <w:noProof/>
          <w:sz w:val="22"/>
          <w:lang w:eastAsia="en-AU"/>
        </w:rPr>
      </w:pPr>
      <w:hyperlink w:anchor="_Toc1115138" w:history="1">
        <w:r w:rsidR="00E82224" w:rsidRPr="00B810EB">
          <w:rPr>
            <w:rStyle w:val="Hyperlink"/>
            <w:noProof/>
          </w:rPr>
          <w:t>Northern Territory</w:t>
        </w:r>
        <w:r w:rsidR="00E82224">
          <w:rPr>
            <w:noProof/>
            <w:webHidden/>
          </w:rPr>
          <w:tab/>
        </w:r>
        <w:r w:rsidR="00E82224">
          <w:rPr>
            <w:noProof/>
            <w:webHidden/>
          </w:rPr>
          <w:fldChar w:fldCharType="begin"/>
        </w:r>
        <w:r w:rsidR="00E82224">
          <w:rPr>
            <w:noProof/>
            <w:webHidden/>
          </w:rPr>
          <w:instrText xml:space="preserve"> PAGEREF _Toc1115138 \h </w:instrText>
        </w:r>
        <w:r w:rsidR="00E82224">
          <w:rPr>
            <w:noProof/>
            <w:webHidden/>
          </w:rPr>
        </w:r>
        <w:r w:rsidR="00E82224">
          <w:rPr>
            <w:noProof/>
            <w:webHidden/>
          </w:rPr>
          <w:fldChar w:fldCharType="separate"/>
        </w:r>
        <w:r w:rsidR="00E82224">
          <w:rPr>
            <w:noProof/>
            <w:webHidden/>
          </w:rPr>
          <w:t>16</w:t>
        </w:r>
        <w:r w:rsidR="00E82224">
          <w:rPr>
            <w:noProof/>
            <w:webHidden/>
          </w:rPr>
          <w:fldChar w:fldCharType="end"/>
        </w:r>
      </w:hyperlink>
    </w:p>
    <w:p w:rsidR="00E82224" w:rsidRDefault="00B91233">
      <w:pPr>
        <w:pStyle w:val="TOC1"/>
        <w:rPr>
          <w:rFonts w:eastAsiaTheme="minorEastAsia"/>
          <w:b w:val="0"/>
          <w:bCs w:val="0"/>
          <w:caps w:val="0"/>
          <w:noProof/>
          <w:sz w:val="22"/>
          <w:szCs w:val="22"/>
          <w:lang w:eastAsia="en-AU"/>
        </w:rPr>
      </w:pPr>
      <w:hyperlink w:anchor="_Toc1115139" w:history="1">
        <w:r w:rsidR="00E82224" w:rsidRPr="00B810EB">
          <w:rPr>
            <w:rStyle w:val="Hyperlink"/>
            <w:noProof/>
          </w:rPr>
          <w:t>Chapter 1</w:t>
        </w:r>
        <w:r w:rsidR="00E82224">
          <w:rPr>
            <w:rStyle w:val="Hyperlink"/>
            <w:noProof/>
          </w:rPr>
          <w:t xml:space="preserve"> – Changes in the GST distribution</w:t>
        </w:r>
        <w:r w:rsidR="00E82224">
          <w:rPr>
            <w:noProof/>
            <w:webHidden/>
          </w:rPr>
          <w:tab/>
        </w:r>
        <w:r w:rsidR="00E82224">
          <w:rPr>
            <w:noProof/>
            <w:webHidden/>
          </w:rPr>
          <w:fldChar w:fldCharType="begin"/>
        </w:r>
        <w:r w:rsidR="00E82224">
          <w:rPr>
            <w:noProof/>
            <w:webHidden/>
          </w:rPr>
          <w:instrText xml:space="preserve"> PAGEREF _Toc1115139 \h </w:instrText>
        </w:r>
        <w:r w:rsidR="00E82224">
          <w:rPr>
            <w:noProof/>
            <w:webHidden/>
          </w:rPr>
        </w:r>
        <w:r w:rsidR="00E82224">
          <w:rPr>
            <w:noProof/>
            <w:webHidden/>
          </w:rPr>
          <w:fldChar w:fldCharType="separate"/>
        </w:r>
        <w:r w:rsidR="00E82224">
          <w:rPr>
            <w:noProof/>
            <w:webHidden/>
          </w:rPr>
          <w:t>17</w:t>
        </w:r>
        <w:r w:rsidR="00E82224">
          <w:rPr>
            <w:noProof/>
            <w:webHidden/>
          </w:rPr>
          <w:fldChar w:fldCharType="end"/>
        </w:r>
      </w:hyperlink>
    </w:p>
    <w:p w:rsidR="00E82224" w:rsidRPr="009328A0" w:rsidRDefault="00B91233">
      <w:pPr>
        <w:pStyle w:val="TOC3"/>
        <w:rPr>
          <w:rFonts w:eastAsiaTheme="minorEastAsia"/>
          <w:b/>
          <w:iCs w:val="0"/>
          <w:noProof/>
          <w:sz w:val="22"/>
          <w:lang w:eastAsia="en-AU"/>
        </w:rPr>
      </w:pPr>
      <w:hyperlink w:anchor="_Toc1115141" w:history="1">
        <w:r w:rsidR="00E82224" w:rsidRPr="009328A0">
          <w:rPr>
            <w:rStyle w:val="Hyperlink"/>
            <w:b/>
            <w:noProof/>
          </w:rPr>
          <w:t>Movements in the GST distribution</w:t>
        </w:r>
        <w:r w:rsidR="00E82224" w:rsidRPr="009328A0">
          <w:rPr>
            <w:b/>
            <w:noProof/>
            <w:webHidden/>
          </w:rPr>
          <w:tab/>
        </w:r>
        <w:r w:rsidR="00E82224" w:rsidRPr="009328A0">
          <w:rPr>
            <w:b/>
            <w:noProof/>
            <w:webHidden/>
          </w:rPr>
          <w:fldChar w:fldCharType="begin"/>
        </w:r>
        <w:r w:rsidR="00E82224" w:rsidRPr="009328A0">
          <w:rPr>
            <w:b/>
            <w:noProof/>
            <w:webHidden/>
          </w:rPr>
          <w:instrText xml:space="preserve"> PAGEREF _Toc1115141 \h </w:instrText>
        </w:r>
        <w:r w:rsidR="00E82224" w:rsidRPr="009328A0">
          <w:rPr>
            <w:b/>
            <w:noProof/>
            <w:webHidden/>
          </w:rPr>
        </w:r>
        <w:r w:rsidR="00E82224" w:rsidRPr="009328A0">
          <w:rPr>
            <w:b/>
            <w:noProof/>
            <w:webHidden/>
          </w:rPr>
          <w:fldChar w:fldCharType="separate"/>
        </w:r>
        <w:r w:rsidR="00E82224" w:rsidRPr="009328A0">
          <w:rPr>
            <w:b/>
            <w:noProof/>
            <w:webHidden/>
          </w:rPr>
          <w:t>17</w:t>
        </w:r>
        <w:r w:rsidR="00E82224" w:rsidRPr="009328A0">
          <w:rPr>
            <w:b/>
            <w:noProof/>
            <w:webHidden/>
          </w:rPr>
          <w:fldChar w:fldCharType="end"/>
        </w:r>
      </w:hyperlink>
    </w:p>
    <w:p w:rsidR="00E82224" w:rsidRDefault="00B91233">
      <w:pPr>
        <w:pStyle w:val="TOC4"/>
        <w:rPr>
          <w:rFonts w:eastAsiaTheme="minorEastAsia"/>
          <w:noProof/>
          <w:sz w:val="22"/>
          <w:lang w:eastAsia="en-AU"/>
        </w:rPr>
      </w:pPr>
      <w:hyperlink w:anchor="_Toc1115142" w:history="1">
        <w:r w:rsidR="00E82224" w:rsidRPr="00B810EB">
          <w:rPr>
            <w:rStyle w:val="Hyperlink"/>
            <w:noProof/>
          </w:rPr>
          <w:t>Why State fiscal capacities change between updates</w:t>
        </w:r>
        <w:r w:rsidR="00E82224">
          <w:rPr>
            <w:noProof/>
            <w:webHidden/>
          </w:rPr>
          <w:tab/>
        </w:r>
        <w:r w:rsidR="00E82224">
          <w:rPr>
            <w:noProof/>
            <w:webHidden/>
          </w:rPr>
          <w:fldChar w:fldCharType="begin"/>
        </w:r>
        <w:r w:rsidR="00E82224">
          <w:rPr>
            <w:noProof/>
            <w:webHidden/>
          </w:rPr>
          <w:instrText xml:space="preserve"> PAGEREF _Toc1115142 \h </w:instrText>
        </w:r>
        <w:r w:rsidR="00E82224">
          <w:rPr>
            <w:noProof/>
            <w:webHidden/>
          </w:rPr>
        </w:r>
        <w:r w:rsidR="00E82224">
          <w:rPr>
            <w:noProof/>
            <w:webHidden/>
          </w:rPr>
          <w:fldChar w:fldCharType="separate"/>
        </w:r>
        <w:r w:rsidR="00E82224">
          <w:rPr>
            <w:noProof/>
            <w:webHidden/>
          </w:rPr>
          <w:t>18</w:t>
        </w:r>
        <w:r w:rsidR="00E82224">
          <w:rPr>
            <w:noProof/>
            <w:webHidden/>
          </w:rPr>
          <w:fldChar w:fldCharType="end"/>
        </w:r>
      </w:hyperlink>
    </w:p>
    <w:p w:rsidR="00E82224" w:rsidRPr="009328A0" w:rsidRDefault="00B91233">
      <w:pPr>
        <w:pStyle w:val="TOC3"/>
        <w:rPr>
          <w:rFonts w:eastAsiaTheme="minorEastAsia"/>
          <w:b/>
          <w:iCs w:val="0"/>
          <w:noProof/>
          <w:sz w:val="22"/>
          <w:lang w:eastAsia="en-AU"/>
        </w:rPr>
      </w:pPr>
      <w:hyperlink w:anchor="_Toc1115143" w:history="1">
        <w:r w:rsidR="00E82224" w:rsidRPr="009328A0">
          <w:rPr>
            <w:rStyle w:val="Hyperlink"/>
            <w:b/>
            <w:noProof/>
          </w:rPr>
          <w:t>Data revisions</w:t>
        </w:r>
        <w:r w:rsidR="00E82224" w:rsidRPr="009328A0">
          <w:rPr>
            <w:b/>
            <w:noProof/>
            <w:webHidden/>
          </w:rPr>
          <w:tab/>
        </w:r>
        <w:r w:rsidR="00E82224" w:rsidRPr="009328A0">
          <w:rPr>
            <w:b/>
            <w:noProof/>
            <w:webHidden/>
          </w:rPr>
          <w:fldChar w:fldCharType="begin"/>
        </w:r>
        <w:r w:rsidR="00E82224" w:rsidRPr="009328A0">
          <w:rPr>
            <w:b/>
            <w:noProof/>
            <w:webHidden/>
          </w:rPr>
          <w:instrText xml:space="preserve"> PAGEREF _Toc1115143 \h </w:instrText>
        </w:r>
        <w:r w:rsidR="00E82224" w:rsidRPr="009328A0">
          <w:rPr>
            <w:b/>
            <w:noProof/>
            <w:webHidden/>
          </w:rPr>
        </w:r>
        <w:r w:rsidR="00E82224" w:rsidRPr="009328A0">
          <w:rPr>
            <w:b/>
            <w:noProof/>
            <w:webHidden/>
          </w:rPr>
          <w:fldChar w:fldCharType="separate"/>
        </w:r>
        <w:r w:rsidR="00E82224" w:rsidRPr="009328A0">
          <w:rPr>
            <w:b/>
            <w:noProof/>
            <w:webHidden/>
          </w:rPr>
          <w:t>19</w:t>
        </w:r>
        <w:r w:rsidR="00E82224" w:rsidRPr="009328A0">
          <w:rPr>
            <w:b/>
            <w:noProof/>
            <w:webHidden/>
          </w:rPr>
          <w:fldChar w:fldCharType="end"/>
        </w:r>
      </w:hyperlink>
    </w:p>
    <w:p w:rsidR="00E82224" w:rsidRPr="009328A0" w:rsidRDefault="00B91233">
      <w:pPr>
        <w:pStyle w:val="TOC3"/>
        <w:rPr>
          <w:rFonts w:eastAsiaTheme="minorEastAsia"/>
          <w:b/>
          <w:iCs w:val="0"/>
          <w:noProof/>
          <w:sz w:val="22"/>
          <w:lang w:eastAsia="en-AU"/>
        </w:rPr>
      </w:pPr>
      <w:hyperlink w:anchor="_Toc1115144" w:history="1">
        <w:r w:rsidR="00E82224" w:rsidRPr="009328A0">
          <w:rPr>
            <w:rStyle w:val="Hyperlink"/>
            <w:b/>
            <w:noProof/>
          </w:rPr>
          <w:t>Changes in State circumstances since the 2018 Update</w:t>
        </w:r>
        <w:r w:rsidR="00E82224" w:rsidRPr="009328A0">
          <w:rPr>
            <w:b/>
            <w:noProof/>
            <w:webHidden/>
          </w:rPr>
          <w:tab/>
        </w:r>
        <w:r w:rsidR="00E82224" w:rsidRPr="009328A0">
          <w:rPr>
            <w:b/>
            <w:noProof/>
            <w:webHidden/>
          </w:rPr>
          <w:fldChar w:fldCharType="begin"/>
        </w:r>
        <w:r w:rsidR="00E82224" w:rsidRPr="009328A0">
          <w:rPr>
            <w:b/>
            <w:noProof/>
            <w:webHidden/>
          </w:rPr>
          <w:instrText xml:space="preserve"> PAGEREF _Toc1115144 \h </w:instrText>
        </w:r>
        <w:r w:rsidR="00E82224" w:rsidRPr="009328A0">
          <w:rPr>
            <w:b/>
            <w:noProof/>
            <w:webHidden/>
          </w:rPr>
        </w:r>
        <w:r w:rsidR="00E82224" w:rsidRPr="009328A0">
          <w:rPr>
            <w:b/>
            <w:noProof/>
            <w:webHidden/>
          </w:rPr>
          <w:fldChar w:fldCharType="separate"/>
        </w:r>
        <w:r w:rsidR="00E82224" w:rsidRPr="009328A0">
          <w:rPr>
            <w:b/>
            <w:noProof/>
            <w:webHidden/>
          </w:rPr>
          <w:t>20</w:t>
        </w:r>
        <w:r w:rsidR="00E82224" w:rsidRPr="009328A0">
          <w:rPr>
            <w:b/>
            <w:noProof/>
            <w:webHidden/>
          </w:rPr>
          <w:fldChar w:fldCharType="end"/>
        </w:r>
      </w:hyperlink>
    </w:p>
    <w:p w:rsidR="00E82224" w:rsidRDefault="00B91233">
      <w:pPr>
        <w:pStyle w:val="TOC4"/>
        <w:rPr>
          <w:rFonts w:eastAsiaTheme="minorEastAsia"/>
          <w:noProof/>
          <w:sz w:val="22"/>
          <w:lang w:eastAsia="en-AU"/>
        </w:rPr>
      </w:pPr>
      <w:hyperlink w:anchor="_Toc1115145" w:history="1">
        <w:r w:rsidR="00E82224" w:rsidRPr="00B810EB">
          <w:rPr>
            <w:rStyle w:val="Hyperlink"/>
            <w:noProof/>
          </w:rPr>
          <w:t>Revenue</w:t>
        </w:r>
        <w:r w:rsidR="00E82224">
          <w:rPr>
            <w:noProof/>
            <w:webHidden/>
          </w:rPr>
          <w:tab/>
        </w:r>
        <w:r w:rsidR="00E82224">
          <w:rPr>
            <w:noProof/>
            <w:webHidden/>
          </w:rPr>
          <w:fldChar w:fldCharType="begin"/>
        </w:r>
        <w:r w:rsidR="00E82224">
          <w:rPr>
            <w:noProof/>
            <w:webHidden/>
          </w:rPr>
          <w:instrText xml:space="preserve"> PAGEREF _Toc1115145 \h </w:instrText>
        </w:r>
        <w:r w:rsidR="00E82224">
          <w:rPr>
            <w:noProof/>
            <w:webHidden/>
          </w:rPr>
        </w:r>
        <w:r w:rsidR="00E82224">
          <w:rPr>
            <w:noProof/>
            <w:webHidden/>
          </w:rPr>
          <w:fldChar w:fldCharType="separate"/>
        </w:r>
        <w:r w:rsidR="00E82224">
          <w:rPr>
            <w:noProof/>
            <w:webHidden/>
          </w:rPr>
          <w:t>23</w:t>
        </w:r>
        <w:r w:rsidR="00E82224">
          <w:rPr>
            <w:noProof/>
            <w:webHidden/>
          </w:rPr>
          <w:fldChar w:fldCharType="end"/>
        </w:r>
      </w:hyperlink>
    </w:p>
    <w:p w:rsidR="00E82224" w:rsidRDefault="00B91233">
      <w:pPr>
        <w:pStyle w:val="TOC4"/>
        <w:rPr>
          <w:rFonts w:eastAsiaTheme="minorEastAsia"/>
          <w:noProof/>
          <w:sz w:val="22"/>
          <w:lang w:eastAsia="en-AU"/>
        </w:rPr>
      </w:pPr>
      <w:hyperlink w:anchor="_Toc1115146" w:history="1">
        <w:r w:rsidR="00E82224" w:rsidRPr="00B810EB">
          <w:rPr>
            <w:rStyle w:val="Hyperlink"/>
            <w:noProof/>
          </w:rPr>
          <w:t>Commonwealth payments</w:t>
        </w:r>
        <w:r w:rsidR="00E82224">
          <w:rPr>
            <w:noProof/>
            <w:webHidden/>
          </w:rPr>
          <w:tab/>
        </w:r>
        <w:r w:rsidR="00E82224">
          <w:rPr>
            <w:noProof/>
            <w:webHidden/>
          </w:rPr>
          <w:fldChar w:fldCharType="begin"/>
        </w:r>
        <w:r w:rsidR="00E82224">
          <w:rPr>
            <w:noProof/>
            <w:webHidden/>
          </w:rPr>
          <w:instrText xml:space="preserve"> PAGEREF _Toc1115146 \h </w:instrText>
        </w:r>
        <w:r w:rsidR="00E82224">
          <w:rPr>
            <w:noProof/>
            <w:webHidden/>
          </w:rPr>
        </w:r>
        <w:r w:rsidR="00E82224">
          <w:rPr>
            <w:noProof/>
            <w:webHidden/>
          </w:rPr>
          <w:fldChar w:fldCharType="separate"/>
        </w:r>
        <w:r w:rsidR="00E82224">
          <w:rPr>
            <w:noProof/>
            <w:webHidden/>
          </w:rPr>
          <w:t>27</w:t>
        </w:r>
        <w:r w:rsidR="00E82224">
          <w:rPr>
            <w:noProof/>
            <w:webHidden/>
          </w:rPr>
          <w:fldChar w:fldCharType="end"/>
        </w:r>
      </w:hyperlink>
    </w:p>
    <w:p w:rsidR="00E82224" w:rsidRDefault="00B91233">
      <w:pPr>
        <w:pStyle w:val="TOC4"/>
        <w:rPr>
          <w:rFonts w:eastAsiaTheme="minorEastAsia"/>
          <w:noProof/>
          <w:sz w:val="22"/>
          <w:lang w:eastAsia="en-AU"/>
        </w:rPr>
      </w:pPr>
      <w:hyperlink w:anchor="_Toc1115147" w:history="1">
        <w:r w:rsidR="00E82224" w:rsidRPr="00B810EB">
          <w:rPr>
            <w:rStyle w:val="Hyperlink"/>
            <w:noProof/>
          </w:rPr>
          <w:t>Expenditure</w:t>
        </w:r>
        <w:r w:rsidR="00E82224">
          <w:rPr>
            <w:noProof/>
            <w:webHidden/>
          </w:rPr>
          <w:tab/>
        </w:r>
        <w:r w:rsidR="00E82224">
          <w:rPr>
            <w:noProof/>
            <w:webHidden/>
          </w:rPr>
          <w:fldChar w:fldCharType="begin"/>
        </w:r>
        <w:r w:rsidR="00E82224">
          <w:rPr>
            <w:noProof/>
            <w:webHidden/>
          </w:rPr>
          <w:instrText xml:space="preserve"> PAGEREF _Toc1115147 \h </w:instrText>
        </w:r>
        <w:r w:rsidR="00E82224">
          <w:rPr>
            <w:noProof/>
            <w:webHidden/>
          </w:rPr>
        </w:r>
        <w:r w:rsidR="00E82224">
          <w:rPr>
            <w:noProof/>
            <w:webHidden/>
          </w:rPr>
          <w:fldChar w:fldCharType="separate"/>
        </w:r>
        <w:r w:rsidR="00E82224">
          <w:rPr>
            <w:noProof/>
            <w:webHidden/>
          </w:rPr>
          <w:t>28</w:t>
        </w:r>
        <w:r w:rsidR="00E82224">
          <w:rPr>
            <w:noProof/>
            <w:webHidden/>
          </w:rPr>
          <w:fldChar w:fldCharType="end"/>
        </w:r>
      </w:hyperlink>
    </w:p>
    <w:p w:rsidR="00E82224" w:rsidRPr="009328A0" w:rsidRDefault="00B91233">
      <w:pPr>
        <w:pStyle w:val="TOC3"/>
        <w:rPr>
          <w:rFonts w:eastAsiaTheme="minorEastAsia"/>
          <w:b/>
          <w:iCs w:val="0"/>
          <w:noProof/>
          <w:sz w:val="22"/>
          <w:lang w:eastAsia="en-AU"/>
        </w:rPr>
      </w:pPr>
      <w:hyperlink w:anchor="_Toc1115148" w:history="1">
        <w:r w:rsidR="00E82224" w:rsidRPr="009328A0">
          <w:rPr>
            <w:rStyle w:val="Hyperlink"/>
            <w:b/>
            <w:noProof/>
          </w:rPr>
          <w:t>Why State fiscal capacities differ</w:t>
        </w:r>
        <w:r w:rsidR="00E82224" w:rsidRPr="009328A0">
          <w:rPr>
            <w:b/>
            <w:noProof/>
            <w:webHidden/>
          </w:rPr>
          <w:tab/>
        </w:r>
        <w:r w:rsidR="00E82224" w:rsidRPr="009328A0">
          <w:rPr>
            <w:b/>
            <w:noProof/>
            <w:webHidden/>
          </w:rPr>
          <w:fldChar w:fldCharType="begin"/>
        </w:r>
        <w:r w:rsidR="00E82224" w:rsidRPr="009328A0">
          <w:rPr>
            <w:b/>
            <w:noProof/>
            <w:webHidden/>
          </w:rPr>
          <w:instrText xml:space="preserve"> PAGEREF _Toc1115148 \h </w:instrText>
        </w:r>
        <w:r w:rsidR="00E82224" w:rsidRPr="009328A0">
          <w:rPr>
            <w:b/>
            <w:noProof/>
            <w:webHidden/>
          </w:rPr>
        </w:r>
        <w:r w:rsidR="00E82224" w:rsidRPr="009328A0">
          <w:rPr>
            <w:b/>
            <w:noProof/>
            <w:webHidden/>
          </w:rPr>
          <w:fldChar w:fldCharType="separate"/>
        </w:r>
        <w:r w:rsidR="00E82224" w:rsidRPr="009328A0">
          <w:rPr>
            <w:b/>
            <w:noProof/>
            <w:webHidden/>
          </w:rPr>
          <w:t>29</w:t>
        </w:r>
        <w:r w:rsidR="00E82224" w:rsidRPr="009328A0">
          <w:rPr>
            <w:b/>
            <w:noProof/>
            <w:webHidden/>
          </w:rPr>
          <w:fldChar w:fldCharType="end"/>
        </w:r>
      </w:hyperlink>
    </w:p>
    <w:p w:rsidR="00E82224" w:rsidRPr="009328A0" w:rsidRDefault="00B91233">
      <w:pPr>
        <w:pStyle w:val="TOC3"/>
        <w:rPr>
          <w:rFonts w:eastAsiaTheme="minorEastAsia"/>
          <w:b/>
          <w:iCs w:val="0"/>
          <w:noProof/>
          <w:sz w:val="22"/>
          <w:lang w:eastAsia="en-AU"/>
        </w:rPr>
      </w:pPr>
      <w:hyperlink w:anchor="_Toc1115149" w:history="1">
        <w:r w:rsidR="00E82224" w:rsidRPr="009328A0">
          <w:rPr>
            <w:rStyle w:val="Hyperlink"/>
            <w:b/>
            <w:noProof/>
          </w:rPr>
          <w:t>Size of the equalisation task</w:t>
        </w:r>
        <w:r w:rsidR="00E82224" w:rsidRPr="009328A0">
          <w:rPr>
            <w:b/>
            <w:noProof/>
            <w:webHidden/>
          </w:rPr>
          <w:tab/>
        </w:r>
        <w:r w:rsidR="00E82224" w:rsidRPr="009328A0">
          <w:rPr>
            <w:b/>
            <w:noProof/>
            <w:webHidden/>
          </w:rPr>
          <w:fldChar w:fldCharType="begin"/>
        </w:r>
        <w:r w:rsidR="00E82224" w:rsidRPr="009328A0">
          <w:rPr>
            <w:b/>
            <w:noProof/>
            <w:webHidden/>
          </w:rPr>
          <w:instrText xml:space="preserve"> PAGEREF _Toc1115149 \h </w:instrText>
        </w:r>
        <w:r w:rsidR="00E82224" w:rsidRPr="009328A0">
          <w:rPr>
            <w:b/>
            <w:noProof/>
            <w:webHidden/>
          </w:rPr>
        </w:r>
        <w:r w:rsidR="00E82224" w:rsidRPr="009328A0">
          <w:rPr>
            <w:b/>
            <w:noProof/>
            <w:webHidden/>
          </w:rPr>
          <w:fldChar w:fldCharType="separate"/>
        </w:r>
        <w:r w:rsidR="00E82224" w:rsidRPr="009328A0">
          <w:rPr>
            <w:b/>
            <w:noProof/>
            <w:webHidden/>
          </w:rPr>
          <w:t>32</w:t>
        </w:r>
        <w:r w:rsidR="00E82224" w:rsidRPr="009328A0">
          <w:rPr>
            <w:b/>
            <w:noProof/>
            <w:webHidden/>
          </w:rPr>
          <w:fldChar w:fldCharType="end"/>
        </w:r>
      </w:hyperlink>
    </w:p>
    <w:p w:rsidR="00E82224" w:rsidRDefault="00B91233">
      <w:pPr>
        <w:pStyle w:val="TOC1"/>
        <w:rPr>
          <w:rFonts w:eastAsiaTheme="minorEastAsia"/>
          <w:b w:val="0"/>
          <w:bCs w:val="0"/>
          <w:caps w:val="0"/>
          <w:noProof/>
          <w:sz w:val="22"/>
          <w:szCs w:val="22"/>
          <w:lang w:eastAsia="en-AU"/>
        </w:rPr>
      </w:pPr>
      <w:hyperlink w:anchor="_Toc1115150" w:history="1">
        <w:r w:rsidR="00E82224" w:rsidRPr="00B810EB">
          <w:rPr>
            <w:rStyle w:val="Hyperlink"/>
            <w:noProof/>
          </w:rPr>
          <w:t>CHAPTER 2</w:t>
        </w:r>
        <w:r w:rsidR="00E82224">
          <w:rPr>
            <w:rStyle w:val="Hyperlink"/>
            <w:noProof/>
          </w:rPr>
          <w:t xml:space="preserve"> – New issues in this update</w:t>
        </w:r>
        <w:r w:rsidR="00E82224">
          <w:rPr>
            <w:noProof/>
            <w:webHidden/>
          </w:rPr>
          <w:tab/>
        </w:r>
        <w:r w:rsidR="00E82224">
          <w:rPr>
            <w:noProof/>
            <w:webHidden/>
          </w:rPr>
          <w:fldChar w:fldCharType="begin"/>
        </w:r>
        <w:r w:rsidR="00E82224">
          <w:rPr>
            <w:noProof/>
            <w:webHidden/>
          </w:rPr>
          <w:instrText xml:space="preserve"> PAGEREF _Toc1115150 \h </w:instrText>
        </w:r>
        <w:r w:rsidR="00E82224">
          <w:rPr>
            <w:noProof/>
            <w:webHidden/>
          </w:rPr>
        </w:r>
        <w:r w:rsidR="00E82224">
          <w:rPr>
            <w:noProof/>
            <w:webHidden/>
          </w:rPr>
          <w:fldChar w:fldCharType="separate"/>
        </w:r>
        <w:r w:rsidR="00E82224">
          <w:rPr>
            <w:noProof/>
            <w:webHidden/>
          </w:rPr>
          <w:t>36</w:t>
        </w:r>
        <w:r w:rsidR="00E82224">
          <w:rPr>
            <w:noProof/>
            <w:webHidden/>
          </w:rPr>
          <w:fldChar w:fldCharType="end"/>
        </w:r>
      </w:hyperlink>
    </w:p>
    <w:p w:rsidR="00E82224" w:rsidRPr="009328A0" w:rsidRDefault="00B91233">
      <w:pPr>
        <w:pStyle w:val="TOC3"/>
        <w:rPr>
          <w:rFonts w:eastAsiaTheme="minorEastAsia"/>
          <w:b/>
          <w:iCs w:val="0"/>
          <w:noProof/>
          <w:sz w:val="22"/>
          <w:lang w:eastAsia="en-AU"/>
        </w:rPr>
      </w:pPr>
      <w:hyperlink w:anchor="_Toc1115152" w:history="1">
        <w:r w:rsidR="00E82224" w:rsidRPr="009328A0">
          <w:rPr>
            <w:rStyle w:val="Hyperlink"/>
            <w:b/>
            <w:noProof/>
          </w:rPr>
          <w:t>Data issues</w:t>
        </w:r>
        <w:r w:rsidR="00E82224" w:rsidRPr="009328A0">
          <w:rPr>
            <w:b/>
            <w:noProof/>
            <w:webHidden/>
          </w:rPr>
          <w:tab/>
        </w:r>
        <w:r w:rsidR="00E82224" w:rsidRPr="009328A0">
          <w:rPr>
            <w:b/>
            <w:noProof/>
            <w:webHidden/>
          </w:rPr>
          <w:fldChar w:fldCharType="begin"/>
        </w:r>
        <w:r w:rsidR="00E82224" w:rsidRPr="009328A0">
          <w:rPr>
            <w:b/>
            <w:noProof/>
            <w:webHidden/>
          </w:rPr>
          <w:instrText xml:space="preserve"> PAGEREF _Toc1115152 \h </w:instrText>
        </w:r>
        <w:r w:rsidR="00E82224" w:rsidRPr="009328A0">
          <w:rPr>
            <w:b/>
            <w:noProof/>
            <w:webHidden/>
          </w:rPr>
        </w:r>
        <w:r w:rsidR="00E82224" w:rsidRPr="009328A0">
          <w:rPr>
            <w:b/>
            <w:noProof/>
            <w:webHidden/>
          </w:rPr>
          <w:fldChar w:fldCharType="separate"/>
        </w:r>
        <w:r w:rsidR="00E82224" w:rsidRPr="009328A0">
          <w:rPr>
            <w:b/>
            <w:noProof/>
            <w:webHidden/>
          </w:rPr>
          <w:t>36</w:t>
        </w:r>
        <w:r w:rsidR="00E82224" w:rsidRPr="009328A0">
          <w:rPr>
            <w:b/>
            <w:noProof/>
            <w:webHidden/>
          </w:rPr>
          <w:fldChar w:fldCharType="end"/>
        </w:r>
      </w:hyperlink>
    </w:p>
    <w:p w:rsidR="00E82224" w:rsidRDefault="00B91233">
      <w:pPr>
        <w:pStyle w:val="TOC4"/>
        <w:rPr>
          <w:rFonts w:eastAsiaTheme="minorEastAsia"/>
          <w:noProof/>
          <w:sz w:val="22"/>
          <w:lang w:eastAsia="en-AU"/>
        </w:rPr>
      </w:pPr>
      <w:hyperlink w:anchor="_Toc1115153" w:history="1">
        <w:r w:rsidR="00E82224" w:rsidRPr="00B810EB">
          <w:rPr>
            <w:rStyle w:val="Hyperlink"/>
            <w:noProof/>
          </w:rPr>
          <w:t>Incorporating 2016 Census data</w:t>
        </w:r>
        <w:r w:rsidR="00E82224">
          <w:rPr>
            <w:noProof/>
            <w:webHidden/>
          </w:rPr>
          <w:tab/>
        </w:r>
        <w:r w:rsidR="00E82224">
          <w:rPr>
            <w:noProof/>
            <w:webHidden/>
          </w:rPr>
          <w:fldChar w:fldCharType="begin"/>
        </w:r>
        <w:r w:rsidR="00E82224">
          <w:rPr>
            <w:noProof/>
            <w:webHidden/>
          </w:rPr>
          <w:instrText xml:space="preserve"> PAGEREF _Toc1115153 \h </w:instrText>
        </w:r>
        <w:r w:rsidR="00E82224">
          <w:rPr>
            <w:noProof/>
            <w:webHidden/>
          </w:rPr>
        </w:r>
        <w:r w:rsidR="00E82224">
          <w:rPr>
            <w:noProof/>
            <w:webHidden/>
          </w:rPr>
          <w:fldChar w:fldCharType="separate"/>
        </w:r>
        <w:r w:rsidR="00E82224">
          <w:rPr>
            <w:noProof/>
            <w:webHidden/>
          </w:rPr>
          <w:t>36</w:t>
        </w:r>
        <w:r w:rsidR="00E82224">
          <w:rPr>
            <w:noProof/>
            <w:webHidden/>
          </w:rPr>
          <w:fldChar w:fldCharType="end"/>
        </w:r>
      </w:hyperlink>
    </w:p>
    <w:p w:rsidR="00E82224" w:rsidRDefault="00B91233">
      <w:pPr>
        <w:pStyle w:val="TOC4"/>
        <w:rPr>
          <w:rFonts w:eastAsiaTheme="minorEastAsia"/>
          <w:noProof/>
          <w:sz w:val="22"/>
          <w:lang w:eastAsia="en-AU"/>
        </w:rPr>
      </w:pPr>
      <w:hyperlink w:anchor="_Toc1115154" w:history="1">
        <w:r w:rsidR="00E82224" w:rsidRPr="00B810EB">
          <w:rPr>
            <w:rStyle w:val="Hyperlink"/>
            <w:noProof/>
          </w:rPr>
          <w:t>Health data</w:t>
        </w:r>
        <w:r w:rsidR="00E82224">
          <w:rPr>
            <w:noProof/>
            <w:webHidden/>
          </w:rPr>
          <w:tab/>
        </w:r>
        <w:r w:rsidR="00E82224">
          <w:rPr>
            <w:noProof/>
            <w:webHidden/>
          </w:rPr>
          <w:fldChar w:fldCharType="begin"/>
        </w:r>
        <w:r w:rsidR="00E82224">
          <w:rPr>
            <w:noProof/>
            <w:webHidden/>
          </w:rPr>
          <w:instrText xml:space="preserve"> PAGEREF _Toc1115154 \h </w:instrText>
        </w:r>
        <w:r w:rsidR="00E82224">
          <w:rPr>
            <w:noProof/>
            <w:webHidden/>
          </w:rPr>
        </w:r>
        <w:r w:rsidR="00E82224">
          <w:rPr>
            <w:noProof/>
            <w:webHidden/>
          </w:rPr>
          <w:fldChar w:fldCharType="separate"/>
        </w:r>
        <w:r w:rsidR="00E82224">
          <w:rPr>
            <w:noProof/>
            <w:webHidden/>
          </w:rPr>
          <w:t>37</w:t>
        </w:r>
        <w:r w:rsidR="00E82224">
          <w:rPr>
            <w:noProof/>
            <w:webHidden/>
          </w:rPr>
          <w:fldChar w:fldCharType="end"/>
        </w:r>
      </w:hyperlink>
    </w:p>
    <w:p w:rsidR="00E82224" w:rsidRPr="009328A0" w:rsidRDefault="00B91233">
      <w:pPr>
        <w:pStyle w:val="TOC3"/>
        <w:rPr>
          <w:rFonts w:eastAsiaTheme="minorEastAsia"/>
          <w:b/>
          <w:iCs w:val="0"/>
          <w:noProof/>
          <w:sz w:val="22"/>
          <w:lang w:eastAsia="en-AU"/>
        </w:rPr>
      </w:pPr>
      <w:hyperlink w:anchor="_Toc1115155" w:history="1">
        <w:r w:rsidR="00E82224" w:rsidRPr="009328A0">
          <w:rPr>
            <w:rStyle w:val="Hyperlink"/>
            <w:b/>
            <w:noProof/>
          </w:rPr>
          <w:t>Assessment issues</w:t>
        </w:r>
        <w:r w:rsidR="00E82224" w:rsidRPr="009328A0">
          <w:rPr>
            <w:b/>
            <w:noProof/>
            <w:webHidden/>
          </w:rPr>
          <w:tab/>
        </w:r>
        <w:r w:rsidR="00E82224" w:rsidRPr="009328A0">
          <w:rPr>
            <w:b/>
            <w:noProof/>
            <w:webHidden/>
          </w:rPr>
          <w:fldChar w:fldCharType="begin"/>
        </w:r>
        <w:r w:rsidR="00E82224" w:rsidRPr="009328A0">
          <w:rPr>
            <w:b/>
            <w:noProof/>
            <w:webHidden/>
          </w:rPr>
          <w:instrText xml:space="preserve"> PAGEREF _Toc1115155 \h </w:instrText>
        </w:r>
        <w:r w:rsidR="00E82224" w:rsidRPr="009328A0">
          <w:rPr>
            <w:b/>
            <w:noProof/>
            <w:webHidden/>
          </w:rPr>
        </w:r>
        <w:r w:rsidR="00E82224" w:rsidRPr="009328A0">
          <w:rPr>
            <w:b/>
            <w:noProof/>
            <w:webHidden/>
          </w:rPr>
          <w:fldChar w:fldCharType="separate"/>
        </w:r>
        <w:r w:rsidR="00E82224" w:rsidRPr="009328A0">
          <w:rPr>
            <w:b/>
            <w:noProof/>
            <w:webHidden/>
          </w:rPr>
          <w:t>37</w:t>
        </w:r>
        <w:r w:rsidR="00E82224" w:rsidRPr="009328A0">
          <w:rPr>
            <w:b/>
            <w:noProof/>
            <w:webHidden/>
          </w:rPr>
          <w:fldChar w:fldCharType="end"/>
        </w:r>
      </w:hyperlink>
    </w:p>
    <w:p w:rsidR="00E82224" w:rsidRDefault="00B91233">
      <w:pPr>
        <w:pStyle w:val="TOC4"/>
        <w:rPr>
          <w:rFonts w:eastAsiaTheme="minorEastAsia"/>
          <w:noProof/>
          <w:sz w:val="22"/>
          <w:lang w:eastAsia="en-AU"/>
        </w:rPr>
      </w:pPr>
      <w:hyperlink w:anchor="_Toc1115156" w:history="1">
        <w:r w:rsidR="00E82224" w:rsidRPr="00B810EB">
          <w:rPr>
            <w:rStyle w:val="Hyperlink"/>
            <w:noProof/>
          </w:rPr>
          <w:t>Mining revenue assessment</w:t>
        </w:r>
        <w:r w:rsidR="00E82224">
          <w:rPr>
            <w:noProof/>
            <w:webHidden/>
          </w:rPr>
          <w:tab/>
        </w:r>
        <w:r w:rsidR="00E82224">
          <w:rPr>
            <w:noProof/>
            <w:webHidden/>
          </w:rPr>
          <w:fldChar w:fldCharType="begin"/>
        </w:r>
        <w:r w:rsidR="00E82224">
          <w:rPr>
            <w:noProof/>
            <w:webHidden/>
          </w:rPr>
          <w:instrText xml:space="preserve"> PAGEREF _Toc1115156 \h </w:instrText>
        </w:r>
        <w:r w:rsidR="00E82224">
          <w:rPr>
            <w:noProof/>
            <w:webHidden/>
          </w:rPr>
        </w:r>
        <w:r w:rsidR="00E82224">
          <w:rPr>
            <w:noProof/>
            <w:webHidden/>
          </w:rPr>
          <w:fldChar w:fldCharType="separate"/>
        </w:r>
        <w:r w:rsidR="00E82224">
          <w:rPr>
            <w:noProof/>
            <w:webHidden/>
          </w:rPr>
          <w:t>37</w:t>
        </w:r>
        <w:r w:rsidR="00E82224">
          <w:rPr>
            <w:noProof/>
            <w:webHidden/>
          </w:rPr>
          <w:fldChar w:fldCharType="end"/>
        </w:r>
      </w:hyperlink>
    </w:p>
    <w:p w:rsidR="00E82224" w:rsidRDefault="00B91233">
      <w:pPr>
        <w:pStyle w:val="TOC4"/>
        <w:rPr>
          <w:rFonts w:eastAsiaTheme="minorEastAsia"/>
          <w:noProof/>
          <w:sz w:val="22"/>
          <w:lang w:eastAsia="en-AU"/>
        </w:rPr>
      </w:pPr>
      <w:hyperlink w:anchor="_Toc1115157" w:history="1">
        <w:r w:rsidR="00E82224" w:rsidRPr="00B810EB">
          <w:rPr>
            <w:rStyle w:val="Hyperlink"/>
            <w:noProof/>
          </w:rPr>
          <w:t>Natural disaster relief expenses</w:t>
        </w:r>
        <w:r w:rsidR="00E82224">
          <w:rPr>
            <w:noProof/>
            <w:webHidden/>
          </w:rPr>
          <w:tab/>
        </w:r>
        <w:r w:rsidR="00E82224">
          <w:rPr>
            <w:noProof/>
            <w:webHidden/>
          </w:rPr>
          <w:fldChar w:fldCharType="begin"/>
        </w:r>
        <w:r w:rsidR="00E82224">
          <w:rPr>
            <w:noProof/>
            <w:webHidden/>
          </w:rPr>
          <w:instrText xml:space="preserve"> PAGEREF _Toc1115157 \h </w:instrText>
        </w:r>
        <w:r w:rsidR="00E82224">
          <w:rPr>
            <w:noProof/>
            <w:webHidden/>
          </w:rPr>
        </w:r>
        <w:r w:rsidR="00E82224">
          <w:rPr>
            <w:noProof/>
            <w:webHidden/>
          </w:rPr>
          <w:fldChar w:fldCharType="separate"/>
        </w:r>
        <w:r w:rsidR="00E82224">
          <w:rPr>
            <w:noProof/>
            <w:webHidden/>
          </w:rPr>
          <w:t>40</w:t>
        </w:r>
        <w:r w:rsidR="00E82224">
          <w:rPr>
            <w:noProof/>
            <w:webHidden/>
          </w:rPr>
          <w:fldChar w:fldCharType="end"/>
        </w:r>
      </w:hyperlink>
    </w:p>
    <w:p w:rsidR="00E82224" w:rsidRDefault="00B91233">
      <w:pPr>
        <w:pStyle w:val="TOC4"/>
        <w:rPr>
          <w:rFonts w:eastAsiaTheme="minorEastAsia"/>
          <w:noProof/>
          <w:sz w:val="22"/>
          <w:lang w:eastAsia="en-AU"/>
        </w:rPr>
      </w:pPr>
      <w:hyperlink w:anchor="_Toc1115158" w:history="1">
        <w:r w:rsidR="00E82224" w:rsidRPr="00B810EB">
          <w:rPr>
            <w:rStyle w:val="Hyperlink"/>
            <w:noProof/>
          </w:rPr>
          <w:t>Treatment of National Disability Insurance Scheme (NDIS)</w:t>
        </w:r>
        <w:r w:rsidR="00E82224">
          <w:rPr>
            <w:noProof/>
            <w:webHidden/>
          </w:rPr>
          <w:tab/>
        </w:r>
        <w:r w:rsidR="00E82224">
          <w:rPr>
            <w:noProof/>
            <w:webHidden/>
          </w:rPr>
          <w:fldChar w:fldCharType="begin"/>
        </w:r>
        <w:r w:rsidR="00E82224">
          <w:rPr>
            <w:noProof/>
            <w:webHidden/>
          </w:rPr>
          <w:instrText xml:space="preserve"> PAGEREF _Toc1115158 \h </w:instrText>
        </w:r>
        <w:r w:rsidR="00E82224">
          <w:rPr>
            <w:noProof/>
            <w:webHidden/>
          </w:rPr>
        </w:r>
        <w:r w:rsidR="00E82224">
          <w:rPr>
            <w:noProof/>
            <w:webHidden/>
          </w:rPr>
          <w:fldChar w:fldCharType="separate"/>
        </w:r>
        <w:r w:rsidR="00E82224">
          <w:rPr>
            <w:noProof/>
            <w:webHidden/>
          </w:rPr>
          <w:t>41</w:t>
        </w:r>
        <w:r w:rsidR="00E82224">
          <w:rPr>
            <w:noProof/>
            <w:webHidden/>
          </w:rPr>
          <w:fldChar w:fldCharType="end"/>
        </w:r>
      </w:hyperlink>
    </w:p>
    <w:p w:rsidR="00E82224" w:rsidRDefault="00B91233">
      <w:pPr>
        <w:pStyle w:val="TOC4"/>
        <w:rPr>
          <w:rFonts w:eastAsiaTheme="minorEastAsia"/>
          <w:noProof/>
          <w:sz w:val="22"/>
          <w:lang w:eastAsia="en-AU"/>
        </w:rPr>
      </w:pPr>
      <w:hyperlink w:anchor="_Toc1115159" w:history="1">
        <w:r w:rsidR="00E82224" w:rsidRPr="00B810EB">
          <w:rPr>
            <w:rStyle w:val="Hyperlink"/>
            <w:noProof/>
          </w:rPr>
          <w:t>Treatment of Snowy Hydro Limited transfer</w:t>
        </w:r>
        <w:r w:rsidR="00E82224">
          <w:rPr>
            <w:noProof/>
            <w:webHidden/>
          </w:rPr>
          <w:tab/>
        </w:r>
        <w:r w:rsidR="00E82224">
          <w:rPr>
            <w:noProof/>
            <w:webHidden/>
          </w:rPr>
          <w:fldChar w:fldCharType="begin"/>
        </w:r>
        <w:r w:rsidR="00E82224">
          <w:rPr>
            <w:noProof/>
            <w:webHidden/>
          </w:rPr>
          <w:instrText xml:space="preserve"> PAGEREF _Toc1115159 \h </w:instrText>
        </w:r>
        <w:r w:rsidR="00E82224">
          <w:rPr>
            <w:noProof/>
            <w:webHidden/>
          </w:rPr>
        </w:r>
        <w:r w:rsidR="00E82224">
          <w:rPr>
            <w:noProof/>
            <w:webHidden/>
          </w:rPr>
          <w:fldChar w:fldCharType="separate"/>
        </w:r>
        <w:r w:rsidR="00E82224">
          <w:rPr>
            <w:noProof/>
            <w:webHidden/>
          </w:rPr>
          <w:t>44</w:t>
        </w:r>
        <w:r w:rsidR="00E82224">
          <w:rPr>
            <w:noProof/>
            <w:webHidden/>
          </w:rPr>
          <w:fldChar w:fldCharType="end"/>
        </w:r>
      </w:hyperlink>
    </w:p>
    <w:p w:rsidR="00E82224" w:rsidRDefault="00B91233">
      <w:pPr>
        <w:pStyle w:val="TOC4"/>
        <w:rPr>
          <w:rFonts w:eastAsiaTheme="minorEastAsia"/>
          <w:noProof/>
          <w:sz w:val="22"/>
          <w:lang w:eastAsia="en-AU"/>
        </w:rPr>
      </w:pPr>
      <w:hyperlink w:anchor="_Toc1115160" w:history="1">
        <w:r w:rsidR="00E82224" w:rsidRPr="00B810EB">
          <w:rPr>
            <w:rStyle w:val="Hyperlink"/>
            <w:noProof/>
          </w:rPr>
          <w:t>Rural road length</w:t>
        </w:r>
        <w:r w:rsidR="00E82224">
          <w:rPr>
            <w:noProof/>
            <w:webHidden/>
          </w:rPr>
          <w:tab/>
        </w:r>
        <w:r w:rsidR="00E82224">
          <w:rPr>
            <w:noProof/>
            <w:webHidden/>
          </w:rPr>
          <w:fldChar w:fldCharType="begin"/>
        </w:r>
        <w:r w:rsidR="00E82224">
          <w:rPr>
            <w:noProof/>
            <w:webHidden/>
          </w:rPr>
          <w:instrText xml:space="preserve"> PAGEREF _Toc1115160 \h </w:instrText>
        </w:r>
        <w:r w:rsidR="00E82224">
          <w:rPr>
            <w:noProof/>
            <w:webHidden/>
          </w:rPr>
        </w:r>
        <w:r w:rsidR="00E82224">
          <w:rPr>
            <w:noProof/>
            <w:webHidden/>
          </w:rPr>
          <w:fldChar w:fldCharType="separate"/>
        </w:r>
        <w:r w:rsidR="00E82224">
          <w:rPr>
            <w:noProof/>
            <w:webHidden/>
          </w:rPr>
          <w:t>44</w:t>
        </w:r>
        <w:r w:rsidR="00E82224">
          <w:rPr>
            <w:noProof/>
            <w:webHidden/>
          </w:rPr>
          <w:fldChar w:fldCharType="end"/>
        </w:r>
      </w:hyperlink>
    </w:p>
    <w:p w:rsidR="00E82224" w:rsidRDefault="00B91233">
      <w:pPr>
        <w:pStyle w:val="TOC4"/>
        <w:rPr>
          <w:rFonts w:eastAsiaTheme="minorEastAsia"/>
          <w:noProof/>
          <w:sz w:val="22"/>
          <w:lang w:eastAsia="en-AU"/>
        </w:rPr>
      </w:pPr>
      <w:hyperlink w:anchor="_Toc1115161" w:history="1">
        <w:r w:rsidR="00E82224" w:rsidRPr="00B810EB">
          <w:rPr>
            <w:rStyle w:val="Hyperlink"/>
            <w:noProof/>
          </w:rPr>
          <w:t>National redress scheme</w:t>
        </w:r>
        <w:r w:rsidR="00E82224">
          <w:rPr>
            <w:noProof/>
            <w:webHidden/>
          </w:rPr>
          <w:tab/>
        </w:r>
        <w:r w:rsidR="00E82224">
          <w:rPr>
            <w:noProof/>
            <w:webHidden/>
          </w:rPr>
          <w:fldChar w:fldCharType="begin"/>
        </w:r>
        <w:r w:rsidR="00E82224">
          <w:rPr>
            <w:noProof/>
            <w:webHidden/>
          </w:rPr>
          <w:instrText xml:space="preserve"> PAGEREF _Toc1115161 \h </w:instrText>
        </w:r>
        <w:r w:rsidR="00E82224">
          <w:rPr>
            <w:noProof/>
            <w:webHidden/>
          </w:rPr>
        </w:r>
        <w:r w:rsidR="00E82224">
          <w:rPr>
            <w:noProof/>
            <w:webHidden/>
          </w:rPr>
          <w:fldChar w:fldCharType="separate"/>
        </w:r>
        <w:r w:rsidR="00E82224">
          <w:rPr>
            <w:noProof/>
            <w:webHidden/>
          </w:rPr>
          <w:t>45</w:t>
        </w:r>
        <w:r w:rsidR="00E82224">
          <w:rPr>
            <w:noProof/>
            <w:webHidden/>
          </w:rPr>
          <w:fldChar w:fldCharType="end"/>
        </w:r>
      </w:hyperlink>
    </w:p>
    <w:p w:rsidR="00E82224" w:rsidRPr="009328A0" w:rsidRDefault="00B91233">
      <w:pPr>
        <w:pStyle w:val="TOC3"/>
        <w:rPr>
          <w:rFonts w:eastAsiaTheme="minorEastAsia"/>
          <w:b/>
          <w:iCs w:val="0"/>
          <w:noProof/>
          <w:sz w:val="22"/>
          <w:lang w:eastAsia="en-AU"/>
        </w:rPr>
      </w:pPr>
      <w:hyperlink w:anchor="_Toc1115162" w:history="1">
        <w:r w:rsidR="00E82224" w:rsidRPr="009328A0">
          <w:rPr>
            <w:rStyle w:val="Hyperlink"/>
            <w:b/>
            <w:noProof/>
          </w:rPr>
          <w:t>Treatment of Commonwealth payments</w:t>
        </w:r>
        <w:r w:rsidR="00E82224" w:rsidRPr="009328A0">
          <w:rPr>
            <w:b/>
            <w:noProof/>
            <w:webHidden/>
          </w:rPr>
          <w:tab/>
        </w:r>
        <w:r w:rsidR="00E82224" w:rsidRPr="009328A0">
          <w:rPr>
            <w:b/>
            <w:noProof/>
            <w:webHidden/>
          </w:rPr>
          <w:fldChar w:fldCharType="begin"/>
        </w:r>
        <w:r w:rsidR="00E82224" w:rsidRPr="009328A0">
          <w:rPr>
            <w:b/>
            <w:noProof/>
            <w:webHidden/>
          </w:rPr>
          <w:instrText xml:space="preserve"> PAGEREF _Toc1115162 \h </w:instrText>
        </w:r>
        <w:r w:rsidR="00E82224" w:rsidRPr="009328A0">
          <w:rPr>
            <w:b/>
            <w:noProof/>
            <w:webHidden/>
          </w:rPr>
        </w:r>
        <w:r w:rsidR="00E82224" w:rsidRPr="009328A0">
          <w:rPr>
            <w:b/>
            <w:noProof/>
            <w:webHidden/>
          </w:rPr>
          <w:fldChar w:fldCharType="separate"/>
        </w:r>
        <w:r w:rsidR="00E82224" w:rsidRPr="009328A0">
          <w:rPr>
            <w:b/>
            <w:noProof/>
            <w:webHidden/>
          </w:rPr>
          <w:t>45</w:t>
        </w:r>
        <w:r w:rsidR="00E82224" w:rsidRPr="009328A0">
          <w:rPr>
            <w:b/>
            <w:noProof/>
            <w:webHidden/>
          </w:rPr>
          <w:fldChar w:fldCharType="end"/>
        </w:r>
      </w:hyperlink>
    </w:p>
    <w:p w:rsidR="00E82224" w:rsidRDefault="00B91233">
      <w:pPr>
        <w:pStyle w:val="TOC4"/>
        <w:rPr>
          <w:rFonts w:eastAsiaTheme="minorEastAsia"/>
          <w:noProof/>
          <w:sz w:val="22"/>
          <w:lang w:eastAsia="en-AU"/>
        </w:rPr>
      </w:pPr>
      <w:hyperlink w:anchor="_Toc1115163" w:history="1">
        <w:r w:rsidR="00E82224" w:rsidRPr="00B810EB">
          <w:rPr>
            <w:rStyle w:val="Hyperlink"/>
            <w:noProof/>
          </w:rPr>
          <w:t>Terms of reference (ToR) requirements</w:t>
        </w:r>
        <w:r w:rsidR="00E82224">
          <w:rPr>
            <w:noProof/>
            <w:webHidden/>
          </w:rPr>
          <w:tab/>
        </w:r>
        <w:r w:rsidR="00E82224">
          <w:rPr>
            <w:noProof/>
            <w:webHidden/>
          </w:rPr>
          <w:fldChar w:fldCharType="begin"/>
        </w:r>
        <w:r w:rsidR="00E82224">
          <w:rPr>
            <w:noProof/>
            <w:webHidden/>
          </w:rPr>
          <w:instrText xml:space="preserve"> PAGEREF _Toc1115163 \h </w:instrText>
        </w:r>
        <w:r w:rsidR="00E82224">
          <w:rPr>
            <w:noProof/>
            <w:webHidden/>
          </w:rPr>
        </w:r>
        <w:r w:rsidR="00E82224">
          <w:rPr>
            <w:noProof/>
            <w:webHidden/>
          </w:rPr>
          <w:fldChar w:fldCharType="separate"/>
        </w:r>
        <w:r w:rsidR="00E82224">
          <w:rPr>
            <w:noProof/>
            <w:webHidden/>
          </w:rPr>
          <w:t>45</w:t>
        </w:r>
        <w:r w:rsidR="00E82224">
          <w:rPr>
            <w:noProof/>
            <w:webHidden/>
          </w:rPr>
          <w:fldChar w:fldCharType="end"/>
        </w:r>
      </w:hyperlink>
    </w:p>
    <w:p w:rsidR="00E82224" w:rsidRDefault="00B91233">
      <w:pPr>
        <w:pStyle w:val="TOC4"/>
        <w:rPr>
          <w:rFonts w:eastAsiaTheme="minorEastAsia"/>
          <w:noProof/>
          <w:sz w:val="22"/>
          <w:lang w:eastAsia="en-AU"/>
        </w:rPr>
      </w:pPr>
      <w:hyperlink w:anchor="_Toc1115164" w:history="1">
        <w:r w:rsidR="00E82224" w:rsidRPr="00B810EB">
          <w:rPr>
            <w:rStyle w:val="Hyperlink"/>
            <w:noProof/>
          </w:rPr>
          <w:t>Treatment of new Commonwealth payments</w:t>
        </w:r>
        <w:r w:rsidR="00E82224">
          <w:rPr>
            <w:noProof/>
            <w:webHidden/>
          </w:rPr>
          <w:tab/>
        </w:r>
        <w:r w:rsidR="00E82224">
          <w:rPr>
            <w:noProof/>
            <w:webHidden/>
          </w:rPr>
          <w:fldChar w:fldCharType="begin"/>
        </w:r>
        <w:r w:rsidR="00E82224">
          <w:rPr>
            <w:noProof/>
            <w:webHidden/>
          </w:rPr>
          <w:instrText xml:space="preserve"> PAGEREF _Toc1115164 \h </w:instrText>
        </w:r>
        <w:r w:rsidR="00E82224">
          <w:rPr>
            <w:noProof/>
            <w:webHidden/>
          </w:rPr>
        </w:r>
        <w:r w:rsidR="00E82224">
          <w:rPr>
            <w:noProof/>
            <w:webHidden/>
          </w:rPr>
          <w:fldChar w:fldCharType="separate"/>
        </w:r>
        <w:r w:rsidR="00E82224">
          <w:rPr>
            <w:noProof/>
            <w:webHidden/>
          </w:rPr>
          <w:t>46</w:t>
        </w:r>
        <w:r w:rsidR="00E82224">
          <w:rPr>
            <w:noProof/>
            <w:webHidden/>
          </w:rPr>
          <w:fldChar w:fldCharType="end"/>
        </w:r>
      </w:hyperlink>
    </w:p>
    <w:p w:rsidR="00E82224" w:rsidRDefault="00B91233">
      <w:pPr>
        <w:pStyle w:val="TOC4"/>
        <w:rPr>
          <w:rFonts w:eastAsiaTheme="minorEastAsia"/>
          <w:noProof/>
          <w:sz w:val="22"/>
          <w:lang w:eastAsia="en-AU"/>
        </w:rPr>
      </w:pPr>
      <w:hyperlink w:anchor="_Toc1115165" w:history="1">
        <w:r w:rsidR="00E82224" w:rsidRPr="00B810EB">
          <w:rPr>
            <w:rStyle w:val="Hyperlink"/>
            <w:noProof/>
          </w:rPr>
          <w:t>Skilling Australians Fund</w:t>
        </w:r>
        <w:r w:rsidR="00E82224">
          <w:rPr>
            <w:noProof/>
            <w:webHidden/>
          </w:rPr>
          <w:tab/>
        </w:r>
        <w:r w:rsidR="00E82224">
          <w:rPr>
            <w:noProof/>
            <w:webHidden/>
          </w:rPr>
          <w:fldChar w:fldCharType="begin"/>
        </w:r>
        <w:r w:rsidR="00E82224">
          <w:rPr>
            <w:noProof/>
            <w:webHidden/>
          </w:rPr>
          <w:instrText xml:space="preserve"> PAGEREF _Toc1115165 \h </w:instrText>
        </w:r>
        <w:r w:rsidR="00E82224">
          <w:rPr>
            <w:noProof/>
            <w:webHidden/>
          </w:rPr>
        </w:r>
        <w:r w:rsidR="00E82224">
          <w:rPr>
            <w:noProof/>
            <w:webHidden/>
          </w:rPr>
          <w:fldChar w:fldCharType="separate"/>
        </w:r>
        <w:r w:rsidR="00E82224">
          <w:rPr>
            <w:noProof/>
            <w:webHidden/>
          </w:rPr>
          <w:t>49</w:t>
        </w:r>
        <w:r w:rsidR="00E82224">
          <w:rPr>
            <w:noProof/>
            <w:webHidden/>
          </w:rPr>
          <w:fldChar w:fldCharType="end"/>
        </w:r>
      </w:hyperlink>
    </w:p>
    <w:p w:rsidR="00E82224" w:rsidRDefault="00B91233">
      <w:pPr>
        <w:pStyle w:val="TOC4"/>
        <w:rPr>
          <w:rFonts w:eastAsiaTheme="minorEastAsia"/>
          <w:noProof/>
          <w:sz w:val="22"/>
          <w:lang w:eastAsia="en-AU"/>
        </w:rPr>
      </w:pPr>
      <w:hyperlink w:anchor="_Toc1115166" w:history="1">
        <w:r w:rsidR="00E82224" w:rsidRPr="00B810EB">
          <w:rPr>
            <w:rStyle w:val="Hyperlink"/>
            <w:noProof/>
          </w:rPr>
          <w:t>Remote Housing payment</w:t>
        </w:r>
        <w:r w:rsidR="00E82224">
          <w:rPr>
            <w:noProof/>
            <w:webHidden/>
          </w:rPr>
          <w:tab/>
        </w:r>
        <w:r w:rsidR="00E82224">
          <w:rPr>
            <w:noProof/>
            <w:webHidden/>
          </w:rPr>
          <w:fldChar w:fldCharType="begin"/>
        </w:r>
        <w:r w:rsidR="00E82224">
          <w:rPr>
            <w:noProof/>
            <w:webHidden/>
          </w:rPr>
          <w:instrText xml:space="preserve"> PAGEREF _Toc1115166 \h </w:instrText>
        </w:r>
        <w:r w:rsidR="00E82224">
          <w:rPr>
            <w:noProof/>
            <w:webHidden/>
          </w:rPr>
        </w:r>
        <w:r w:rsidR="00E82224">
          <w:rPr>
            <w:noProof/>
            <w:webHidden/>
          </w:rPr>
          <w:fldChar w:fldCharType="separate"/>
        </w:r>
        <w:r w:rsidR="00E82224">
          <w:rPr>
            <w:noProof/>
            <w:webHidden/>
          </w:rPr>
          <w:t>50</w:t>
        </w:r>
        <w:r w:rsidR="00E82224">
          <w:rPr>
            <w:noProof/>
            <w:webHidden/>
          </w:rPr>
          <w:fldChar w:fldCharType="end"/>
        </w:r>
      </w:hyperlink>
    </w:p>
    <w:p w:rsidR="00E82224" w:rsidRDefault="00B91233">
      <w:pPr>
        <w:pStyle w:val="TOC4"/>
        <w:rPr>
          <w:rFonts w:eastAsiaTheme="minorEastAsia"/>
          <w:noProof/>
          <w:sz w:val="22"/>
          <w:lang w:eastAsia="en-AU"/>
        </w:rPr>
      </w:pPr>
      <w:hyperlink w:anchor="_Toc1115167" w:history="1">
        <w:r w:rsidR="00E82224" w:rsidRPr="00B810EB">
          <w:rPr>
            <w:rStyle w:val="Hyperlink"/>
            <w:noProof/>
          </w:rPr>
          <w:t>Infrastructure investment program related payments</w:t>
        </w:r>
        <w:r w:rsidR="00E82224">
          <w:rPr>
            <w:noProof/>
            <w:webHidden/>
          </w:rPr>
          <w:tab/>
        </w:r>
        <w:r w:rsidR="00E82224">
          <w:rPr>
            <w:noProof/>
            <w:webHidden/>
          </w:rPr>
          <w:fldChar w:fldCharType="begin"/>
        </w:r>
        <w:r w:rsidR="00E82224">
          <w:rPr>
            <w:noProof/>
            <w:webHidden/>
          </w:rPr>
          <w:instrText xml:space="preserve"> PAGEREF _Toc1115167 \h </w:instrText>
        </w:r>
        <w:r w:rsidR="00E82224">
          <w:rPr>
            <w:noProof/>
            <w:webHidden/>
          </w:rPr>
        </w:r>
        <w:r w:rsidR="00E82224">
          <w:rPr>
            <w:noProof/>
            <w:webHidden/>
          </w:rPr>
          <w:fldChar w:fldCharType="separate"/>
        </w:r>
        <w:r w:rsidR="00E82224">
          <w:rPr>
            <w:noProof/>
            <w:webHidden/>
          </w:rPr>
          <w:t>51</w:t>
        </w:r>
        <w:r w:rsidR="00E82224">
          <w:rPr>
            <w:noProof/>
            <w:webHidden/>
          </w:rPr>
          <w:fldChar w:fldCharType="end"/>
        </w:r>
      </w:hyperlink>
    </w:p>
    <w:p w:rsidR="00E82224" w:rsidRDefault="00B91233">
      <w:pPr>
        <w:pStyle w:val="TOC4"/>
        <w:rPr>
          <w:rFonts w:eastAsiaTheme="minorEastAsia"/>
          <w:noProof/>
          <w:sz w:val="22"/>
          <w:lang w:eastAsia="en-AU"/>
        </w:rPr>
      </w:pPr>
      <w:hyperlink w:anchor="_Toc1115168" w:history="1">
        <w:r w:rsidR="00E82224" w:rsidRPr="00B810EB">
          <w:rPr>
            <w:rStyle w:val="Hyperlink"/>
            <w:noProof/>
          </w:rPr>
          <w:t>Wi-Fi and mobile coverage on trains</w:t>
        </w:r>
        <w:r w:rsidR="00E82224">
          <w:rPr>
            <w:noProof/>
            <w:webHidden/>
          </w:rPr>
          <w:tab/>
        </w:r>
        <w:r w:rsidR="00E82224">
          <w:rPr>
            <w:noProof/>
            <w:webHidden/>
          </w:rPr>
          <w:fldChar w:fldCharType="begin"/>
        </w:r>
        <w:r w:rsidR="00E82224">
          <w:rPr>
            <w:noProof/>
            <w:webHidden/>
          </w:rPr>
          <w:instrText xml:space="preserve"> PAGEREF _Toc1115168 \h </w:instrText>
        </w:r>
        <w:r w:rsidR="00E82224">
          <w:rPr>
            <w:noProof/>
            <w:webHidden/>
          </w:rPr>
        </w:r>
        <w:r w:rsidR="00E82224">
          <w:rPr>
            <w:noProof/>
            <w:webHidden/>
          </w:rPr>
          <w:fldChar w:fldCharType="separate"/>
        </w:r>
        <w:r w:rsidR="00E82224">
          <w:rPr>
            <w:noProof/>
            <w:webHidden/>
          </w:rPr>
          <w:t>52</w:t>
        </w:r>
        <w:r w:rsidR="00E82224">
          <w:rPr>
            <w:noProof/>
            <w:webHidden/>
          </w:rPr>
          <w:fldChar w:fldCharType="end"/>
        </w:r>
      </w:hyperlink>
    </w:p>
    <w:p w:rsidR="00E82224" w:rsidRDefault="00B91233">
      <w:pPr>
        <w:pStyle w:val="TOC4"/>
        <w:rPr>
          <w:rFonts w:eastAsiaTheme="minorEastAsia"/>
          <w:noProof/>
          <w:sz w:val="22"/>
          <w:lang w:eastAsia="en-AU"/>
        </w:rPr>
      </w:pPr>
      <w:hyperlink w:anchor="_Toc1115169" w:history="1">
        <w:r w:rsidR="00E82224" w:rsidRPr="00B810EB">
          <w:rPr>
            <w:rStyle w:val="Hyperlink"/>
            <w:noProof/>
          </w:rPr>
          <w:t>Hydrogen energy supply chain pilot project</w:t>
        </w:r>
        <w:r w:rsidR="00E82224">
          <w:rPr>
            <w:noProof/>
            <w:webHidden/>
          </w:rPr>
          <w:tab/>
        </w:r>
        <w:r w:rsidR="00E82224">
          <w:rPr>
            <w:noProof/>
            <w:webHidden/>
          </w:rPr>
          <w:fldChar w:fldCharType="begin"/>
        </w:r>
        <w:r w:rsidR="00E82224">
          <w:rPr>
            <w:noProof/>
            <w:webHidden/>
          </w:rPr>
          <w:instrText xml:space="preserve"> PAGEREF _Toc1115169 \h </w:instrText>
        </w:r>
        <w:r w:rsidR="00E82224">
          <w:rPr>
            <w:noProof/>
            <w:webHidden/>
          </w:rPr>
        </w:r>
        <w:r w:rsidR="00E82224">
          <w:rPr>
            <w:noProof/>
            <w:webHidden/>
          </w:rPr>
          <w:fldChar w:fldCharType="separate"/>
        </w:r>
        <w:r w:rsidR="00E82224">
          <w:rPr>
            <w:noProof/>
            <w:webHidden/>
          </w:rPr>
          <w:t>52</w:t>
        </w:r>
        <w:r w:rsidR="00E82224">
          <w:rPr>
            <w:noProof/>
            <w:webHidden/>
          </w:rPr>
          <w:fldChar w:fldCharType="end"/>
        </w:r>
      </w:hyperlink>
    </w:p>
    <w:p w:rsidR="00E82224" w:rsidRDefault="00B91233">
      <w:pPr>
        <w:pStyle w:val="TOC4"/>
        <w:rPr>
          <w:rFonts w:eastAsiaTheme="minorEastAsia"/>
          <w:noProof/>
          <w:sz w:val="22"/>
          <w:lang w:eastAsia="en-AU"/>
        </w:rPr>
      </w:pPr>
      <w:hyperlink w:anchor="_Toc1115170" w:history="1">
        <w:r w:rsidR="00E82224" w:rsidRPr="00B810EB">
          <w:rPr>
            <w:rStyle w:val="Hyperlink"/>
            <w:noProof/>
          </w:rPr>
          <w:t>Kamay 250</w:t>
        </w:r>
        <w:r w:rsidR="00E82224" w:rsidRPr="00B810EB">
          <w:rPr>
            <w:rStyle w:val="Hyperlink"/>
            <w:noProof/>
            <w:vertAlign w:val="superscript"/>
          </w:rPr>
          <w:t xml:space="preserve">th </w:t>
        </w:r>
        <w:r w:rsidR="00E82224" w:rsidRPr="00B810EB">
          <w:rPr>
            <w:rStyle w:val="Hyperlink"/>
            <w:noProof/>
          </w:rPr>
          <w:t>anniversary project</w:t>
        </w:r>
        <w:r w:rsidR="00E82224">
          <w:rPr>
            <w:noProof/>
            <w:webHidden/>
          </w:rPr>
          <w:tab/>
        </w:r>
        <w:r w:rsidR="00E82224">
          <w:rPr>
            <w:noProof/>
            <w:webHidden/>
          </w:rPr>
          <w:fldChar w:fldCharType="begin"/>
        </w:r>
        <w:r w:rsidR="00E82224">
          <w:rPr>
            <w:noProof/>
            <w:webHidden/>
          </w:rPr>
          <w:instrText xml:space="preserve"> PAGEREF _Toc1115170 \h </w:instrText>
        </w:r>
        <w:r w:rsidR="00E82224">
          <w:rPr>
            <w:noProof/>
            <w:webHidden/>
          </w:rPr>
        </w:r>
        <w:r w:rsidR="00E82224">
          <w:rPr>
            <w:noProof/>
            <w:webHidden/>
          </w:rPr>
          <w:fldChar w:fldCharType="separate"/>
        </w:r>
        <w:r w:rsidR="00E82224">
          <w:rPr>
            <w:noProof/>
            <w:webHidden/>
          </w:rPr>
          <w:t>53</w:t>
        </w:r>
        <w:r w:rsidR="00E82224">
          <w:rPr>
            <w:noProof/>
            <w:webHidden/>
          </w:rPr>
          <w:fldChar w:fldCharType="end"/>
        </w:r>
      </w:hyperlink>
    </w:p>
    <w:p w:rsidR="00E82224" w:rsidRDefault="00B91233">
      <w:pPr>
        <w:pStyle w:val="TOC4"/>
        <w:rPr>
          <w:rFonts w:eastAsiaTheme="minorEastAsia"/>
          <w:noProof/>
          <w:sz w:val="22"/>
          <w:lang w:eastAsia="en-AU"/>
        </w:rPr>
      </w:pPr>
      <w:hyperlink w:anchor="_Toc1115171" w:history="1">
        <w:r w:rsidR="00E82224" w:rsidRPr="00B810EB">
          <w:rPr>
            <w:rStyle w:val="Hyperlink"/>
            <w:noProof/>
          </w:rPr>
          <w:t>South Sydney Rabbitohs’ Centre of Excellence</w:t>
        </w:r>
        <w:r w:rsidR="00E82224">
          <w:rPr>
            <w:noProof/>
            <w:webHidden/>
          </w:rPr>
          <w:tab/>
        </w:r>
        <w:r w:rsidR="00E82224">
          <w:rPr>
            <w:noProof/>
            <w:webHidden/>
          </w:rPr>
          <w:fldChar w:fldCharType="begin"/>
        </w:r>
        <w:r w:rsidR="00E82224">
          <w:rPr>
            <w:noProof/>
            <w:webHidden/>
          </w:rPr>
          <w:instrText xml:space="preserve"> PAGEREF _Toc1115171 \h </w:instrText>
        </w:r>
        <w:r w:rsidR="00E82224">
          <w:rPr>
            <w:noProof/>
            <w:webHidden/>
          </w:rPr>
        </w:r>
        <w:r w:rsidR="00E82224">
          <w:rPr>
            <w:noProof/>
            <w:webHidden/>
          </w:rPr>
          <w:fldChar w:fldCharType="separate"/>
        </w:r>
        <w:r w:rsidR="00E82224">
          <w:rPr>
            <w:noProof/>
            <w:webHidden/>
          </w:rPr>
          <w:t>54</w:t>
        </w:r>
        <w:r w:rsidR="00E82224">
          <w:rPr>
            <w:noProof/>
            <w:webHidden/>
          </w:rPr>
          <w:fldChar w:fldCharType="end"/>
        </w:r>
      </w:hyperlink>
    </w:p>
    <w:p w:rsidR="00E82224" w:rsidRPr="009328A0" w:rsidRDefault="00B91233">
      <w:pPr>
        <w:pStyle w:val="TOC3"/>
        <w:rPr>
          <w:rFonts w:eastAsiaTheme="minorEastAsia"/>
          <w:b/>
          <w:iCs w:val="0"/>
          <w:noProof/>
          <w:sz w:val="22"/>
          <w:lang w:eastAsia="en-AU"/>
        </w:rPr>
      </w:pPr>
      <w:hyperlink w:anchor="_Toc1115172" w:history="1">
        <w:r w:rsidR="00E82224" w:rsidRPr="009328A0">
          <w:rPr>
            <w:rStyle w:val="Hyperlink"/>
            <w:b/>
            <w:noProof/>
          </w:rPr>
          <w:t>Changes in the adjusted budget</w:t>
        </w:r>
        <w:r w:rsidR="00E82224" w:rsidRPr="009328A0">
          <w:rPr>
            <w:b/>
            <w:noProof/>
            <w:webHidden/>
          </w:rPr>
          <w:tab/>
        </w:r>
        <w:r w:rsidR="00E82224" w:rsidRPr="009328A0">
          <w:rPr>
            <w:b/>
            <w:noProof/>
            <w:webHidden/>
          </w:rPr>
          <w:fldChar w:fldCharType="begin"/>
        </w:r>
        <w:r w:rsidR="00E82224" w:rsidRPr="009328A0">
          <w:rPr>
            <w:b/>
            <w:noProof/>
            <w:webHidden/>
          </w:rPr>
          <w:instrText xml:space="preserve"> PAGEREF _Toc1115172 \h </w:instrText>
        </w:r>
        <w:r w:rsidR="00E82224" w:rsidRPr="009328A0">
          <w:rPr>
            <w:b/>
            <w:noProof/>
            <w:webHidden/>
          </w:rPr>
        </w:r>
        <w:r w:rsidR="00E82224" w:rsidRPr="009328A0">
          <w:rPr>
            <w:b/>
            <w:noProof/>
            <w:webHidden/>
          </w:rPr>
          <w:fldChar w:fldCharType="separate"/>
        </w:r>
        <w:r w:rsidR="00E82224" w:rsidRPr="009328A0">
          <w:rPr>
            <w:b/>
            <w:noProof/>
            <w:webHidden/>
          </w:rPr>
          <w:t>55</w:t>
        </w:r>
        <w:r w:rsidR="00E82224" w:rsidRPr="009328A0">
          <w:rPr>
            <w:b/>
            <w:noProof/>
            <w:webHidden/>
          </w:rPr>
          <w:fldChar w:fldCharType="end"/>
        </w:r>
      </w:hyperlink>
    </w:p>
    <w:p w:rsidR="00E82224" w:rsidRDefault="00B91233">
      <w:pPr>
        <w:pStyle w:val="TOC4"/>
        <w:rPr>
          <w:rFonts w:eastAsiaTheme="minorEastAsia"/>
          <w:noProof/>
          <w:sz w:val="22"/>
          <w:lang w:eastAsia="en-AU"/>
        </w:rPr>
      </w:pPr>
      <w:hyperlink w:anchor="_Toc1115173" w:history="1">
        <w:r w:rsidR="00E82224" w:rsidRPr="00B810EB">
          <w:rPr>
            <w:rStyle w:val="Hyperlink"/>
            <w:noProof/>
          </w:rPr>
          <w:t>Use of new Government Finance Statistics (GFS) classification data</w:t>
        </w:r>
        <w:r w:rsidR="00E82224">
          <w:rPr>
            <w:noProof/>
            <w:webHidden/>
          </w:rPr>
          <w:tab/>
        </w:r>
        <w:r w:rsidR="00E82224">
          <w:rPr>
            <w:noProof/>
            <w:webHidden/>
          </w:rPr>
          <w:fldChar w:fldCharType="begin"/>
        </w:r>
        <w:r w:rsidR="00E82224">
          <w:rPr>
            <w:noProof/>
            <w:webHidden/>
          </w:rPr>
          <w:instrText xml:space="preserve"> PAGEREF _Toc1115173 \h </w:instrText>
        </w:r>
        <w:r w:rsidR="00E82224">
          <w:rPr>
            <w:noProof/>
            <w:webHidden/>
          </w:rPr>
        </w:r>
        <w:r w:rsidR="00E82224">
          <w:rPr>
            <w:noProof/>
            <w:webHidden/>
          </w:rPr>
          <w:fldChar w:fldCharType="separate"/>
        </w:r>
        <w:r w:rsidR="00E82224">
          <w:rPr>
            <w:noProof/>
            <w:webHidden/>
          </w:rPr>
          <w:t>55</w:t>
        </w:r>
        <w:r w:rsidR="00E82224">
          <w:rPr>
            <w:noProof/>
            <w:webHidden/>
          </w:rPr>
          <w:fldChar w:fldCharType="end"/>
        </w:r>
      </w:hyperlink>
    </w:p>
    <w:p w:rsidR="00E82224" w:rsidRDefault="00B91233">
      <w:pPr>
        <w:pStyle w:val="TOC4"/>
        <w:rPr>
          <w:rFonts w:eastAsiaTheme="minorEastAsia"/>
          <w:noProof/>
          <w:sz w:val="22"/>
          <w:lang w:eastAsia="en-AU"/>
        </w:rPr>
      </w:pPr>
      <w:hyperlink w:anchor="_Toc1115174" w:history="1">
        <w:r w:rsidR="00E82224" w:rsidRPr="00B810EB">
          <w:rPr>
            <w:rStyle w:val="Hyperlink"/>
            <w:noProof/>
          </w:rPr>
          <w:t>State review of preliminary adjusted budget data</w:t>
        </w:r>
        <w:r w:rsidR="00E82224">
          <w:rPr>
            <w:noProof/>
            <w:webHidden/>
          </w:rPr>
          <w:tab/>
        </w:r>
        <w:r w:rsidR="00E82224">
          <w:rPr>
            <w:noProof/>
            <w:webHidden/>
          </w:rPr>
          <w:fldChar w:fldCharType="begin"/>
        </w:r>
        <w:r w:rsidR="00E82224">
          <w:rPr>
            <w:noProof/>
            <w:webHidden/>
          </w:rPr>
          <w:instrText xml:space="preserve"> PAGEREF _Toc1115174 \h </w:instrText>
        </w:r>
        <w:r w:rsidR="00E82224">
          <w:rPr>
            <w:noProof/>
            <w:webHidden/>
          </w:rPr>
        </w:r>
        <w:r w:rsidR="00E82224">
          <w:rPr>
            <w:noProof/>
            <w:webHidden/>
          </w:rPr>
          <w:fldChar w:fldCharType="separate"/>
        </w:r>
        <w:r w:rsidR="00E82224">
          <w:rPr>
            <w:noProof/>
            <w:webHidden/>
          </w:rPr>
          <w:t>55</w:t>
        </w:r>
        <w:r w:rsidR="00E82224">
          <w:rPr>
            <w:noProof/>
            <w:webHidden/>
          </w:rPr>
          <w:fldChar w:fldCharType="end"/>
        </w:r>
      </w:hyperlink>
    </w:p>
    <w:p w:rsidR="00E82224" w:rsidRDefault="00B91233">
      <w:pPr>
        <w:pStyle w:val="TOC1"/>
        <w:rPr>
          <w:rFonts w:eastAsiaTheme="minorEastAsia"/>
          <w:b w:val="0"/>
          <w:bCs w:val="0"/>
          <w:caps w:val="0"/>
          <w:noProof/>
          <w:sz w:val="22"/>
          <w:szCs w:val="22"/>
          <w:lang w:eastAsia="en-AU"/>
        </w:rPr>
      </w:pPr>
      <w:hyperlink w:anchor="_Toc1115175" w:history="1">
        <w:r w:rsidR="00E82224" w:rsidRPr="00B810EB">
          <w:rPr>
            <w:rStyle w:val="Hyperlink"/>
            <w:noProof/>
          </w:rPr>
          <w:t>Attachment A</w:t>
        </w:r>
        <w:r w:rsidR="00E82224">
          <w:rPr>
            <w:rStyle w:val="Hyperlink"/>
            <w:noProof/>
          </w:rPr>
          <w:t xml:space="preserve"> – Quality assurance</w:t>
        </w:r>
        <w:r w:rsidR="00E82224">
          <w:rPr>
            <w:noProof/>
            <w:webHidden/>
          </w:rPr>
          <w:tab/>
        </w:r>
        <w:r w:rsidR="00E82224">
          <w:rPr>
            <w:noProof/>
            <w:webHidden/>
          </w:rPr>
          <w:fldChar w:fldCharType="begin"/>
        </w:r>
        <w:r w:rsidR="00E82224">
          <w:rPr>
            <w:noProof/>
            <w:webHidden/>
          </w:rPr>
          <w:instrText xml:space="preserve"> PAGEREF _Toc1115175 \h </w:instrText>
        </w:r>
        <w:r w:rsidR="00E82224">
          <w:rPr>
            <w:noProof/>
            <w:webHidden/>
          </w:rPr>
        </w:r>
        <w:r w:rsidR="00E82224">
          <w:rPr>
            <w:noProof/>
            <w:webHidden/>
          </w:rPr>
          <w:fldChar w:fldCharType="separate"/>
        </w:r>
        <w:r w:rsidR="00E82224">
          <w:rPr>
            <w:noProof/>
            <w:webHidden/>
          </w:rPr>
          <w:t>57</w:t>
        </w:r>
        <w:r w:rsidR="00E82224">
          <w:rPr>
            <w:noProof/>
            <w:webHidden/>
          </w:rPr>
          <w:fldChar w:fldCharType="end"/>
        </w:r>
      </w:hyperlink>
    </w:p>
    <w:p w:rsidR="00E82224" w:rsidRDefault="00B91233">
      <w:pPr>
        <w:pStyle w:val="TOC3"/>
        <w:rPr>
          <w:rFonts w:eastAsiaTheme="minorEastAsia"/>
          <w:iCs w:val="0"/>
          <w:noProof/>
          <w:sz w:val="22"/>
          <w:lang w:eastAsia="en-AU"/>
        </w:rPr>
      </w:pPr>
      <w:hyperlink w:anchor="_Toc1115177" w:history="1">
        <w:r w:rsidR="00E82224" w:rsidRPr="00B810EB">
          <w:rPr>
            <w:rStyle w:val="Hyperlink"/>
            <w:noProof/>
          </w:rPr>
          <w:t>Data quality improvement</w:t>
        </w:r>
        <w:r w:rsidR="00E82224">
          <w:rPr>
            <w:noProof/>
            <w:webHidden/>
          </w:rPr>
          <w:tab/>
        </w:r>
        <w:r w:rsidR="00E82224">
          <w:rPr>
            <w:noProof/>
            <w:webHidden/>
          </w:rPr>
          <w:fldChar w:fldCharType="begin"/>
        </w:r>
        <w:r w:rsidR="00E82224">
          <w:rPr>
            <w:noProof/>
            <w:webHidden/>
          </w:rPr>
          <w:instrText xml:space="preserve"> PAGEREF _Toc1115177 \h </w:instrText>
        </w:r>
        <w:r w:rsidR="00E82224">
          <w:rPr>
            <w:noProof/>
            <w:webHidden/>
          </w:rPr>
        </w:r>
        <w:r w:rsidR="00E82224">
          <w:rPr>
            <w:noProof/>
            <w:webHidden/>
          </w:rPr>
          <w:fldChar w:fldCharType="separate"/>
        </w:r>
        <w:r w:rsidR="00E82224">
          <w:rPr>
            <w:noProof/>
            <w:webHidden/>
          </w:rPr>
          <w:t>57</w:t>
        </w:r>
        <w:r w:rsidR="00E82224">
          <w:rPr>
            <w:noProof/>
            <w:webHidden/>
          </w:rPr>
          <w:fldChar w:fldCharType="end"/>
        </w:r>
      </w:hyperlink>
    </w:p>
    <w:p w:rsidR="00E82224" w:rsidRDefault="00B91233">
      <w:pPr>
        <w:pStyle w:val="TOC3"/>
        <w:rPr>
          <w:rFonts w:eastAsiaTheme="minorEastAsia"/>
          <w:iCs w:val="0"/>
          <w:noProof/>
          <w:sz w:val="22"/>
          <w:lang w:eastAsia="en-AU"/>
        </w:rPr>
      </w:pPr>
      <w:hyperlink w:anchor="_Toc1115178" w:history="1">
        <w:r w:rsidR="00E82224" w:rsidRPr="00B810EB">
          <w:rPr>
            <w:rStyle w:val="Hyperlink"/>
            <w:noProof/>
          </w:rPr>
          <w:t>Calculation audit processes</w:t>
        </w:r>
        <w:r w:rsidR="00E82224">
          <w:rPr>
            <w:noProof/>
            <w:webHidden/>
          </w:rPr>
          <w:tab/>
        </w:r>
        <w:r w:rsidR="00E82224">
          <w:rPr>
            <w:noProof/>
            <w:webHidden/>
          </w:rPr>
          <w:fldChar w:fldCharType="begin"/>
        </w:r>
        <w:r w:rsidR="00E82224">
          <w:rPr>
            <w:noProof/>
            <w:webHidden/>
          </w:rPr>
          <w:instrText xml:space="preserve"> PAGEREF _Toc1115178 \h </w:instrText>
        </w:r>
        <w:r w:rsidR="00E82224">
          <w:rPr>
            <w:noProof/>
            <w:webHidden/>
          </w:rPr>
        </w:r>
        <w:r w:rsidR="00E82224">
          <w:rPr>
            <w:noProof/>
            <w:webHidden/>
          </w:rPr>
          <w:fldChar w:fldCharType="separate"/>
        </w:r>
        <w:r w:rsidR="00E82224">
          <w:rPr>
            <w:noProof/>
            <w:webHidden/>
          </w:rPr>
          <w:t>58</w:t>
        </w:r>
        <w:r w:rsidR="00E82224">
          <w:rPr>
            <w:noProof/>
            <w:webHidden/>
          </w:rPr>
          <w:fldChar w:fldCharType="end"/>
        </w:r>
      </w:hyperlink>
    </w:p>
    <w:p w:rsidR="00E82224" w:rsidRDefault="00B91233">
      <w:pPr>
        <w:pStyle w:val="TOC3"/>
        <w:rPr>
          <w:rFonts w:eastAsiaTheme="minorEastAsia"/>
          <w:iCs w:val="0"/>
          <w:noProof/>
          <w:sz w:val="22"/>
          <w:lang w:eastAsia="en-AU"/>
        </w:rPr>
      </w:pPr>
      <w:hyperlink w:anchor="_Toc1115179" w:history="1">
        <w:r w:rsidR="00E82224" w:rsidRPr="00B810EB">
          <w:rPr>
            <w:rStyle w:val="Hyperlink"/>
            <w:noProof/>
          </w:rPr>
          <w:t>Reporting of methods, decisions and results</w:t>
        </w:r>
        <w:r w:rsidR="00E82224">
          <w:rPr>
            <w:noProof/>
            <w:webHidden/>
          </w:rPr>
          <w:tab/>
        </w:r>
        <w:r w:rsidR="00E82224">
          <w:rPr>
            <w:noProof/>
            <w:webHidden/>
          </w:rPr>
          <w:fldChar w:fldCharType="begin"/>
        </w:r>
        <w:r w:rsidR="00E82224">
          <w:rPr>
            <w:noProof/>
            <w:webHidden/>
          </w:rPr>
          <w:instrText xml:space="preserve"> PAGEREF _Toc1115179 \h </w:instrText>
        </w:r>
        <w:r w:rsidR="00E82224">
          <w:rPr>
            <w:noProof/>
            <w:webHidden/>
          </w:rPr>
        </w:r>
        <w:r w:rsidR="00E82224">
          <w:rPr>
            <w:noProof/>
            <w:webHidden/>
          </w:rPr>
          <w:fldChar w:fldCharType="separate"/>
        </w:r>
        <w:r w:rsidR="00E82224">
          <w:rPr>
            <w:noProof/>
            <w:webHidden/>
          </w:rPr>
          <w:t>58</w:t>
        </w:r>
        <w:r w:rsidR="00E82224">
          <w:rPr>
            <w:noProof/>
            <w:webHidden/>
          </w:rPr>
          <w:fldChar w:fldCharType="end"/>
        </w:r>
      </w:hyperlink>
    </w:p>
    <w:p w:rsidR="00E82224" w:rsidRPr="00E82224" w:rsidRDefault="00B91233" w:rsidP="00E82224">
      <w:pPr>
        <w:pStyle w:val="TOC1"/>
        <w:rPr>
          <w:rStyle w:val="Hyperlink"/>
        </w:rPr>
      </w:pPr>
      <w:hyperlink w:anchor="_Toc1115180" w:history="1">
        <w:r w:rsidR="00E82224" w:rsidRPr="00B810EB">
          <w:rPr>
            <w:rStyle w:val="Hyperlink"/>
            <w:noProof/>
          </w:rPr>
          <w:t>Commission Terminology</w:t>
        </w:r>
        <w:r w:rsidR="00E82224" w:rsidRPr="00E82224">
          <w:rPr>
            <w:rStyle w:val="Hyperlink"/>
            <w:webHidden/>
          </w:rPr>
          <w:tab/>
        </w:r>
        <w:r w:rsidR="00E82224" w:rsidRPr="00E82224">
          <w:rPr>
            <w:rStyle w:val="Hyperlink"/>
            <w:webHidden/>
          </w:rPr>
          <w:fldChar w:fldCharType="begin"/>
        </w:r>
        <w:r w:rsidR="00E82224" w:rsidRPr="00E82224">
          <w:rPr>
            <w:rStyle w:val="Hyperlink"/>
            <w:webHidden/>
          </w:rPr>
          <w:instrText xml:space="preserve"> PAGEREF _Toc1115180 \h </w:instrText>
        </w:r>
        <w:r w:rsidR="00E82224" w:rsidRPr="00E82224">
          <w:rPr>
            <w:rStyle w:val="Hyperlink"/>
            <w:webHidden/>
          </w:rPr>
        </w:r>
        <w:r w:rsidR="00E82224" w:rsidRPr="00E82224">
          <w:rPr>
            <w:rStyle w:val="Hyperlink"/>
            <w:webHidden/>
          </w:rPr>
          <w:fldChar w:fldCharType="separate"/>
        </w:r>
        <w:r w:rsidR="00E82224" w:rsidRPr="00E82224">
          <w:rPr>
            <w:rStyle w:val="Hyperlink"/>
            <w:webHidden/>
          </w:rPr>
          <w:t>59</w:t>
        </w:r>
        <w:r w:rsidR="00E82224" w:rsidRPr="00E82224">
          <w:rPr>
            <w:rStyle w:val="Hyperlink"/>
            <w:webHidden/>
          </w:rPr>
          <w:fldChar w:fldCharType="end"/>
        </w:r>
      </w:hyperlink>
    </w:p>
    <w:p w:rsidR="00E82224" w:rsidRPr="00E82224" w:rsidRDefault="00B91233" w:rsidP="00E82224">
      <w:pPr>
        <w:pStyle w:val="TOC1"/>
        <w:rPr>
          <w:rStyle w:val="Hyperlink"/>
        </w:rPr>
      </w:pPr>
      <w:hyperlink w:anchor="_Toc1115182" w:history="1">
        <w:r w:rsidR="00E82224" w:rsidRPr="00B810EB">
          <w:rPr>
            <w:rStyle w:val="Hyperlink"/>
            <w:noProof/>
          </w:rPr>
          <w:t>Acronyms</w:t>
        </w:r>
        <w:r w:rsidR="00E82224" w:rsidRPr="00E82224">
          <w:rPr>
            <w:rStyle w:val="Hyperlink"/>
            <w:webHidden/>
          </w:rPr>
          <w:tab/>
        </w:r>
        <w:r w:rsidR="00E82224" w:rsidRPr="00E82224">
          <w:rPr>
            <w:rStyle w:val="Hyperlink"/>
            <w:webHidden/>
          </w:rPr>
          <w:fldChar w:fldCharType="begin"/>
        </w:r>
        <w:r w:rsidR="00E82224" w:rsidRPr="00E82224">
          <w:rPr>
            <w:rStyle w:val="Hyperlink"/>
            <w:webHidden/>
          </w:rPr>
          <w:instrText xml:space="preserve"> PAGEREF _Toc1115182 \h </w:instrText>
        </w:r>
        <w:r w:rsidR="00E82224" w:rsidRPr="00E82224">
          <w:rPr>
            <w:rStyle w:val="Hyperlink"/>
            <w:webHidden/>
          </w:rPr>
        </w:r>
        <w:r w:rsidR="00E82224" w:rsidRPr="00E82224">
          <w:rPr>
            <w:rStyle w:val="Hyperlink"/>
            <w:webHidden/>
          </w:rPr>
          <w:fldChar w:fldCharType="separate"/>
        </w:r>
        <w:r w:rsidR="00E82224" w:rsidRPr="00E82224">
          <w:rPr>
            <w:rStyle w:val="Hyperlink"/>
            <w:webHidden/>
          </w:rPr>
          <w:t>68</w:t>
        </w:r>
        <w:r w:rsidR="00E82224" w:rsidRPr="00E82224">
          <w:rPr>
            <w:rStyle w:val="Hyperlink"/>
            <w:webHidden/>
          </w:rPr>
          <w:fldChar w:fldCharType="end"/>
        </w:r>
      </w:hyperlink>
    </w:p>
    <w:p w:rsidR="00BB3126" w:rsidRDefault="00BB3126" w:rsidP="00BB3126">
      <w:r>
        <w:rPr>
          <w:rFonts w:cstheme="minorHAnsi"/>
          <w:szCs w:val="24"/>
        </w:rPr>
        <w:fldChar w:fldCharType="end"/>
      </w:r>
    </w:p>
    <w:p w:rsidR="00BB3126" w:rsidRDefault="00BB3126" w:rsidP="00BB3126">
      <w:pPr>
        <w:sectPr w:rsidR="00BB3126" w:rsidSect="00C7618F">
          <w:headerReference w:type="even" r:id="rId37"/>
          <w:headerReference w:type="default" r:id="rId38"/>
          <w:headerReference w:type="first" r:id="rId39"/>
          <w:footerReference w:type="first" r:id="rId40"/>
          <w:pgSz w:w="11899" w:h="16838" w:code="9"/>
          <w:pgMar w:top="1701" w:right="1474" w:bottom="1701" w:left="1474" w:header="709" w:footer="709" w:gutter="0"/>
          <w:pgNumType w:fmt="lowerRoman"/>
          <w:cols w:space="708"/>
          <w:titlePg/>
          <w:docGrid w:linePitch="299"/>
        </w:sectPr>
      </w:pPr>
    </w:p>
    <w:tbl>
      <w:tblPr>
        <w:tblStyle w:val="TableGrid"/>
        <w:tblW w:w="9214" w:type="dxa"/>
        <w:tblLook w:val="04A0" w:firstRow="1" w:lastRow="0" w:firstColumn="1" w:lastColumn="0" w:noHBand="0" w:noVBand="1"/>
      </w:tblPr>
      <w:tblGrid>
        <w:gridCol w:w="9214"/>
      </w:tblGrid>
      <w:tr w:rsidR="00BB3126" w:rsidRPr="00001ED7" w:rsidTr="00C7618F">
        <w:tc>
          <w:tcPr>
            <w:tcW w:w="9214" w:type="dxa"/>
            <w:tcBorders>
              <w:top w:val="nil"/>
              <w:left w:val="nil"/>
              <w:bottom w:val="nil"/>
              <w:right w:val="nil"/>
            </w:tcBorders>
            <w:shd w:val="clear" w:color="auto" w:fill="D9F3E6"/>
          </w:tcPr>
          <w:p w:rsidR="00BB3126" w:rsidRPr="006C611D" w:rsidRDefault="00BB3126" w:rsidP="00C7618F">
            <w:pPr>
              <w:pStyle w:val="Heading3"/>
              <w:keepNext w:val="0"/>
              <w:spacing w:before="200"/>
              <w:outlineLvl w:val="2"/>
            </w:pPr>
            <w:bookmarkStart w:id="208" w:name="_Toc433353471"/>
            <w:bookmarkStart w:id="209" w:name="_Toc441241577"/>
            <w:bookmarkStart w:id="210" w:name="_Toc441499247"/>
            <w:bookmarkStart w:id="211" w:name="_Toc441656021"/>
            <w:bookmarkStart w:id="212" w:name="_Toc442191903"/>
            <w:bookmarkStart w:id="213" w:name="_Toc442192155"/>
            <w:bookmarkStart w:id="214" w:name="_Toc442192220"/>
            <w:bookmarkStart w:id="215" w:name="_Toc442772806"/>
            <w:bookmarkStart w:id="216" w:name="_Toc442773033"/>
            <w:bookmarkStart w:id="217" w:name="_Toc442773205"/>
            <w:bookmarkStart w:id="218" w:name="_Toc442773557"/>
            <w:bookmarkStart w:id="219" w:name="_Toc442883270"/>
            <w:bookmarkStart w:id="220" w:name="_Toc474923738"/>
            <w:bookmarkStart w:id="221" w:name="_Toc505872164"/>
            <w:bookmarkStart w:id="222" w:name="_Toc536519615"/>
            <w:bookmarkStart w:id="223" w:name="_Toc536631325"/>
            <w:bookmarkStart w:id="224" w:name="_Toc536803157"/>
            <w:bookmarkStart w:id="225" w:name="_Toc536803245"/>
            <w:bookmarkStart w:id="226" w:name="_Toc1115125"/>
            <w:bookmarkStart w:id="227" w:name="_Ref473625496"/>
            <w:bookmarkStart w:id="228" w:name="_Toc474923751"/>
            <w:bookmarkStart w:id="229" w:name="_Ref504568521"/>
            <w:bookmarkStart w:id="230" w:name="_Toc428435402"/>
            <w:bookmarkStart w:id="231" w:name="_Toc428435927"/>
            <w:bookmarkStart w:id="232" w:name="_Toc428803268"/>
            <w:bookmarkStart w:id="233" w:name="_Toc430166133"/>
            <w:bookmarkStart w:id="234" w:name="_Toc433353485"/>
            <w:bookmarkStart w:id="235" w:name="_Toc441656026"/>
            <w:bookmarkStart w:id="236" w:name="_Toc442192169"/>
            <w:bookmarkStart w:id="237" w:name="_Toc442192234"/>
            <w:bookmarkStart w:id="238" w:name="_Toc442773047"/>
            <w:bookmarkStart w:id="239" w:name="_Toc442773563"/>
            <w:bookmarkStart w:id="240" w:name="_Toc442781578"/>
            <w:bookmarkStart w:id="241" w:name="_Toc442785875"/>
            <w:bookmarkStart w:id="242" w:name="_Toc442883284"/>
            <w:bookmarkStart w:id="243" w:name="_Toc442948710"/>
            <w:bookmarkStart w:id="244" w:name="_Toc442949137"/>
            <w:r w:rsidRPr="006C611D">
              <w:lastRenderedPageBreak/>
              <w:t>Executive summary</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5321DC" w:rsidRPr="002A48E0" w:rsidRDefault="005321DC" w:rsidP="005321DC">
            <w:r w:rsidRPr="002A48E0">
              <w:t xml:space="preserve">This report recommends a distribution of GST revenue </w:t>
            </w:r>
            <w:r>
              <w:t>between</w:t>
            </w:r>
            <w:r w:rsidRPr="002A48E0">
              <w:t xml:space="preserve"> the States in 201</w:t>
            </w:r>
            <w:r>
              <w:t>9</w:t>
            </w:r>
            <w:r>
              <w:noBreakHyphen/>
              <w:t>20</w:t>
            </w:r>
            <w:r w:rsidRPr="002A48E0">
              <w:t xml:space="preserve"> designed to give each of them the fiscal capacity to deliver services and the associated infrastructure at the same </w:t>
            </w:r>
            <w:r>
              <w:t xml:space="preserve">(average) </w:t>
            </w:r>
            <w:r w:rsidRPr="002A48E0">
              <w:t xml:space="preserve">standard, if each made the </w:t>
            </w:r>
            <w:r>
              <w:t>average</w:t>
            </w:r>
            <w:r w:rsidRPr="002A48E0">
              <w:t xml:space="preserve"> effort to raise revenue from its own sources and operated at the </w:t>
            </w:r>
            <w:r>
              <w:t xml:space="preserve">average </w:t>
            </w:r>
            <w:r w:rsidRPr="002A48E0">
              <w:t>level of efficiency.</w:t>
            </w:r>
          </w:p>
          <w:p w:rsidR="005321DC" w:rsidRPr="00642340" w:rsidRDefault="005321DC" w:rsidP="005321DC">
            <w:pPr>
              <w:rPr>
                <w:highlight w:val="red"/>
              </w:rPr>
            </w:pPr>
            <w:r>
              <w:t xml:space="preserve">The GST distribution is </w:t>
            </w:r>
            <w:r w:rsidRPr="002A48E0">
              <w:t>based on the same methods applied in the 201</w:t>
            </w:r>
            <w:r>
              <w:t>8 </w:t>
            </w:r>
            <w:r w:rsidRPr="002A48E0">
              <w:t>Update</w:t>
            </w:r>
            <w:r>
              <w:t>, but using updated data</w:t>
            </w:r>
            <w:r w:rsidRPr="002A48E0">
              <w:t xml:space="preserve">, as required by the terms of reference. </w:t>
            </w:r>
            <w:r>
              <w:t xml:space="preserve">Data for </w:t>
            </w:r>
            <w:r w:rsidRPr="002A48E0">
              <w:t>201</w:t>
            </w:r>
            <w:r>
              <w:t>7</w:t>
            </w:r>
            <w:r>
              <w:noBreakHyphen/>
            </w:r>
            <w:r w:rsidRPr="002A48E0">
              <w:t>1</w:t>
            </w:r>
            <w:r>
              <w:t>8</w:t>
            </w:r>
            <w:r w:rsidRPr="002A48E0">
              <w:t xml:space="preserve"> </w:t>
            </w:r>
            <w:r>
              <w:t xml:space="preserve">are incorporated </w:t>
            </w:r>
            <w:r w:rsidRPr="002A48E0">
              <w:t>for the first time while</w:t>
            </w:r>
            <w:r>
              <w:t>, under the three-year averaging process,</w:t>
            </w:r>
            <w:r w:rsidRPr="002A48E0">
              <w:t xml:space="preserve"> 201</w:t>
            </w:r>
            <w:r>
              <w:t>4</w:t>
            </w:r>
            <w:r>
              <w:noBreakHyphen/>
            </w:r>
            <w:r w:rsidRPr="002A48E0">
              <w:t>1</w:t>
            </w:r>
            <w:r>
              <w:t>5</w:t>
            </w:r>
            <w:r w:rsidRPr="002A48E0">
              <w:t xml:space="preserve"> data drop out. </w:t>
            </w:r>
          </w:p>
          <w:p w:rsidR="005321DC" w:rsidRDefault="005321DC" w:rsidP="005321DC">
            <w:r>
              <w:t xml:space="preserve">Differences in State fiscal capacities have reduced in this update, resulting in a decline in the proportion of GST revenue redistributed away from equal per capita (EPC) from States with above average fiscal capacities to those with below average fiscal capacities. The redistribution from EPC </w:t>
            </w:r>
            <w:r w:rsidR="000E1FE2">
              <w:t>is estimated to fall</w:t>
            </w:r>
            <w:r>
              <w:t xml:space="preserve"> from $6.9 billion (10.4% of GST revenue in 2018</w:t>
            </w:r>
            <w:r>
              <w:noBreakHyphen/>
              <w:t>19) to $6.5 billion (9.5%) in 2019</w:t>
            </w:r>
            <w:r>
              <w:noBreakHyphen/>
              <w:t>20.</w:t>
            </w:r>
          </w:p>
          <w:p w:rsidR="005321DC" w:rsidRDefault="005321DC" w:rsidP="005321DC">
            <w:r w:rsidRPr="003E35C4">
              <w:t xml:space="preserve">The assessed fiscal capacities of </w:t>
            </w:r>
            <w:r>
              <w:t>Victoria, Queensland</w:t>
            </w:r>
            <w:r w:rsidR="000E1FE2">
              <w:t>,</w:t>
            </w:r>
            <w:r>
              <w:t xml:space="preserve"> South Australia and Tasmania </w:t>
            </w:r>
            <w:r w:rsidRPr="003E35C4">
              <w:t>have increased</w:t>
            </w:r>
            <w:r>
              <w:t xml:space="preserve"> in this update</w:t>
            </w:r>
            <w:r w:rsidRPr="003E35C4">
              <w:t>, reducing those States’ GST shares.</w:t>
            </w:r>
            <w:r>
              <w:t xml:space="preserve"> Strong growth in property sales increased the revenue raising capacity of </w:t>
            </w:r>
            <w:r w:rsidRPr="006D56B1">
              <w:rPr>
                <w:b/>
              </w:rPr>
              <w:t>Victoria</w:t>
            </w:r>
            <w:r>
              <w:t>, but this influence was largely offset by an increase in service delivery costs</w:t>
            </w:r>
            <w:r w:rsidR="00306EAD">
              <w:t>,</w:t>
            </w:r>
            <w:r>
              <w:t xml:space="preserve"> including wages. The effects of increased coal production and higher coal prices, and a continued decline in natural disaster expenses, reduced </w:t>
            </w:r>
            <w:r w:rsidRPr="006D56B1">
              <w:rPr>
                <w:b/>
              </w:rPr>
              <w:t>Queensland’s</w:t>
            </w:r>
            <w:r>
              <w:t xml:space="preserve"> GST share. A correction to States’ previously reported natural disaster expenses contributed to this reduction. T</w:t>
            </w:r>
            <w:r w:rsidRPr="006D3C9D">
              <w:t xml:space="preserve">he </w:t>
            </w:r>
            <w:r>
              <w:t>scale</w:t>
            </w:r>
            <w:r w:rsidRPr="006D3C9D">
              <w:t xml:space="preserve"> of the </w:t>
            </w:r>
            <w:r>
              <w:t>increase</w:t>
            </w:r>
            <w:r w:rsidRPr="006D3C9D">
              <w:t xml:space="preserve"> in Queensland</w:t>
            </w:r>
            <w:r>
              <w:t>’s</w:t>
            </w:r>
            <w:r w:rsidRPr="006D3C9D">
              <w:t xml:space="preserve"> fiscal capacity is such that, even taking into account growth in the GST pool, its recommended GST entitlement is </w:t>
            </w:r>
            <w:r>
              <w:t xml:space="preserve">slightly </w:t>
            </w:r>
            <w:r w:rsidRPr="006D3C9D">
              <w:t>lower in 2019</w:t>
            </w:r>
            <w:r w:rsidRPr="006D3C9D">
              <w:noBreakHyphen/>
              <w:t>20 than in 2018</w:t>
            </w:r>
            <w:r w:rsidRPr="006D3C9D">
              <w:noBreakHyphen/>
              <w:t>19.</w:t>
            </w:r>
            <w:r w:rsidR="009E46A0">
              <w:t xml:space="preserve"> </w:t>
            </w:r>
            <w:r w:rsidRPr="006D56B1">
              <w:rPr>
                <w:b/>
              </w:rPr>
              <w:t>South Australia’s</w:t>
            </w:r>
            <w:r>
              <w:t xml:space="preserve"> stronger fiscal capacity was driven by an increase in its share of Commonwealth payments and a decline in its share of population growth. The improvement in the fiscal capacity of </w:t>
            </w:r>
            <w:r w:rsidRPr="006D56B1">
              <w:rPr>
                <w:b/>
              </w:rPr>
              <w:t>Tasmania</w:t>
            </w:r>
            <w:r>
              <w:t xml:space="preserve"> </w:t>
            </w:r>
            <w:r w:rsidR="00740560">
              <w:t>resulted from</w:t>
            </w:r>
            <w:r>
              <w:t xml:space="preserve"> an increase in its revenue raising capacity and in its share of Commonwealth payments, partly offset by an increase in assessed wage costs. </w:t>
            </w:r>
          </w:p>
          <w:p w:rsidR="00BB3126" w:rsidRDefault="005321DC" w:rsidP="005321DC">
            <w:r>
              <w:t xml:space="preserve">The assessed fiscal capacities of the other four States have fallen, increasing those States’ GST shares. A decrease in </w:t>
            </w:r>
            <w:r w:rsidRPr="006D56B1">
              <w:rPr>
                <w:b/>
              </w:rPr>
              <w:t>New South Wales’</w:t>
            </w:r>
            <w:r>
              <w:t xml:space="preserve"> share of Commonwealth payments reduced its revenue raising capacity. </w:t>
            </w:r>
            <w:r w:rsidRPr="006D56B1">
              <w:rPr>
                <w:b/>
              </w:rPr>
              <w:t>Western Australia</w:t>
            </w:r>
            <w:r>
              <w:t xml:space="preserve"> remains the fiscally strongest State but, between 2014</w:t>
            </w:r>
            <w:r>
              <w:noBreakHyphen/>
              <w:t>15 and 2017</w:t>
            </w:r>
            <w:r>
              <w:noBreakHyphen/>
              <w:t xml:space="preserve">18, its capacity to raise revenue from payroll tax, land tax, and stamp duty on conveyances declined. A fall in North West Shelf royalties also contributed to the decline in its revenue raising capacity. These changes were partly offset by a marked decline in its assessed wage costs (see </w:t>
            </w:r>
            <w:r>
              <w:fldChar w:fldCharType="begin"/>
            </w:r>
            <w:r>
              <w:instrText xml:space="preserve"> REF _Ref536800641 \h </w:instrText>
            </w:r>
            <w:r>
              <w:fldChar w:fldCharType="separate"/>
            </w:r>
            <w:r w:rsidR="00E82224">
              <w:t>Box 1-</w:t>
            </w:r>
            <w:r w:rsidR="00E82224">
              <w:rPr>
                <w:noProof/>
              </w:rPr>
              <w:t>1</w:t>
            </w:r>
            <w:r>
              <w:fldChar w:fldCharType="end"/>
            </w:r>
            <w:r>
              <w:t xml:space="preserve"> </w:t>
            </w:r>
            <w:r w:rsidR="00722F87">
              <w:t>on</w:t>
            </w:r>
            <w:r>
              <w:t xml:space="preserve"> page </w:t>
            </w:r>
            <w:r w:rsidR="007C23EB">
              <w:fldChar w:fldCharType="begin"/>
            </w:r>
            <w:r w:rsidR="007C23EB">
              <w:instrText xml:space="preserve"> PAGEREF Box1_1 \h </w:instrText>
            </w:r>
            <w:r w:rsidR="007C23EB">
              <w:fldChar w:fldCharType="separate"/>
            </w:r>
            <w:r w:rsidR="00E82224">
              <w:rPr>
                <w:noProof/>
              </w:rPr>
              <w:t>22</w:t>
            </w:r>
            <w:r w:rsidR="007C23EB">
              <w:fldChar w:fldCharType="end"/>
            </w:r>
            <w:r>
              <w:t xml:space="preserve"> for details). The </w:t>
            </w:r>
            <w:r w:rsidRPr="006D56B1">
              <w:rPr>
                <w:b/>
              </w:rPr>
              <w:t>ACT’s</w:t>
            </w:r>
            <w:r>
              <w:t xml:space="preserve"> weaker fiscal capacity resulted from above average growth in its wage levels between 2014</w:t>
            </w:r>
            <w:r>
              <w:noBreakHyphen/>
              <w:t>15 and 2017</w:t>
            </w:r>
            <w:r>
              <w:noBreakHyphen/>
              <w:t xml:space="preserve">18. The marginally weaker fiscal capacity of the </w:t>
            </w:r>
            <w:r w:rsidRPr="006D56B1">
              <w:rPr>
                <w:b/>
              </w:rPr>
              <w:t>Northern Territory</w:t>
            </w:r>
            <w:r>
              <w:t xml:space="preserve"> resulted from an upward revision to its share of population growth, but this was largely offset by a fall in service delivery costs</w:t>
            </w:r>
            <w:r w:rsidR="009E46A0">
              <w:t>,</w:t>
            </w:r>
            <w:r>
              <w:t xml:space="preserve"> including wages.</w:t>
            </w:r>
          </w:p>
          <w:p w:rsidR="00DD4DC3" w:rsidRPr="00001ED7" w:rsidRDefault="00DD4DC3" w:rsidP="00DD4DC3">
            <w:pPr>
              <w:rPr>
                <w:highlight w:val="yellow"/>
              </w:rPr>
            </w:pPr>
            <w:r>
              <w:t>The Commission’s recommended relativities for 2019</w:t>
            </w:r>
            <w:r>
              <w:noBreakHyphen/>
              <w:t xml:space="preserve">20 can be found at </w:t>
            </w:r>
            <w:r>
              <w:fldChar w:fldCharType="begin"/>
            </w:r>
            <w:r>
              <w:instrText xml:space="preserve"> REF _Ref503770422 \h </w:instrText>
            </w:r>
            <w:r>
              <w:fldChar w:fldCharType="separate"/>
            </w:r>
            <w:r w:rsidR="00E82224" w:rsidRPr="00E06D38">
              <w:t xml:space="preserve">Table </w:t>
            </w:r>
            <w:r w:rsidR="00E82224">
              <w:rPr>
                <w:noProof/>
              </w:rPr>
              <w:t>1</w:t>
            </w:r>
            <w:r>
              <w:fldChar w:fldCharType="end"/>
            </w:r>
            <w:r>
              <w:t>.</w:t>
            </w:r>
          </w:p>
        </w:tc>
      </w:tr>
    </w:tbl>
    <w:p w:rsidR="00BB3126" w:rsidRPr="006C611D" w:rsidRDefault="00BB3126" w:rsidP="00BB3126">
      <w:pPr>
        <w:pStyle w:val="Heading1"/>
      </w:pPr>
      <w:bookmarkStart w:id="245" w:name="_Ref536517175"/>
      <w:bookmarkStart w:id="246" w:name="_Toc536803158"/>
      <w:bookmarkStart w:id="247" w:name="_Toc536803246"/>
      <w:bookmarkStart w:id="248" w:name="_Toc1115126"/>
      <w:bookmarkStart w:id="249" w:name="_Toc474923739"/>
      <w:bookmarkStart w:id="250" w:name="_Toc505872165"/>
      <w:r w:rsidRPr="006C611D">
        <w:lastRenderedPageBreak/>
        <w:t>Overview</w:t>
      </w:r>
      <w:bookmarkEnd w:id="245"/>
      <w:bookmarkEnd w:id="246"/>
      <w:bookmarkEnd w:id="247"/>
      <w:bookmarkEnd w:id="248"/>
    </w:p>
    <w:p w:rsidR="00BB3126" w:rsidRPr="006C611D" w:rsidRDefault="00BB3126" w:rsidP="00BB3126">
      <w:pPr>
        <w:pStyle w:val="Heading3"/>
      </w:pPr>
      <w:bookmarkStart w:id="251" w:name="_Toc536519616"/>
      <w:bookmarkStart w:id="252" w:name="_Toc536631326"/>
      <w:bookmarkStart w:id="253" w:name="_Toc536803159"/>
      <w:bookmarkStart w:id="254" w:name="_Toc536803247"/>
      <w:bookmarkStart w:id="255" w:name="_Toc1115127"/>
      <w:r w:rsidRPr="006C611D">
        <w:t>Recommended GST distribution</w:t>
      </w:r>
      <w:bookmarkEnd w:id="249"/>
      <w:bookmarkEnd w:id="250"/>
      <w:bookmarkEnd w:id="251"/>
      <w:bookmarkEnd w:id="252"/>
      <w:bookmarkEnd w:id="253"/>
      <w:bookmarkEnd w:id="254"/>
      <w:bookmarkEnd w:id="255"/>
    </w:p>
    <w:p w:rsidR="00BB3126" w:rsidRPr="00E06D38" w:rsidRDefault="00BB3126" w:rsidP="00BB3126">
      <w:pPr>
        <w:pStyle w:val="CGCNumberedPara"/>
        <w:numPr>
          <w:ilvl w:val="1"/>
          <w:numId w:val="41"/>
        </w:numPr>
      </w:pPr>
      <w:r w:rsidRPr="006C611D">
        <w:fldChar w:fldCharType="begin"/>
      </w:r>
      <w:r w:rsidRPr="006C611D">
        <w:instrText xml:space="preserve"> REF _Ref503770422 \h  \* MERGEFORMAT </w:instrText>
      </w:r>
      <w:r w:rsidRPr="006C611D">
        <w:fldChar w:fldCharType="separate"/>
      </w:r>
      <w:r w:rsidR="00E82224" w:rsidRPr="00E06D38">
        <w:t xml:space="preserve">Table </w:t>
      </w:r>
      <w:r w:rsidR="00E82224">
        <w:rPr>
          <w:noProof/>
        </w:rPr>
        <w:t>1</w:t>
      </w:r>
      <w:r w:rsidRPr="006C611D">
        <w:fldChar w:fldCharType="end"/>
      </w:r>
      <w:r w:rsidRPr="006C611D">
        <w:t xml:space="preserve"> shows the per capita relativities the Commission recommends for use in distributing the GST revenue </w:t>
      </w:r>
      <w:r>
        <w:t>among</w:t>
      </w:r>
      <w:r w:rsidRPr="006C611D">
        <w:t xml:space="preserve"> the States in 201</w:t>
      </w:r>
      <w:r>
        <w:t>9</w:t>
      </w:r>
      <w:r>
        <w:noBreakHyphen/>
        <w:t>20</w:t>
      </w:r>
      <w:r w:rsidRPr="006C611D">
        <w:t xml:space="preserve">. It also shows State shares of the GST revenue </w:t>
      </w:r>
      <w:r>
        <w:t>implied by the Commission’s 2019</w:t>
      </w:r>
      <w:r>
        <w:noBreakHyphen/>
        <w:t>20</w:t>
      </w:r>
      <w:r w:rsidRPr="006C611D">
        <w:t xml:space="preserve"> recommendations and an </w:t>
      </w:r>
      <w:r w:rsidRPr="00E06D38">
        <w:t xml:space="preserve">illustrative GST revenue distribution. </w:t>
      </w:r>
      <w:r w:rsidR="0034129F">
        <w:t>The table</w:t>
      </w:r>
      <w:r w:rsidRPr="00E06D38">
        <w:t xml:space="preserve"> compares these with the results for 2018</w:t>
      </w:r>
      <w:r w:rsidRPr="00E06D38">
        <w:noBreakHyphen/>
        <w:t>19.</w:t>
      </w:r>
    </w:p>
    <w:p w:rsidR="00BB3126" w:rsidRPr="00E06D38" w:rsidRDefault="00BB3126" w:rsidP="00BB3126">
      <w:pPr>
        <w:pStyle w:val="Caption"/>
      </w:pPr>
      <w:bookmarkStart w:id="256" w:name="_Ref503770422"/>
      <w:r w:rsidRPr="00E06D38">
        <w:t xml:space="preserve">Table </w:t>
      </w:r>
      <w:r>
        <w:rPr>
          <w:noProof/>
        </w:rPr>
        <w:fldChar w:fldCharType="begin"/>
      </w:r>
      <w:r>
        <w:rPr>
          <w:noProof/>
        </w:rPr>
        <w:instrText xml:space="preserve"> SEQ Table \* ARABIC </w:instrText>
      </w:r>
      <w:r>
        <w:rPr>
          <w:noProof/>
        </w:rPr>
        <w:fldChar w:fldCharType="separate"/>
      </w:r>
      <w:r w:rsidR="00E82224">
        <w:rPr>
          <w:noProof/>
        </w:rPr>
        <w:t>1</w:t>
      </w:r>
      <w:r>
        <w:rPr>
          <w:noProof/>
        </w:rPr>
        <w:fldChar w:fldCharType="end"/>
      </w:r>
      <w:bookmarkEnd w:id="256"/>
      <w:r w:rsidRPr="00E06D38">
        <w:tab/>
        <w:t>Relativities, shares and illustrative GST distribution, 2018</w:t>
      </w:r>
      <w:r w:rsidRPr="00E06D38">
        <w:noBreakHyphen/>
        <w:t>19 and 2019-20</w:t>
      </w:r>
    </w:p>
    <w:tbl>
      <w:tblPr>
        <w:tblW w:w="8940" w:type="dxa"/>
        <w:tblLayout w:type="fixed"/>
        <w:tblCellMar>
          <w:left w:w="0" w:type="dxa"/>
          <w:right w:w="0" w:type="dxa"/>
        </w:tblCellMar>
        <w:tblLook w:val="04A0" w:firstRow="1" w:lastRow="0" w:firstColumn="1" w:lastColumn="0" w:noHBand="0" w:noVBand="1"/>
      </w:tblPr>
      <w:tblGrid>
        <w:gridCol w:w="2460"/>
        <w:gridCol w:w="1080"/>
        <w:gridCol w:w="1080"/>
        <w:gridCol w:w="1080"/>
        <w:gridCol w:w="1080"/>
        <w:gridCol w:w="1080"/>
        <w:gridCol w:w="1080"/>
      </w:tblGrid>
      <w:tr w:rsidR="00BB3126" w:rsidRPr="00031F24" w:rsidTr="00C7618F">
        <w:trPr>
          <w:trHeight w:val="375"/>
        </w:trPr>
        <w:tc>
          <w:tcPr>
            <w:tcW w:w="2460" w:type="dxa"/>
            <w:tcBorders>
              <w:top w:val="single" w:sz="4" w:space="0" w:color="auto"/>
              <w:left w:val="nil"/>
              <w:bottom w:val="nil"/>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 </w:t>
            </w:r>
          </w:p>
        </w:tc>
        <w:tc>
          <w:tcPr>
            <w:tcW w:w="2160" w:type="dxa"/>
            <w:gridSpan w:val="2"/>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ind w:left="193" w:hanging="142"/>
              <w:jc w:val="center"/>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Relativities</w:t>
            </w:r>
          </w:p>
        </w:tc>
        <w:tc>
          <w:tcPr>
            <w:tcW w:w="2160" w:type="dxa"/>
            <w:gridSpan w:val="2"/>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ind w:left="193" w:hanging="142"/>
              <w:jc w:val="center"/>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GST shares</w:t>
            </w:r>
          </w:p>
        </w:tc>
        <w:tc>
          <w:tcPr>
            <w:tcW w:w="2160" w:type="dxa"/>
            <w:gridSpan w:val="2"/>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ind w:left="193" w:hanging="142"/>
              <w:jc w:val="center"/>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GST distribution</w:t>
            </w:r>
          </w:p>
        </w:tc>
      </w:tr>
      <w:tr w:rsidR="00BB3126" w:rsidRPr="00031F24" w:rsidTr="00C7618F">
        <w:trPr>
          <w:trHeight w:val="375"/>
        </w:trPr>
        <w:tc>
          <w:tcPr>
            <w:tcW w:w="246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bookmarkStart w:id="257" w:name="RANGE!A5:G15"/>
            <w:r w:rsidRPr="00031F24">
              <w:rPr>
                <w:rFonts w:ascii="Calibri" w:eastAsia="Times New Roman" w:hAnsi="Calibri" w:cs="Calibri"/>
                <w:sz w:val="20"/>
                <w:szCs w:val="20"/>
                <w:lang w:eastAsia="en-AU"/>
              </w:rPr>
              <w:t> </w:t>
            </w:r>
            <w:bookmarkEnd w:id="257"/>
          </w:p>
        </w:tc>
        <w:tc>
          <w:tcPr>
            <w:tcW w:w="108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2018-19</w:t>
            </w:r>
          </w:p>
        </w:tc>
        <w:tc>
          <w:tcPr>
            <w:tcW w:w="108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2019-20</w:t>
            </w:r>
          </w:p>
        </w:tc>
        <w:tc>
          <w:tcPr>
            <w:tcW w:w="108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2018-19</w:t>
            </w:r>
          </w:p>
        </w:tc>
        <w:tc>
          <w:tcPr>
            <w:tcW w:w="108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2019-20</w:t>
            </w:r>
          </w:p>
        </w:tc>
        <w:tc>
          <w:tcPr>
            <w:tcW w:w="108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2018-19</w:t>
            </w:r>
          </w:p>
        </w:tc>
        <w:tc>
          <w:tcPr>
            <w:tcW w:w="108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2019-20</w:t>
            </w:r>
          </w:p>
        </w:tc>
      </w:tr>
      <w:tr w:rsidR="00BB3126" w:rsidRPr="00031F24" w:rsidTr="00C7618F">
        <w:trPr>
          <w:trHeight w:val="259"/>
        </w:trPr>
        <w:tc>
          <w:tcPr>
            <w:tcW w:w="246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p>
        </w:tc>
        <w:tc>
          <w:tcPr>
            <w:tcW w:w="10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rPr>
                <w:rFonts w:ascii="Times New Roman" w:eastAsia="Times New Roman" w:hAnsi="Times New Roman" w:cs="Times New Roman"/>
                <w:sz w:val="20"/>
                <w:szCs w:val="20"/>
                <w:lang w:eastAsia="en-AU"/>
              </w:rPr>
            </w:pPr>
          </w:p>
        </w:tc>
        <w:tc>
          <w:tcPr>
            <w:tcW w:w="10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Times New Roman" w:eastAsia="Times New Roman" w:hAnsi="Times New Roman" w:cs="Times New Roman"/>
                <w:sz w:val="20"/>
                <w:szCs w:val="20"/>
                <w:lang w:eastAsia="en-AU"/>
              </w:rPr>
            </w:pPr>
          </w:p>
        </w:tc>
        <w:tc>
          <w:tcPr>
            <w:tcW w:w="10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w:t>
            </w:r>
          </w:p>
        </w:tc>
        <w:tc>
          <w:tcPr>
            <w:tcW w:w="10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w:t>
            </w:r>
          </w:p>
        </w:tc>
        <w:tc>
          <w:tcPr>
            <w:tcW w:w="10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10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r>
      <w:tr w:rsidR="00BB3126" w:rsidRPr="00031F24" w:rsidTr="00C7618F">
        <w:trPr>
          <w:trHeight w:val="315"/>
        </w:trPr>
        <w:tc>
          <w:tcPr>
            <w:tcW w:w="246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New South Wales</w:t>
            </w:r>
          </w:p>
        </w:tc>
        <w:tc>
          <w:tcPr>
            <w:tcW w:w="10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0.85517</w:t>
            </w:r>
          </w:p>
        </w:tc>
        <w:tc>
          <w:tcPr>
            <w:tcW w:w="1080" w:type="dxa"/>
            <w:tcBorders>
              <w:top w:val="nil"/>
              <w:left w:val="nil"/>
              <w:bottom w:val="nil"/>
              <w:right w:val="nil"/>
            </w:tcBorders>
            <w:shd w:val="clear" w:color="000000" w:fill="D9D9D9"/>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0.87013</w:t>
            </w:r>
          </w:p>
        </w:tc>
        <w:tc>
          <w:tcPr>
            <w:tcW w:w="10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27.4</w:t>
            </w:r>
          </w:p>
        </w:tc>
        <w:tc>
          <w:tcPr>
            <w:tcW w:w="1080" w:type="dxa"/>
            <w:tcBorders>
              <w:top w:val="nil"/>
              <w:left w:val="nil"/>
              <w:bottom w:val="nil"/>
              <w:right w:val="nil"/>
            </w:tcBorders>
            <w:shd w:val="clear" w:color="000000" w:fill="D9D9D9"/>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27.9</w:t>
            </w:r>
          </w:p>
        </w:tc>
        <w:tc>
          <w:tcPr>
            <w:tcW w:w="10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18 257</w:t>
            </w:r>
          </w:p>
        </w:tc>
        <w:tc>
          <w:tcPr>
            <w:tcW w:w="1080" w:type="dxa"/>
            <w:tcBorders>
              <w:top w:val="nil"/>
              <w:left w:val="nil"/>
              <w:bottom w:val="nil"/>
              <w:right w:val="nil"/>
            </w:tcBorders>
            <w:shd w:val="clear" w:color="000000" w:fill="D9D9D9"/>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19 269</w:t>
            </w:r>
          </w:p>
        </w:tc>
      </w:tr>
      <w:tr w:rsidR="00BB3126" w:rsidRPr="00031F24" w:rsidTr="00C7618F">
        <w:trPr>
          <w:trHeight w:val="315"/>
        </w:trPr>
        <w:tc>
          <w:tcPr>
            <w:tcW w:w="246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Victoria</w:t>
            </w:r>
          </w:p>
        </w:tc>
        <w:tc>
          <w:tcPr>
            <w:tcW w:w="10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0.98670</w:t>
            </w:r>
          </w:p>
        </w:tc>
        <w:tc>
          <w:tcPr>
            <w:tcW w:w="1080" w:type="dxa"/>
            <w:tcBorders>
              <w:top w:val="nil"/>
              <w:left w:val="nil"/>
              <w:bottom w:val="nil"/>
              <w:right w:val="nil"/>
            </w:tcBorders>
            <w:shd w:val="clear" w:color="000000" w:fill="D9D9D9"/>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0.98273</w:t>
            </w:r>
          </w:p>
        </w:tc>
        <w:tc>
          <w:tcPr>
            <w:tcW w:w="10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25.6</w:t>
            </w:r>
          </w:p>
        </w:tc>
        <w:tc>
          <w:tcPr>
            <w:tcW w:w="1080" w:type="dxa"/>
            <w:tcBorders>
              <w:top w:val="nil"/>
              <w:left w:val="nil"/>
              <w:bottom w:val="nil"/>
              <w:right w:val="nil"/>
            </w:tcBorders>
            <w:shd w:val="clear" w:color="000000" w:fill="D9D9D9"/>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25.7</w:t>
            </w:r>
          </w:p>
        </w:tc>
        <w:tc>
          <w:tcPr>
            <w:tcW w:w="10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17 074</w:t>
            </w:r>
          </w:p>
        </w:tc>
        <w:tc>
          <w:tcPr>
            <w:tcW w:w="1080" w:type="dxa"/>
            <w:tcBorders>
              <w:top w:val="nil"/>
              <w:left w:val="nil"/>
              <w:bottom w:val="nil"/>
              <w:right w:val="nil"/>
            </w:tcBorders>
            <w:shd w:val="clear" w:color="000000" w:fill="D9D9D9"/>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17 734</w:t>
            </w:r>
          </w:p>
        </w:tc>
      </w:tr>
      <w:tr w:rsidR="00BB3126" w:rsidRPr="00031F24" w:rsidTr="00C7618F">
        <w:trPr>
          <w:trHeight w:val="315"/>
        </w:trPr>
        <w:tc>
          <w:tcPr>
            <w:tcW w:w="246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Queensland</w:t>
            </w:r>
          </w:p>
        </w:tc>
        <w:tc>
          <w:tcPr>
            <w:tcW w:w="10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1.09584</w:t>
            </w:r>
          </w:p>
        </w:tc>
        <w:tc>
          <w:tcPr>
            <w:tcW w:w="1080" w:type="dxa"/>
            <w:tcBorders>
              <w:top w:val="nil"/>
              <w:left w:val="nil"/>
              <w:bottom w:val="nil"/>
              <w:right w:val="nil"/>
            </w:tcBorders>
            <w:shd w:val="clear" w:color="000000" w:fill="D9D9D9"/>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1.05370</w:t>
            </w:r>
          </w:p>
        </w:tc>
        <w:tc>
          <w:tcPr>
            <w:tcW w:w="10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22.0</w:t>
            </w:r>
          </w:p>
        </w:tc>
        <w:tc>
          <w:tcPr>
            <w:tcW w:w="1080" w:type="dxa"/>
            <w:tcBorders>
              <w:top w:val="nil"/>
              <w:left w:val="nil"/>
              <w:bottom w:val="nil"/>
              <w:right w:val="nil"/>
            </w:tcBorders>
            <w:shd w:val="clear" w:color="000000" w:fill="D9D9D9"/>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21.1</w:t>
            </w:r>
          </w:p>
        </w:tc>
        <w:tc>
          <w:tcPr>
            <w:tcW w:w="10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14 630</w:t>
            </w:r>
          </w:p>
        </w:tc>
        <w:tc>
          <w:tcPr>
            <w:tcW w:w="1080" w:type="dxa"/>
            <w:tcBorders>
              <w:top w:val="nil"/>
              <w:left w:val="nil"/>
              <w:bottom w:val="nil"/>
              <w:right w:val="nil"/>
            </w:tcBorders>
            <w:shd w:val="clear" w:color="000000" w:fill="D9D9D9"/>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14 558</w:t>
            </w:r>
          </w:p>
        </w:tc>
      </w:tr>
      <w:tr w:rsidR="00BB3126" w:rsidRPr="00031F24" w:rsidTr="00C7618F">
        <w:trPr>
          <w:trHeight w:val="315"/>
        </w:trPr>
        <w:tc>
          <w:tcPr>
            <w:tcW w:w="246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Western Australia</w:t>
            </w:r>
          </w:p>
        </w:tc>
        <w:tc>
          <w:tcPr>
            <w:tcW w:w="10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0.47287</w:t>
            </w:r>
          </w:p>
        </w:tc>
        <w:tc>
          <w:tcPr>
            <w:tcW w:w="1080" w:type="dxa"/>
            <w:tcBorders>
              <w:top w:val="nil"/>
              <w:left w:val="nil"/>
              <w:bottom w:val="nil"/>
              <w:right w:val="nil"/>
            </w:tcBorders>
            <w:shd w:val="clear" w:color="000000" w:fill="D9D9D9"/>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0.51842</w:t>
            </w:r>
          </w:p>
        </w:tc>
        <w:tc>
          <w:tcPr>
            <w:tcW w:w="10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4.9</w:t>
            </w:r>
          </w:p>
        </w:tc>
        <w:tc>
          <w:tcPr>
            <w:tcW w:w="1080" w:type="dxa"/>
            <w:tcBorders>
              <w:top w:val="nil"/>
              <w:left w:val="nil"/>
              <w:bottom w:val="nil"/>
              <w:right w:val="nil"/>
            </w:tcBorders>
            <w:shd w:val="clear" w:color="000000" w:fill="D9D9D9"/>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5.4</w:t>
            </w:r>
          </w:p>
        </w:tc>
        <w:tc>
          <w:tcPr>
            <w:tcW w:w="10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3 271</w:t>
            </w:r>
          </w:p>
        </w:tc>
        <w:tc>
          <w:tcPr>
            <w:tcW w:w="1080" w:type="dxa"/>
            <w:tcBorders>
              <w:top w:val="nil"/>
              <w:left w:val="nil"/>
              <w:bottom w:val="nil"/>
              <w:right w:val="nil"/>
            </w:tcBorders>
            <w:shd w:val="clear" w:color="000000" w:fill="D9D9D9"/>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3 694</w:t>
            </w:r>
          </w:p>
        </w:tc>
      </w:tr>
      <w:tr w:rsidR="00BB3126" w:rsidRPr="00031F24" w:rsidTr="00C7618F">
        <w:trPr>
          <w:trHeight w:val="315"/>
        </w:trPr>
        <w:tc>
          <w:tcPr>
            <w:tcW w:w="246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South Australia</w:t>
            </w:r>
          </w:p>
        </w:tc>
        <w:tc>
          <w:tcPr>
            <w:tcW w:w="10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1.47727</w:t>
            </w:r>
          </w:p>
        </w:tc>
        <w:tc>
          <w:tcPr>
            <w:tcW w:w="1080" w:type="dxa"/>
            <w:tcBorders>
              <w:top w:val="nil"/>
              <w:left w:val="nil"/>
              <w:bottom w:val="nil"/>
              <w:right w:val="nil"/>
            </w:tcBorders>
            <w:shd w:val="clear" w:color="000000" w:fill="D9D9D9"/>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1.46552</w:t>
            </w:r>
          </w:p>
        </w:tc>
        <w:tc>
          <w:tcPr>
            <w:tcW w:w="10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10.2</w:t>
            </w:r>
          </w:p>
        </w:tc>
        <w:tc>
          <w:tcPr>
            <w:tcW w:w="1080" w:type="dxa"/>
            <w:tcBorders>
              <w:top w:val="nil"/>
              <w:left w:val="nil"/>
              <w:bottom w:val="nil"/>
              <w:right w:val="nil"/>
            </w:tcBorders>
            <w:shd w:val="clear" w:color="000000" w:fill="D9D9D9"/>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10.1</w:t>
            </w:r>
          </w:p>
        </w:tc>
        <w:tc>
          <w:tcPr>
            <w:tcW w:w="10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6 815</w:t>
            </w:r>
          </w:p>
        </w:tc>
        <w:tc>
          <w:tcPr>
            <w:tcW w:w="1080" w:type="dxa"/>
            <w:tcBorders>
              <w:top w:val="nil"/>
              <w:left w:val="nil"/>
              <w:bottom w:val="nil"/>
              <w:right w:val="nil"/>
            </w:tcBorders>
            <w:shd w:val="clear" w:color="000000" w:fill="D9D9D9"/>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6 946</w:t>
            </w:r>
          </w:p>
        </w:tc>
      </w:tr>
      <w:tr w:rsidR="00BB3126" w:rsidRPr="00031F24" w:rsidTr="00C7618F">
        <w:trPr>
          <w:trHeight w:val="315"/>
        </w:trPr>
        <w:tc>
          <w:tcPr>
            <w:tcW w:w="246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Tasmania</w:t>
            </w:r>
          </w:p>
        </w:tc>
        <w:tc>
          <w:tcPr>
            <w:tcW w:w="10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1.76706</w:t>
            </w:r>
          </w:p>
        </w:tc>
        <w:tc>
          <w:tcPr>
            <w:tcW w:w="1080" w:type="dxa"/>
            <w:tcBorders>
              <w:top w:val="nil"/>
              <w:left w:val="nil"/>
              <w:bottom w:val="nil"/>
              <w:right w:val="nil"/>
            </w:tcBorders>
            <w:shd w:val="clear" w:color="000000" w:fill="D9D9D9"/>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1.75576</w:t>
            </w:r>
          </w:p>
        </w:tc>
        <w:tc>
          <w:tcPr>
            <w:tcW w:w="10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3.7</w:t>
            </w:r>
          </w:p>
        </w:tc>
        <w:tc>
          <w:tcPr>
            <w:tcW w:w="1080" w:type="dxa"/>
            <w:tcBorders>
              <w:top w:val="nil"/>
              <w:left w:val="nil"/>
              <w:bottom w:val="nil"/>
              <w:right w:val="nil"/>
            </w:tcBorders>
            <w:shd w:val="clear" w:color="000000" w:fill="D9D9D9"/>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3.6</w:t>
            </w:r>
          </w:p>
        </w:tc>
        <w:tc>
          <w:tcPr>
            <w:tcW w:w="10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2 469</w:t>
            </w:r>
          </w:p>
        </w:tc>
        <w:tc>
          <w:tcPr>
            <w:tcW w:w="1080" w:type="dxa"/>
            <w:tcBorders>
              <w:top w:val="nil"/>
              <w:left w:val="nil"/>
              <w:bottom w:val="nil"/>
              <w:right w:val="nil"/>
            </w:tcBorders>
            <w:shd w:val="clear" w:color="000000" w:fill="D9D9D9"/>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2 513</w:t>
            </w:r>
          </w:p>
        </w:tc>
      </w:tr>
      <w:tr w:rsidR="00BB3126" w:rsidRPr="00031F24" w:rsidTr="00C7618F">
        <w:trPr>
          <w:trHeight w:val="315"/>
        </w:trPr>
        <w:tc>
          <w:tcPr>
            <w:tcW w:w="246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Australian Capital Territory</w:t>
            </w:r>
          </w:p>
        </w:tc>
        <w:tc>
          <w:tcPr>
            <w:tcW w:w="10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1.18070</w:t>
            </w:r>
          </w:p>
        </w:tc>
        <w:tc>
          <w:tcPr>
            <w:tcW w:w="1080" w:type="dxa"/>
            <w:tcBorders>
              <w:top w:val="nil"/>
              <w:left w:val="nil"/>
              <w:bottom w:val="nil"/>
              <w:right w:val="nil"/>
            </w:tcBorders>
            <w:shd w:val="clear" w:color="000000" w:fill="D9D9D9"/>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1.23759</w:t>
            </w:r>
          </w:p>
        </w:tc>
        <w:tc>
          <w:tcPr>
            <w:tcW w:w="10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2.0</w:t>
            </w:r>
          </w:p>
        </w:tc>
        <w:tc>
          <w:tcPr>
            <w:tcW w:w="1080" w:type="dxa"/>
            <w:tcBorders>
              <w:top w:val="nil"/>
              <w:left w:val="nil"/>
              <w:bottom w:val="nil"/>
              <w:right w:val="nil"/>
            </w:tcBorders>
            <w:shd w:val="clear" w:color="000000" w:fill="D9D9D9"/>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2.1</w:t>
            </w:r>
          </w:p>
        </w:tc>
        <w:tc>
          <w:tcPr>
            <w:tcW w:w="10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1 322</w:t>
            </w:r>
          </w:p>
        </w:tc>
        <w:tc>
          <w:tcPr>
            <w:tcW w:w="1080" w:type="dxa"/>
            <w:tcBorders>
              <w:top w:val="nil"/>
              <w:left w:val="nil"/>
              <w:bottom w:val="nil"/>
              <w:right w:val="nil"/>
            </w:tcBorders>
            <w:shd w:val="clear" w:color="000000" w:fill="D9D9D9"/>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1 435</w:t>
            </w:r>
          </w:p>
        </w:tc>
      </w:tr>
      <w:tr w:rsidR="00BB3126" w:rsidRPr="00031F24" w:rsidTr="00C7618F">
        <w:trPr>
          <w:trHeight w:val="315"/>
        </w:trPr>
        <w:tc>
          <w:tcPr>
            <w:tcW w:w="246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Northern Territory</w:t>
            </w:r>
          </w:p>
        </w:tc>
        <w:tc>
          <w:tcPr>
            <w:tcW w:w="10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4.25816</w:t>
            </w:r>
          </w:p>
        </w:tc>
        <w:tc>
          <w:tcPr>
            <w:tcW w:w="1080" w:type="dxa"/>
            <w:tcBorders>
              <w:top w:val="nil"/>
              <w:left w:val="nil"/>
              <w:bottom w:val="nil"/>
              <w:right w:val="nil"/>
            </w:tcBorders>
            <w:shd w:val="clear" w:color="000000" w:fill="D9D9D9"/>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4.26735</w:t>
            </w:r>
          </w:p>
        </w:tc>
        <w:tc>
          <w:tcPr>
            <w:tcW w:w="10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4.2</w:t>
            </w:r>
          </w:p>
        </w:tc>
        <w:tc>
          <w:tcPr>
            <w:tcW w:w="1080" w:type="dxa"/>
            <w:tcBorders>
              <w:top w:val="nil"/>
              <w:left w:val="nil"/>
              <w:bottom w:val="nil"/>
              <w:right w:val="nil"/>
            </w:tcBorders>
            <w:shd w:val="clear" w:color="000000" w:fill="D9D9D9"/>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4.1</w:t>
            </w:r>
          </w:p>
        </w:tc>
        <w:tc>
          <w:tcPr>
            <w:tcW w:w="10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2 792</w:t>
            </w:r>
          </w:p>
        </w:tc>
        <w:tc>
          <w:tcPr>
            <w:tcW w:w="1080" w:type="dxa"/>
            <w:tcBorders>
              <w:top w:val="nil"/>
              <w:left w:val="nil"/>
              <w:bottom w:val="nil"/>
              <w:right w:val="nil"/>
            </w:tcBorders>
            <w:shd w:val="clear" w:color="000000" w:fill="D9D9D9"/>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2 860</w:t>
            </w:r>
          </w:p>
        </w:tc>
      </w:tr>
      <w:tr w:rsidR="00BB3126" w:rsidRPr="00031F24" w:rsidTr="00C7618F">
        <w:trPr>
          <w:trHeight w:val="315"/>
        </w:trPr>
        <w:tc>
          <w:tcPr>
            <w:tcW w:w="246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Total</w:t>
            </w:r>
          </w:p>
        </w:tc>
        <w:tc>
          <w:tcPr>
            <w:tcW w:w="108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1.00000</w:t>
            </w:r>
          </w:p>
        </w:tc>
        <w:tc>
          <w:tcPr>
            <w:tcW w:w="1080" w:type="dxa"/>
            <w:tcBorders>
              <w:top w:val="single" w:sz="4" w:space="0" w:color="auto"/>
              <w:left w:val="nil"/>
              <w:bottom w:val="single" w:sz="4" w:space="0" w:color="auto"/>
              <w:right w:val="nil"/>
            </w:tcBorders>
            <w:shd w:val="clear" w:color="000000" w:fill="D9D9D9"/>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1.00000</w:t>
            </w:r>
          </w:p>
        </w:tc>
        <w:tc>
          <w:tcPr>
            <w:tcW w:w="108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100.0</w:t>
            </w:r>
          </w:p>
        </w:tc>
        <w:tc>
          <w:tcPr>
            <w:tcW w:w="1080" w:type="dxa"/>
            <w:tcBorders>
              <w:top w:val="single" w:sz="4" w:space="0" w:color="auto"/>
              <w:left w:val="nil"/>
              <w:bottom w:val="single" w:sz="4" w:space="0" w:color="auto"/>
              <w:right w:val="nil"/>
            </w:tcBorders>
            <w:shd w:val="clear" w:color="000000" w:fill="D9D9D9"/>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100.0</w:t>
            </w:r>
          </w:p>
        </w:tc>
        <w:tc>
          <w:tcPr>
            <w:tcW w:w="108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66 630</w:t>
            </w:r>
          </w:p>
        </w:tc>
        <w:tc>
          <w:tcPr>
            <w:tcW w:w="1080" w:type="dxa"/>
            <w:tcBorders>
              <w:top w:val="single" w:sz="4" w:space="0" w:color="auto"/>
              <w:left w:val="nil"/>
              <w:bottom w:val="single" w:sz="4" w:space="0" w:color="auto"/>
              <w:right w:val="nil"/>
            </w:tcBorders>
            <w:shd w:val="clear" w:color="000000" w:fill="D9D9D9"/>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69 010</w:t>
            </w:r>
          </w:p>
        </w:tc>
      </w:tr>
    </w:tbl>
    <w:p w:rsidR="00BB3126" w:rsidRPr="00E06D38" w:rsidRDefault="00BB3126" w:rsidP="00BB3126">
      <w:pPr>
        <w:pStyle w:val="CGCTableFootnote"/>
        <w:ind w:left="0" w:firstLine="0"/>
      </w:pPr>
      <w:r w:rsidRPr="00E06D38">
        <w:t>Source:</w:t>
      </w:r>
      <w:r w:rsidRPr="00E06D38">
        <w:tab/>
        <w:t>Commission calculation.</w:t>
      </w:r>
    </w:p>
    <w:p w:rsidR="00202A43" w:rsidRDefault="0078748C" w:rsidP="00202A43">
      <w:pPr>
        <w:pStyle w:val="CGCNumberedPara"/>
        <w:numPr>
          <w:ilvl w:val="1"/>
          <w:numId w:val="3"/>
        </w:numPr>
      </w:pPr>
      <w:bookmarkStart w:id="258" w:name="_Ref879495"/>
      <w:r>
        <w:t>In addition</w:t>
      </w:r>
      <w:r w:rsidR="006819E4">
        <w:t xml:space="preserve"> to GST</w:t>
      </w:r>
      <w:r w:rsidR="000E1FE2">
        <w:t xml:space="preserve"> revenue</w:t>
      </w:r>
      <w:r w:rsidR="00856DCD">
        <w:t xml:space="preserve">, </w:t>
      </w:r>
      <w:r w:rsidR="00365CBF">
        <w:t>the C</w:t>
      </w:r>
      <w:r w:rsidR="00856DCD">
        <w:t xml:space="preserve">ommonwealth will be making supplementary payments </w:t>
      </w:r>
      <w:r w:rsidR="00365CBF">
        <w:t xml:space="preserve">under </w:t>
      </w:r>
      <w:r w:rsidR="000E1FE2">
        <w:t>its</w:t>
      </w:r>
      <w:r w:rsidR="00365CBF">
        <w:t xml:space="preserve"> horizontal fiscal equalisation (HFE) reform package</w:t>
      </w:r>
      <w:r w:rsidR="00AD152A">
        <w:t>,</w:t>
      </w:r>
      <w:r w:rsidR="00365CBF">
        <w:t xml:space="preserve"> </w:t>
      </w:r>
      <w:r>
        <w:t>to deliver an outcome equivalent to a relativity of 4.66</w:t>
      </w:r>
      <w:r w:rsidR="00C51779" w:rsidRPr="00C51779">
        <w:t xml:space="preserve"> </w:t>
      </w:r>
      <w:r w:rsidR="00C51779">
        <w:t>to the Northern Territory</w:t>
      </w:r>
      <w:r w:rsidR="00AD152A">
        <w:t>,</w:t>
      </w:r>
      <w:r>
        <w:t xml:space="preserve"> and an outcome equivalent to a relativity of 0.7</w:t>
      </w:r>
      <w:r w:rsidR="00C51779" w:rsidRPr="00C51779">
        <w:t xml:space="preserve"> </w:t>
      </w:r>
      <w:r w:rsidR="00C51779">
        <w:t>to Western Australia</w:t>
      </w:r>
      <w:r>
        <w:t>.</w:t>
      </w:r>
      <w:bookmarkEnd w:id="258"/>
      <w:r>
        <w:t xml:space="preserve"> </w:t>
      </w:r>
    </w:p>
    <w:p w:rsidR="00BB3126" w:rsidRPr="00E06D38" w:rsidRDefault="00BB3126" w:rsidP="00202A43">
      <w:pPr>
        <w:pStyle w:val="CGCNumberedPara"/>
        <w:numPr>
          <w:ilvl w:val="1"/>
          <w:numId w:val="3"/>
        </w:numPr>
      </w:pPr>
      <w:r w:rsidRPr="00E06D38">
        <w:t>The methods used to derive these results for 201</w:t>
      </w:r>
      <w:r>
        <w:t>9</w:t>
      </w:r>
      <w:r w:rsidRPr="00E06D38">
        <w:noBreakHyphen/>
      </w:r>
      <w:r>
        <w:t>20</w:t>
      </w:r>
      <w:r w:rsidRPr="00E06D38">
        <w:t xml:space="preserve"> are set out in the </w:t>
      </w:r>
      <w:r w:rsidRPr="00202A43">
        <w:rPr>
          <w:i/>
        </w:rPr>
        <w:t xml:space="preserve">Report on GST Revenue Sharing Relativities, 2015 Review </w:t>
      </w:r>
      <w:r w:rsidRPr="00E06D38">
        <w:t xml:space="preserve">and </w:t>
      </w:r>
      <w:r>
        <w:t>subsequent annual update reports</w:t>
      </w:r>
      <w:r w:rsidRPr="00E06D38">
        <w:t>. Using these methods, and data for 2015</w:t>
      </w:r>
      <w:r w:rsidRPr="00E06D38">
        <w:noBreakHyphen/>
        <w:t>16, 2016</w:t>
      </w:r>
      <w:r w:rsidRPr="00E06D38">
        <w:noBreakHyphen/>
        <w:t xml:space="preserve">17 and </w:t>
      </w:r>
      <w:r>
        <w:t>2017-18,</w:t>
      </w:r>
      <w:r w:rsidRPr="00E06D38">
        <w:t xml:space="preserve"> the Commission has measured how the economic, social, demographic and other characteristics of the States affect the relative expenses States </w:t>
      </w:r>
      <w:r>
        <w:t>need to</w:t>
      </w:r>
      <w:r w:rsidRPr="00E06D38">
        <w:t xml:space="preserve"> incur to provide services (including infrastructure)</w:t>
      </w:r>
      <w:r>
        <w:t xml:space="preserve"> </w:t>
      </w:r>
      <w:r w:rsidRPr="00E06D38">
        <w:t xml:space="preserve">and the relative capacity of States to raise their own revenue. The expense and revenue assessments are combined with the additional Commonwealth support States receive and </w:t>
      </w:r>
      <w:r w:rsidR="0034129F">
        <w:t xml:space="preserve">data on </w:t>
      </w:r>
      <w:r w:rsidRPr="00E06D38">
        <w:t xml:space="preserve">State populations, to </w:t>
      </w:r>
      <w:r w:rsidRPr="00E06D38">
        <w:lastRenderedPageBreak/>
        <w:t xml:space="preserve">calculate </w:t>
      </w:r>
      <w:r>
        <w:t xml:space="preserve">each </w:t>
      </w:r>
      <w:r w:rsidRPr="00E06D38">
        <w:t>State</w:t>
      </w:r>
      <w:r>
        <w:t>’s</w:t>
      </w:r>
      <w:r w:rsidRPr="00E06D38">
        <w:t xml:space="preserve"> share of the GST.</w:t>
      </w:r>
      <w:r w:rsidRPr="00E06D38">
        <w:rPr>
          <w:rStyle w:val="FootnoteReference"/>
        </w:rPr>
        <w:footnoteReference w:id="1"/>
      </w:r>
      <w:r w:rsidRPr="00E06D38">
        <w:t xml:space="preserve"> These shares aim to give each State in 2019</w:t>
      </w:r>
      <w:r w:rsidRPr="00E06D38">
        <w:noBreakHyphen/>
        <w:t>20 the fiscal capacity to provide the average standard of services and associated infrastructure for its population, if it makes the average effort to raise revenue and operates at the average level of efficiency.</w:t>
      </w:r>
    </w:p>
    <w:p w:rsidR="00BB3126" w:rsidRPr="00BA4CF6" w:rsidRDefault="00BB3126" w:rsidP="00BB3126">
      <w:pPr>
        <w:pStyle w:val="CGCNumberedPara"/>
        <w:numPr>
          <w:ilvl w:val="1"/>
          <w:numId w:val="3"/>
        </w:numPr>
      </w:pPr>
      <w:r w:rsidRPr="006C611D">
        <w:fldChar w:fldCharType="begin"/>
      </w:r>
      <w:r w:rsidRPr="006C611D">
        <w:instrText xml:space="preserve"> REF _Ref507000885 \h  \* MERGEFORMAT </w:instrText>
      </w:r>
      <w:r w:rsidRPr="006C611D">
        <w:fldChar w:fldCharType="separate"/>
      </w:r>
      <w:r w:rsidR="00E82224" w:rsidRPr="006D3C9D">
        <w:t xml:space="preserve">Figure </w:t>
      </w:r>
      <w:r w:rsidR="00E82224">
        <w:rPr>
          <w:noProof/>
        </w:rPr>
        <w:t>1</w:t>
      </w:r>
      <w:r w:rsidRPr="006C611D">
        <w:fldChar w:fldCharType="end"/>
      </w:r>
      <w:r w:rsidRPr="006C611D">
        <w:t xml:space="preserve"> illustrates the outcomes of this process. It shows that the per capita GST requirement for each State is the difference between the State’s total assessed </w:t>
      </w:r>
      <w:r w:rsidRPr="001B7FC0">
        <w:t>expenditure (expenses and investment) and the sum of its assessed own source revenue, assessed net borrowing and Commonwealth payments. Any additional payments received by States that are quarantined from the Commission’s processes increase the fiscal capacities</w:t>
      </w:r>
      <w:r w:rsidRPr="00BA4CF6">
        <w:t xml:space="preserve"> of those States relative to the other States.</w:t>
      </w:r>
    </w:p>
    <w:p w:rsidR="00BB3126" w:rsidRPr="006D3C9D" w:rsidRDefault="00BB3126" w:rsidP="00BB3126">
      <w:pPr>
        <w:pStyle w:val="Caption"/>
      </w:pPr>
      <w:bookmarkStart w:id="259" w:name="_Ref507000885"/>
      <w:r w:rsidRPr="006D3C9D">
        <w:t xml:space="preserve">Figure </w:t>
      </w:r>
      <w:r>
        <w:rPr>
          <w:noProof/>
        </w:rPr>
        <w:fldChar w:fldCharType="begin"/>
      </w:r>
      <w:r>
        <w:rPr>
          <w:noProof/>
        </w:rPr>
        <w:instrText xml:space="preserve"> SEQ Figure \* ARABIC </w:instrText>
      </w:r>
      <w:r>
        <w:rPr>
          <w:noProof/>
        </w:rPr>
        <w:fldChar w:fldCharType="separate"/>
      </w:r>
      <w:r w:rsidR="00E82224">
        <w:rPr>
          <w:noProof/>
        </w:rPr>
        <w:t>1</w:t>
      </w:r>
      <w:r>
        <w:rPr>
          <w:noProof/>
        </w:rPr>
        <w:fldChar w:fldCharType="end"/>
      </w:r>
      <w:bookmarkEnd w:id="259"/>
      <w:r w:rsidRPr="006D3C9D">
        <w:tab/>
        <w:t>Illustrative assessed budgets per capita, 2019</w:t>
      </w:r>
      <w:r w:rsidRPr="006D3C9D">
        <w:noBreakHyphen/>
        <w:t>20</w:t>
      </w:r>
    </w:p>
    <w:p w:rsidR="00BB3126" w:rsidRPr="006D3C9D" w:rsidRDefault="00BB3126" w:rsidP="00BB3126">
      <w:r w:rsidRPr="00031F24">
        <w:rPr>
          <w:noProof/>
          <w:lang w:eastAsia="en-AU"/>
        </w:rPr>
        <w:drawing>
          <wp:inline distT="0" distB="0" distL="0" distR="0" wp14:anchorId="75ACEAED" wp14:editId="05BD893A">
            <wp:extent cx="5652770" cy="3565525"/>
            <wp:effectExtent l="0" t="0" r="5080" b="0"/>
            <wp:docPr id="8" name="Picture 8" descr="This figure shows the per capita GST requirement for each State as the difference between a State’s total assessed expenditure (expenses and investment) and the sum of its assessed own source revenue, net borrowing and Commonwealth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2770" cy="3565525"/>
                    </a:xfrm>
                    <a:prstGeom prst="rect">
                      <a:avLst/>
                    </a:prstGeom>
                    <a:noFill/>
                    <a:ln>
                      <a:noFill/>
                    </a:ln>
                  </pic:spPr>
                </pic:pic>
              </a:graphicData>
            </a:graphic>
          </wp:inline>
        </w:drawing>
      </w:r>
    </w:p>
    <w:p w:rsidR="00BB3126" w:rsidRPr="006D3C9D" w:rsidRDefault="00BB3126" w:rsidP="00BB3126">
      <w:pPr>
        <w:pStyle w:val="CGCTableFootnote"/>
        <w:keepNext/>
      </w:pPr>
      <w:r w:rsidRPr="006D3C9D">
        <w:t>(a)</w:t>
      </w:r>
      <w:r w:rsidRPr="006D3C9D">
        <w:tab/>
        <w:t>Includes expenses and investment.</w:t>
      </w:r>
    </w:p>
    <w:p w:rsidR="00BB3126" w:rsidRPr="006D3C9D" w:rsidRDefault="00BB3126" w:rsidP="00BB3126">
      <w:pPr>
        <w:pStyle w:val="CGCTableFootnote"/>
      </w:pPr>
      <w:r w:rsidRPr="006D3C9D">
        <w:t>Source:</w:t>
      </w:r>
      <w:r w:rsidRPr="006D3C9D">
        <w:tab/>
        <w:t>Commission calculation.</w:t>
      </w:r>
    </w:p>
    <w:p w:rsidR="00BB3126" w:rsidRPr="006D3C9D" w:rsidRDefault="00BB3126" w:rsidP="00BB3126">
      <w:pPr>
        <w:pStyle w:val="CGCNumberedPara"/>
        <w:numPr>
          <w:ilvl w:val="1"/>
          <w:numId w:val="3"/>
        </w:numPr>
      </w:pPr>
      <w:r w:rsidRPr="006D3C9D">
        <w:t xml:space="preserve">Differences in State fiscal capacities have </w:t>
      </w:r>
      <w:r w:rsidR="0034129F">
        <w:t>decreased</w:t>
      </w:r>
      <w:r w:rsidRPr="006D3C9D">
        <w:t xml:space="preserve"> in this update, resulting in a decline in the proportion of GST revenue redistributed away from EPC to the States with below average fiscal capacities</w:t>
      </w:r>
      <w:r>
        <w:t>. The proportion of GST revenue redistributed in this update fell</w:t>
      </w:r>
      <w:r w:rsidRPr="006D3C9D">
        <w:t xml:space="preserve"> from 10</w:t>
      </w:r>
      <w:r>
        <w:t>.4% ($6.9 billion) to 9.5% ($6.5</w:t>
      </w:r>
      <w:r w:rsidRPr="006D3C9D">
        <w:t xml:space="preserve"> billion). The magnitude of the improvement in the fiscal capacity of Queensland is such that, even taking into </w:t>
      </w:r>
      <w:r w:rsidRPr="006D3C9D">
        <w:lastRenderedPageBreak/>
        <w:t>account growth in the GST pool, its recommended GST entitlement is lower in 2019</w:t>
      </w:r>
      <w:r w:rsidRPr="006D3C9D">
        <w:noBreakHyphen/>
        <w:t>20 than in 2018</w:t>
      </w:r>
      <w:r w:rsidRPr="006D3C9D">
        <w:noBreakHyphen/>
        <w:t>19.</w:t>
      </w:r>
    </w:p>
    <w:p w:rsidR="00BB3126" w:rsidRPr="00B82E5B" w:rsidRDefault="00BB3126" w:rsidP="00BB3126">
      <w:pPr>
        <w:pStyle w:val="Heading3"/>
      </w:pPr>
      <w:bookmarkStart w:id="260" w:name="_Toc442883272"/>
      <w:bookmarkStart w:id="261" w:name="_Toc474923740"/>
      <w:bookmarkStart w:id="262" w:name="_Toc505872166"/>
      <w:bookmarkStart w:id="263" w:name="_Toc536519617"/>
      <w:bookmarkStart w:id="264" w:name="_Toc536631327"/>
      <w:bookmarkStart w:id="265" w:name="_Toc536803160"/>
      <w:bookmarkStart w:id="266" w:name="_Toc536803248"/>
      <w:bookmarkStart w:id="267" w:name="_Toc1115128"/>
      <w:r w:rsidRPr="00B82E5B">
        <w:t>Movements in the GST distribution</w:t>
      </w:r>
      <w:bookmarkEnd w:id="260"/>
      <w:bookmarkEnd w:id="261"/>
      <w:bookmarkEnd w:id="262"/>
      <w:bookmarkEnd w:id="263"/>
      <w:bookmarkEnd w:id="264"/>
      <w:bookmarkEnd w:id="265"/>
      <w:bookmarkEnd w:id="266"/>
      <w:bookmarkEnd w:id="267"/>
    </w:p>
    <w:p w:rsidR="00BB3126" w:rsidRPr="00B82E5B" w:rsidRDefault="00BB3126" w:rsidP="00BB3126">
      <w:pPr>
        <w:pStyle w:val="CGCNumberedPara"/>
        <w:numPr>
          <w:ilvl w:val="1"/>
          <w:numId w:val="3"/>
        </w:numPr>
      </w:pPr>
      <w:r w:rsidRPr="00B82E5B">
        <w:fldChar w:fldCharType="begin"/>
      </w:r>
      <w:r w:rsidRPr="00B82E5B">
        <w:instrText xml:space="preserve"> REF _Ref503770922 \h  \* MERGEFORMAT </w:instrText>
      </w:r>
      <w:r w:rsidRPr="00B82E5B">
        <w:fldChar w:fldCharType="separate"/>
      </w:r>
      <w:r w:rsidR="00E82224" w:rsidRPr="00E06D38">
        <w:t xml:space="preserve">Table </w:t>
      </w:r>
      <w:r w:rsidR="00E82224">
        <w:rPr>
          <w:noProof/>
        </w:rPr>
        <w:t>2</w:t>
      </w:r>
      <w:r w:rsidRPr="00B82E5B">
        <w:fldChar w:fldCharType="end"/>
      </w:r>
      <w:r w:rsidRPr="00B82E5B">
        <w:t xml:space="preserve"> shows the differences between the estimated GST distribution for 2018</w:t>
      </w:r>
      <w:r w:rsidRPr="00B82E5B">
        <w:noBreakHyphen/>
        <w:t>19 and the illustrative distribution for 2019</w:t>
      </w:r>
      <w:r w:rsidRPr="00B82E5B">
        <w:noBreakHyphen/>
        <w:t>20. Changes have occurred for a number of reasons:</w:t>
      </w:r>
    </w:p>
    <w:p w:rsidR="00BB3126" w:rsidRPr="00B82E5B" w:rsidRDefault="00BB3126" w:rsidP="00BB3126">
      <w:pPr>
        <w:pStyle w:val="CGCBulletlist"/>
        <w:numPr>
          <w:ilvl w:val="0"/>
          <w:numId w:val="1"/>
        </w:numPr>
        <w:tabs>
          <w:tab w:val="clear" w:pos="927"/>
        </w:tabs>
        <w:ind w:left="1134" w:hanging="567"/>
      </w:pPr>
      <w:r w:rsidRPr="00B82E5B">
        <w:t>estimated State populations between 2018</w:t>
      </w:r>
      <w:r w:rsidRPr="00B82E5B">
        <w:noBreakHyphen/>
        <w:t>19 and 2019</w:t>
      </w:r>
      <w:r w:rsidRPr="00B82E5B">
        <w:noBreakHyphen/>
        <w:t>20 have changed</w:t>
      </w:r>
    </w:p>
    <w:p w:rsidR="00BB3126" w:rsidRPr="006C611D" w:rsidRDefault="00BB3126" w:rsidP="00BB3126">
      <w:pPr>
        <w:pStyle w:val="CGCBulletlist"/>
        <w:numPr>
          <w:ilvl w:val="0"/>
          <w:numId w:val="1"/>
        </w:numPr>
        <w:tabs>
          <w:tab w:val="clear" w:pos="927"/>
        </w:tabs>
        <w:ind w:left="1134" w:hanging="567"/>
      </w:pPr>
      <w:r w:rsidRPr="006C611D">
        <w:t>the amount of GST revenue available for distribution has increased</w:t>
      </w:r>
    </w:p>
    <w:p w:rsidR="00BB3126" w:rsidRPr="00E06D38" w:rsidRDefault="00BB3126" w:rsidP="00BB3126">
      <w:pPr>
        <w:pStyle w:val="CGCBulletlist"/>
        <w:numPr>
          <w:ilvl w:val="0"/>
          <w:numId w:val="1"/>
        </w:numPr>
        <w:tabs>
          <w:tab w:val="clear" w:pos="927"/>
        </w:tabs>
        <w:ind w:left="1134" w:hanging="567"/>
      </w:pPr>
      <w:r w:rsidRPr="006C611D">
        <w:t xml:space="preserve">the </w:t>
      </w:r>
      <w:r w:rsidRPr="00E06D38">
        <w:t xml:space="preserve">relative fiscal capacities of the States have changed </w:t>
      </w:r>
      <w:r w:rsidR="00722F87">
        <w:t xml:space="preserve">due to data revisions and </w:t>
      </w:r>
      <w:r w:rsidRPr="00E06D38">
        <w:t>changes in State circumstances.</w:t>
      </w:r>
    </w:p>
    <w:p w:rsidR="00BB3126" w:rsidRPr="00E06D38" w:rsidRDefault="00BB3126" w:rsidP="00BB3126">
      <w:pPr>
        <w:pStyle w:val="CGCNumberedPara"/>
        <w:numPr>
          <w:ilvl w:val="1"/>
          <w:numId w:val="3"/>
        </w:numPr>
      </w:pPr>
      <w:r w:rsidRPr="00E06D38">
        <w:t>The Commission’s work focuses on the last factor — assessment of the changes in States’ fiscal capacities.</w:t>
      </w:r>
    </w:p>
    <w:p w:rsidR="00BB3126" w:rsidRPr="00E06D38" w:rsidRDefault="00BB3126" w:rsidP="00BB3126">
      <w:pPr>
        <w:pStyle w:val="Caption"/>
      </w:pPr>
      <w:bookmarkStart w:id="268" w:name="_Ref503770922"/>
      <w:r w:rsidRPr="00E06D38">
        <w:t xml:space="preserve">Table </w:t>
      </w:r>
      <w:r>
        <w:rPr>
          <w:noProof/>
        </w:rPr>
        <w:fldChar w:fldCharType="begin"/>
      </w:r>
      <w:r>
        <w:rPr>
          <w:noProof/>
        </w:rPr>
        <w:instrText xml:space="preserve"> SEQ Table \* ARABIC </w:instrText>
      </w:r>
      <w:r>
        <w:rPr>
          <w:noProof/>
        </w:rPr>
        <w:fldChar w:fldCharType="separate"/>
      </w:r>
      <w:r w:rsidR="00E82224">
        <w:rPr>
          <w:noProof/>
        </w:rPr>
        <w:t>2</w:t>
      </w:r>
      <w:r>
        <w:rPr>
          <w:noProof/>
        </w:rPr>
        <w:fldChar w:fldCharType="end"/>
      </w:r>
      <w:bookmarkEnd w:id="268"/>
      <w:r w:rsidRPr="00E06D38">
        <w:tab/>
        <w:t>Distribution of the 2018</w:t>
      </w:r>
      <w:r w:rsidRPr="00E06D38">
        <w:noBreakHyphen/>
        <w:t>19 GST and illustrative 2019</w:t>
      </w:r>
      <w:r w:rsidRPr="00E06D38">
        <w:noBreakHyphen/>
        <w:t>20 GST distribution</w:t>
      </w:r>
    </w:p>
    <w:tbl>
      <w:tblPr>
        <w:tblW w:w="8960" w:type="dxa"/>
        <w:tblLayout w:type="fixed"/>
        <w:tblCellMar>
          <w:left w:w="0" w:type="dxa"/>
          <w:right w:w="0" w:type="dxa"/>
        </w:tblCellMar>
        <w:tblLook w:val="04A0" w:firstRow="1" w:lastRow="0" w:firstColumn="1" w:lastColumn="0" w:noHBand="0" w:noVBand="1"/>
      </w:tblPr>
      <w:tblGrid>
        <w:gridCol w:w="2180"/>
        <w:gridCol w:w="820"/>
        <w:gridCol w:w="820"/>
        <w:gridCol w:w="820"/>
        <w:gridCol w:w="700"/>
        <w:gridCol w:w="700"/>
        <w:gridCol w:w="700"/>
        <w:gridCol w:w="700"/>
        <w:gridCol w:w="700"/>
        <w:gridCol w:w="820"/>
      </w:tblGrid>
      <w:tr w:rsidR="00BB3126" w:rsidRPr="00031F24" w:rsidTr="00C7618F">
        <w:trPr>
          <w:trHeight w:val="379"/>
        </w:trPr>
        <w:tc>
          <w:tcPr>
            <w:tcW w:w="218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bookmarkStart w:id="269" w:name="RANGE!A10:J20"/>
            <w:r w:rsidRPr="00031F24">
              <w:rPr>
                <w:rFonts w:ascii="Calibri" w:eastAsia="Times New Roman" w:hAnsi="Calibri" w:cs="Calibri"/>
                <w:sz w:val="20"/>
                <w:szCs w:val="20"/>
                <w:lang w:eastAsia="en-AU"/>
              </w:rPr>
              <w:t> </w:t>
            </w:r>
            <w:bookmarkEnd w:id="269"/>
          </w:p>
        </w:tc>
        <w:tc>
          <w:tcPr>
            <w:tcW w:w="82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NSW</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Vic</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Qld</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Tas</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Total</w:t>
            </w:r>
          </w:p>
        </w:tc>
      </w:tr>
      <w:tr w:rsidR="00BB3126" w:rsidRPr="00031F24" w:rsidTr="00C7618F">
        <w:trPr>
          <w:trHeight w:val="259"/>
        </w:trPr>
        <w:tc>
          <w:tcPr>
            <w:tcW w:w="21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r>
      <w:tr w:rsidR="00BB3126" w:rsidRPr="00031F24" w:rsidTr="00C7618F">
        <w:trPr>
          <w:trHeight w:val="315"/>
        </w:trPr>
        <w:tc>
          <w:tcPr>
            <w:tcW w:w="21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Estimated 2018-19</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18 257</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17 074</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14 630</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3 271</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6 815</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2 469</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1 322</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2 792</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66 630</w:t>
            </w:r>
          </w:p>
        </w:tc>
      </w:tr>
      <w:tr w:rsidR="00BB3126" w:rsidRPr="00031F24" w:rsidTr="00C7618F">
        <w:trPr>
          <w:trHeight w:val="315"/>
        </w:trPr>
        <w:tc>
          <w:tcPr>
            <w:tcW w:w="21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Illustrative 2019-20 (a)</w:t>
            </w:r>
          </w:p>
        </w:tc>
        <w:tc>
          <w:tcPr>
            <w:tcW w:w="82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19 269</w:t>
            </w:r>
          </w:p>
        </w:tc>
        <w:tc>
          <w:tcPr>
            <w:tcW w:w="82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17 734</w:t>
            </w:r>
          </w:p>
        </w:tc>
        <w:tc>
          <w:tcPr>
            <w:tcW w:w="82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14 558</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3 694</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6 946</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2 513</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1 435</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2 860</w:t>
            </w:r>
          </w:p>
        </w:tc>
        <w:tc>
          <w:tcPr>
            <w:tcW w:w="82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69 010</w:t>
            </w:r>
          </w:p>
        </w:tc>
      </w:tr>
      <w:tr w:rsidR="00BB3126" w:rsidRPr="00031F24" w:rsidTr="00C7618F">
        <w:trPr>
          <w:trHeight w:val="315"/>
        </w:trPr>
        <w:tc>
          <w:tcPr>
            <w:tcW w:w="21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Change</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1 012</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661</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-72</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423</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131</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44</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113</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68</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2 380</w:t>
            </w:r>
          </w:p>
        </w:tc>
      </w:tr>
      <w:tr w:rsidR="00BB3126" w:rsidRPr="00031F24" w:rsidTr="00C7618F">
        <w:trPr>
          <w:trHeight w:val="315"/>
        </w:trPr>
        <w:tc>
          <w:tcPr>
            <w:tcW w:w="21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i/>
                <w:iCs/>
                <w:sz w:val="20"/>
                <w:szCs w:val="20"/>
                <w:lang w:eastAsia="en-AU"/>
              </w:rPr>
            </w:pPr>
            <w:r w:rsidRPr="00031F24">
              <w:rPr>
                <w:rFonts w:ascii="Calibri" w:eastAsia="Times New Roman" w:hAnsi="Calibri" w:cs="Calibri"/>
                <w:i/>
                <w:iCs/>
                <w:sz w:val="20"/>
                <w:szCs w:val="20"/>
                <w:lang w:eastAsia="en-AU"/>
              </w:rPr>
              <w:t>Change caused by new:</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rPr>
                <w:rFonts w:ascii="Calibri" w:eastAsia="Times New Roman" w:hAnsi="Calibri" w:cs="Calibri"/>
                <w:i/>
                <w:iCs/>
                <w:sz w:val="20"/>
                <w:szCs w:val="20"/>
                <w:lang w:eastAsia="en-AU"/>
              </w:rPr>
            </w:pP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r>
      <w:tr w:rsidR="00BB3126" w:rsidRPr="00031F24" w:rsidTr="00C7618F">
        <w:trPr>
          <w:trHeight w:val="315"/>
        </w:trPr>
        <w:tc>
          <w:tcPr>
            <w:tcW w:w="21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firstLineChars="100" w:firstLine="200"/>
              <w:rPr>
                <w:rFonts w:ascii="Calibri" w:eastAsia="Times New Roman" w:hAnsi="Calibri" w:cs="Calibri"/>
                <w:i/>
                <w:iCs/>
                <w:sz w:val="20"/>
                <w:szCs w:val="20"/>
                <w:lang w:eastAsia="en-AU"/>
              </w:rPr>
            </w:pPr>
            <w:r w:rsidRPr="00031F24">
              <w:rPr>
                <w:rFonts w:ascii="Calibri" w:eastAsia="Times New Roman" w:hAnsi="Calibri" w:cs="Calibri"/>
                <w:i/>
                <w:iCs/>
                <w:sz w:val="20"/>
                <w:szCs w:val="20"/>
                <w:lang w:eastAsia="en-AU"/>
              </w:rPr>
              <w:t>Population (b)</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28</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119</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-11</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-18</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-55</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-27</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0</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-37</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0</w:t>
            </w:r>
          </w:p>
        </w:tc>
      </w:tr>
      <w:tr w:rsidR="00BB3126" w:rsidRPr="00031F24" w:rsidTr="00C7618F">
        <w:trPr>
          <w:trHeight w:val="315"/>
        </w:trPr>
        <w:tc>
          <w:tcPr>
            <w:tcW w:w="21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firstLineChars="100" w:firstLine="200"/>
              <w:rPr>
                <w:rFonts w:ascii="Calibri" w:eastAsia="Times New Roman" w:hAnsi="Calibri" w:cs="Calibri"/>
                <w:i/>
                <w:iCs/>
                <w:sz w:val="20"/>
                <w:szCs w:val="20"/>
                <w:lang w:eastAsia="en-AU"/>
              </w:rPr>
            </w:pPr>
            <w:r w:rsidRPr="00031F24">
              <w:rPr>
                <w:rFonts w:ascii="Calibri" w:eastAsia="Times New Roman" w:hAnsi="Calibri" w:cs="Calibri"/>
                <w:i/>
                <w:iCs/>
                <w:sz w:val="20"/>
                <w:szCs w:val="20"/>
                <w:lang w:eastAsia="en-AU"/>
              </w:rPr>
              <w:t>Pool (c)</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653</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614</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522</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116</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241</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87</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47</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98</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2 380</w:t>
            </w:r>
          </w:p>
        </w:tc>
      </w:tr>
      <w:tr w:rsidR="00BB3126" w:rsidRPr="00031F24" w:rsidTr="00C7618F">
        <w:trPr>
          <w:trHeight w:val="315"/>
        </w:trPr>
        <w:tc>
          <w:tcPr>
            <w:tcW w:w="21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firstLineChars="100" w:firstLine="200"/>
              <w:rPr>
                <w:rFonts w:ascii="Calibri" w:eastAsia="Times New Roman" w:hAnsi="Calibri" w:cs="Calibri"/>
                <w:i/>
                <w:iCs/>
                <w:sz w:val="20"/>
                <w:szCs w:val="20"/>
                <w:lang w:eastAsia="en-AU"/>
              </w:rPr>
            </w:pPr>
            <w:r w:rsidRPr="00031F24">
              <w:rPr>
                <w:rFonts w:ascii="Calibri" w:eastAsia="Times New Roman" w:hAnsi="Calibri" w:cs="Calibri"/>
                <w:i/>
                <w:iCs/>
                <w:sz w:val="20"/>
                <w:szCs w:val="20"/>
                <w:lang w:eastAsia="en-AU"/>
              </w:rPr>
              <w:t>Fiscal capacities (d)</w:t>
            </w:r>
          </w:p>
        </w:tc>
        <w:tc>
          <w:tcPr>
            <w:tcW w:w="82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331</w:t>
            </w:r>
          </w:p>
        </w:tc>
        <w:tc>
          <w:tcPr>
            <w:tcW w:w="82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-72</w:t>
            </w:r>
          </w:p>
        </w:tc>
        <w:tc>
          <w:tcPr>
            <w:tcW w:w="82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-583</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324</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-56</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-16</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66</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w:t>
            </w:r>
          </w:p>
        </w:tc>
        <w:tc>
          <w:tcPr>
            <w:tcW w:w="82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0</w:t>
            </w:r>
          </w:p>
        </w:tc>
      </w:tr>
      <w:tr w:rsidR="00BB3126" w:rsidRPr="00031F24" w:rsidTr="00C7618F">
        <w:trPr>
          <w:trHeight w:val="315"/>
        </w:trPr>
        <w:tc>
          <w:tcPr>
            <w:tcW w:w="21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Change ($m)</w:t>
            </w:r>
          </w:p>
        </w:tc>
        <w:tc>
          <w:tcPr>
            <w:tcW w:w="82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1 012</w:t>
            </w:r>
          </w:p>
        </w:tc>
        <w:tc>
          <w:tcPr>
            <w:tcW w:w="82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661</w:t>
            </w:r>
          </w:p>
        </w:tc>
        <w:tc>
          <w:tcPr>
            <w:tcW w:w="82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-72</w:t>
            </w:r>
          </w:p>
        </w:tc>
        <w:tc>
          <w:tcPr>
            <w:tcW w:w="70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423</w:t>
            </w:r>
          </w:p>
        </w:tc>
        <w:tc>
          <w:tcPr>
            <w:tcW w:w="70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131</w:t>
            </w:r>
          </w:p>
        </w:tc>
        <w:tc>
          <w:tcPr>
            <w:tcW w:w="70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44</w:t>
            </w:r>
          </w:p>
        </w:tc>
        <w:tc>
          <w:tcPr>
            <w:tcW w:w="70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113</w:t>
            </w:r>
          </w:p>
        </w:tc>
        <w:tc>
          <w:tcPr>
            <w:tcW w:w="70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68</w:t>
            </w:r>
          </w:p>
        </w:tc>
        <w:tc>
          <w:tcPr>
            <w:tcW w:w="82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2 380</w:t>
            </w:r>
          </w:p>
        </w:tc>
      </w:tr>
      <w:tr w:rsidR="00BB3126" w:rsidRPr="00031F24" w:rsidTr="00C7618F">
        <w:trPr>
          <w:trHeight w:val="315"/>
        </w:trPr>
        <w:tc>
          <w:tcPr>
            <w:tcW w:w="218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Change ($pc)</w:t>
            </w:r>
          </w:p>
        </w:tc>
        <w:tc>
          <w:tcPr>
            <w:tcW w:w="82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123</w:t>
            </w:r>
          </w:p>
        </w:tc>
        <w:tc>
          <w:tcPr>
            <w:tcW w:w="82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99</w:t>
            </w:r>
          </w:p>
        </w:tc>
        <w:tc>
          <w:tcPr>
            <w:tcW w:w="82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-14</w:t>
            </w:r>
          </w:p>
        </w:tc>
        <w:tc>
          <w:tcPr>
            <w:tcW w:w="70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160</w:t>
            </w:r>
          </w:p>
        </w:tc>
        <w:tc>
          <w:tcPr>
            <w:tcW w:w="70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74</w:t>
            </w:r>
          </w:p>
        </w:tc>
        <w:tc>
          <w:tcPr>
            <w:tcW w:w="70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84</w:t>
            </w:r>
          </w:p>
        </w:tc>
        <w:tc>
          <w:tcPr>
            <w:tcW w:w="70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262</w:t>
            </w:r>
          </w:p>
        </w:tc>
        <w:tc>
          <w:tcPr>
            <w:tcW w:w="700" w:type="dxa"/>
            <w:tcBorders>
              <w:top w:val="nil"/>
              <w:left w:val="nil"/>
              <w:bottom w:val="single" w:sz="4" w:space="0" w:color="auto"/>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272</w:t>
            </w:r>
          </w:p>
        </w:tc>
        <w:tc>
          <w:tcPr>
            <w:tcW w:w="82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93</w:t>
            </w:r>
          </w:p>
        </w:tc>
      </w:tr>
    </w:tbl>
    <w:p w:rsidR="00BB3126" w:rsidRPr="006D3C9D" w:rsidRDefault="00BB3126" w:rsidP="00BB3126">
      <w:pPr>
        <w:pStyle w:val="CGCTableFootnote"/>
        <w:keepNext/>
      </w:pPr>
      <w:r w:rsidRPr="006D3C9D">
        <w:t>(a)</w:t>
      </w:r>
      <w:r w:rsidRPr="006D3C9D">
        <w:tab/>
        <w:t>Obtained by applying the 2019 Update relativities to estimated State populations as at December 2019 and estimated GST revenue for 2019</w:t>
      </w:r>
      <w:r w:rsidRPr="006D3C9D">
        <w:noBreakHyphen/>
        <w:t>20.</w:t>
      </w:r>
    </w:p>
    <w:p w:rsidR="00BB3126" w:rsidRPr="006D3C9D" w:rsidRDefault="00BB3126" w:rsidP="00BB3126">
      <w:pPr>
        <w:pStyle w:val="CGCTableFootnote"/>
        <w:keepNext/>
      </w:pPr>
      <w:r w:rsidRPr="006D3C9D">
        <w:t>(b)</w:t>
      </w:r>
      <w:r w:rsidRPr="006D3C9D">
        <w:tab/>
        <w:t>Effects on the distribution of 2018</w:t>
      </w:r>
      <w:r w:rsidRPr="006D3C9D">
        <w:noBreakHyphen/>
        <w:t xml:space="preserve">19 GST revenue of using </w:t>
      </w:r>
      <w:r w:rsidR="00876EAD">
        <w:t>estimated</w:t>
      </w:r>
      <w:r w:rsidRPr="006D3C9D">
        <w:t xml:space="preserve"> State populations as at December 2019 instead of December 2018, with 2018 Update relativities.</w:t>
      </w:r>
    </w:p>
    <w:p w:rsidR="00BB3126" w:rsidRPr="006D3C9D" w:rsidRDefault="00BB3126" w:rsidP="00BB3126">
      <w:pPr>
        <w:pStyle w:val="CGCTableFootnote"/>
        <w:keepNext/>
      </w:pPr>
      <w:r w:rsidRPr="006D3C9D">
        <w:t>(c)</w:t>
      </w:r>
      <w:r w:rsidRPr="006D3C9D">
        <w:tab/>
        <w:t xml:space="preserve">Effect of applying the 2018 Update relativities to the estimated growth in GST revenue for 2019-20. </w:t>
      </w:r>
    </w:p>
    <w:p w:rsidR="00BB3126" w:rsidRPr="006D3C9D" w:rsidRDefault="00BB3126" w:rsidP="00BB3126">
      <w:pPr>
        <w:pStyle w:val="CGCTableFootnote"/>
        <w:keepNext/>
      </w:pPr>
      <w:r w:rsidRPr="006D3C9D">
        <w:t>(d)</w:t>
      </w:r>
      <w:r w:rsidRPr="006D3C9D">
        <w:tab/>
        <w:t xml:space="preserve">Effects on the distribution of the 2019-20 GST revenue of using the 2019 Update </w:t>
      </w:r>
      <w:r>
        <w:t>relativities</w:t>
      </w:r>
      <w:r w:rsidRPr="006D3C9D">
        <w:t xml:space="preserve"> instead of 2018 Update </w:t>
      </w:r>
      <w:r>
        <w:t>relativities</w:t>
      </w:r>
      <w:r w:rsidRPr="006D3C9D">
        <w:t>.</w:t>
      </w:r>
    </w:p>
    <w:p w:rsidR="00BB3126" w:rsidRPr="006D3C9D" w:rsidRDefault="00BB3126" w:rsidP="00BB3126">
      <w:pPr>
        <w:pStyle w:val="CGCTableFootnote"/>
      </w:pPr>
      <w:r w:rsidRPr="006D3C9D">
        <w:t>Source:</w:t>
      </w:r>
      <w:r w:rsidRPr="006D3C9D">
        <w:tab/>
        <w:t>2018</w:t>
      </w:r>
      <w:r w:rsidRPr="006D3C9D">
        <w:noBreakHyphen/>
        <w:t>19 GST entitlement and 2019</w:t>
      </w:r>
      <w:r w:rsidRPr="006D3C9D">
        <w:noBreakHyphen/>
        <w:t xml:space="preserve">20 GST revenue are taken from the </w:t>
      </w:r>
      <w:r w:rsidRPr="006D3C9D">
        <w:rPr>
          <w:i/>
        </w:rPr>
        <w:t>Australian Government Budget, Mid</w:t>
      </w:r>
      <w:r w:rsidRPr="006D3C9D">
        <w:rPr>
          <w:i/>
        </w:rPr>
        <w:noBreakHyphen/>
        <w:t>Year Economic and Fiscal Outlook 2018</w:t>
      </w:r>
      <w:r w:rsidRPr="006D3C9D">
        <w:rPr>
          <w:i/>
        </w:rPr>
        <w:noBreakHyphen/>
        <w:t xml:space="preserve">19. </w:t>
      </w:r>
      <w:r w:rsidRPr="006D3C9D">
        <w:t>December 2018 and 2019 population estimates were provided by the Commonwealth Treasury.</w:t>
      </w:r>
    </w:p>
    <w:p w:rsidR="00BB3126" w:rsidRPr="006C611D" w:rsidRDefault="00BB3126" w:rsidP="00BB3126">
      <w:pPr>
        <w:pStyle w:val="Heading3"/>
      </w:pPr>
      <w:bookmarkStart w:id="270" w:name="_Toc428435387"/>
      <w:bookmarkStart w:id="271" w:name="_Toc433353474"/>
      <w:bookmarkStart w:id="272" w:name="_Toc441241580"/>
      <w:bookmarkStart w:id="273" w:name="_Toc441499250"/>
      <w:bookmarkStart w:id="274" w:name="_Toc441656024"/>
      <w:bookmarkStart w:id="275" w:name="_Toc442191906"/>
      <w:bookmarkStart w:id="276" w:name="_Toc442192158"/>
      <w:bookmarkStart w:id="277" w:name="_Toc442192223"/>
      <w:bookmarkStart w:id="278" w:name="_Toc442772809"/>
      <w:bookmarkStart w:id="279" w:name="_Toc442773036"/>
      <w:bookmarkStart w:id="280" w:name="_Toc442773208"/>
      <w:bookmarkStart w:id="281" w:name="_Toc442773560"/>
      <w:bookmarkStart w:id="282" w:name="_Toc442883273"/>
      <w:bookmarkStart w:id="283" w:name="_Toc474923741"/>
      <w:bookmarkStart w:id="284" w:name="_Toc505872167"/>
      <w:bookmarkStart w:id="285" w:name="_Toc536519618"/>
      <w:bookmarkStart w:id="286" w:name="_Toc536631328"/>
      <w:bookmarkStart w:id="287" w:name="_Toc536803161"/>
      <w:bookmarkStart w:id="288" w:name="_Toc536803249"/>
      <w:bookmarkStart w:id="289" w:name="_Toc1115129"/>
      <w:r w:rsidRPr="006C611D">
        <w:lastRenderedPageBreak/>
        <w:t>Why State fiscal capacities have changed</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BB3126" w:rsidRPr="006C611D" w:rsidRDefault="00BB3126" w:rsidP="00BB3126">
      <w:pPr>
        <w:pStyle w:val="CGCNumberedPara"/>
        <w:numPr>
          <w:ilvl w:val="1"/>
          <w:numId w:val="3"/>
        </w:numPr>
      </w:pPr>
      <w:r w:rsidRPr="006C611D">
        <w:t xml:space="preserve">The Commission assesses fiscal capacities based on a rolling average of three years. In this update, revisions were first made to data </w:t>
      </w:r>
      <w:r w:rsidRPr="00D04ADD">
        <w:t>used in the 2018 Update, including completing the revisions to Australian Bureau of Statistics (ABS) population estimates following the 2016 Census. Then, consistent with the terms</w:t>
      </w:r>
      <w:r w:rsidRPr="006C611D">
        <w:t xml:space="preserve"> of reference, the Commission added data for 2017</w:t>
      </w:r>
      <w:r w:rsidRPr="006C611D">
        <w:noBreakHyphen/>
        <w:t>18 to its calculations and removed data for 2014</w:t>
      </w:r>
      <w:r w:rsidRPr="006C611D">
        <w:noBreakHyphen/>
        <w:t xml:space="preserve">15. </w:t>
      </w:r>
      <w:r>
        <w:t>Largely due to a one-</w:t>
      </w:r>
      <w:r w:rsidRPr="00D604F0">
        <w:t xml:space="preserve">off correction to previously reported natural disaster expenses across States, </w:t>
      </w:r>
      <w:r>
        <w:t>and</w:t>
      </w:r>
      <w:r w:rsidRPr="00D604F0">
        <w:t xml:space="preserve"> a reduction by New South </w:t>
      </w:r>
      <w:r w:rsidRPr="007800C7">
        <w:t>Wales in its reported value of property sales in 2016-17, both revisions and changes in circumstances have been important influences on changes in measured State fiscal capacities</w:t>
      </w:r>
      <w:r w:rsidRPr="00D604F0">
        <w:t>.</w:t>
      </w:r>
    </w:p>
    <w:p w:rsidR="00BB3126" w:rsidRPr="006C611D" w:rsidRDefault="00BB3126" w:rsidP="00BB3126">
      <w:pPr>
        <w:pStyle w:val="CGCNumberedPara"/>
        <w:numPr>
          <w:ilvl w:val="1"/>
          <w:numId w:val="41"/>
        </w:numPr>
      </w:pPr>
      <w:r w:rsidRPr="006C611D">
        <w:t>The Commission has recommended a changed distribution for 2019</w:t>
      </w:r>
      <w:r w:rsidRPr="006C611D">
        <w:noBreakHyphen/>
        <w:t xml:space="preserve">20 because new data reveal changes in fiscal capacities in all areas of State budgets, as shown in </w:t>
      </w:r>
      <w:r w:rsidRPr="006C611D">
        <w:fldChar w:fldCharType="begin"/>
      </w:r>
      <w:r w:rsidRPr="006C611D">
        <w:instrText xml:space="preserve"> REF _Ref503771375 \h  \* MERGEFORMAT </w:instrText>
      </w:r>
      <w:r w:rsidRPr="006C611D">
        <w:fldChar w:fldCharType="separate"/>
      </w:r>
      <w:r w:rsidR="00E82224" w:rsidRPr="00E06D38">
        <w:t>Table </w:t>
      </w:r>
      <w:r w:rsidR="00E82224">
        <w:t>3</w:t>
      </w:r>
      <w:r w:rsidRPr="006C611D">
        <w:fldChar w:fldCharType="end"/>
      </w:r>
      <w:r w:rsidRPr="006C611D">
        <w:t xml:space="preserve">. Changes in States’ estimated </w:t>
      </w:r>
      <w:r>
        <w:t xml:space="preserve">expense requirements and </w:t>
      </w:r>
      <w:r w:rsidRPr="006C611D">
        <w:t>revenue raising capacities have been much more significant than changes in other aspects of State budgets.</w:t>
      </w:r>
    </w:p>
    <w:p w:rsidR="00BB3126" w:rsidRPr="00E06D38" w:rsidRDefault="00BB3126" w:rsidP="00BB3126">
      <w:pPr>
        <w:pStyle w:val="Caption"/>
      </w:pPr>
      <w:bookmarkStart w:id="290" w:name="_Ref503771375"/>
      <w:bookmarkStart w:id="291" w:name="_Ref536518325"/>
      <w:r w:rsidRPr="00E06D38">
        <w:t>Table </w:t>
      </w:r>
      <w:r>
        <w:rPr>
          <w:noProof/>
        </w:rPr>
        <w:fldChar w:fldCharType="begin"/>
      </w:r>
      <w:r>
        <w:rPr>
          <w:noProof/>
        </w:rPr>
        <w:instrText xml:space="preserve"> SEQ Table \* ARABIC </w:instrText>
      </w:r>
      <w:r>
        <w:rPr>
          <w:noProof/>
        </w:rPr>
        <w:fldChar w:fldCharType="separate"/>
      </w:r>
      <w:r w:rsidR="00E82224">
        <w:rPr>
          <w:noProof/>
        </w:rPr>
        <w:t>3</w:t>
      </w:r>
      <w:r>
        <w:rPr>
          <w:noProof/>
        </w:rPr>
        <w:fldChar w:fldCharType="end"/>
      </w:r>
      <w:bookmarkEnd w:id="290"/>
      <w:r w:rsidRPr="00E06D38">
        <w:tab/>
        <w:t>Change in fiscal capacities by source of change, 2019</w:t>
      </w:r>
      <w:r w:rsidRPr="00E06D38">
        <w:noBreakHyphen/>
        <w:t>20</w:t>
      </w:r>
      <w:bookmarkEnd w:id="291"/>
    </w:p>
    <w:tbl>
      <w:tblPr>
        <w:tblW w:w="9040" w:type="dxa"/>
        <w:tblLayout w:type="fixed"/>
        <w:tblCellMar>
          <w:left w:w="0" w:type="dxa"/>
          <w:right w:w="0" w:type="dxa"/>
        </w:tblCellMar>
        <w:tblLook w:val="04A0" w:firstRow="1" w:lastRow="0" w:firstColumn="1" w:lastColumn="0" w:noHBand="0" w:noVBand="1"/>
      </w:tblPr>
      <w:tblGrid>
        <w:gridCol w:w="2440"/>
        <w:gridCol w:w="700"/>
        <w:gridCol w:w="700"/>
        <w:gridCol w:w="700"/>
        <w:gridCol w:w="700"/>
        <w:gridCol w:w="700"/>
        <w:gridCol w:w="700"/>
        <w:gridCol w:w="700"/>
        <w:gridCol w:w="700"/>
        <w:gridCol w:w="1000"/>
      </w:tblGrid>
      <w:tr w:rsidR="00BB3126" w:rsidRPr="0004548A" w:rsidTr="00C7618F">
        <w:trPr>
          <w:trHeight w:val="379"/>
        </w:trPr>
        <w:tc>
          <w:tcPr>
            <w:tcW w:w="244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bookmarkStart w:id="292" w:name="RANGE!A30:J37"/>
            <w:r w:rsidRPr="0004548A">
              <w:rPr>
                <w:rFonts w:ascii="Calibri" w:eastAsia="Times New Roman" w:hAnsi="Calibri" w:cs="Calibri"/>
                <w:sz w:val="20"/>
                <w:szCs w:val="20"/>
                <w:lang w:eastAsia="en-AU"/>
              </w:rPr>
              <w:t> </w:t>
            </w:r>
            <w:bookmarkEnd w:id="292"/>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NSW</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Vic</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Qld</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Tas</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NT</w:t>
            </w:r>
          </w:p>
        </w:tc>
        <w:tc>
          <w:tcPr>
            <w:tcW w:w="100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Redist (a)</w:t>
            </w:r>
          </w:p>
        </w:tc>
      </w:tr>
      <w:tr w:rsidR="00BB3126" w:rsidRPr="0004548A" w:rsidTr="00C7618F">
        <w:trPr>
          <w:trHeight w:val="259"/>
        </w:trPr>
        <w:tc>
          <w:tcPr>
            <w:tcW w:w="244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c>
          <w:tcPr>
            <w:tcW w:w="10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r>
      <w:tr w:rsidR="00BB3126" w:rsidRPr="0004548A" w:rsidTr="00C7618F">
        <w:trPr>
          <w:trHeight w:val="315"/>
        </w:trPr>
        <w:tc>
          <w:tcPr>
            <w:tcW w:w="244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Expense requirement</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231</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436</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-301</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-425</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50</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27</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64</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-81</w:t>
            </w:r>
          </w:p>
        </w:tc>
        <w:tc>
          <w:tcPr>
            <w:tcW w:w="10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808</w:t>
            </w:r>
          </w:p>
        </w:tc>
      </w:tr>
      <w:tr w:rsidR="00BB3126" w:rsidRPr="0004548A" w:rsidTr="00C7618F">
        <w:trPr>
          <w:trHeight w:val="315"/>
        </w:trPr>
        <w:tc>
          <w:tcPr>
            <w:tcW w:w="244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Investment requirement</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38</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-18</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-24</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-95</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9</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93</w:t>
            </w:r>
          </w:p>
        </w:tc>
        <w:tc>
          <w:tcPr>
            <w:tcW w:w="10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141</w:t>
            </w:r>
          </w:p>
        </w:tc>
      </w:tr>
      <w:tr w:rsidR="00BB3126" w:rsidRPr="0004548A" w:rsidTr="00C7618F">
        <w:trPr>
          <w:trHeight w:val="315"/>
        </w:trPr>
        <w:tc>
          <w:tcPr>
            <w:tcW w:w="244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Net borrowing</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16</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-9</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4</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-6</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w:t>
            </w:r>
          </w:p>
        </w:tc>
        <w:tc>
          <w:tcPr>
            <w:tcW w:w="10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23</w:t>
            </w:r>
          </w:p>
        </w:tc>
      </w:tr>
      <w:tr w:rsidR="00BB3126" w:rsidRPr="0004548A" w:rsidTr="00C7618F">
        <w:trPr>
          <w:trHeight w:val="315"/>
        </w:trPr>
        <w:tc>
          <w:tcPr>
            <w:tcW w:w="244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Revenue raising capacity</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-179</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-598</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-87</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761</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123</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-13</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-14</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7</w:t>
            </w:r>
          </w:p>
        </w:tc>
        <w:tc>
          <w:tcPr>
            <w:tcW w:w="10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892</w:t>
            </w:r>
          </w:p>
        </w:tc>
      </w:tr>
      <w:tr w:rsidR="00BB3126" w:rsidRPr="0004548A" w:rsidTr="00C7618F">
        <w:trPr>
          <w:trHeight w:val="315"/>
        </w:trPr>
        <w:tc>
          <w:tcPr>
            <w:tcW w:w="244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Commonwealth payments</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244</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92</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-182</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8</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-137</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-25</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11</w:t>
            </w:r>
          </w:p>
        </w:tc>
        <w:tc>
          <w:tcPr>
            <w:tcW w:w="7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-10</w:t>
            </w:r>
          </w:p>
        </w:tc>
        <w:tc>
          <w:tcPr>
            <w:tcW w:w="100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354</w:t>
            </w:r>
          </w:p>
        </w:tc>
      </w:tr>
      <w:tr w:rsidR="00BB3126" w:rsidRPr="0004548A" w:rsidTr="00C7618F">
        <w:trPr>
          <w:trHeight w:val="315"/>
        </w:trPr>
        <w:tc>
          <w:tcPr>
            <w:tcW w:w="2440" w:type="dxa"/>
            <w:tcBorders>
              <w:top w:val="nil"/>
              <w:left w:val="nil"/>
              <w:bottom w:val="single" w:sz="4" w:space="0" w:color="auto"/>
              <w:right w:val="nil"/>
            </w:tcBorders>
            <w:shd w:val="clear" w:color="auto" w:fill="auto"/>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 xml:space="preserve">Total </w:t>
            </w:r>
          </w:p>
        </w:tc>
        <w:tc>
          <w:tcPr>
            <w:tcW w:w="700" w:type="dxa"/>
            <w:tcBorders>
              <w:top w:val="single" w:sz="4" w:space="0" w:color="auto"/>
              <w:left w:val="nil"/>
              <w:bottom w:val="single" w:sz="4" w:space="0" w:color="auto"/>
              <w:right w:val="nil"/>
            </w:tcBorders>
            <w:shd w:val="clear" w:color="auto" w:fill="auto"/>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331</w:t>
            </w:r>
          </w:p>
        </w:tc>
        <w:tc>
          <w:tcPr>
            <w:tcW w:w="700" w:type="dxa"/>
            <w:tcBorders>
              <w:top w:val="single" w:sz="4" w:space="0" w:color="auto"/>
              <w:left w:val="nil"/>
              <w:bottom w:val="single" w:sz="4" w:space="0" w:color="auto"/>
              <w:right w:val="nil"/>
            </w:tcBorders>
            <w:shd w:val="clear" w:color="auto" w:fill="auto"/>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-72</w:t>
            </w:r>
          </w:p>
        </w:tc>
        <w:tc>
          <w:tcPr>
            <w:tcW w:w="700" w:type="dxa"/>
            <w:tcBorders>
              <w:top w:val="single" w:sz="4" w:space="0" w:color="auto"/>
              <w:left w:val="nil"/>
              <w:bottom w:val="single" w:sz="4" w:space="0" w:color="auto"/>
              <w:right w:val="nil"/>
            </w:tcBorders>
            <w:shd w:val="clear" w:color="auto" w:fill="auto"/>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-583</w:t>
            </w:r>
          </w:p>
        </w:tc>
        <w:tc>
          <w:tcPr>
            <w:tcW w:w="700" w:type="dxa"/>
            <w:tcBorders>
              <w:top w:val="single" w:sz="4" w:space="0" w:color="auto"/>
              <w:left w:val="nil"/>
              <w:bottom w:val="single" w:sz="4" w:space="0" w:color="auto"/>
              <w:right w:val="nil"/>
            </w:tcBorders>
            <w:shd w:val="clear" w:color="auto" w:fill="auto"/>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324</w:t>
            </w:r>
          </w:p>
        </w:tc>
        <w:tc>
          <w:tcPr>
            <w:tcW w:w="700" w:type="dxa"/>
            <w:tcBorders>
              <w:top w:val="single" w:sz="4" w:space="0" w:color="auto"/>
              <w:left w:val="nil"/>
              <w:bottom w:val="single" w:sz="4" w:space="0" w:color="auto"/>
              <w:right w:val="nil"/>
            </w:tcBorders>
            <w:shd w:val="clear" w:color="auto" w:fill="auto"/>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-56</w:t>
            </w:r>
          </w:p>
        </w:tc>
        <w:tc>
          <w:tcPr>
            <w:tcW w:w="700" w:type="dxa"/>
            <w:tcBorders>
              <w:top w:val="single" w:sz="4" w:space="0" w:color="auto"/>
              <w:left w:val="nil"/>
              <w:bottom w:val="single" w:sz="4" w:space="0" w:color="auto"/>
              <w:right w:val="nil"/>
            </w:tcBorders>
            <w:shd w:val="clear" w:color="auto" w:fill="auto"/>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-16</w:t>
            </w:r>
          </w:p>
        </w:tc>
        <w:tc>
          <w:tcPr>
            <w:tcW w:w="700" w:type="dxa"/>
            <w:tcBorders>
              <w:top w:val="single" w:sz="4" w:space="0" w:color="auto"/>
              <w:left w:val="nil"/>
              <w:bottom w:val="single" w:sz="4" w:space="0" w:color="auto"/>
              <w:right w:val="nil"/>
            </w:tcBorders>
            <w:shd w:val="clear" w:color="auto" w:fill="auto"/>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66</w:t>
            </w:r>
          </w:p>
        </w:tc>
        <w:tc>
          <w:tcPr>
            <w:tcW w:w="700" w:type="dxa"/>
            <w:tcBorders>
              <w:top w:val="single" w:sz="4" w:space="0" w:color="auto"/>
              <w:left w:val="nil"/>
              <w:bottom w:val="single" w:sz="4" w:space="0" w:color="auto"/>
              <w:right w:val="nil"/>
            </w:tcBorders>
            <w:shd w:val="clear" w:color="auto" w:fill="auto"/>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6</w:t>
            </w:r>
          </w:p>
        </w:tc>
        <w:tc>
          <w:tcPr>
            <w:tcW w:w="1000" w:type="dxa"/>
            <w:tcBorders>
              <w:top w:val="single" w:sz="4" w:space="0" w:color="auto"/>
              <w:left w:val="nil"/>
              <w:bottom w:val="single" w:sz="4" w:space="0" w:color="auto"/>
              <w:right w:val="nil"/>
            </w:tcBorders>
            <w:shd w:val="clear" w:color="auto" w:fill="auto"/>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727</w:t>
            </w:r>
          </w:p>
        </w:tc>
      </w:tr>
    </w:tbl>
    <w:p w:rsidR="00BB3126" w:rsidRPr="006D3C9D" w:rsidRDefault="00BB3126" w:rsidP="00BB3126">
      <w:pPr>
        <w:pStyle w:val="CGCTableFootnote"/>
      </w:pPr>
      <w:r w:rsidRPr="006D3C9D">
        <w:t>Note:</w:t>
      </w:r>
      <w:r w:rsidRPr="006D3C9D">
        <w:tab/>
        <w:t>The total change shown here, from 2018</w:t>
      </w:r>
      <w:r w:rsidRPr="006D3C9D">
        <w:noBreakHyphen/>
        <w:t>19 to 2019</w:t>
      </w:r>
      <w:r w:rsidRPr="006D3C9D">
        <w:noBreakHyphen/>
        <w:t xml:space="preserve">20, is equivalent to the change caused by new fiscal capacities shown in </w:t>
      </w:r>
      <w:r w:rsidRPr="006D3C9D">
        <w:fldChar w:fldCharType="begin"/>
      </w:r>
      <w:r w:rsidRPr="006D3C9D">
        <w:instrText xml:space="preserve"> REF _Ref503770922 \h  \* MERGEFORMAT </w:instrText>
      </w:r>
      <w:r w:rsidRPr="006D3C9D">
        <w:fldChar w:fldCharType="separate"/>
      </w:r>
      <w:r w:rsidR="00E82224" w:rsidRPr="00E06D38">
        <w:t xml:space="preserve">Table </w:t>
      </w:r>
      <w:r w:rsidR="00E82224">
        <w:rPr>
          <w:noProof/>
        </w:rPr>
        <w:t>2</w:t>
      </w:r>
      <w:r w:rsidRPr="006D3C9D">
        <w:fldChar w:fldCharType="end"/>
      </w:r>
      <w:r w:rsidRPr="006D3C9D">
        <w:t>.</w:t>
      </w:r>
    </w:p>
    <w:p w:rsidR="00BB3126" w:rsidRPr="006D3C9D" w:rsidRDefault="00BB3126" w:rsidP="00BB3126">
      <w:pPr>
        <w:pStyle w:val="CGCTableFootnote"/>
      </w:pPr>
      <w:r w:rsidRPr="006D3C9D">
        <w:t>(a)</w:t>
      </w:r>
      <w:r w:rsidRPr="006D3C9D">
        <w:tab/>
        <w:t xml:space="preserve">The redistribution is calculated </w:t>
      </w:r>
      <w:r>
        <w:t>as the sum of all the positive numbers in the row</w:t>
      </w:r>
      <w:r w:rsidRPr="006D3C9D">
        <w:t>.</w:t>
      </w:r>
    </w:p>
    <w:p w:rsidR="00BB3126" w:rsidRPr="006D3C9D" w:rsidRDefault="00BB3126" w:rsidP="00BB3126">
      <w:pPr>
        <w:pStyle w:val="CGCTableFootnote"/>
      </w:pPr>
      <w:r w:rsidRPr="006D3C9D">
        <w:t>Source:</w:t>
      </w:r>
      <w:r w:rsidRPr="006D3C9D">
        <w:tab/>
        <w:t>Commission calculation.</w:t>
      </w:r>
    </w:p>
    <w:p w:rsidR="00BB3126" w:rsidRPr="000F608E" w:rsidRDefault="00BB3126" w:rsidP="00BB3126">
      <w:pPr>
        <w:pStyle w:val="CGCNumberedPara"/>
        <w:numPr>
          <w:ilvl w:val="1"/>
          <w:numId w:val="41"/>
        </w:numPr>
      </w:pPr>
      <w:r w:rsidRPr="006D3C9D">
        <w:fldChar w:fldCharType="begin"/>
      </w:r>
      <w:r w:rsidRPr="006D3C9D">
        <w:instrText xml:space="preserve"> REF _Ref503771880 \h  \* MERGEFORMAT </w:instrText>
      </w:r>
      <w:r w:rsidRPr="006D3C9D">
        <w:fldChar w:fldCharType="separate"/>
      </w:r>
      <w:r w:rsidR="00E82224" w:rsidRPr="00E06D38">
        <w:t xml:space="preserve">Table </w:t>
      </w:r>
      <w:r w:rsidR="00E82224">
        <w:rPr>
          <w:noProof/>
        </w:rPr>
        <w:t>4</w:t>
      </w:r>
      <w:r w:rsidRPr="006D3C9D">
        <w:fldChar w:fldCharType="end"/>
      </w:r>
      <w:r w:rsidRPr="006D3C9D">
        <w:t xml:space="preserve"> shows the main causes of the change in the</w:t>
      </w:r>
      <w:r w:rsidRPr="00E06D38">
        <w:t xml:space="preserve"> GST distribution. They are listed in order of </w:t>
      </w:r>
      <w:r w:rsidRPr="000F608E">
        <w:t xml:space="preserve">importance. A reduction in expense needs or an increase </w:t>
      </w:r>
      <w:r>
        <w:t xml:space="preserve">in </w:t>
      </w:r>
      <w:r w:rsidRPr="000F608E">
        <w:t xml:space="preserve">revenue raising capacity reduces </w:t>
      </w:r>
      <w:r w:rsidR="0034129F">
        <w:t xml:space="preserve">a State’s </w:t>
      </w:r>
      <w:r w:rsidRPr="000F608E">
        <w:t xml:space="preserve">GST share, while an increase in expense needs or a reduction in revenue raising capacity increases </w:t>
      </w:r>
      <w:r w:rsidR="0034129F">
        <w:t xml:space="preserve">its </w:t>
      </w:r>
      <w:r w:rsidRPr="000F608E">
        <w:t>GST share.</w:t>
      </w:r>
    </w:p>
    <w:p w:rsidR="00BB3126" w:rsidRPr="00E06D38" w:rsidRDefault="00BB3126" w:rsidP="00BB3126">
      <w:pPr>
        <w:pStyle w:val="Caption"/>
      </w:pPr>
      <w:bookmarkStart w:id="293" w:name="_Ref503771880"/>
      <w:r w:rsidRPr="00E06D38">
        <w:lastRenderedPageBreak/>
        <w:t xml:space="preserve">Table </w:t>
      </w:r>
      <w:r>
        <w:rPr>
          <w:noProof/>
        </w:rPr>
        <w:fldChar w:fldCharType="begin"/>
      </w:r>
      <w:r>
        <w:rPr>
          <w:noProof/>
        </w:rPr>
        <w:instrText xml:space="preserve"> SEQ Table \* ARABIC </w:instrText>
      </w:r>
      <w:r>
        <w:rPr>
          <w:noProof/>
        </w:rPr>
        <w:fldChar w:fldCharType="separate"/>
      </w:r>
      <w:r w:rsidR="00E82224">
        <w:rPr>
          <w:noProof/>
        </w:rPr>
        <w:t>4</w:t>
      </w:r>
      <w:r>
        <w:rPr>
          <w:noProof/>
        </w:rPr>
        <w:fldChar w:fldCharType="end"/>
      </w:r>
      <w:bookmarkEnd w:id="293"/>
      <w:r w:rsidRPr="00E06D38">
        <w:tab/>
        <w:t>Causes of change in the GST distribution, 2019</w:t>
      </w:r>
      <w:r w:rsidRPr="00E06D38">
        <w:noBreakHyphen/>
        <w:t>20</w:t>
      </w:r>
    </w:p>
    <w:tbl>
      <w:tblPr>
        <w:tblW w:w="8980" w:type="dxa"/>
        <w:tblLayout w:type="fixed"/>
        <w:tblCellMar>
          <w:left w:w="0" w:type="dxa"/>
          <w:right w:w="0" w:type="dxa"/>
        </w:tblCellMar>
        <w:tblLook w:val="04A0" w:firstRow="1" w:lastRow="0" w:firstColumn="1" w:lastColumn="0" w:noHBand="0" w:noVBand="1"/>
      </w:tblPr>
      <w:tblGrid>
        <w:gridCol w:w="2820"/>
        <w:gridCol w:w="680"/>
        <w:gridCol w:w="680"/>
        <w:gridCol w:w="720"/>
        <w:gridCol w:w="680"/>
        <w:gridCol w:w="680"/>
        <w:gridCol w:w="680"/>
        <w:gridCol w:w="680"/>
        <w:gridCol w:w="680"/>
        <w:gridCol w:w="680"/>
      </w:tblGrid>
      <w:tr w:rsidR="00BB3126" w:rsidRPr="0004548A" w:rsidTr="00C7618F">
        <w:trPr>
          <w:trHeight w:val="379"/>
        </w:trPr>
        <w:tc>
          <w:tcPr>
            <w:tcW w:w="282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bookmarkStart w:id="294" w:name="RANGE!A4:J13"/>
            <w:r w:rsidRPr="0004548A">
              <w:rPr>
                <w:rFonts w:ascii="Calibri" w:eastAsia="Times New Roman" w:hAnsi="Calibri" w:cs="Calibri"/>
                <w:sz w:val="20"/>
                <w:szCs w:val="20"/>
                <w:lang w:eastAsia="en-AU"/>
              </w:rPr>
              <w:t> </w:t>
            </w:r>
            <w:bookmarkEnd w:id="294"/>
          </w:p>
        </w:tc>
        <w:tc>
          <w:tcPr>
            <w:tcW w:w="68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NSW</w:t>
            </w:r>
          </w:p>
        </w:tc>
        <w:tc>
          <w:tcPr>
            <w:tcW w:w="68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Qld</w:t>
            </w:r>
          </w:p>
        </w:tc>
        <w:tc>
          <w:tcPr>
            <w:tcW w:w="68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WA</w:t>
            </w:r>
          </w:p>
        </w:tc>
        <w:tc>
          <w:tcPr>
            <w:tcW w:w="68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SA</w:t>
            </w:r>
          </w:p>
        </w:tc>
        <w:tc>
          <w:tcPr>
            <w:tcW w:w="68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Tas</w:t>
            </w:r>
          </w:p>
        </w:tc>
        <w:tc>
          <w:tcPr>
            <w:tcW w:w="68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ACT</w:t>
            </w:r>
          </w:p>
        </w:tc>
        <w:tc>
          <w:tcPr>
            <w:tcW w:w="68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NT</w:t>
            </w:r>
          </w:p>
        </w:tc>
        <w:tc>
          <w:tcPr>
            <w:tcW w:w="680" w:type="dxa"/>
            <w:tcBorders>
              <w:top w:val="single" w:sz="4" w:space="0" w:color="auto"/>
              <w:left w:val="nil"/>
              <w:bottom w:val="single" w:sz="4" w:space="0" w:color="auto"/>
              <w:right w:val="nil"/>
            </w:tcBorders>
            <w:shd w:val="clear" w:color="auto" w:fill="auto"/>
            <w:noWrap/>
            <w:vAlign w:val="center"/>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Redist</w:t>
            </w:r>
          </w:p>
        </w:tc>
      </w:tr>
      <w:tr w:rsidR="00BB3126" w:rsidRPr="0004548A" w:rsidTr="00C7618F">
        <w:trPr>
          <w:trHeight w:val="259"/>
        </w:trPr>
        <w:tc>
          <w:tcPr>
            <w:tcW w:w="28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 </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c>
          <w:tcPr>
            <w:tcW w:w="7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w:t>
            </w:r>
          </w:p>
        </w:tc>
      </w:tr>
      <w:tr w:rsidR="00BB3126" w:rsidRPr="0004548A" w:rsidTr="00C7618F">
        <w:trPr>
          <w:trHeight w:val="315"/>
        </w:trPr>
        <w:tc>
          <w:tcPr>
            <w:tcW w:w="28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Property sales</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196</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-630</w:t>
            </w:r>
          </w:p>
        </w:tc>
        <w:tc>
          <w:tcPr>
            <w:tcW w:w="7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200</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233</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13</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-16</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-20</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25</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666</w:t>
            </w:r>
          </w:p>
        </w:tc>
      </w:tr>
      <w:tr w:rsidR="00BB3126" w:rsidRPr="0004548A" w:rsidTr="00C7618F">
        <w:trPr>
          <w:trHeight w:val="315"/>
        </w:trPr>
        <w:tc>
          <w:tcPr>
            <w:tcW w:w="28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Mining production</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43</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95</w:t>
            </w:r>
          </w:p>
        </w:tc>
        <w:tc>
          <w:tcPr>
            <w:tcW w:w="7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-436</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217</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74</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8</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13</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-14</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450</w:t>
            </w:r>
          </w:p>
        </w:tc>
      </w:tr>
      <w:tr w:rsidR="00BB3126" w:rsidRPr="0004548A" w:rsidTr="00C7618F">
        <w:trPr>
          <w:trHeight w:val="315"/>
        </w:trPr>
        <w:tc>
          <w:tcPr>
            <w:tcW w:w="28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Wage costs</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16</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215</w:t>
            </w:r>
          </w:p>
        </w:tc>
        <w:tc>
          <w:tcPr>
            <w:tcW w:w="7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77</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-363</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6</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29</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35</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-14</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377</w:t>
            </w:r>
          </w:p>
        </w:tc>
      </w:tr>
      <w:tr w:rsidR="00BB3126" w:rsidRPr="0004548A" w:rsidTr="00C7618F">
        <w:trPr>
          <w:trHeight w:val="315"/>
        </w:trPr>
        <w:tc>
          <w:tcPr>
            <w:tcW w:w="28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Natural disaster relief</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146</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174</w:t>
            </w:r>
          </w:p>
        </w:tc>
        <w:tc>
          <w:tcPr>
            <w:tcW w:w="7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-355</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-21</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32</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12</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9</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376</w:t>
            </w:r>
          </w:p>
        </w:tc>
      </w:tr>
      <w:tr w:rsidR="00BB3126" w:rsidRPr="0004548A" w:rsidTr="00C7618F">
        <w:trPr>
          <w:trHeight w:val="315"/>
        </w:trPr>
        <w:tc>
          <w:tcPr>
            <w:tcW w:w="28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Commonwealth payments</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244</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92</w:t>
            </w:r>
          </w:p>
        </w:tc>
        <w:tc>
          <w:tcPr>
            <w:tcW w:w="7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-182</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8</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-137</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-25</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11</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-10</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354</w:t>
            </w:r>
          </w:p>
        </w:tc>
      </w:tr>
      <w:tr w:rsidR="00BB3126" w:rsidRPr="0004548A" w:rsidTr="00C7618F">
        <w:trPr>
          <w:trHeight w:val="315"/>
        </w:trPr>
        <w:tc>
          <w:tcPr>
            <w:tcW w:w="28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Taxable land values</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-272</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13</w:t>
            </w:r>
          </w:p>
        </w:tc>
        <w:tc>
          <w:tcPr>
            <w:tcW w:w="7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87</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127</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32</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7</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6</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272</w:t>
            </w:r>
          </w:p>
        </w:tc>
      </w:tr>
      <w:tr w:rsidR="00BB3126" w:rsidRPr="0004548A" w:rsidTr="00C7618F">
        <w:trPr>
          <w:trHeight w:val="315"/>
        </w:trPr>
        <w:tc>
          <w:tcPr>
            <w:tcW w:w="28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Taxable payrolls</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-102</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-68</w:t>
            </w:r>
          </w:p>
        </w:tc>
        <w:tc>
          <w:tcPr>
            <w:tcW w:w="7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41</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154</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0</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-9</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-12</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195</w:t>
            </w:r>
          </w:p>
        </w:tc>
      </w:tr>
      <w:tr w:rsidR="00BB3126" w:rsidRPr="0004548A" w:rsidTr="00C7618F">
        <w:trPr>
          <w:trHeight w:val="315"/>
        </w:trPr>
        <w:tc>
          <w:tcPr>
            <w:tcW w:w="28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Investment growth</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52</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96</w:t>
            </w:r>
          </w:p>
        </w:tc>
        <w:tc>
          <w:tcPr>
            <w:tcW w:w="7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-83</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-8</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-33</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-23</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-14</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13</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161</w:t>
            </w:r>
          </w:p>
        </w:tc>
      </w:tr>
      <w:tr w:rsidR="00BB3126" w:rsidRPr="0004548A" w:rsidTr="00C7618F">
        <w:trPr>
          <w:trHeight w:val="315"/>
        </w:trPr>
        <w:tc>
          <w:tcPr>
            <w:tcW w:w="28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Population growth</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-33</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-52</w:t>
            </w:r>
          </w:p>
        </w:tc>
        <w:tc>
          <w:tcPr>
            <w:tcW w:w="7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60</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-14</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-49</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22</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17</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49</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147</w:t>
            </w:r>
          </w:p>
        </w:tc>
      </w:tr>
      <w:tr w:rsidR="00BB3126" w:rsidRPr="0004548A" w:rsidTr="00C7618F">
        <w:trPr>
          <w:trHeight w:val="315"/>
        </w:trPr>
        <w:tc>
          <w:tcPr>
            <w:tcW w:w="28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All other changes</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41</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-8</w:t>
            </w:r>
          </w:p>
        </w:tc>
        <w:tc>
          <w:tcPr>
            <w:tcW w:w="72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9</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-9</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7</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-12</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19</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-48</w:t>
            </w:r>
          </w:p>
        </w:tc>
        <w:tc>
          <w:tcPr>
            <w:tcW w:w="680" w:type="dxa"/>
            <w:tcBorders>
              <w:top w:val="nil"/>
              <w:left w:val="nil"/>
              <w:bottom w:val="nil"/>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77</w:t>
            </w:r>
          </w:p>
        </w:tc>
      </w:tr>
      <w:tr w:rsidR="00BB3126" w:rsidRPr="0004548A" w:rsidTr="00C7618F">
        <w:trPr>
          <w:trHeight w:val="315"/>
        </w:trPr>
        <w:tc>
          <w:tcPr>
            <w:tcW w:w="2820" w:type="dxa"/>
            <w:tcBorders>
              <w:top w:val="nil"/>
              <w:left w:val="nil"/>
              <w:bottom w:val="single" w:sz="4" w:space="0" w:color="auto"/>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Total</w:t>
            </w:r>
          </w:p>
        </w:tc>
        <w:tc>
          <w:tcPr>
            <w:tcW w:w="680" w:type="dxa"/>
            <w:tcBorders>
              <w:top w:val="single" w:sz="4" w:space="0" w:color="auto"/>
              <w:left w:val="nil"/>
              <w:bottom w:val="single" w:sz="4" w:space="0" w:color="auto"/>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331</w:t>
            </w:r>
          </w:p>
        </w:tc>
        <w:tc>
          <w:tcPr>
            <w:tcW w:w="680" w:type="dxa"/>
            <w:tcBorders>
              <w:top w:val="single" w:sz="4" w:space="0" w:color="auto"/>
              <w:left w:val="nil"/>
              <w:bottom w:val="single" w:sz="4" w:space="0" w:color="auto"/>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-72</w:t>
            </w:r>
          </w:p>
        </w:tc>
        <w:tc>
          <w:tcPr>
            <w:tcW w:w="720" w:type="dxa"/>
            <w:tcBorders>
              <w:top w:val="single" w:sz="4" w:space="0" w:color="auto"/>
              <w:left w:val="nil"/>
              <w:bottom w:val="single" w:sz="4" w:space="0" w:color="auto"/>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Pr>
                <w:rFonts w:ascii="Calibri" w:eastAsia="Times New Roman" w:hAnsi="Calibri" w:cs="Calibri"/>
                <w:sz w:val="20"/>
                <w:szCs w:val="20"/>
                <w:lang w:eastAsia="en-AU"/>
              </w:rPr>
              <w:t>-</w:t>
            </w:r>
            <w:r w:rsidRPr="0004548A">
              <w:rPr>
                <w:rFonts w:ascii="Calibri" w:eastAsia="Times New Roman" w:hAnsi="Calibri" w:cs="Calibri"/>
                <w:sz w:val="20"/>
                <w:szCs w:val="20"/>
                <w:lang w:eastAsia="en-AU"/>
              </w:rPr>
              <w:t>583</w:t>
            </w:r>
          </w:p>
        </w:tc>
        <w:tc>
          <w:tcPr>
            <w:tcW w:w="680" w:type="dxa"/>
            <w:tcBorders>
              <w:top w:val="single" w:sz="4" w:space="0" w:color="auto"/>
              <w:left w:val="nil"/>
              <w:bottom w:val="single" w:sz="4" w:space="0" w:color="auto"/>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324</w:t>
            </w:r>
          </w:p>
        </w:tc>
        <w:tc>
          <w:tcPr>
            <w:tcW w:w="680" w:type="dxa"/>
            <w:tcBorders>
              <w:top w:val="single" w:sz="4" w:space="0" w:color="auto"/>
              <w:left w:val="nil"/>
              <w:bottom w:val="single" w:sz="4" w:space="0" w:color="auto"/>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-56</w:t>
            </w:r>
          </w:p>
        </w:tc>
        <w:tc>
          <w:tcPr>
            <w:tcW w:w="680" w:type="dxa"/>
            <w:tcBorders>
              <w:top w:val="single" w:sz="4" w:space="0" w:color="auto"/>
              <w:left w:val="nil"/>
              <w:bottom w:val="single" w:sz="4" w:space="0" w:color="auto"/>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-16</w:t>
            </w:r>
          </w:p>
        </w:tc>
        <w:tc>
          <w:tcPr>
            <w:tcW w:w="680" w:type="dxa"/>
            <w:tcBorders>
              <w:top w:val="single" w:sz="4" w:space="0" w:color="auto"/>
              <w:left w:val="nil"/>
              <w:bottom w:val="single" w:sz="4" w:space="0" w:color="auto"/>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66</w:t>
            </w:r>
          </w:p>
        </w:tc>
        <w:tc>
          <w:tcPr>
            <w:tcW w:w="680" w:type="dxa"/>
            <w:tcBorders>
              <w:top w:val="single" w:sz="4" w:space="0" w:color="auto"/>
              <w:left w:val="nil"/>
              <w:bottom w:val="single" w:sz="4" w:space="0" w:color="auto"/>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6</w:t>
            </w:r>
          </w:p>
        </w:tc>
        <w:tc>
          <w:tcPr>
            <w:tcW w:w="680" w:type="dxa"/>
            <w:tcBorders>
              <w:top w:val="single" w:sz="4" w:space="0" w:color="auto"/>
              <w:left w:val="nil"/>
              <w:bottom w:val="single" w:sz="4" w:space="0" w:color="auto"/>
              <w:right w:val="nil"/>
            </w:tcBorders>
            <w:shd w:val="clear" w:color="auto" w:fill="auto"/>
            <w:noWrap/>
            <w:vAlign w:val="bottom"/>
            <w:hideMark/>
          </w:tcPr>
          <w:p w:rsidR="00BB3126" w:rsidRPr="0004548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4548A">
              <w:rPr>
                <w:rFonts w:ascii="Calibri" w:eastAsia="Times New Roman" w:hAnsi="Calibri" w:cs="Calibri"/>
                <w:sz w:val="20"/>
                <w:szCs w:val="20"/>
                <w:lang w:eastAsia="en-AU"/>
              </w:rPr>
              <w:t>727</w:t>
            </w:r>
          </w:p>
        </w:tc>
      </w:tr>
    </w:tbl>
    <w:p w:rsidR="00BB3126" w:rsidRPr="00E06D38" w:rsidRDefault="00BB3126" w:rsidP="00BB3126">
      <w:pPr>
        <w:pStyle w:val="CGCTableFootnote"/>
        <w:keepNext/>
        <w:keepLines/>
      </w:pPr>
      <w:r w:rsidRPr="00E06D38">
        <w:t>Source:</w:t>
      </w:r>
      <w:r w:rsidRPr="00E06D38">
        <w:tab/>
        <w:t>Commission calculation.</w:t>
      </w:r>
    </w:p>
    <w:p w:rsidR="00BB3126" w:rsidRPr="004B5EDB" w:rsidRDefault="00BB3126" w:rsidP="00BB3126">
      <w:pPr>
        <w:pStyle w:val="CGCNumberedPara"/>
        <w:numPr>
          <w:ilvl w:val="1"/>
          <w:numId w:val="3"/>
        </w:numPr>
      </w:pPr>
      <w:r w:rsidRPr="004B5EDB">
        <w:t xml:space="preserve">The </w:t>
      </w:r>
      <w:r w:rsidRPr="000F608E">
        <w:t>main causes of changes were as follows</w:t>
      </w:r>
      <w:r w:rsidRPr="004B5EDB">
        <w:t>.</w:t>
      </w:r>
    </w:p>
    <w:p w:rsidR="00BB3126" w:rsidRPr="003C54EF" w:rsidRDefault="00BB3126" w:rsidP="00BB3126">
      <w:pPr>
        <w:pStyle w:val="CGCBulletlist"/>
        <w:numPr>
          <w:ilvl w:val="0"/>
          <w:numId w:val="45"/>
        </w:numPr>
        <w:tabs>
          <w:tab w:val="clear" w:pos="927"/>
        </w:tabs>
        <w:ind w:left="1134" w:hanging="567"/>
        <w:rPr>
          <w:sz w:val="20"/>
        </w:rPr>
      </w:pPr>
      <w:r w:rsidRPr="007B50BC">
        <w:rPr>
          <w:rStyle w:val="Heading6Char"/>
        </w:rPr>
        <w:t>Property sales.</w:t>
      </w:r>
      <w:r w:rsidRPr="007B50BC">
        <w:t xml:space="preserve"> </w:t>
      </w:r>
      <w:r w:rsidRPr="00F31032">
        <w:t xml:space="preserve">Differences in the rate of growth </w:t>
      </w:r>
      <w:r>
        <w:t>in the value of</w:t>
      </w:r>
      <w:r w:rsidRPr="00F31032">
        <w:t xml:space="preserve"> </w:t>
      </w:r>
      <w:r>
        <w:t>property sales</w:t>
      </w:r>
      <w:r w:rsidRPr="00F31032">
        <w:t xml:space="preserve"> between 2014-15 and 2017-18 affected States’ revenue </w:t>
      </w:r>
      <w:r w:rsidRPr="000F608E">
        <w:t>raising capacities. Victoria experienced the fastest growth</w:t>
      </w:r>
      <w:r>
        <w:t xml:space="preserve"> in </w:t>
      </w:r>
      <w:r w:rsidRPr="000F608E">
        <w:t>property sales</w:t>
      </w:r>
      <w:r>
        <w:t>. Property sales</w:t>
      </w:r>
      <w:r w:rsidRPr="000F608E">
        <w:t xml:space="preserve"> also </w:t>
      </w:r>
      <w:r>
        <w:t>increased</w:t>
      </w:r>
      <w:r w:rsidRPr="000F608E">
        <w:t xml:space="preserve"> faster than average in the ACT and Tasmania</w:t>
      </w:r>
      <w:r>
        <w:t>. These changes increased</w:t>
      </w:r>
      <w:r w:rsidRPr="000F608E">
        <w:t xml:space="preserve"> those States’ revenue raising capacities</w:t>
      </w:r>
      <w:r>
        <w:t>,</w:t>
      </w:r>
      <w:r w:rsidRPr="000F608E">
        <w:t xml:space="preserve"> reducing their GST share. Property sales in Queensland and South Australia grew by less than average over the</w:t>
      </w:r>
      <w:r>
        <w:t xml:space="preserve"> period, while property sales fell in Western Australia and the Northern Territory. As a result, these States experienced a decrease in their revenue raising capacity and an increase in their GST shares. While property sales in New South Wales grew by around the average over the period, downward revisions to its 2016</w:t>
      </w:r>
      <w:r>
        <w:noBreakHyphen/>
        <w:t>17 value of property sales decreased its revenue raising capacity and increased its GST share.</w:t>
      </w:r>
    </w:p>
    <w:p w:rsidR="00BB3126" w:rsidRPr="00F31032" w:rsidRDefault="00BB3126" w:rsidP="00BB3126">
      <w:pPr>
        <w:pStyle w:val="CGCBulletlist"/>
        <w:numPr>
          <w:ilvl w:val="0"/>
          <w:numId w:val="45"/>
        </w:numPr>
        <w:tabs>
          <w:tab w:val="clear" w:pos="927"/>
        </w:tabs>
        <w:ind w:left="1134" w:hanging="567"/>
        <w:rPr>
          <w:sz w:val="20"/>
        </w:rPr>
      </w:pPr>
      <w:r w:rsidRPr="004B5EDB">
        <w:rPr>
          <w:rStyle w:val="Heading6Char"/>
        </w:rPr>
        <w:t>Mining production.</w:t>
      </w:r>
      <w:r w:rsidRPr="006964CD">
        <w:t xml:space="preserve"> </w:t>
      </w:r>
      <w:r>
        <w:t xml:space="preserve">Between 2014-15 and 2017-18, the value of coal production rose by more than any other mineral. This increased the revenue raising capacity of the biggest coal producer, Queensland, and reduced the capacities of other States. Western Australia’s revenue raising capacity was further reduced by a fall in North West Shelf royalties. These changes reduced Queensland’s GST share and increased </w:t>
      </w:r>
      <w:r w:rsidRPr="00F31032">
        <w:t>the share</w:t>
      </w:r>
      <w:r>
        <w:t>s</w:t>
      </w:r>
      <w:r w:rsidRPr="00F31032">
        <w:t xml:space="preserve"> </w:t>
      </w:r>
      <w:r>
        <w:t>of the</w:t>
      </w:r>
      <w:r w:rsidRPr="00F31032">
        <w:t xml:space="preserve"> other States.</w:t>
      </w:r>
    </w:p>
    <w:p w:rsidR="00BB3126" w:rsidRPr="009D5383" w:rsidRDefault="00BB3126" w:rsidP="00BB3126">
      <w:pPr>
        <w:pStyle w:val="CGCBulletlist"/>
        <w:numPr>
          <w:ilvl w:val="0"/>
          <w:numId w:val="1"/>
        </w:numPr>
        <w:tabs>
          <w:tab w:val="clear" w:pos="927"/>
        </w:tabs>
        <w:ind w:left="1134" w:hanging="567"/>
      </w:pPr>
      <w:r w:rsidRPr="00F31032">
        <w:rPr>
          <w:rStyle w:val="Heading6Char"/>
        </w:rPr>
        <w:t>Wage costs.</w:t>
      </w:r>
      <w:r w:rsidRPr="00F31032">
        <w:t xml:space="preserve"> </w:t>
      </w:r>
      <w:r>
        <w:t>The Commission uses ABS Characteristics of Employment Survey (CoES) data to assess State wage costs. The latest ABS CoES data indicate that, between 2014</w:t>
      </w:r>
      <w:r>
        <w:noBreakHyphen/>
        <w:t>15 and 2017</w:t>
      </w:r>
      <w:r>
        <w:noBreakHyphen/>
        <w:t xml:space="preserve">18, wage levels </w:t>
      </w:r>
      <w:r w:rsidR="00365CBF">
        <w:t>rose more slowly</w:t>
      </w:r>
      <w:r>
        <w:t xml:space="preserve"> in Western Australia and, to a lesser extent, in the Northern Territory</w:t>
      </w:r>
      <w:r w:rsidR="00277C24">
        <w:t xml:space="preserve"> </w:t>
      </w:r>
      <w:r w:rsidR="00365CBF">
        <w:t>compared with the other States</w:t>
      </w:r>
      <w:r>
        <w:t>.</w:t>
      </w:r>
      <w:r w:rsidR="00365CBF">
        <w:t xml:space="preserve"> This reduce</w:t>
      </w:r>
      <w:r w:rsidR="008404E2">
        <w:t>d</w:t>
      </w:r>
      <w:r w:rsidR="00365CBF">
        <w:t xml:space="preserve"> the GST shares of Western Australia and the Northern Territory.</w:t>
      </w:r>
      <w:r>
        <w:t xml:space="preserve"> The CoES data indicate that wage levels in the other States have grown faster than average, increasing their assessed costs of delivering services and their GST shares</w:t>
      </w:r>
      <w:r w:rsidR="00BF5524">
        <w:t>.</w:t>
      </w:r>
    </w:p>
    <w:p w:rsidR="00BB3126" w:rsidRPr="009D5383" w:rsidRDefault="00BB3126" w:rsidP="00BB3126">
      <w:pPr>
        <w:pStyle w:val="CGCBulletlist"/>
        <w:numPr>
          <w:ilvl w:val="0"/>
          <w:numId w:val="1"/>
        </w:numPr>
        <w:tabs>
          <w:tab w:val="clear" w:pos="927"/>
        </w:tabs>
        <w:ind w:left="1134" w:hanging="567"/>
      </w:pPr>
      <w:r w:rsidRPr="009D5383">
        <w:rPr>
          <w:rStyle w:val="Heading6Char"/>
        </w:rPr>
        <w:lastRenderedPageBreak/>
        <w:t>Natural disaster relief.</w:t>
      </w:r>
      <w:r w:rsidRPr="009D5383">
        <w:t xml:space="preserve"> </w:t>
      </w:r>
      <w:r>
        <w:t>Between 2014-15 and 2017-18, Queensland’s net natural disaster relief expenses fell significantly, reducing its GST share</w:t>
      </w:r>
      <w:r w:rsidRPr="009D5383">
        <w:t xml:space="preserve">. In addition, </w:t>
      </w:r>
      <w:r>
        <w:t xml:space="preserve">States have provided revised </w:t>
      </w:r>
      <w:r w:rsidRPr="009D5383">
        <w:t xml:space="preserve">expenses </w:t>
      </w:r>
      <w:r>
        <w:t xml:space="preserve">for all years that exclude </w:t>
      </w:r>
      <w:r w:rsidRPr="009D5383">
        <w:t>local government out of pocket expenses</w:t>
      </w:r>
      <w:r>
        <w:t>,</w:t>
      </w:r>
      <w:r w:rsidRPr="009D5383">
        <w:t xml:space="preserve"> to align with the 2015 Review</w:t>
      </w:r>
      <w:r>
        <w:t xml:space="preserve"> method. The Commission made a </w:t>
      </w:r>
      <w:r w:rsidRPr="009D5383">
        <w:t xml:space="preserve">one-off adjustment to correct for the </w:t>
      </w:r>
      <w:r>
        <w:t xml:space="preserve">previous </w:t>
      </w:r>
      <w:r w:rsidRPr="009D5383">
        <w:t xml:space="preserve">overstatement of local government expenses in </w:t>
      </w:r>
      <w:r>
        <w:t xml:space="preserve">the </w:t>
      </w:r>
      <w:r w:rsidRPr="009D5383">
        <w:t>assessment years</w:t>
      </w:r>
      <w:r>
        <w:t xml:space="preserve">, which particularly affected Queensland. </w:t>
      </w:r>
      <w:r w:rsidR="00277C24">
        <w:t xml:space="preserve">No adjustment was made </w:t>
      </w:r>
      <w:r w:rsidR="006819E4">
        <w:t>for</w:t>
      </w:r>
      <w:r w:rsidR="00277C24">
        <w:t xml:space="preserve"> years </w:t>
      </w:r>
      <w:r w:rsidR="00C5496E">
        <w:t>outside</w:t>
      </w:r>
      <w:r w:rsidR="00277C24">
        <w:t xml:space="preserve"> </w:t>
      </w:r>
      <w:r w:rsidR="00C5496E">
        <w:t xml:space="preserve">the </w:t>
      </w:r>
      <w:r w:rsidR="00277C24">
        <w:t xml:space="preserve">assessment </w:t>
      </w:r>
      <w:r w:rsidR="00C5496E">
        <w:t>window</w:t>
      </w:r>
      <w:r w:rsidR="00277C24">
        <w:t xml:space="preserve">. </w:t>
      </w:r>
      <w:r w:rsidRPr="009D5383">
        <w:t>In total, these changes reduc</w:t>
      </w:r>
      <w:r>
        <w:t>ed the GST shares of Queensland</w:t>
      </w:r>
      <w:r w:rsidRPr="009D5383">
        <w:t xml:space="preserve"> and</w:t>
      </w:r>
      <w:r>
        <w:t>,</w:t>
      </w:r>
      <w:r w:rsidRPr="009D5383">
        <w:t xml:space="preserve"> to a lesser extent, Western Australia, and increased the GST shares of </w:t>
      </w:r>
      <w:r>
        <w:t xml:space="preserve">the </w:t>
      </w:r>
      <w:r w:rsidRPr="009D5383">
        <w:t>other States.</w:t>
      </w:r>
    </w:p>
    <w:p w:rsidR="00BB3126" w:rsidRPr="007B50BC" w:rsidRDefault="00BB3126" w:rsidP="00BB3126">
      <w:pPr>
        <w:pStyle w:val="CGCBulletlist"/>
        <w:numPr>
          <w:ilvl w:val="0"/>
          <w:numId w:val="1"/>
        </w:numPr>
        <w:tabs>
          <w:tab w:val="clear" w:pos="927"/>
        </w:tabs>
        <w:ind w:left="1134" w:hanging="567"/>
      </w:pPr>
      <w:r w:rsidRPr="009D5383">
        <w:rPr>
          <w:rStyle w:val="Heading6Char"/>
        </w:rPr>
        <w:t>Commonwealth payments.</w:t>
      </w:r>
      <w:r w:rsidRPr="009D5383">
        <w:t xml:space="preserve"> There were </w:t>
      </w:r>
      <w:r>
        <w:t>large</w:t>
      </w:r>
      <w:r w:rsidRPr="009D5383">
        <w:t xml:space="preserve"> changes in the size and </w:t>
      </w:r>
      <w:r w:rsidRPr="0017245C">
        <w:t xml:space="preserve">distribution of payments </w:t>
      </w:r>
      <w:r>
        <w:t>to</w:t>
      </w:r>
      <w:r w:rsidRPr="0017245C">
        <w:t xml:space="preserve"> the States between 2014-15 and 2017-18. New South Wales, Victoria, Western Australia and the ACT had a lower share of payments in 2017-18 than in 2014-15. This has increased their GST shares while the GST shares of the other States </w:t>
      </w:r>
      <w:r>
        <w:t>have</w:t>
      </w:r>
      <w:r w:rsidRPr="0017245C">
        <w:t xml:space="preserve"> reduced. These changes had the biggest impact on New South Wales, </w:t>
      </w:r>
      <w:r>
        <w:t>Queensland and</w:t>
      </w:r>
      <w:r w:rsidRPr="0017245C">
        <w:t xml:space="preserve"> South Australia. Payments for National health reform, road and ra</w:t>
      </w:r>
      <w:r w:rsidR="0034129F">
        <w:t>il infrastructure, and Qua</w:t>
      </w:r>
      <w:r w:rsidR="00F724FA">
        <w:t>lity s</w:t>
      </w:r>
      <w:r w:rsidRPr="0017245C">
        <w:t xml:space="preserve">chools funding for government schools </w:t>
      </w:r>
      <w:r>
        <w:t>contributed most to the change in the redistribution</w:t>
      </w:r>
      <w:r w:rsidRPr="007B50BC">
        <w:t>.</w:t>
      </w:r>
    </w:p>
    <w:p w:rsidR="00BB3126" w:rsidRPr="00F31032" w:rsidRDefault="00BB3126" w:rsidP="00BB3126">
      <w:pPr>
        <w:pStyle w:val="CGCBulletlist"/>
        <w:numPr>
          <w:ilvl w:val="0"/>
          <w:numId w:val="1"/>
        </w:numPr>
        <w:tabs>
          <w:tab w:val="clear" w:pos="927"/>
        </w:tabs>
        <w:ind w:left="1134" w:hanging="567"/>
      </w:pPr>
      <w:r w:rsidRPr="00177CC8">
        <w:rPr>
          <w:rStyle w:val="Heading6Char"/>
        </w:rPr>
        <w:t>Taxable land values.</w:t>
      </w:r>
      <w:r w:rsidRPr="006455BD">
        <w:t xml:space="preserve"> </w:t>
      </w:r>
      <w:r w:rsidRPr="00F31032">
        <w:t xml:space="preserve">Differences between States in the rate of growth of taxable </w:t>
      </w:r>
      <w:r>
        <w:t>land values</w:t>
      </w:r>
      <w:r w:rsidRPr="00F31032">
        <w:t xml:space="preserve"> between 2014-15 and 2017-18 affected States’ revenue raising </w:t>
      </w:r>
      <w:r w:rsidRPr="003C7722">
        <w:t>capacities</w:t>
      </w:r>
      <w:r>
        <w:t xml:space="preserve">. Between 2014-15 and 2017-18, the value of taxable land grew fastest in New South Wales, increasing its </w:t>
      </w:r>
      <w:r w:rsidRPr="00F31032">
        <w:t xml:space="preserve">revenue </w:t>
      </w:r>
      <w:r>
        <w:t xml:space="preserve">raising </w:t>
      </w:r>
      <w:r w:rsidRPr="00F31032">
        <w:t xml:space="preserve">capacity and reducing its GST share. </w:t>
      </w:r>
      <w:r>
        <w:t>Slower growth in taxable land values in all other States reduced their revenue raising capacities</w:t>
      </w:r>
      <w:r w:rsidRPr="00F31032">
        <w:t>, increasing their GST share</w:t>
      </w:r>
      <w:r>
        <w:t>s</w:t>
      </w:r>
      <w:r w:rsidRPr="00F31032">
        <w:t>.</w:t>
      </w:r>
    </w:p>
    <w:p w:rsidR="00BB3126" w:rsidRPr="003C7722" w:rsidRDefault="00BB3126" w:rsidP="00BB3126">
      <w:pPr>
        <w:pStyle w:val="CGCBulletlist"/>
        <w:numPr>
          <w:ilvl w:val="0"/>
          <w:numId w:val="1"/>
        </w:numPr>
        <w:tabs>
          <w:tab w:val="clear" w:pos="927"/>
        </w:tabs>
        <w:ind w:left="1134" w:hanging="567"/>
      </w:pPr>
      <w:r w:rsidRPr="00F31032">
        <w:rPr>
          <w:rStyle w:val="Heading6Char"/>
        </w:rPr>
        <w:t>Taxable payrolls.</w:t>
      </w:r>
      <w:r w:rsidRPr="00F31032">
        <w:t xml:space="preserve"> Differences between States in the rate of growth of taxable payrolls between 2014-15 and 2017-18 affected States’ revenue raising </w:t>
      </w:r>
      <w:r w:rsidRPr="003C7722">
        <w:t>capacities. Above average growth in taxable payrolls</w:t>
      </w:r>
      <w:r>
        <w:t xml:space="preserve"> per capita</w:t>
      </w:r>
      <w:r w:rsidRPr="003C7722">
        <w:t xml:space="preserve"> in New</w:t>
      </w:r>
      <w:r>
        <w:t> </w:t>
      </w:r>
      <w:r w:rsidRPr="003C7722">
        <w:t>South</w:t>
      </w:r>
      <w:r>
        <w:t> </w:t>
      </w:r>
      <w:r w:rsidRPr="003C7722">
        <w:t xml:space="preserve">Wales, Victoria, Tasmania, ACT and the Northern Territory increased their revenue raising capacities and reduced their GST shares. Taxable payrolls in Queensland grew by less than the average over the period, </w:t>
      </w:r>
      <w:r>
        <w:t xml:space="preserve">and </w:t>
      </w:r>
      <w:r w:rsidRPr="003C7722">
        <w:t xml:space="preserve">taxable payrolls </w:t>
      </w:r>
      <w:r>
        <w:t>actually fell in Western Australia. As a result, these States experienced</w:t>
      </w:r>
      <w:r w:rsidRPr="003C7722">
        <w:t xml:space="preserve"> a decrease in their revenue raising capacities and an increase in their GST shares.</w:t>
      </w:r>
    </w:p>
    <w:p w:rsidR="00BB3126" w:rsidRPr="003C7722" w:rsidRDefault="00BB3126" w:rsidP="00BB3126">
      <w:pPr>
        <w:pStyle w:val="CGCBulletlist"/>
        <w:numPr>
          <w:ilvl w:val="0"/>
          <w:numId w:val="1"/>
        </w:numPr>
        <w:tabs>
          <w:tab w:val="clear" w:pos="927"/>
        </w:tabs>
        <w:ind w:left="1134" w:hanging="567"/>
      </w:pPr>
      <w:r w:rsidRPr="003C7722">
        <w:rPr>
          <w:rStyle w:val="Heading6Char"/>
        </w:rPr>
        <w:t>Investment growth.</w:t>
      </w:r>
      <w:r w:rsidRPr="003C7722">
        <w:t xml:space="preserve"> Between 2014-15 and 2017-18, </w:t>
      </w:r>
      <w:r>
        <w:t>total State investment in urban transport more than tripled</w:t>
      </w:r>
      <w:r w:rsidRPr="003C7722">
        <w:t xml:space="preserve">. This </w:t>
      </w:r>
      <w:r>
        <w:t>resulted</w:t>
      </w:r>
      <w:r w:rsidRPr="003C7722">
        <w:t xml:space="preserve"> in an increase to the GST shares of New South Wales and Victoria</w:t>
      </w:r>
      <w:r>
        <w:t>,</w:t>
      </w:r>
      <w:r w:rsidRPr="003C7722">
        <w:t xml:space="preserve"> due to their above average urban transport investment needs.</w:t>
      </w:r>
      <w:r>
        <w:t xml:space="preserve"> The Northern Territory’s GST share has also increased due to an increase in rural road investment, for which it has above average needs.</w:t>
      </w:r>
    </w:p>
    <w:p w:rsidR="00BB3126" w:rsidRPr="00626E98" w:rsidRDefault="00BB3126" w:rsidP="00BB3126">
      <w:pPr>
        <w:pStyle w:val="CGCBulletlist"/>
        <w:numPr>
          <w:ilvl w:val="0"/>
          <w:numId w:val="1"/>
        </w:numPr>
        <w:tabs>
          <w:tab w:val="clear" w:pos="927"/>
        </w:tabs>
        <w:ind w:left="1134" w:hanging="567"/>
      </w:pPr>
      <w:r w:rsidRPr="009407F7">
        <w:rPr>
          <w:rStyle w:val="Heading6Char"/>
        </w:rPr>
        <w:t>Population growth.</w:t>
      </w:r>
      <w:r w:rsidRPr="009407F7">
        <w:t xml:space="preserve"> </w:t>
      </w:r>
      <w:r w:rsidRPr="00D11590">
        <w:t xml:space="preserve">Between 2014-15 and 2017-18, population growth rates increased considerably in Queensland, Tasmania and the ACT, increasing those States’ investment needs and hence their GST shares. Over the same period, </w:t>
      </w:r>
      <w:r w:rsidRPr="00D11590">
        <w:lastRenderedPageBreak/>
        <w:t>population growth rates declined in Western Australia and South Australia, reducing those States</w:t>
      </w:r>
      <w:r>
        <w:t>’</w:t>
      </w:r>
      <w:r w:rsidRPr="00D11590">
        <w:t xml:space="preserve"> GST shares. </w:t>
      </w:r>
      <w:r w:rsidRPr="00604D91">
        <w:t>Changes to population growth rates had relatively small effects on New South Wales and Victoria’s GST shares.</w:t>
      </w:r>
      <w:r>
        <w:t xml:space="preserve"> </w:t>
      </w:r>
      <w:r w:rsidRPr="00D11590">
        <w:t xml:space="preserve">Revisions to ABS population growth estimates increased the </w:t>
      </w:r>
      <w:r>
        <w:t>GST share of the Northern Territory</w:t>
      </w:r>
      <w:r w:rsidRPr="00626E98">
        <w:t>.</w:t>
      </w:r>
    </w:p>
    <w:p w:rsidR="00BB3126" w:rsidRPr="00D3638D" w:rsidRDefault="00BB3126" w:rsidP="00BB3126">
      <w:pPr>
        <w:pStyle w:val="Heading3"/>
      </w:pPr>
      <w:bookmarkStart w:id="295" w:name="_Toc428435389"/>
      <w:bookmarkStart w:id="296" w:name="_Toc433353475"/>
      <w:bookmarkStart w:id="297" w:name="_Toc441241581"/>
      <w:bookmarkStart w:id="298" w:name="_Toc441499251"/>
      <w:bookmarkStart w:id="299" w:name="_Toc441656025"/>
      <w:bookmarkStart w:id="300" w:name="_Toc442191907"/>
      <w:bookmarkStart w:id="301" w:name="_Toc442192159"/>
      <w:bookmarkStart w:id="302" w:name="_Toc442192224"/>
      <w:bookmarkStart w:id="303" w:name="_Toc442772810"/>
      <w:bookmarkStart w:id="304" w:name="_Toc442773037"/>
      <w:bookmarkStart w:id="305" w:name="_Toc442773209"/>
      <w:bookmarkStart w:id="306" w:name="_Toc442773561"/>
      <w:bookmarkStart w:id="307" w:name="_Toc442883274"/>
      <w:bookmarkStart w:id="308" w:name="_Toc474923742"/>
      <w:bookmarkStart w:id="309" w:name="_Toc505872168"/>
      <w:bookmarkStart w:id="310" w:name="_Toc536519619"/>
      <w:bookmarkStart w:id="311" w:name="_Toc536631329"/>
      <w:bookmarkStart w:id="312" w:name="_Toc536803162"/>
      <w:bookmarkStart w:id="313" w:name="_Toc536803250"/>
      <w:bookmarkStart w:id="314" w:name="_Toc1115130"/>
      <w:r w:rsidRPr="00D3638D">
        <w:t>State by State changes since the 2018 Update</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BB3126" w:rsidRPr="00D3638D" w:rsidRDefault="00BB3126" w:rsidP="00BB3126">
      <w:pPr>
        <w:pStyle w:val="CGCNumberedPara"/>
        <w:numPr>
          <w:ilvl w:val="1"/>
          <w:numId w:val="3"/>
        </w:numPr>
      </w:pPr>
      <w:r w:rsidRPr="00D3638D">
        <w:t xml:space="preserve">Changes that have had important effects on the assessed fiscal capacity of each State are summarised in this section. </w:t>
      </w:r>
      <w:r>
        <w:t>C</w:t>
      </w:r>
      <w:r w:rsidRPr="00D3638D">
        <w:t xml:space="preserve">hanges </w:t>
      </w:r>
      <w:r>
        <w:t xml:space="preserve">in assessed fiscal capacity </w:t>
      </w:r>
      <w:r w:rsidRPr="00D3638D">
        <w:t>can occur because more recent economic and demographic circumstances are being reflected in States’ GST shares (referred to as changes in circumstances), or because historical data used in assessments have been revised (referred to as revisi</w:t>
      </w:r>
      <w:r>
        <w:t>ons).</w:t>
      </w:r>
    </w:p>
    <w:p w:rsidR="00BB3126" w:rsidRPr="00001ED7" w:rsidRDefault="00BB3126" w:rsidP="00BB3126">
      <w:pPr>
        <w:rPr>
          <w:highlight w:val="yellow"/>
        </w:rPr>
        <w:sectPr w:rsidR="00BB3126" w:rsidRPr="00001ED7" w:rsidSect="00C7618F">
          <w:headerReference w:type="even" r:id="rId42"/>
          <w:headerReference w:type="default" r:id="rId43"/>
          <w:footerReference w:type="default" r:id="rId44"/>
          <w:headerReference w:type="first" r:id="rId45"/>
          <w:pgSz w:w="11899" w:h="16838" w:code="9"/>
          <w:pgMar w:top="1701" w:right="1474" w:bottom="1701" w:left="1474" w:header="709" w:footer="709" w:gutter="0"/>
          <w:pgNumType w:start="1"/>
          <w:cols w:space="708"/>
          <w:titlePg/>
          <w:docGrid w:linePitch="299"/>
        </w:sectPr>
      </w:pPr>
    </w:p>
    <w:p w:rsidR="00BB3126" w:rsidRPr="00001ED7" w:rsidRDefault="00BB3126" w:rsidP="00BB3126">
      <w:pPr>
        <w:pStyle w:val="Heading4"/>
        <w:spacing w:before="0"/>
        <w:rPr>
          <w:highlight w:val="yellow"/>
        </w:rPr>
        <w:sectPr w:rsidR="00BB3126" w:rsidRPr="00001ED7" w:rsidSect="00C7618F">
          <w:headerReference w:type="even" r:id="rId46"/>
          <w:headerReference w:type="default" r:id="rId47"/>
          <w:headerReference w:type="first" r:id="rId48"/>
          <w:footerReference w:type="first" r:id="rId49"/>
          <w:pgSz w:w="11899" w:h="16838" w:code="9"/>
          <w:pgMar w:top="1440" w:right="1080" w:bottom="1440" w:left="1080" w:header="709" w:footer="709" w:gutter="0"/>
          <w:cols w:space="708"/>
          <w:titlePg/>
          <w:docGrid w:linePitch="326"/>
        </w:sectPr>
      </w:pPr>
      <w:bookmarkStart w:id="315" w:name="_Toc442191908"/>
      <w:bookmarkStart w:id="316" w:name="_Toc442192160"/>
      <w:bookmarkStart w:id="317" w:name="_Toc442192225"/>
      <w:bookmarkStart w:id="318" w:name="_Toc442772811"/>
      <w:bookmarkStart w:id="319" w:name="_Toc442773038"/>
      <w:bookmarkStart w:id="320" w:name="_Toc442773210"/>
      <w:bookmarkStart w:id="321" w:name="_Toc442883275"/>
      <w:bookmarkStart w:id="322" w:name="_Toc474923743"/>
      <w:bookmarkStart w:id="323" w:name="_Toc505872169"/>
      <w:bookmarkStart w:id="324" w:name="_Toc536519620"/>
      <w:bookmarkStart w:id="325" w:name="_Toc536631330"/>
      <w:bookmarkStart w:id="326" w:name="_Toc536803163"/>
      <w:bookmarkStart w:id="327" w:name="_Toc536803251"/>
      <w:bookmarkStart w:id="328" w:name="_Toc1115131"/>
      <w:r w:rsidRPr="00C65B0D">
        <w:lastRenderedPageBreak/>
        <w:t>New South Wales</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BB3126" w:rsidRDefault="00BB3126" w:rsidP="00BB3126">
      <w:pPr>
        <w:rPr>
          <w:szCs w:val="24"/>
        </w:rPr>
      </w:pPr>
      <w:r w:rsidRPr="000605B8">
        <w:rPr>
          <w:rStyle w:val="Heading6Char"/>
        </w:rPr>
        <w:t xml:space="preserve">Changes in this update. </w:t>
      </w:r>
      <w:r w:rsidRPr="000605B8">
        <w:rPr>
          <w:szCs w:val="24"/>
        </w:rPr>
        <w:t>New South Wales</w:t>
      </w:r>
      <w:r>
        <w:rPr>
          <w:szCs w:val="24"/>
        </w:rPr>
        <w:t xml:space="preserve">’ </w:t>
      </w:r>
      <w:r w:rsidRPr="001E45DA">
        <w:rPr>
          <w:szCs w:val="24"/>
        </w:rPr>
        <w:t xml:space="preserve">fiscal capacity has </w:t>
      </w:r>
      <w:r>
        <w:rPr>
          <w:szCs w:val="24"/>
        </w:rPr>
        <w:t>weakened,</w:t>
      </w:r>
      <w:r w:rsidRPr="001E45DA">
        <w:rPr>
          <w:szCs w:val="24"/>
        </w:rPr>
        <w:t xml:space="preserve"> but </w:t>
      </w:r>
      <w:r>
        <w:rPr>
          <w:szCs w:val="24"/>
        </w:rPr>
        <w:t xml:space="preserve">it </w:t>
      </w:r>
      <w:r w:rsidRPr="001E45DA">
        <w:rPr>
          <w:szCs w:val="24"/>
        </w:rPr>
        <w:t xml:space="preserve">remains the second </w:t>
      </w:r>
      <w:r>
        <w:rPr>
          <w:szCs w:val="24"/>
        </w:rPr>
        <w:t>strongest State</w:t>
      </w:r>
      <w:r w:rsidRPr="001E45DA">
        <w:rPr>
          <w:szCs w:val="24"/>
        </w:rPr>
        <w:t xml:space="preserve">. A decline in </w:t>
      </w:r>
      <w:r w:rsidRPr="007800C7">
        <w:rPr>
          <w:szCs w:val="24"/>
        </w:rPr>
        <w:t>its Commonwealth payments and downward revisions to its value of property sales increased New South</w:t>
      </w:r>
      <w:r>
        <w:rPr>
          <w:szCs w:val="24"/>
        </w:rPr>
        <w:t xml:space="preserve"> Wales’</w:t>
      </w:r>
      <w:r w:rsidRPr="001E45DA">
        <w:rPr>
          <w:szCs w:val="24"/>
        </w:rPr>
        <w:t xml:space="preserve"> GST share. These changes were partially offset by growth in its </w:t>
      </w:r>
      <w:r>
        <w:rPr>
          <w:szCs w:val="24"/>
        </w:rPr>
        <w:t xml:space="preserve">taxable </w:t>
      </w:r>
      <w:r w:rsidRPr="001E45DA">
        <w:rPr>
          <w:szCs w:val="24"/>
        </w:rPr>
        <w:t>land values and taxable payrolls. New South Wales’ decreased fiscal capacity will see its GST share increase from 27.4% to 27.9%. Combined with pool growth, its GST entitlement in 2019</w:t>
      </w:r>
      <w:r w:rsidRPr="001E45DA">
        <w:rPr>
          <w:szCs w:val="24"/>
        </w:rPr>
        <w:noBreakHyphen/>
        <w:t>20 will rise by $</w:t>
      </w:r>
      <w:r>
        <w:rPr>
          <w:szCs w:val="24"/>
        </w:rPr>
        <w:t>1 012</w:t>
      </w:r>
      <w:r w:rsidRPr="001E45DA">
        <w:rPr>
          <w:szCs w:val="24"/>
        </w:rPr>
        <w:t> million, or 5.</w:t>
      </w:r>
      <w:r>
        <w:rPr>
          <w:szCs w:val="24"/>
        </w:rPr>
        <w:t>5</w:t>
      </w:r>
      <w:r w:rsidRPr="001E45DA">
        <w:rPr>
          <w:szCs w:val="24"/>
        </w:rPr>
        <w:t>%.</w:t>
      </w:r>
    </w:p>
    <w:p w:rsidR="00BB3126" w:rsidRPr="001E45DA" w:rsidRDefault="00BB3126" w:rsidP="00BB3126">
      <w:pPr>
        <w:rPr>
          <w:rStyle w:val="CGCTableHeadingChar"/>
          <w:b w:val="0"/>
          <w:szCs w:val="24"/>
        </w:rPr>
      </w:pPr>
      <w:r w:rsidRPr="001E45DA">
        <w:br w:type="column"/>
      </w:r>
      <w:bookmarkStart w:id="329" w:name="_Ref1114209"/>
      <w:r w:rsidRPr="001E45DA">
        <w:rPr>
          <w:rStyle w:val="CGCTableHeadingChar"/>
        </w:rPr>
        <w:t xml:space="preserve">Table </w:t>
      </w:r>
      <w:r w:rsidRPr="001E45DA">
        <w:rPr>
          <w:rStyle w:val="CGCTableHeadingChar"/>
        </w:rPr>
        <w:fldChar w:fldCharType="begin"/>
      </w:r>
      <w:r w:rsidRPr="001E45DA">
        <w:rPr>
          <w:rStyle w:val="CGCTableHeadingChar"/>
        </w:rPr>
        <w:instrText xml:space="preserve"> SEQ Table \* ARABIC </w:instrText>
      </w:r>
      <w:r w:rsidRPr="001E45DA">
        <w:rPr>
          <w:rStyle w:val="CGCTableHeadingChar"/>
        </w:rPr>
        <w:fldChar w:fldCharType="separate"/>
      </w:r>
      <w:r w:rsidR="00E82224">
        <w:rPr>
          <w:rStyle w:val="CGCTableHeadingChar"/>
          <w:noProof/>
        </w:rPr>
        <w:t>5</w:t>
      </w:r>
      <w:r w:rsidRPr="001E45DA">
        <w:rPr>
          <w:rStyle w:val="CGCTableHeadingChar"/>
        </w:rPr>
        <w:fldChar w:fldCharType="end"/>
      </w:r>
      <w:bookmarkEnd w:id="329"/>
      <w:r w:rsidRPr="001E45DA">
        <w:rPr>
          <w:rStyle w:val="CGCTableHeadingChar"/>
        </w:rPr>
        <w:tab/>
        <w:t>Change in GST</w:t>
      </w:r>
    </w:p>
    <w:tbl>
      <w:tblPr>
        <w:tblW w:w="4240" w:type="dxa"/>
        <w:tblLayout w:type="fixed"/>
        <w:tblCellMar>
          <w:left w:w="0" w:type="dxa"/>
          <w:right w:w="0" w:type="dxa"/>
        </w:tblCellMar>
        <w:tblLook w:val="04A0" w:firstRow="1" w:lastRow="0" w:firstColumn="1" w:lastColumn="0" w:noHBand="0" w:noVBand="1"/>
      </w:tblPr>
      <w:tblGrid>
        <w:gridCol w:w="2700"/>
        <w:gridCol w:w="820"/>
        <w:gridCol w:w="720"/>
      </w:tblGrid>
      <w:tr w:rsidR="00BB3126" w:rsidRPr="0095104B" w:rsidTr="00C7618F">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BB3126" w:rsidRPr="0095104B"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$pc</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Change due to:</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rPr>
                <w:rFonts w:ascii="Calibri" w:eastAsia="Times New Roman" w:hAnsi="Calibri" w:cs="Calibri"/>
                <w:sz w:val="20"/>
                <w:szCs w:val="20"/>
                <w:lang w:eastAsia="en-AU"/>
              </w:rPr>
            </w:pP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rPr>
                <w:rFonts w:ascii="Times New Roman" w:eastAsia="Times New Roman" w:hAnsi="Times New Roman" w:cs="Times New Roman"/>
                <w:sz w:val="20"/>
                <w:szCs w:val="20"/>
                <w:lang w:eastAsia="en-AU"/>
              </w:rPr>
            </w:pP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New population</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28</w:t>
            </w: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3</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653</w:t>
            </w: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79</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331</w:t>
            </w: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40</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firstLineChars="200" w:firstLine="400"/>
              <w:rPr>
                <w:rFonts w:ascii="Calibri" w:eastAsia="Times New Roman" w:hAnsi="Calibri" w:cs="Calibri"/>
                <w:i/>
                <w:iCs/>
                <w:sz w:val="20"/>
                <w:szCs w:val="20"/>
                <w:lang w:eastAsia="en-AU"/>
              </w:rPr>
            </w:pPr>
            <w:r w:rsidRPr="0095104B">
              <w:rPr>
                <w:rFonts w:ascii="Calibri" w:eastAsia="Times New Roman" w:hAnsi="Calibri" w:cs="Calibri"/>
                <w:i/>
                <w:iCs/>
                <w:sz w:val="20"/>
                <w:szCs w:val="20"/>
                <w:lang w:eastAsia="en-AU"/>
              </w:rPr>
              <w:t>Data revisions</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95104B">
              <w:rPr>
                <w:rFonts w:ascii="Calibri" w:eastAsia="Times New Roman" w:hAnsi="Calibri" w:cs="Calibri"/>
                <w:i/>
                <w:iCs/>
                <w:sz w:val="20"/>
                <w:szCs w:val="20"/>
                <w:lang w:eastAsia="en-AU"/>
              </w:rPr>
              <w:t>324</w:t>
            </w: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95104B">
              <w:rPr>
                <w:rFonts w:ascii="Calibri" w:eastAsia="Times New Roman" w:hAnsi="Calibri" w:cs="Calibri"/>
                <w:i/>
                <w:iCs/>
                <w:sz w:val="20"/>
                <w:szCs w:val="20"/>
                <w:lang w:eastAsia="en-AU"/>
              </w:rPr>
              <w:t>39</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firstLineChars="200" w:firstLine="400"/>
              <w:rPr>
                <w:rFonts w:ascii="Calibri" w:eastAsia="Times New Roman" w:hAnsi="Calibri" w:cs="Calibri"/>
                <w:i/>
                <w:iCs/>
                <w:sz w:val="20"/>
                <w:szCs w:val="20"/>
                <w:lang w:eastAsia="en-AU"/>
              </w:rPr>
            </w:pPr>
            <w:r w:rsidRPr="0095104B">
              <w:rPr>
                <w:rFonts w:ascii="Calibri" w:eastAsia="Times New Roman" w:hAnsi="Calibri" w:cs="Calibri"/>
                <w:i/>
                <w:iCs/>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95104B">
              <w:rPr>
                <w:rFonts w:ascii="Calibri" w:eastAsia="Times New Roman" w:hAnsi="Calibri" w:cs="Calibri"/>
                <w:i/>
                <w:iCs/>
                <w:sz w:val="20"/>
                <w:szCs w:val="20"/>
                <w:lang w:eastAsia="en-AU"/>
              </w:rPr>
              <w:t>7</w:t>
            </w:r>
          </w:p>
        </w:tc>
        <w:tc>
          <w:tcPr>
            <w:tcW w:w="720" w:type="dxa"/>
            <w:tcBorders>
              <w:top w:val="nil"/>
              <w:left w:val="nil"/>
              <w:bottom w:val="single" w:sz="4" w:space="0" w:color="auto"/>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95104B">
              <w:rPr>
                <w:rFonts w:ascii="Calibri" w:eastAsia="Times New Roman" w:hAnsi="Calibri" w:cs="Calibri"/>
                <w:i/>
                <w:iCs/>
                <w:sz w:val="20"/>
                <w:szCs w:val="20"/>
                <w:lang w:eastAsia="en-AU"/>
              </w:rPr>
              <w:t>1</w:t>
            </w:r>
          </w:p>
        </w:tc>
      </w:tr>
      <w:tr w:rsidR="00BB3126" w:rsidRPr="0095104B" w:rsidTr="00C7618F">
        <w:trPr>
          <w:trHeight w:val="315"/>
        </w:trPr>
        <w:tc>
          <w:tcPr>
            <w:tcW w:w="2700" w:type="dxa"/>
            <w:tcBorders>
              <w:top w:val="nil"/>
              <w:left w:val="nil"/>
              <w:bottom w:val="single" w:sz="4" w:space="0" w:color="auto"/>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1 012</w:t>
            </w:r>
          </w:p>
        </w:tc>
        <w:tc>
          <w:tcPr>
            <w:tcW w:w="720" w:type="dxa"/>
            <w:tcBorders>
              <w:top w:val="nil"/>
              <w:left w:val="nil"/>
              <w:bottom w:val="single" w:sz="4" w:space="0" w:color="auto"/>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123</w:t>
            </w:r>
          </w:p>
        </w:tc>
      </w:tr>
    </w:tbl>
    <w:p w:rsidR="00BB3126" w:rsidRPr="001E45DA" w:rsidRDefault="00BB3126" w:rsidP="00BB3126">
      <w:pPr>
        <w:pStyle w:val="CGCTableFootnote"/>
        <w:sectPr w:rsidR="00BB3126" w:rsidRPr="001E45DA" w:rsidSect="00C7618F">
          <w:type w:val="continuous"/>
          <w:pgSz w:w="11899" w:h="16838" w:code="9"/>
          <w:pgMar w:top="1440" w:right="1080" w:bottom="1440" w:left="1080" w:header="709" w:footer="709" w:gutter="0"/>
          <w:cols w:num="2" w:space="145" w:equalWidth="0">
            <w:col w:w="5500" w:space="145"/>
            <w:col w:w="4094"/>
          </w:cols>
          <w:titlePg/>
          <w:docGrid w:linePitch="326"/>
        </w:sectPr>
      </w:pPr>
      <w:r w:rsidRPr="001E45DA">
        <w:t>Note:</w:t>
      </w:r>
      <w:r>
        <w:tab/>
      </w:r>
      <w:r w:rsidRPr="001E45DA">
        <w:t>Table may not add due to rounding.</w:t>
      </w:r>
    </w:p>
    <w:p w:rsidR="00BB3126" w:rsidRPr="00633501" w:rsidRDefault="00BB3126" w:rsidP="00BB3126">
      <w:pPr>
        <w:pStyle w:val="CGCTableHeading"/>
        <w:spacing w:after="80" w:line="320" w:lineRule="atLeast"/>
      </w:pPr>
      <w:r w:rsidRPr="00633501">
        <w:t xml:space="preserve">Table </w:t>
      </w:r>
      <w:r>
        <w:rPr>
          <w:noProof/>
        </w:rPr>
        <w:fldChar w:fldCharType="begin"/>
      </w:r>
      <w:r>
        <w:rPr>
          <w:noProof/>
        </w:rPr>
        <w:instrText xml:space="preserve"> SEQ Table \* ARABIC </w:instrText>
      </w:r>
      <w:r>
        <w:rPr>
          <w:noProof/>
        </w:rPr>
        <w:fldChar w:fldCharType="separate"/>
      </w:r>
      <w:r w:rsidR="00E82224">
        <w:rPr>
          <w:noProof/>
        </w:rPr>
        <w:t>6</w:t>
      </w:r>
      <w:r>
        <w:rPr>
          <w:noProof/>
        </w:rPr>
        <w:fldChar w:fldCharType="end"/>
      </w:r>
      <w:r w:rsidRPr="00633501">
        <w:rPr>
          <w:bCs/>
        </w:rPr>
        <w:tab/>
      </w:r>
      <w:r w:rsidRPr="00633501">
        <w:t>Main changes for New South Wales</w:t>
      </w:r>
    </w:p>
    <w:tbl>
      <w:tblPr>
        <w:tblW w:w="9920" w:type="dxa"/>
        <w:tblLook w:val="04A0" w:firstRow="1" w:lastRow="0" w:firstColumn="1" w:lastColumn="0" w:noHBand="0" w:noVBand="1"/>
      </w:tblPr>
      <w:tblGrid>
        <w:gridCol w:w="620"/>
        <w:gridCol w:w="262"/>
        <w:gridCol w:w="9038"/>
      </w:tblGrid>
      <w:tr w:rsidR="00BB3126" w:rsidRPr="00C328F4" w:rsidTr="00C7618F">
        <w:trPr>
          <w:trHeight w:val="375"/>
        </w:trPr>
        <w:tc>
          <w:tcPr>
            <w:tcW w:w="620" w:type="dxa"/>
            <w:tcBorders>
              <w:top w:val="single" w:sz="4" w:space="0" w:color="auto"/>
              <w:left w:val="nil"/>
              <w:bottom w:val="single" w:sz="4" w:space="0" w:color="auto"/>
              <w:right w:val="nil"/>
            </w:tcBorders>
            <w:shd w:val="clear" w:color="auto" w:fill="auto"/>
            <w:noWrap/>
            <w:vAlign w:val="center"/>
            <w:hideMark/>
          </w:tcPr>
          <w:p w:rsidR="00BB3126" w:rsidRPr="00C328F4" w:rsidRDefault="00BB3126" w:rsidP="00C7618F">
            <w:pPr>
              <w:tabs>
                <w:tab w:val="clear" w:pos="567"/>
              </w:tabs>
              <w:spacing w:after="0" w:line="240" w:lineRule="auto"/>
              <w:jc w:val="right"/>
              <w:rPr>
                <w:rFonts w:ascii="Calibri" w:eastAsia="Times New Roman" w:hAnsi="Calibri" w:cs="Calibri"/>
                <w:sz w:val="20"/>
                <w:szCs w:val="20"/>
                <w:lang w:eastAsia="en-AU"/>
              </w:rPr>
            </w:pPr>
            <w:r w:rsidRPr="00C328F4">
              <w:rPr>
                <w:rFonts w:ascii="Calibri" w:eastAsia="Times New Roman" w:hAnsi="Calibri" w:cs="Calibri"/>
                <w:sz w:val="20"/>
                <w:szCs w:val="20"/>
                <w:lang w:eastAsia="en-AU"/>
              </w:rPr>
              <w:t>$m</w:t>
            </w:r>
          </w:p>
        </w:tc>
        <w:tc>
          <w:tcPr>
            <w:tcW w:w="262" w:type="dxa"/>
            <w:tcBorders>
              <w:top w:val="single" w:sz="4" w:space="0" w:color="auto"/>
              <w:left w:val="nil"/>
              <w:bottom w:val="single" w:sz="4" w:space="0" w:color="auto"/>
              <w:right w:val="nil"/>
            </w:tcBorders>
            <w:shd w:val="clear" w:color="auto" w:fill="auto"/>
            <w:noWrap/>
            <w:vAlign w:val="center"/>
            <w:hideMark/>
          </w:tcPr>
          <w:p w:rsidR="00BB3126" w:rsidRPr="00C328F4" w:rsidRDefault="00BB3126" w:rsidP="00C7618F">
            <w:pPr>
              <w:tabs>
                <w:tab w:val="clear" w:pos="567"/>
              </w:tabs>
              <w:spacing w:after="0" w:line="240" w:lineRule="auto"/>
              <w:rPr>
                <w:rFonts w:ascii="Calibri" w:eastAsia="Times New Roman" w:hAnsi="Calibri" w:cs="Calibri"/>
                <w:sz w:val="20"/>
                <w:szCs w:val="20"/>
                <w:lang w:eastAsia="en-AU"/>
              </w:rPr>
            </w:pPr>
            <w:r w:rsidRPr="00C328F4">
              <w:rPr>
                <w:rFonts w:ascii="Calibri" w:eastAsia="Times New Roman" w:hAnsi="Calibri" w:cs="Calibri"/>
                <w:sz w:val="20"/>
                <w:szCs w:val="20"/>
                <w:lang w:eastAsia="en-AU"/>
              </w:rPr>
              <w:t> </w:t>
            </w:r>
          </w:p>
        </w:tc>
        <w:tc>
          <w:tcPr>
            <w:tcW w:w="9038" w:type="dxa"/>
            <w:tcBorders>
              <w:top w:val="single" w:sz="4" w:space="0" w:color="auto"/>
              <w:left w:val="nil"/>
              <w:bottom w:val="single" w:sz="4" w:space="0" w:color="auto"/>
              <w:right w:val="nil"/>
            </w:tcBorders>
            <w:shd w:val="clear" w:color="auto" w:fill="auto"/>
            <w:vAlign w:val="center"/>
            <w:hideMark/>
          </w:tcPr>
          <w:p w:rsidR="00BB3126" w:rsidRPr="00C328F4" w:rsidRDefault="00BB3126" w:rsidP="00C7618F">
            <w:pPr>
              <w:tabs>
                <w:tab w:val="clear" w:pos="567"/>
              </w:tabs>
              <w:spacing w:after="0" w:line="240" w:lineRule="auto"/>
              <w:rPr>
                <w:rFonts w:ascii="Calibri" w:eastAsia="Times New Roman" w:hAnsi="Calibri" w:cs="Calibri"/>
                <w:sz w:val="20"/>
                <w:szCs w:val="20"/>
                <w:lang w:eastAsia="en-AU"/>
              </w:rPr>
            </w:pPr>
            <w:r w:rsidRPr="00C328F4">
              <w:rPr>
                <w:rFonts w:ascii="Calibri" w:eastAsia="Times New Roman" w:hAnsi="Calibri" w:cs="Calibri"/>
                <w:sz w:val="20"/>
                <w:szCs w:val="20"/>
                <w:lang w:eastAsia="en-AU"/>
              </w:rPr>
              <w:t>Reason for change</w:t>
            </w:r>
          </w:p>
        </w:tc>
      </w:tr>
      <w:tr w:rsidR="00BB3126" w:rsidRPr="00C328F4" w:rsidTr="00C7618F">
        <w:trPr>
          <w:trHeight w:val="510"/>
        </w:trPr>
        <w:tc>
          <w:tcPr>
            <w:tcW w:w="620" w:type="dxa"/>
            <w:tcBorders>
              <w:top w:val="nil"/>
              <w:left w:val="nil"/>
              <w:bottom w:val="nil"/>
              <w:right w:val="nil"/>
            </w:tcBorders>
            <w:shd w:val="clear" w:color="auto" w:fill="auto"/>
            <w:noWrap/>
            <w:hideMark/>
          </w:tcPr>
          <w:p w:rsidR="00BB3126" w:rsidRPr="00C328F4" w:rsidRDefault="00BB3126" w:rsidP="00C7618F">
            <w:pPr>
              <w:tabs>
                <w:tab w:val="clear" w:pos="567"/>
              </w:tabs>
              <w:spacing w:after="0" w:line="240" w:lineRule="auto"/>
              <w:jc w:val="right"/>
              <w:rPr>
                <w:rFonts w:ascii="Calibri" w:eastAsia="Times New Roman" w:hAnsi="Calibri" w:cs="Calibri"/>
                <w:sz w:val="20"/>
                <w:szCs w:val="20"/>
                <w:lang w:eastAsia="en-AU"/>
              </w:rPr>
            </w:pPr>
            <w:r w:rsidRPr="00C328F4">
              <w:rPr>
                <w:rFonts w:ascii="Calibri" w:eastAsia="Times New Roman" w:hAnsi="Calibri" w:cs="Calibri"/>
                <w:sz w:val="20"/>
                <w:szCs w:val="20"/>
                <w:lang w:eastAsia="en-AU"/>
              </w:rPr>
              <w:t>-272</w:t>
            </w:r>
          </w:p>
        </w:tc>
        <w:tc>
          <w:tcPr>
            <w:tcW w:w="262" w:type="dxa"/>
            <w:tcBorders>
              <w:top w:val="nil"/>
              <w:left w:val="nil"/>
              <w:bottom w:val="nil"/>
              <w:right w:val="nil"/>
            </w:tcBorders>
            <w:shd w:val="clear" w:color="auto" w:fill="auto"/>
            <w:noWrap/>
            <w:hideMark/>
          </w:tcPr>
          <w:p w:rsidR="00BB3126" w:rsidRPr="00C328F4" w:rsidRDefault="00BB3126" w:rsidP="00C7618F">
            <w:pPr>
              <w:tabs>
                <w:tab w:val="clear" w:pos="567"/>
              </w:tabs>
              <w:spacing w:after="0" w:line="240" w:lineRule="auto"/>
              <w:rPr>
                <w:rFonts w:ascii="Calibri" w:eastAsia="Times New Roman" w:hAnsi="Calibri" w:cs="Calibri"/>
                <w:sz w:val="20"/>
                <w:szCs w:val="20"/>
                <w:lang w:eastAsia="en-AU"/>
              </w:rPr>
            </w:pPr>
            <w:r w:rsidRPr="00C328F4">
              <w:rPr>
                <w:rFonts w:ascii="Calibri" w:eastAsia="Times New Roman" w:hAnsi="Calibri" w:cs="Calibri"/>
                <w:sz w:val="20"/>
                <w:szCs w:val="20"/>
                <w:lang w:eastAsia="en-AU"/>
              </w:rPr>
              <w:t> </w:t>
            </w:r>
          </w:p>
        </w:tc>
        <w:tc>
          <w:tcPr>
            <w:tcW w:w="9038" w:type="dxa"/>
            <w:tcBorders>
              <w:top w:val="nil"/>
              <w:left w:val="nil"/>
              <w:bottom w:val="nil"/>
              <w:right w:val="nil"/>
            </w:tcBorders>
            <w:shd w:val="clear" w:color="auto" w:fill="auto"/>
            <w:hideMark/>
          </w:tcPr>
          <w:p w:rsidR="00BB3126" w:rsidRPr="00C328F4" w:rsidRDefault="00BB3126" w:rsidP="00C7618F">
            <w:pPr>
              <w:tabs>
                <w:tab w:val="clear" w:pos="567"/>
              </w:tabs>
              <w:spacing w:after="0" w:line="240" w:lineRule="auto"/>
              <w:rPr>
                <w:rFonts w:ascii="Calibri" w:eastAsia="Times New Roman" w:hAnsi="Calibri" w:cs="Calibri"/>
                <w:sz w:val="20"/>
                <w:szCs w:val="20"/>
                <w:lang w:eastAsia="en-AU"/>
              </w:rPr>
            </w:pPr>
            <w:r w:rsidRPr="00C328F4">
              <w:rPr>
                <w:rFonts w:ascii="Calibri" w:eastAsia="Times New Roman" w:hAnsi="Calibri" w:cs="Calibri"/>
                <w:b/>
                <w:bCs/>
                <w:sz w:val="20"/>
                <w:szCs w:val="20"/>
                <w:lang w:eastAsia="en-AU"/>
              </w:rPr>
              <w:t xml:space="preserve">Taxable land values. </w:t>
            </w:r>
            <w:r w:rsidRPr="00C328F4">
              <w:rPr>
                <w:rFonts w:ascii="Calibri" w:eastAsia="Times New Roman" w:hAnsi="Calibri" w:cs="Calibri"/>
                <w:sz w:val="20"/>
                <w:szCs w:val="20"/>
                <w:lang w:eastAsia="en-AU"/>
              </w:rPr>
              <w:t>Above average growth in taxable land values increased New South Wales</w:t>
            </w:r>
            <w:r>
              <w:rPr>
                <w:rFonts w:ascii="Calibri" w:eastAsia="Times New Roman" w:hAnsi="Calibri" w:cs="Calibri"/>
                <w:sz w:val="20"/>
                <w:szCs w:val="20"/>
                <w:lang w:eastAsia="en-AU"/>
              </w:rPr>
              <w:t>’</w:t>
            </w:r>
            <w:r w:rsidRPr="00C328F4">
              <w:rPr>
                <w:rFonts w:ascii="Calibri" w:eastAsia="Times New Roman" w:hAnsi="Calibri" w:cs="Calibri"/>
                <w:sz w:val="20"/>
                <w:szCs w:val="20"/>
                <w:lang w:eastAsia="en-AU"/>
              </w:rPr>
              <w:t xml:space="preserve"> revenue raising capacity and reduced its GST share.</w:t>
            </w:r>
          </w:p>
        </w:tc>
      </w:tr>
      <w:tr w:rsidR="00BB3126" w:rsidRPr="00C328F4" w:rsidTr="00C7618F">
        <w:trPr>
          <w:trHeight w:val="510"/>
        </w:trPr>
        <w:tc>
          <w:tcPr>
            <w:tcW w:w="620" w:type="dxa"/>
            <w:tcBorders>
              <w:top w:val="nil"/>
              <w:left w:val="nil"/>
              <w:bottom w:val="nil"/>
              <w:right w:val="nil"/>
            </w:tcBorders>
            <w:shd w:val="clear" w:color="auto" w:fill="auto"/>
            <w:noWrap/>
            <w:hideMark/>
          </w:tcPr>
          <w:p w:rsidR="00BB3126" w:rsidRPr="00C328F4" w:rsidRDefault="00BB3126" w:rsidP="00C7618F">
            <w:pPr>
              <w:tabs>
                <w:tab w:val="clear" w:pos="567"/>
              </w:tabs>
              <w:spacing w:after="0" w:line="240" w:lineRule="auto"/>
              <w:jc w:val="right"/>
              <w:rPr>
                <w:rFonts w:ascii="Calibri" w:eastAsia="Times New Roman" w:hAnsi="Calibri" w:cs="Calibri"/>
                <w:sz w:val="20"/>
                <w:szCs w:val="20"/>
                <w:lang w:eastAsia="en-AU"/>
              </w:rPr>
            </w:pPr>
            <w:r w:rsidRPr="00C328F4">
              <w:rPr>
                <w:rFonts w:ascii="Calibri" w:eastAsia="Times New Roman" w:hAnsi="Calibri" w:cs="Calibri"/>
                <w:sz w:val="20"/>
                <w:szCs w:val="20"/>
                <w:lang w:eastAsia="en-AU"/>
              </w:rPr>
              <w:t>244</w:t>
            </w:r>
          </w:p>
        </w:tc>
        <w:tc>
          <w:tcPr>
            <w:tcW w:w="262" w:type="dxa"/>
            <w:tcBorders>
              <w:top w:val="nil"/>
              <w:left w:val="nil"/>
              <w:bottom w:val="nil"/>
              <w:right w:val="nil"/>
            </w:tcBorders>
            <w:shd w:val="clear" w:color="auto" w:fill="auto"/>
            <w:noWrap/>
            <w:hideMark/>
          </w:tcPr>
          <w:p w:rsidR="00BB3126" w:rsidRPr="00C328F4"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C328F4" w:rsidRDefault="00BB3126" w:rsidP="00C7618F">
            <w:pPr>
              <w:tabs>
                <w:tab w:val="clear" w:pos="567"/>
              </w:tabs>
              <w:spacing w:after="0" w:line="240" w:lineRule="auto"/>
              <w:rPr>
                <w:rFonts w:ascii="Calibri" w:eastAsia="Times New Roman" w:hAnsi="Calibri" w:cs="Calibri"/>
                <w:sz w:val="20"/>
                <w:szCs w:val="20"/>
                <w:lang w:eastAsia="en-AU"/>
              </w:rPr>
            </w:pPr>
            <w:r w:rsidRPr="00C328F4">
              <w:rPr>
                <w:rFonts w:ascii="Calibri" w:eastAsia="Times New Roman" w:hAnsi="Calibri" w:cs="Calibri"/>
                <w:b/>
                <w:bCs/>
                <w:sz w:val="20"/>
                <w:szCs w:val="20"/>
                <w:lang w:eastAsia="en-AU"/>
              </w:rPr>
              <w:t xml:space="preserve">Commonwealth payments. </w:t>
            </w:r>
            <w:r w:rsidRPr="00C328F4">
              <w:rPr>
                <w:rFonts w:ascii="Calibri" w:eastAsia="Times New Roman" w:hAnsi="Calibri" w:cs="Calibri"/>
                <w:sz w:val="20"/>
                <w:szCs w:val="20"/>
                <w:lang w:eastAsia="en-AU"/>
              </w:rPr>
              <w:t>New South Wales’ share of payments was lower in 2017-18 than in 2014-15, mainly due to lower shares of payments for health and infrastructure. This increased its GST share.</w:t>
            </w:r>
          </w:p>
        </w:tc>
      </w:tr>
      <w:tr w:rsidR="00BB3126" w:rsidRPr="00C328F4" w:rsidTr="00C7618F">
        <w:trPr>
          <w:trHeight w:val="510"/>
        </w:trPr>
        <w:tc>
          <w:tcPr>
            <w:tcW w:w="620" w:type="dxa"/>
            <w:tcBorders>
              <w:top w:val="nil"/>
              <w:left w:val="nil"/>
              <w:bottom w:val="nil"/>
              <w:right w:val="nil"/>
            </w:tcBorders>
            <w:shd w:val="clear" w:color="auto" w:fill="auto"/>
            <w:noWrap/>
            <w:hideMark/>
          </w:tcPr>
          <w:p w:rsidR="00BB3126" w:rsidRPr="00C328F4" w:rsidRDefault="00BB3126" w:rsidP="00C7618F">
            <w:pPr>
              <w:tabs>
                <w:tab w:val="clear" w:pos="567"/>
              </w:tabs>
              <w:spacing w:after="0" w:line="240" w:lineRule="auto"/>
              <w:jc w:val="right"/>
              <w:rPr>
                <w:rFonts w:ascii="Calibri" w:eastAsia="Times New Roman" w:hAnsi="Calibri" w:cs="Calibri"/>
                <w:sz w:val="20"/>
                <w:szCs w:val="20"/>
                <w:lang w:eastAsia="en-AU"/>
              </w:rPr>
            </w:pPr>
            <w:r w:rsidRPr="00C328F4">
              <w:rPr>
                <w:rFonts w:ascii="Calibri" w:eastAsia="Times New Roman" w:hAnsi="Calibri" w:cs="Calibri"/>
                <w:sz w:val="20"/>
                <w:szCs w:val="20"/>
                <w:lang w:eastAsia="en-AU"/>
              </w:rPr>
              <w:t>196</w:t>
            </w:r>
          </w:p>
        </w:tc>
        <w:tc>
          <w:tcPr>
            <w:tcW w:w="262" w:type="dxa"/>
            <w:tcBorders>
              <w:top w:val="nil"/>
              <w:left w:val="nil"/>
              <w:bottom w:val="nil"/>
              <w:right w:val="nil"/>
            </w:tcBorders>
            <w:shd w:val="clear" w:color="auto" w:fill="auto"/>
            <w:noWrap/>
            <w:hideMark/>
          </w:tcPr>
          <w:p w:rsidR="00BB3126" w:rsidRPr="00C328F4"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C328F4" w:rsidRDefault="00BB3126" w:rsidP="00C7618F">
            <w:pPr>
              <w:tabs>
                <w:tab w:val="clear" w:pos="567"/>
              </w:tabs>
              <w:spacing w:after="0" w:line="240" w:lineRule="auto"/>
              <w:rPr>
                <w:rFonts w:ascii="Calibri" w:eastAsia="Times New Roman" w:hAnsi="Calibri" w:cs="Calibri"/>
                <w:sz w:val="20"/>
                <w:szCs w:val="20"/>
                <w:lang w:eastAsia="en-AU"/>
              </w:rPr>
            </w:pPr>
            <w:r w:rsidRPr="00C328F4">
              <w:rPr>
                <w:rFonts w:ascii="Calibri" w:eastAsia="Times New Roman" w:hAnsi="Calibri" w:cs="Calibri"/>
                <w:b/>
                <w:bCs/>
                <w:sz w:val="20"/>
                <w:szCs w:val="20"/>
                <w:lang w:eastAsia="en-AU"/>
              </w:rPr>
              <w:t>Property sales.</w:t>
            </w:r>
            <w:r w:rsidRPr="00C328F4">
              <w:rPr>
                <w:rFonts w:ascii="Calibri" w:eastAsia="Times New Roman" w:hAnsi="Calibri" w:cs="Calibri"/>
                <w:sz w:val="20"/>
                <w:szCs w:val="20"/>
                <w:lang w:eastAsia="en-AU"/>
              </w:rPr>
              <w:t xml:space="preserve"> Downward revision</w:t>
            </w:r>
            <w:r>
              <w:rPr>
                <w:rFonts w:ascii="Calibri" w:eastAsia="Times New Roman" w:hAnsi="Calibri" w:cs="Calibri"/>
                <w:sz w:val="20"/>
                <w:szCs w:val="20"/>
                <w:lang w:eastAsia="en-AU"/>
              </w:rPr>
              <w:t xml:space="preserve">s to its </w:t>
            </w:r>
            <w:r w:rsidRPr="00C328F4">
              <w:rPr>
                <w:rFonts w:ascii="Calibri" w:eastAsia="Times New Roman" w:hAnsi="Calibri" w:cs="Calibri"/>
                <w:sz w:val="20"/>
                <w:szCs w:val="20"/>
                <w:lang w:eastAsia="en-AU"/>
              </w:rPr>
              <w:t xml:space="preserve">2016-17 value of property sales reduced </w:t>
            </w:r>
            <w:r>
              <w:rPr>
                <w:rFonts w:ascii="Calibri" w:eastAsia="Times New Roman" w:hAnsi="Calibri" w:cs="Calibri"/>
                <w:sz w:val="20"/>
                <w:szCs w:val="20"/>
                <w:lang w:eastAsia="en-AU"/>
              </w:rPr>
              <w:t>New South Wales’</w:t>
            </w:r>
            <w:r w:rsidRPr="00C328F4">
              <w:rPr>
                <w:rFonts w:ascii="Calibri" w:eastAsia="Times New Roman" w:hAnsi="Calibri" w:cs="Calibri"/>
                <w:sz w:val="20"/>
                <w:szCs w:val="20"/>
                <w:lang w:eastAsia="en-AU"/>
              </w:rPr>
              <w:t xml:space="preserve"> revenue raising capacity and increased its GST share.</w:t>
            </w:r>
          </w:p>
        </w:tc>
      </w:tr>
      <w:tr w:rsidR="00BB3126" w:rsidRPr="00C328F4" w:rsidTr="00C7618F">
        <w:trPr>
          <w:trHeight w:val="510"/>
        </w:trPr>
        <w:tc>
          <w:tcPr>
            <w:tcW w:w="620" w:type="dxa"/>
            <w:tcBorders>
              <w:top w:val="nil"/>
              <w:left w:val="nil"/>
              <w:bottom w:val="nil"/>
              <w:right w:val="nil"/>
            </w:tcBorders>
            <w:shd w:val="clear" w:color="auto" w:fill="auto"/>
            <w:noWrap/>
            <w:hideMark/>
          </w:tcPr>
          <w:p w:rsidR="00BB3126" w:rsidRPr="00C328F4" w:rsidRDefault="00BB3126" w:rsidP="00C7618F">
            <w:pPr>
              <w:tabs>
                <w:tab w:val="clear" w:pos="567"/>
              </w:tabs>
              <w:spacing w:after="0" w:line="240" w:lineRule="auto"/>
              <w:jc w:val="right"/>
              <w:rPr>
                <w:rFonts w:ascii="Calibri" w:eastAsia="Times New Roman" w:hAnsi="Calibri" w:cs="Calibri"/>
                <w:sz w:val="20"/>
                <w:szCs w:val="20"/>
                <w:lang w:eastAsia="en-AU"/>
              </w:rPr>
            </w:pPr>
            <w:r w:rsidRPr="00C328F4">
              <w:rPr>
                <w:rFonts w:ascii="Calibri" w:eastAsia="Times New Roman" w:hAnsi="Calibri" w:cs="Calibri"/>
                <w:sz w:val="20"/>
                <w:szCs w:val="20"/>
                <w:lang w:eastAsia="en-AU"/>
              </w:rPr>
              <w:t>146</w:t>
            </w:r>
          </w:p>
        </w:tc>
        <w:tc>
          <w:tcPr>
            <w:tcW w:w="262" w:type="dxa"/>
            <w:tcBorders>
              <w:top w:val="nil"/>
              <w:left w:val="nil"/>
              <w:bottom w:val="nil"/>
              <w:right w:val="nil"/>
            </w:tcBorders>
            <w:shd w:val="clear" w:color="auto" w:fill="auto"/>
            <w:noWrap/>
            <w:hideMark/>
          </w:tcPr>
          <w:p w:rsidR="00BB3126" w:rsidRPr="00C328F4"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C328F4" w:rsidRDefault="00BB3126" w:rsidP="00C7618F">
            <w:pPr>
              <w:tabs>
                <w:tab w:val="clear" w:pos="567"/>
              </w:tabs>
              <w:spacing w:after="0" w:line="240" w:lineRule="auto"/>
              <w:rPr>
                <w:rFonts w:ascii="Calibri" w:eastAsia="Times New Roman" w:hAnsi="Calibri" w:cs="Calibri"/>
                <w:sz w:val="20"/>
                <w:szCs w:val="20"/>
                <w:lang w:eastAsia="en-AU"/>
              </w:rPr>
            </w:pPr>
            <w:r w:rsidRPr="00C328F4">
              <w:rPr>
                <w:rFonts w:ascii="Calibri" w:eastAsia="Times New Roman" w:hAnsi="Calibri" w:cs="Calibri"/>
                <w:b/>
                <w:bCs/>
                <w:sz w:val="20"/>
                <w:szCs w:val="20"/>
                <w:lang w:eastAsia="en-AU"/>
              </w:rPr>
              <w:t xml:space="preserve">Natural disaster relief. </w:t>
            </w:r>
            <w:r w:rsidRPr="007F17E0">
              <w:rPr>
                <w:rFonts w:ascii="Calibri" w:eastAsia="Times New Roman" w:hAnsi="Calibri" w:cs="Calibri"/>
                <w:sz w:val="20"/>
                <w:szCs w:val="20"/>
                <w:lang w:eastAsia="en-AU"/>
              </w:rPr>
              <w:t xml:space="preserve">A one-off correction to remove local government out of pocket costs increased the GST share of States with a below average share of the correction, including </w:t>
            </w:r>
            <w:r>
              <w:rPr>
                <w:rFonts w:ascii="Calibri" w:eastAsia="Times New Roman" w:hAnsi="Calibri" w:cs="Calibri"/>
                <w:sz w:val="20"/>
                <w:szCs w:val="20"/>
                <w:lang w:eastAsia="en-AU"/>
              </w:rPr>
              <w:t>New South Wales</w:t>
            </w:r>
            <w:r w:rsidRPr="00C328F4">
              <w:rPr>
                <w:rFonts w:ascii="Calibri" w:eastAsia="Times New Roman" w:hAnsi="Calibri" w:cs="Calibri"/>
                <w:sz w:val="20"/>
                <w:szCs w:val="20"/>
                <w:lang w:eastAsia="en-AU"/>
              </w:rPr>
              <w:t>.</w:t>
            </w:r>
          </w:p>
        </w:tc>
      </w:tr>
      <w:tr w:rsidR="00BB3126" w:rsidRPr="00C328F4" w:rsidTr="00C7618F">
        <w:trPr>
          <w:trHeight w:val="555"/>
        </w:trPr>
        <w:tc>
          <w:tcPr>
            <w:tcW w:w="620" w:type="dxa"/>
            <w:tcBorders>
              <w:top w:val="nil"/>
              <w:left w:val="nil"/>
              <w:bottom w:val="single" w:sz="4" w:space="0" w:color="auto"/>
              <w:right w:val="nil"/>
            </w:tcBorders>
            <w:shd w:val="clear" w:color="auto" w:fill="auto"/>
            <w:noWrap/>
            <w:hideMark/>
          </w:tcPr>
          <w:p w:rsidR="00BB3126" w:rsidRPr="00C328F4" w:rsidRDefault="00BB3126" w:rsidP="00C7618F">
            <w:pPr>
              <w:tabs>
                <w:tab w:val="clear" w:pos="567"/>
              </w:tabs>
              <w:spacing w:after="0" w:line="240" w:lineRule="auto"/>
              <w:jc w:val="right"/>
              <w:rPr>
                <w:rFonts w:ascii="Calibri" w:eastAsia="Times New Roman" w:hAnsi="Calibri" w:cs="Calibri"/>
                <w:sz w:val="20"/>
                <w:szCs w:val="20"/>
                <w:lang w:eastAsia="en-AU"/>
              </w:rPr>
            </w:pPr>
            <w:r w:rsidRPr="00C328F4">
              <w:rPr>
                <w:rFonts w:ascii="Calibri" w:eastAsia="Times New Roman" w:hAnsi="Calibri" w:cs="Calibri"/>
                <w:sz w:val="20"/>
                <w:szCs w:val="20"/>
                <w:lang w:eastAsia="en-AU"/>
              </w:rPr>
              <w:t>-102</w:t>
            </w:r>
          </w:p>
        </w:tc>
        <w:tc>
          <w:tcPr>
            <w:tcW w:w="262" w:type="dxa"/>
            <w:tcBorders>
              <w:top w:val="nil"/>
              <w:left w:val="nil"/>
              <w:bottom w:val="single" w:sz="4" w:space="0" w:color="auto"/>
              <w:right w:val="nil"/>
            </w:tcBorders>
            <w:shd w:val="clear" w:color="auto" w:fill="auto"/>
            <w:noWrap/>
            <w:hideMark/>
          </w:tcPr>
          <w:p w:rsidR="00BB3126" w:rsidRPr="00C328F4" w:rsidRDefault="00BB3126" w:rsidP="00C7618F">
            <w:pPr>
              <w:tabs>
                <w:tab w:val="clear" w:pos="567"/>
              </w:tabs>
              <w:spacing w:after="0" w:line="240" w:lineRule="auto"/>
              <w:rPr>
                <w:rFonts w:ascii="Calibri" w:eastAsia="Times New Roman" w:hAnsi="Calibri" w:cs="Calibri"/>
                <w:sz w:val="20"/>
                <w:szCs w:val="20"/>
                <w:lang w:eastAsia="en-AU"/>
              </w:rPr>
            </w:pPr>
            <w:r w:rsidRPr="00C328F4">
              <w:rPr>
                <w:rFonts w:ascii="Calibri" w:eastAsia="Times New Roman" w:hAnsi="Calibri" w:cs="Calibri"/>
                <w:sz w:val="20"/>
                <w:szCs w:val="20"/>
                <w:lang w:eastAsia="en-AU"/>
              </w:rPr>
              <w:t> </w:t>
            </w:r>
          </w:p>
        </w:tc>
        <w:tc>
          <w:tcPr>
            <w:tcW w:w="9038" w:type="dxa"/>
            <w:tcBorders>
              <w:top w:val="nil"/>
              <w:left w:val="nil"/>
              <w:bottom w:val="single" w:sz="4" w:space="0" w:color="auto"/>
              <w:right w:val="nil"/>
            </w:tcBorders>
            <w:shd w:val="clear" w:color="auto" w:fill="auto"/>
            <w:hideMark/>
          </w:tcPr>
          <w:p w:rsidR="00BB3126" w:rsidRPr="00C328F4" w:rsidRDefault="00BB3126" w:rsidP="00C7618F">
            <w:pPr>
              <w:tabs>
                <w:tab w:val="clear" w:pos="567"/>
              </w:tabs>
              <w:spacing w:after="0" w:line="240" w:lineRule="auto"/>
              <w:rPr>
                <w:rFonts w:ascii="Calibri" w:eastAsia="Times New Roman" w:hAnsi="Calibri" w:cs="Calibri"/>
                <w:sz w:val="20"/>
                <w:szCs w:val="20"/>
                <w:lang w:eastAsia="en-AU"/>
              </w:rPr>
            </w:pPr>
            <w:r w:rsidRPr="00C328F4">
              <w:rPr>
                <w:rFonts w:ascii="Calibri" w:eastAsia="Times New Roman" w:hAnsi="Calibri" w:cs="Calibri"/>
                <w:b/>
                <w:bCs/>
                <w:sz w:val="20"/>
                <w:szCs w:val="20"/>
                <w:lang w:eastAsia="en-AU"/>
              </w:rPr>
              <w:t xml:space="preserve">Taxable payrolls. </w:t>
            </w:r>
            <w:r w:rsidRPr="00C328F4">
              <w:rPr>
                <w:rFonts w:ascii="Calibri" w:eastAsia="Times New Roman" w:hAnsi="Calibri" w:cs="Calibri"/>
                <w:sz w:val="20"/>
                <w:szCs w:val="20"/>
                <w:lang w:eastAsia="en-AU"/>
              </w:rPr>
              <w:t>Above average growth in taxable payrolls increased New South Wales' capacity to raise revenue and reduced its share of GST.</w:t>
            </w:r>
          </w:p>
        </w:tc>
      </w:tr>
    </w:tbl>
    <w:p w:rsidR="00BB3126" w:rsidRPr="00633501" w:rsidRDefault="00BB3126" w:rsidP="00BB3126">
      <w:pPr>
        <w:rPr>
          <w:highlight w:val="yellow"/>
        </w:rPr>
        <w:sectPr w:rsidR="00BB3126" w:rsidRPr="00633501" w:rsidSect="00C7618F">
          <w:type w:val="continuous"/>
          <w:pgSz w:w="11899" w:h="16838" w:code="9"/>
          <w:pgMar w:top="1440" w:right="1080" w:bottom="1440" w:left="1080" w:header="709" w:footer="709" w:gutter="0"/>
          <w:cols w:space="1"/>
          <w:titlePg/>
          <w:docGrid w:linePitch="326"/>
        </w:sectPr>
      </w:pPr>
    </w:p>
    <w:p w:rsidR="00BB3126" w:rsidRPr="001E45DA" w:rsidRDefault="00BB3126" w:rsidP="00BB3126">
      <w:pPr>
        <w:spacing w:before="240"/>
        <w:rPr>
          <w:szCs w:val="24"/>
        </w:rPr>
      </w:pPr>
      <w:r w:rsidRPr="003533C6">
        <w:rPr>
          <w:rStyle w:val="Heading6Char"/>
        </w:rPr>
        <w:t>Fiscal capacity.</w:t>
      </w:r>
      <w:r w:rsidRPr="003533C6">
        <w:t xml:space="preserve"> </w:t>
      </w:r>
      <w:r w:rsidRPr="003533C6">
        <w:rPr>
          <w:szCs w:val="24"/>
        </w:rPr>
        <w:t xml:space="preserve">New South Wales’ </w:t>
      </w:r>
      <w:r w:rsidRPr="001E45DA">
        <w:rPr>
          <w:szCs w:val="24"/>
        </w:rPr>
        <w:t xml:space="preserve">strong fiscal capacity is due to its below average </w:t>
      </w:r>
      <w:r>
        <w:rPr>
          <w:szCs w:val="24"/>
        </w:rPr>
        <w:t>expense requirement</w:t>
      </w:r>
      <w:r w:rsidRPr="001E45DA">
        <w:rPr>
          <w:szCs w:val="24"/>
        </w:rPr>
        <w:t>, reflecting the State’s below average share of people living in remote areas, above average non</w:t>
      </w:r>
      <w:r w:rsidR="007A197C">
        <w:rPr>
          <w:szCs w:val="24"/>
        </w:rPr>
        <w:noBreakHyphen/>
      </w:r>
      <w:r w:rsidRPr="001E45DA">
        <w:rPr>
          <w:szCs w:val="24"/>
        </w:rPr>
        <w:t>State provision of health services, and economies of scale in administration. It also has an above average capacity to raise revenue, with a high value of property sales, high land values and above average taxable payrolls.</w:t>
      </w:r>
    </w:p>
    <w:p w:rsidR="00BB3126" w:rsidRPr="001E45DA" w:rsidRDefault="00BB3126" w:rsidP="00BB3126">
      <w:pPr>
        <w:rPr>
          <w:szCs w:val="24"/>
        </w:rPr>
      </w:pPr>
      <w:r w:rsidRPr="001E45DA">
        <w:rPr>
          <w:szCs w:val="24"/>
        </w:rPr>
        <w:t>Those effects on its fiscal capacity are partly offset by the State’s above average investment</w:t>
      </w:r>
      <w:r>
        <w:rPr>
          <w:szCs w:val="24"/>
        </w:rPr>
        <w:t xml:space="preserve"> requirement, mainly for urban transport,</w:t>
      </w:r>
      <w:r w:rsidRPr="001E45DA">
        <w:rPr>
          <w:szCs w:val="24"/>
        </w:rPr>
        <w:t xml:space="preserve"> and a below average share of Commonwealth payments.</w:t>
      </w:r>
    </w:p>
    <w:p w:rsidR="00BB3126" w:rsidRPr="001E45DA" w:rsidRDefault="00BB3126" w:rsidP="00BB3126">
      <w:pPr>
        <w:pStyle w:val="CGCTableHeading"/>
        <w:keepNext w:val="0"/>
        <w:keepLines w:val="0"/>
        <w:spacing w:after="80" w:line="320" w:lineRule="atLeast"/>
        <w:ind w:left="0" w:firstLine="0"/>
      </w:pPr>
      <w:r w:rsidRPr="001E45DA">
        <w:rPr>
          <w:szCs w:val="24"/>
        </w:rPr>
        <w:br w:type="column"/>
      </w:r>
      <w:r w:rsidRPr="001E45DA">
        <w:t xml:space="preserve">Table </w:t>
      </w:r>
      <w:r>
        <w:rPr>
          <w:noProof/>
        </w:rPr>
        <w:fldChar w:fldCharType="begin"/>
      </w:r>
      <w:r>
        <w:rPr>
          <w:noProof/>
        </w:rPr>
        <w:instrText xml:space="preserve"> SEQ Table \* ARABIC </w:instrText>
      </w:r>
      <w:r>
        <w:rPr>
          <w:noProof/>
        </w:rPr>
        <w:fldChar w:fldCharType="separate"/>
      </w:r>
      <w:r w:rsidR="00E82224">
        <w:rPr>
          <w:noProof/>
        </w:rPr>
        <w:t>7</w:t>
      </w:r>
      <w:r>
        <w:rPr>
          <w:noProof/>
        </w:rPr>
        <w:fldChar w:fldCharType="end"/>
      </w:r>
      <w:r w:rsidRPr="001E45DA">
        <w:tab/>
      </w:r>
      <w:r w:rsidR="00800008">
        <w:t>Illustrative</w:t>
      </w:r>
      <w:r w:rsidR="00800008" w:rsidRPr="001E45DA">
        <w:t xml:space="preserve"> </w:t>
      </w:r>
      <w:r w:rsidRPr="001E45DA">
        <w:t>GST, 2019</w:t>
      </w:r>
      <w:r w:rsidRPr="001E45DA">
        <w:noBreakHyphen/>
        <w:t>20</w:t>
      </w:r>
    </w:p>
    <w:tbl>
      <w:tblPr>
        <w:tblW w:w="4240" w:type="dxa"/>
        <w:tblLayout w:type="fixed"/>
        <w:tblCellMar>
          <w:left w:w="0" w:type="dxa"/>
          <w:right w:w="0" w:type="dxa"/>
        </w:tblCellMar>
        <w:tblLook w:val="04A0" w:firstRow="1" w:lastRow="0" w:firstColumn="1" w:lastColumn="0" w:noHBand="0" w:noVBand="1"/>
      </w:tblPr>
      <w:tblGrid>
        <w:gridCol w:w="2700"/>
        <w:gridCol w:w="820"/>
        <w:gridCol w:w="720"/>
      </w:tblGrid>
      <w:tr w:rsidR="00BB3126" w:rsidRPr="0095104B" w:rsidTr="00C7618F">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BB3126" w:rsidRPr="0095104B"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$pc</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22 105</w:t>
            </w: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2 690</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 xml:space="preserve"> </w:t>
            </w: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 xml:space="preserve"> </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Expenses</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-2 278</w:t>
            </w: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-277</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Investment</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379</w:t>
            </w: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46</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Net borrowing</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7</w:t>
            </w: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1</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Revenue</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-1 206</w:t>
            </w: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-147</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263</w:t>
            </w:r>
          </w:p>
        </w:tc>
        <w:tc>
          <w:tcPr>
            <w:tcW w:w="720" w:type="dxa"/>
            <w:tcBorders>
              <w:top w:val="nil"/>
              <w:left w:val="nil"/>
              <w:bottom w:val="single" w:sz="4" w:space="0" w:color="auto"/>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32</w:t>
            </w:r>
          </w:p>
        </w:tc>
      </w:tr>
      <w:tr w:rsidR="00BB3126" w:rsidRPr="0095104B" w:rsidTr="00C7618F">
        <w:trPr>
          <w:trHeight w:val="315"/>
        </w:trPr>
        <w:tc>
          <w:tcPr>
            <w:tcW w:w="2700" w:type="dxa"/>
            <w:tcBorders>
              <w:top w:val="nil"/>
              <w:left w:val="nil"/>
              <w:bottom w:val="single" w:sz="4" w:space="0" w:color="auto"/>
              <w:right w:val="nil"/>
            </w:tcBorders>
            <w:shd w:val="clear" w:color="auto" w:fill="auto"/>
            <w:noWrap/>
            <w:vAlign w:val="bottom"/>
            <w:hideMark/>
          </w:tcPr>
          <w:p w:rsidR="00BB3126" w:rsidRPr="0095104B" w:rsidRDefault="00F314F4" w:rsidP="00C7618F">
            <w:pPr>
              <w:keepNext/>
              <w:keepLines/>
              <w:tabs>
                <w:tab w:val="clear" w:pos="567"/>
              </w:tabs>
              <w:spacing w:after="0" w:line="240" w:lineRule="auto"/>
              <w:ind w:left="193" w:hanging="142"/>
              <w:rPr>
                <w:rFonts w:ascii="Calibri" w:eastAsia="Times New Roman" w:hAnsi="Calibri" w:cs="Calibri"/>
                <w:sz w:val="20"/>
                <w:szCs w:val="20"/>
                <w:lang w:eastAsia="en-AU"/>
              </w:rPr>
            </w:pPr>
            <w:r>
              <w:rPr>
                <w:rFonts w:ascii="Calibri" w:eastAsia="Times New Roman" w:hAnsi="Calibri" w:cs="Calibri"/>
                <w:sz w:val="20"/>
                <w:szCs w:val="20"/>
                <w:lang w:eastAsia="en-AU"/>
              </w:rPr>
              <w:t>Illustrative</w:t>
            </w:r>
            <w:r w:rsidRPr="00550305">
              <w:rPr>
                <w:rFonts w:ascii="Calibri" w:eastAsia="Times New Roman" w:hAnsi="Calibri" w:cs="Calibri"/>
                <w:sz w:val="20"/>
                <w:szCs w:val="20"/>
                <w:lang w:eastAsia="en-AU"/>
              </w:rPr>
              <w:t xml:space="preserve"> </w:t>
            </w:r>
            <w:r w:rsidR="00BB3126" w:rsidRPr="0095104B">
              <w:rPr>
                <w:rFonts w:ascii="Calibri" w:eastAsia="Times New Roman" w:hAnsi="Calibri" w:cs="Calibri"/>
                <w:sz w:val="20"/>
                <w:szCs w:val="20"/>
                <w:lang w:eastAsia="en-AU"/>
              </w:rPr>
              <w:t>GST</w:t>
            </w:r>
          </w:p>
        </w:tc>
        <w:tc>
          <w:tcPr>
            <w:tcW w:w="820" w:type="dxa"/>
            <w:tcBorders>
              <w:top w:val="nil"/>
              <w:left w:val="nil"/>
              <w:bottom w:val="single" w:sz="4" w:space="0" w:color="auto"/>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19 269</w:t>
            </w:r>
          </w:p>
        </w:tc>
        <w:tc>
          <w:tcPr>
            <w:tcW w:w="720" w:type="dxa"/>
            <w:tcBorders>
              <w:top w:val="nil"/>
              <w:left w:val="nil"/>
              <w:bottom w:val="single" w:sz="4" w:space="0" w:color="auto"/>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2 344</w:t>
            </w:r>
          </w:p>
        </w:tc>
      </w:tr>
    </w:tbl>
    <w:p w:rsidR="00BB3126" w:rsidRPr="00001ED7" w:rsidRDefault="00BB3126" w:rsidP="00BB3126">
      <w:pPr>
        <w:pStyle w:val="CGCTableFootnote"/>
        <w:rPr>
          <w:highlight w:val="yellow"/>
        </w:rPr>
        <w:sectPr w:rsidR="00BB3126" w:rsidRPr="00001ED7" w:rsidSect="00C7618F">
          <w:type w:val="continuous"/>
          <w:pgSz w:w="11899" w:h="16838" w:code="9"/>
          <w:pgMar w:top="1440" w:right="1080" w:bottom="1440" w:left="1080" w:header="709" w:footer="709" w:gutter="0"/>
          <w:cols w:num="2" w:space="157" w:equalWidth="0">
            <w:col w:w="5500" w:space="157"/>
            <w:col w:w="4082"/>
          </w:cols>
          <w:titlePg/>
          <w:docGrid w:linePitch="326"/>
        </w:sectPr>
      </w:pPr>
      <w:r>
        <w:t>Note:</w:t>
      </w:r>
      <w:r>
        <w:tab/>
      </w:r>
      <w:r w:rsidRPr="001E45DA">
        <w:t>Table may not add due to rounding.</w:t>
      </w:r>
    </w:p>
    <w:p w:rsidR="00BB3126" w:rsidRPr="005F42A8" w:rsidRDefault="00BB3126" w:rsidP="00BB3126">
      <w:pPr>
        <w:pStyle w:val="Heading4"/>
        <w:spacing w:before="0"/>
        <w:sectPr w:rsidR="00BB3126" w:rsidRPr="005F42A8" w:rsidSect="00C7618F">
          <w:headerReference w:type="even" r:id="rId50"/>
          <w:headerReference w:type="default" r:id="rId51"/>
          <w:footerReference w:type="default" r:id="rId52"/>
          <w:headerReference w:type="first" r:id="rId53"/>
          <w:pgSz w:w="11899" w:h="16838" w:code="9"/>
          <w:pgMar w:top="1440" w:right="1080" w:bottom="1440" w:left="1080" w:header="709" w:footer="709" w:gutter="0"/>
          <w:cols w:space="708"/>
          <w:docGrid w:linePitch="326"/>
        </w:sectPr>
      </w:pPr>
      <w:bookmarkStart w:id="330" w:name="_Toc442191909"/>
      <w:bookmarkStart w:id="331" w:name="_Toc442192161"/>
      <w:bookmarkStart w:id="332" w:name="_Toc442192226"/>
      <w:bookmarkStart w:id="333" w:name="_Toc442772812"/>
      <w:bookmarkStart w:id="334" w:name="_Toc442773039"/>
      <w:bookmarkStart w:id="335" w:name="_Toc442773211"/>
      <w:bookmarkStart w:id="336" w:name="_Toc442883276"/>
      <w:bookmarkStart w:id="337" w:name="_Toc474923744"/>
      <w:bookmarkStart w:id="338" w:name="_Toc505872170"/>
      <w:bookmarkStart w:id="339" w:name="_Toc536519621"/>
      <w:bookmarkStart w:id="340" w:name="_Toc536631331"/>
      <w:bookmarkStart w:id="341" w:name="_Toc536803164"/>
      <w:bookmarkStart w:id="342" w:name="_Toc536803252"/>
      <w:bookmarkStart w:id="343" w:name="_Toc1115132"/>
      <w:r w:rsidRPr="005F42A8">
        <w:lastRenderedPageBreak/>
        <w:t>Victoria</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00BB3126" w:rsidRDefault="00BB3126" w:rsidP="00BB3126">
      <w:pPr>
        <w:rPr>
          <w:szCs w:val="24"/>
        </w:rPr>
      </w:pPr>
      <w:r w:rsidRPr="005F42A8">
        <w:rPr>
          <w:rStyle w:val="Heading6Char"/>
        </w:rPr>
        <w:t xml:space="preserve">Changes in this update. </w:t>
      </w:r>
      <w:r w:rsidRPr="005F42A8">
        <w:rPr>
          <w:szCs w:val="24"/>
        </w:rPr>
        <w:t xml:space="preserve">Victoria’s fiscal capacity has been relatively stable and remains the third highest. Increases in its </w:t>
      </w:r>
      <w:r>
        <w:rPr>
          <w:szCs w:val="24"/>
        </w:rPr>
        <w:t xml:space="preserve">assessed </w:t>
      </w:r>
      <w:r w:rsidRPr="005F42A8">
        <w:rPr>
          <w:szCs w:val="24"/>
        </w:rPr>
        <w:t>wage costs</w:t>
      </w:r>
      <w:r>
        <w:rPr>
          <w:szCs w:val="24"/>
        </w:rPr>
        <w:t>, urban transport investment needs and</w:t>
      </w:r>
      <w:r w:rsidRPr="005F42A8">
        <w:rPr>
          <w:szCs w:val="24"/>
        </w:rPr>
        <w:t xml:space="preserve"> </w:t>
      </w:r>
      <w:r>
        <w:rPr>
          <w:szCs w:val="24"/>
        </w:rPr>
        <w:t>share of National Disability Insurance Scheme (NDIS) contributions</w:t>
      </w:r>
      <w:r w:rsidRPr="005F42A8">
        <w:rPr>
          <w:szCs w:val="24"/>
        </w:rPr>
        <w:t xml:space="preserve"> increased its GST share. These changes </w:t>
      </w:r>
      <w:r w:rsidRPr="007F17E0">
        <w:rPr>
          <w:szCs w:val="24"/>
        </w:rPr>
        <w:t xml:space="preserve">were offset by strong growth in </w:t>
      </w:r>
      <w:r>
        <w:rPr>
          <w:szCs w:val="24"/>
        </w:rPr>
        <w:t xml:space="preserve">the value of </w:t>
      </w:r>
      <w:r w:rsidRPr="007F17E0">
        <w:rPr>
          <w:szCs w:val="24"/>
        </w:rPr>
        <w:t xml:space="preserve">property sales. Despite a slight increase in its assessed fiscal capacity, a greater share of the </w:t>
      </w:r>
      <w:r w:rsidR="00876EAD">
        <w:rPr>
          <w:szCs w:val="24"/>
        </w:rPr>
        <w:t>estimated</w:t>
      </w:r>
      <w:r w:rsidRPr="007F17E0">
        <w:rPr>
          <w:szCs w:val="24"/>
        </w:rPr>
        <w:t xml:space="preserve"> population in 2019-20 means Victoria’s GST share will increase slightly from 25.6% to 25.7%. Combined with pool growth, its GST entitlement in 2019</w:t>
      </w:r>
      <w:r w:rsidRPr="007F17E0">
        <w:rPr>
          <w:szCs w:val="24"/>
        </w:rPr>
        <w:noBreakHyphen/>
        <w:t>20 will rise by $661 million, or 3.9%.</w:t>
      </w:r>
    </w:p>
    <w:p w:rsidR="00BB3126" w:rsidRPr="007F17E0" w:rsidRDefault="00BB3126" w:rsidP="00BB3126">
      <w:pPr>
        <w:rPr>
          <w:b/>
          <w:bCs/>
          <w:szCs w:val="20"/>
        </w:rPr>
      </w:pPr>
      <w:r w:rsidRPr="007F17E0">
        <w:br w:type="column"/>
      </w:r>
      <w:r w:rsidRPr="007F17E0">
        <w:rPr>
          <w:b/>
          <w:bCs/>
          <w:szCs w:val="20"/>
        </w:rPr>
        <w:t xml:space="preserve">Table </w:t>
      </w:r>
      <w:r w:rsidRPr="007F17E0">
        <w:rPr>
          <w:b/>
          <w:bCs/>
          <w:szCs w:val="20"/>
        </w:rPr>
        <w:fldChar w:fldCharType="begin"/>
      </w:r>
      <w:r w:rsidRPr="007F17E0">
        <w:rPr>
          <w:b/>
          <w:bCs/>
          <w:szCs w:val="20"/>
        </w:rPr>
        <w:instrText xml:space="preserve"> SEQ Table \* ARABIC </w:instrText>
      </w:r>
      <w:r w:rsidRPr="007F17E0">
        <w:rPr>
          <w:b/>
          <w:bCs/>
          <w:szCs w:val="20"/>
        </w:rPr>
        <w:fldChar w:fldCharType="separate"/>
      </w:r>
      <w:r w:rsidR="00E82224">
        <w:rPr>
          <w:b/>
          <w:bCs/>
          <w:noProof/>
          <w:szCs w:val="20"/>
        </w:rPr>
        <w:t>8</w:t>
      </w:r>
      <w:r w:rsidRPr="007F17E0">
        <w:rPr>
          <w:b/>
          <w:bCs/>
          <w:szCs w:val="20"/>
        </w:rPr>
        <w:fldChar w:fldCharType="end"/>
      </w:r>
      <w:r w:rsidRPr="007F17E0">
        <w:rPr>
          <w:b/>
          <w:bCs/>
          <w:szCs w:val="20"/>
        </w:rPr>
        <w:tab/>
        <w:t>Change in GST</w:t>
      </w:r>
    </w:p>
    <w:tbl>
      <w:tblPr>
        <w:tblW w:w="4240" w:type="dxa"/>
        <w:tblLayout w:type="fixed"/>
        <w:tblCellMar>
          <w:left w:w="0" w:type="dxa"/>
          <w:right w:w="0" w:type="dxa"/>
        </w:tblCellMar>
        <w:tblLook w:val="04A0" w:firstRow="1" w:lastRow="0" w:firstColumn="1" w:lastColumn="0" w:noHBand="0" w:noVBand="1"/>
      </w:tblPr>
      <w:tblGrid>
        <w:gridCol w:w="2700"/>
        <w:gridCol w:w="820"/>
        <w:gridCol w:w="720"/>
      </w:tblGrid>
      <w:tr w:rsidR="00BB3126" w:rsidRPr="007F17E0" w:rsidTr="00C7618F">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BB3126" w:rsidRPr="007F17E0"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7F17E0">
              <w:rPr>
                <w:rFonts w:ascii="Calibri" w:eastAsia="Times New Roman" w:hAnsi="Calibri" w:cs="Calibri"/>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7F17E0"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7F17E0">
              <w:rPr>
                <w:rFonts w:ascii="Calibri" w:eastAsia="Times New Roman" w:hAnsi="Calibri" w:cs="Calibri"/>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7F17E0"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7F17E0">
              <w:rPr>
                <w:rFonts w:ascii="Calibri" w:eastAsia="Times New Roman" w:hAnsi="Calibri" w:cs="Calibri"/>
                <w:sz w:val="20"/>
                <w:szCs w:val="20"/>
                <w:lang w:eastAsia="en-AU"/>
              </w:rPr>
              <w:t>$pc</w:t>
            </w:r>
          </w:p>
        </w:tc>
      </w:tr>
      <w:tr w:rsidR="00BB3126" w:rsidRPr="007F17E0" w:rsidTr="00C7618F">
        <w:trPr>
          <w:trHeight w:val="315"/>
        </w:trPr>
        <w:tc>
          <w:tcPr>
            <w:tcW w:w="2700" w:type="dxa"/>
            <w:tcBorders>
              <w:top w:val="nil"/>
              <w:left w:val="nil"/>
              <w:bottom w:val="nil"/>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7F17E0">
              <w:rPr>
                <w:rFonts w:ascii="Calibri" w:eastAsia="Times New Roman" w:hAnsi="Calibri" w:cs="Calibri"/>
                <w:sz w:val="20"/>
                <w:szCs w:val="20"/>
                <w:lang w:eastAsia="en-AU"/>
              </w:rPr>
              <w:t>Change due to:</w:t>
            </w:r>
          </w:p>
        </w:tc>
        <w:tc>
          <w:tcPr>
            <w:tcW w:w="820" w:type="dxa"/>
            <w:tcBorders>
              <w:top w:val="nil"/>
              <w:left w:val="nil"/>
              <w:bottom w:val="nil"/>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rPr>
                <w:rFonts w:ascii="Calibri" w:eastAsia="Times New Roman" w:hAnsi="Calibri" w:cs="Calibri"/>
                <w:sz w:val="20"/>
                <w:szCs w:val="20"/>
                <w:lang w:eastAsia="en-AU"/>
              </w:rPr>
            </w:pPr>
          </w:p>
        </w:tc>
        <w:tc>
          <w:tcPr>
            <w:tcW w:w="720" w:type="dxa"/>
            <w:tcBorders>
              <w:top w:val="nil"/>
              <w:left w:val="nil"/>
              <w:bottom w:val="nil"/>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rPr>
                <w:rFonts w:ascii="Times New Roman" w:eastAsia="Times New Roman" w:hAnsi="Times New Roman" w:cs="Times New Roman"/>
                <w:sz w:val="20"/>
                <w:szCs w:val="20"/>
                <w:lang w:eastAsia="en-AU"/>
              </w:rPr>
            </w:pPr>
          </w:p>
        </w:tc>
      </w:tr>
      <w:tr w:rsidR="00BB3126" w:rsidRPr="007F17E0" w:rsidTr="00C7618F">
        <w:trPr>
          <w:trHeight w:val="315"/>
        </w:trPr>
        <w:tc>
          <w:tcPr>
            <w:tcW w:w="2700" w:type="dxa"/>
            <w:tcBorders>
              <w:top w:val="nil"/>
              <w:left w:val="nil"/>
              <w:bottom w:val="nil"/>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7F17E0">
              <w:rPr>
                <w:rFonts w:ascii="Calibri" w:eastAsia="Times New Roman" w:hAnsi="Calibri" w:cs="Calibri"/>
                <w:sz w:val="20"/>
                <w:szCs w:val="20"/>
                <w:lang w:eastAsia="en-AU"/>
              </w:rPr>
              <w:t>New population</w:t>
            </w:r>
          </w:p>
        </w:tc>
        <w:tc>
          <w:tcPr>
            <w:tcW w:w="820" w:type="dxa"/>
            <w:tcBorders>
              <w:top w:val="nil"/>
              <w:left w:val="nil"/>
              <w:bottom w:val="nil"/>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7F17E0">
              <w:rPr>
                <w:rFonts w:ascii="Calibri" w:eastAsia="Times New Roman" w:hAnsi="Calibri" w:cs="Calibri"/>
                <w:sz w:val="20"/>
                <w:szCs w:val="20"/>
                <w:lang w:eastAsia="en-AU"/>
              </w:rPr>
              <w:t>119</w:t>
            </w:r>
          </w:p>
        </w:tc>
        <w:tc>
          <w:tcPr>
            <w:tcW w:w="720" w:type="dxa"/>
            <w:tcBorders>
              <w:top w:val="nil"/>
              <w:left w:val="nil"/>
              <w:bottom w:val="nil"/>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7F17E0">
              <w:rPr>
                <w:rFonts w:ascii="Calibri" w:eastAsia="Times New Roman" w:hAnsi="Calibri" w:cs="Calibri"/>
                <w:sz w:val="20"/>
                <w:szCs w:val="20"/>
                <w:lang w:eastAsia="en-AU"/>
              </w:rPr>
              <w:t>18</w:t>
            </w:r>
          </w:p>
        </w:tc>
      </w:tr>
      <w:tr w:rsidR="00BB3126" w:rsidRPr="007F17E0" w:rsidTr="00C7618F">
        <w:trPr>
          <w:trHeight w:val="315"/>
        </w:trPr>
        <w:tc>
          <w:tcPr>
            <w:tcW w:w="2700" w:type="dxa"/>
            <w:tcBorders>
              <w:top w:val="nil"/>
              <w:left w:val="nil"/>
              <w:bottom w:val="nil"/>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7F17E0">
              <w:rPr>
                <w:rFonts w:ascii="Calibri" w:eastAsia="Times New Roman" w:hAnsi="Calibri" w:cs="Calibri"/>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7F17E0">
              <w:rPr>
                <w:rFonts w:ascii="Calibri" w:eastAsia="Times New Roman" w:hAnsi="Calibri" w:cs="Calibri"/>
                <w:sz w:val="20"/>
                <w:szCs w:val="20"/>
                <w:lang w:eastAsia="en-AU"/>
              </w:rPr>
              <w:t>614</w:t>
            </w:r>
          </w:p>
        </w:tc>
        <w:tc>
          <w:tcPr>
            <w:tcW w:w="720" w:type="dxa"/>
            <w:tcBorders>
              <w:top w:val="nil"/>
              <w:left w:val="nil"/>
              <w:bottom w:val="nil"/>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7F17E0">
              <w:rPr>
                <w:rFonts w:ascii="Calibri" w:eastAsia="Times New Roman" w:hAnsi="Calibri" w:cs="Calibri"/>
                <w:sz w:val="20"/>
                <w:szCs w:val="20"/>
                <w:lang w:eastAsia="en-AU"/>
              </w:rPr>
              <w:t>92</w:t>
            </w:r>
          </w:p>
        </w:tc>
      </w:tr>
      <w:tr w:rsidR="00BB3126" w:rsidRPr="007F17E0" w:rsidTr="00C7618F">
        <w:trPr>
          <w:trHeight w:val="315"/>
        </w:trPr>
        <w:tc>
          <w:tcPr>
            <w:tcW w:w="2700" w:type="dxa"/>
            <w:tcBorders>
              <w:top w:val="nil"/>
              <w:left w:val="nil"/>
              <w:bottom w:val="nil"/>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7F17E0">
              <w:rPr>
                <w:rFonts w:ascii="Calibri" w:eastAsia="Times New Roman" w:hAnsi="Calibri" w:cs="Calibri"/>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7F17E0">
              <w:rPr>
                <w:rFonts w:ascii="Calibri" w:eastAsia="Times New Roman" w:hAnsi="Calibri" w:cs="Calibri"/>
                <w:sz w:val="20"/>
                <w:szCs w:val="20"/>
                <w:lang w:eastAsia="en-AU"/>
              </w:rPr>
              <w:t>-72</w:t>
            </w:r>
          </w:p>
        </w:tc>
        <w:tc>
          <w:tcPr>
            <w:tcW w:w="720" w:type="dxa"/>
            <w:tcBorders>
              <w:top w:val="nil"/>
              <w:left w:val="nil"/>
              <w:bottom w:val="nil"/>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7F17E0">
              <w:rPr>
                <w:rFonts w:ascii="Calibri" w:eastAsia="Times New Roman" w:hAnsi="Calibri" w:cs="Calibri"/>
                <w:sz w:val="20"/>
                <w:szCs w:val="20"/>
                <w:lang w:eastAsia="en-AU"/>
              </w:rPr>
              <w:t>-11</w:t>
            </w:r>
          </w:p>
        </w:tc>
      </w:tr>
      <w:tr w:rsidR="00BB3126" w:rsidRPr="007F17E0" w:rsidTr="00C7618F">
        <w:trPr>
          <w:trHeight w:val="315"/>
        </w:trPr>
        <w:tc>
          <w:tcPr>
            <w:tcW w:w="2700" w:type="dxa"/>
            <w:tcBorders>
              <w:top w:val="nil"/>
              <w:left w:val="nil"/>
              <w:bottom w:val="nil"/>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ind w:left="193" w:firstLineChars="200" w:firstLine="400"/>
              <w:rPr>
                <w:rFonts w:ascii="Calibri" w:eastAsia="Times New Roman" w:hAnsi="Calibri" w:cs="Calibri"/>
                <w:i/>
                <w:iCs/>
                <w:sz w:val="20"/>
                <w:szCs w:val="20"/>
                <w:lang w:eastAsia="en-AU"/>
              </w:rPr>
            </w:pPr>
            <w:r w:rsidRPr="007F17E0">
              <w:rPr>
                <w:rFonts w:ascii="Calibri" w:eastAsia="Times New Roman" w:hAnsi="Calibri" w:cs="Calibri"/>
                <w:i/>
                <w:iCs/>
                <w:sz w:val="20"/>
                <w:szCs w:val="20"/>
                <w:lang w:eastAsia="en-AU"/>
              </w:rPr>
              <w:t>Data revisions</w:t>
            </w:r>
          </w:p>
        </w:tc>
        <w:tc>
          <w:tcPr>
            <w:tcW w:w="820" w:type="dxa"/>
            <w:tcBorders>
              <w:top w:val="nil"/>
              <w:left w:val="nil"/>
              <w:bottom w:val="nil"/>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7F17E0">
              <w:rPr>
                <w:rFonts w:ascii="Calibri" w:eastAsia="Times New Roman" w:hAnsi="Calibri" w:cs="Calibri"/>
                <w:i/>
                <w:iCs/>
                <w:sz w:val="20"/>
                <w:szCs w:val="20"/>
                <w:lang w:eastAsia="en-AU"/>
              </w:rPr>
              <w:t>-134</w:t>
            </w:r>
          </w:p>
        </w:tc>
        <w:tc>
          <w:tcPr>
            <w:tcW w:w="720" w:type="dxa"/>
            <w:tcBorders>
              <w:top w:val="nil"/>
              <w:left w:val="nil"/>
              <w:bottom w:val="nil"/>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7F17E0">
              <w:rPr>
                <w:rFonts w:ascii="Calibri" w:eastAsia="Times New Roman" w:hAnsi="Calibri" w:cs="Calibri"/>
                <w:i/>
                <w:iCs/>
                <w:sz w:val="20"/>
                <w:szCs w:val="20"/>
                <w:lang w:eastAsia="en-AU"/>
              </w:rPr>
              <w:t>-20</w:t>
            </w:r>
          </w:p>
        </w:tc>
      </w:tr>
      <w:tr w:rsidR="00BB3126" w:rsidRPr="007F17E0" w:rsidTr="00C7618F">
        <w:trPr>
          <w:trHeight w:val="315"/>
        </w:trPr>
        <w:tc>
          <w:tcPr>
            <w:tcW w:w="2700" w:type="dxa"/>
            <w:tcBorders>
              <w:top w:val="nil"/>
              <w:left w:val="nil"/>
              <w:bottom w:val="nil"/>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ind w:left="193" w:firstLineChars="200" w:firstLine="400"/>
              <w:rPr>
                <w:rFonts w:ascii="Calibri" w:eastAsia="Times New Roman" w:hAnsi="Calibri" w:cs="Calibri"/>
                <w:i/>
                <w:iCs/>
                <w:sz w:val="20"/>
                <w:szCs w:val="20"/>
                <w:lang w:eastAsia="en-AU"/>
              </w:rPr>
            </w:pPr>
            <w:r w:rsidRPr="007F17E0">
              <w:rPr>
                <w:rFonts w:ascii="Calibri" w:eastAsia="Times New Roman" w:hAnsi="Calibri" w:cs="Calibri"/>
                <w:i/>
                <w:iCs/>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7F17E0">
              <w:rPr>
                <w:rFonts w:ascii="Calibri" w:eastAsia="Times New Roman" w:hAnsi="Calibri" w:cs="Calibri"/>
                <w:i/>
                <w:iCs/>
                <w:sz w:val="20"/>
                <w:szCs w:val="20"/>
                <w:lang w:eastAsia="en-AU"/>
              </w:rPr>
              <w:t>62</w:t>
            </w:r>
          </w:p>
        </w:tc>
        <w:tc>
          <w:tcPr>
            <w:tcW w:w="720" w:type="dxa"/>
            <w:tcBorders>
              <w:top w:val="nil"/>
              <w:left w:val="nil"/>
              <w:bottom w:val="single" w:sz="4" w:space="0" w:color="auto"/>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7F17E0">
              <w:rPr>
                <w:rFonts w:ascii="Calibri" w:eastAsia="Times New Roman" w:hAnsi="Calibri" w:cs="Calibri"/>
                <w:i/>
                <w:iCs/>
                <w:sz w:val="20"/>
                <w:szCs w:val="20"/>
                <w:lang w:eastAsia="en-AU"/>
              </w:rPr>
              <w:t>9</w:t>
            </w:r>
          </w:p>
        </w:tc>
      </w:tr>
      <w:tr w:rsidR="00BB3126" w:rsidRPr="007F17E0" w:rsidTr="00C7618F">
        <w:trPr>
          <w:trHeight w:val="315"/>
        </w:trPr>
        <w:tc>
          <w:tcPr>
            <w:tcW w:w="2700" w:type="dxa"/>
            <w:tcBorders>
              <w:top w:val="nil"/>
              <w:left w:val="nil"/>
              <w:bottom w:val="single" w:sz="4" w:space="0" w:color="auto"/>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7F17E0">
              <w:rPr>
                <w:rFonts w:ascii="Calibri" w:eastAsia="Times New Roman" w:hAnsi="Calibri" w:cs="Calibri"/>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7F17E0">
              <w:rPr>
                <w:rFonts w:ascii="Calibri" w:eastAsia="Times New Roman" w:hAnsi="Calibri" w:cs="Calibri"/>
                <w:sz w:val="20"/>
                <w:szCs w:val="20"/>
                <w:lang w:eastAsia="en-AU"/>
              </w:rPr>
              <w:t xml:space="preserve"> 661</w:t>
            </w:r>
          </w:p>
        </w:tc>
        <w:tc>
          <w:tcPr>
            <w:tcW w:w="720" w:type="dxa"/>
            <w:tcBorders>
              <w:top w:val="nil"/>
              <w:left w:val="nil"/>
              <w:bottom w:val="single" w:sz="4" w:space="0" w:color="auto"/>
              <w:right w:val="nil"/>
            </w:tcBorders>
            <w:shd w:val="clear" w:color="auto" w:fill="auto"/>
            <w:noWrap/>
            <w:vAlign w:val="bottom"/>
            <w:hideMark/>
          </w:tcPr>
          <w:p w:rsidR="00BB3126" w:rsidRPr="007F17E0"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7F17E0">
              <w:rPr>
                <w:rFonts w:ascii="Calibri" w:eastAsia="Times New Roman" w:hAnsi="Calibri" w:cs="Calibri"/>
                <w:sz w:val="20"/>
                <w:szCs w:val="20"/>
                <w:lang w:eastAsia="en-AU"/>
              </w:rPr>
              <w:t>99</w:t>
            </w:r>
          </w:p>
        </w:tc>
      </w:tr>
    </w:tbl>
    <w:p w:rsidR="00BB3126" w:rsidRPr="007F17E0" w:rsidRDefault="00BB3126" w:rsidP="00BB3126">
      <w:pPr>
        <w:pStyle w:val="CGCTableFootnote"/>
        <w:sectPr w:rsidR="00BB3126" w:rsidRPr="007F17E0" w:rsidSect="00C7618F">
          <w:type w:val="continuous"/>
          <w:pgSz w:w="11899" w:h="16838" w:code="9"/>
          <w:pgMar w:top="1440" w:right="1080" w:bottom="1440" w:left="1080" w:header="709" w:footer="709" w:gutter="0"/>
          <w:cols w:num="2" w:space="145" w:equalWidth="0">
            <w:col w:w="5500" w:space="145"/>
            <w:col w:w="4094"/>
          </w:cols>
          <w:titlePg/>
          <w:docGrid w:linePitch="326"/>
        </w:sectPr>
      </w:pPr>
      <w:r>
        <w:t>Note:</w:t>
      </w:r>
      <w:r>
        <w:tab/>
      </w:r>
      <w:r w:rsidRPr="007F17E0">
        <w:t>Table may not add due to rounding.</w:t>
      </w:r>
    </w:p>
    <w:p w:rsidR="00BB3126" w:rsidRPr="007F17E0" w:rsidRDefault="00BB3126" w:rsidP="00BB3126">
      <w:pPr>
        <w:pStyle w:val="CGCTableHeading"/>
        <w:spacing w:after="80" w:line="320" w:lineRule="atLeast"/>
      </w:pPr>
      <w:r w:rsidRPr="007F17E0">
        <w:t xml:space="preserve">Table </w:t>
      </w:r>
      <w:r w:rsidRPr="007F17E0">
        <w:rPr>
          <w:noProof/>
        </w:rPr>
        <w:fldChar w:fldCharType="begin"/>
      </w:r>
      <w:r w:rsidRPr="007F17E0">
        <w:rPr>
          <w:noProof/>
        </w:rPr>
        <w:instrText xml:space="preserve"> SEQ Table \* ARABIC </w:instrText>
      </w:r>
      <w:r w:rsidRPr="007F17E0">
        <w:rPr>
          <w:noProof/>
        </w:rPr>
        <w:fldChar w:fldCharType="separate"/>
      </w:r>
      <w:r w:rsidR="00E82224">
        <w:rPr>
          <w:noProof/>
        </w:rPr>
        <w:t>9</w:t>
      </w:r>
      <w:r w:rsidRPr="007F17E0">
        <w:rPr>
          <w:noProof/>
        </w:rPr>
        <w:fldChar w:fldCharType="end"/>
      </w:r>
      <w:r w:rsidRPr="007F17E0">
        <w:tab/>
        <w:t>Main changes for Victoria</w:t>
      </w:r>
    </w:p>
    <w:tbl>
      <w:tblPr>
        <w:tblW w:w="9920" w:type="dxa"/>
        <w:tblLook w:val="04A0" w:firstRow="1" w:lastRow="0" w:firstColumn="1" w:lastColumn="0" w:noHBand="0" w:noVBand="1"/>
      </w:tblPr>
      <w:tblGrid>
        <w:gridCol w:w="620"/>
        <w:gridCol w:w="262"/>
        <w:gridCol w:w="9038"/>
      </w:tblGrid>
      <w:tr w:rsidR="00BB3126" w:rsidRPr="00604D91" w:rsidTr="00C7618F">
        <w:trPr>
          <w:trHeight w:val="375"/>
        </w:trPr>
        <w:tc>
          <w:tcPr>
            <w:tcW w:w="620" w:type="dxa"/>
            <w:tcBorders>
              <w:top w:val="single" w:sz="4" w:space="0" w:color="auto"/>
              <w:left w:val="nil"/>
              <w:bottom w:val="single" w:sz="4" w:space="0" w:color="auto"/>
              <w:right w:val="nil"/>
            </w:tcBorders>
            <w:shd w:val="clear" w:color="auto" w:fill="auto"/>
            <w:noWrap/>
            <w:vAlign w:val="center"/>
            <w:hideMark/>
          </w:tcPr>
          <w:p w:rsidR="00BB3126" w:rsidRPr="00604D91" w:rsidRDefault="00BB3126" w:rsidP="00C7618F">
            <w:pPr>
              <w:tabs>
                <w:tab w:val="clear" w:pos="567"/>
              </w:tabs>
              <w:spacing w:after="0" w:line="240" w:lineRule="auto"/>
              <w:jc w:val="right"/>
              <w:rPr>
                <w:rFonts w:ascii="Calibri" w:eastAsia="Times New Roman" w:hAnsi="Calibri" w:cs="Calibri"/>
                <w:sz w:val="20"/>
                <w:szCs w:val="20"/>
                <w:lang w:eastAsia="en-AU"/>
              </w:rPr>
            </w:pPr>
            <w:r w:rsidRPr="00604D91">
              <w:rPr>
                <w:rFonts w:ascii="Calibri" w:eastAsia="Times New Roman" w:hAnsi="Calibri" w:cs="Calibri"/>
                <w:sz w:val="20"/>
                <w:szCs w:val="20"/>
                <w:lang w:eastAsia="en-AU"/>
              </w:rPr>
              <w:t>$m</w:t>
            </w:r>
          </w:p>
        </w:tc>
        <w:tc>
          <w:tcPr>
            <w:tcW w:w="262" w:type="dxa"/>
            <w:tcBorders>
              <w:top w:val="single" w:sz="4" w:space="0" w:color="auto"/>
              <w:left w:val="nil"/>
              <w:bottom w:val="single" w:sz="4" w:space="0" w:color="auto"/>
              <w:right w:val="nil"/>
            </w:tcBorders>
            <w:shd w:val="clear" w:color="auto" w:fill="auto"/>
            <w:noWrap/>
            <w:vAlign w:val="center"/>
            <w:hideMark/>
          </w:tcPr>
          <w:p w:rsidR="00BB3126" w:rsidRPr="00604D91" w:rsidRDefault="00BB3126" w:rsidP="00C7618F">
            <w:pPr>
              <w:tabs>
                <w:tab w:val="clear" w:pos="567"/>
              </w:tabs>
              <w:spacing w:after="0" w:line="240" w:lineRule="auto"/>
              <w:rPr>
                <w:rFonts w:ascii="Calibri" w:eastAsia="Times New Roman" w:hAnsi="Calibri" w:cs="Calibri"/>
                <w:sz w:val="20"/>
                <w:szCs w:val="20"/>
                <w:lang w:eastAsia="en-AU"/>
              </w:rPr>
            </w:pPr>
            <w:r w:rsidRPr="00604D91">
              <w:rPr>
                <w:rFonts w:ascii="Calibri" w:eastAsia="Times New Roman" w:hAnsi="Calibri" w:cs="Calibri"/>
                <w:sz w:val="20"/>
                <w:szCs w:val="20"/>
                <w:lang w:eastAsia="en-AU"/>
              </w:rPr>
              <w:t> </w:t>
            </w:r>
          </w:p>
        </w:tc>
        <w:tc>
          <w:tcPr>
            <w:tcW w:w="9038" w:type="dxa"/>
            <w:tcBorders>
              <w:top w:val="single" w:sz="4" w:space="0" w:color="auto"/>
              <w:left w:val="nil"/>
              <w:bottom w:val="single" w:sz="4" w:space="0" w:color="auto"/>
              <w:right w:val="nil"/>
            </w:tcBorders>
            <w:shd w:val="clear" w:color="auto" w:fill="auto"/>
            <w:vAlign w:val="center"/>
            <w:hideMark/>
          </w:tcPr>
          <w:p w:rsidR="00BB3126" w:rsidRPr="00604D91" w:rsidRDefault="00BB3126" w:rsidP="00C7618F">
            <w:pPr>
              <w:tabs>
                <w:tab w:val="clear" w:pos="567"/>
              </w:tabs>
              <w:spacing w:after="0" w:line="240" w:lineRule="auto"/>
              <w:rPr>
                <w:rFonts w:ascii="Calibri" w:eastAsia="Times New Roman" w:hAnsi="Calibri" w:cs="Calibri"/>
                <w:sz w:val="20"/>
                <w:szCs w:val="20"/>
                <w:lang w:eastAsia="en-AU"/>
              </w:rPr>
            </w:pPr>
            <w:r w:rsidRPr="00604D91">
              <w:rPr>
                <w:rFonts w:ascii="Calibri" w:eastAsia="Times New Roman" w:hAnsi="Calibri" w:cs="Calibri"/>
                <w:sz w:val="20"/>
                <w:szCs w:val="20"/>
                <w:lang w:eastAsia="en-AU"/>
              </w:rPr>
              <w:t>Reason for change</w:t>
            </w:r>
          </w:p>
        </w:tc>
      </w:tr>
      <w:tr w:rsidR="00BB3126" w:rsidRPr="00604D91" w:rsidTr="00C7618F">
        <w:trPr>
          <w:trHeight w:val="1035"/>
        </w:trPr>
        <w:tc>
          <w:tcPr>
            <w:tcW w:w="620" w:type="dxa"/>
            <w:tcBorders>
              <w:top w:val="nil"/>
              <w:left w:val="nil"/>
              <w:bottom w:val="nil"/>
              <w:right w:val="nil"/>
            </w:tcBorders>
            <w:shd w:val="clear" w:color="auto" w:fill="auto"/>
            <w:noWrap/>
            <w:hideMark/>
          </w:tcPr>
          <w:p w:rsidR="00BB3126" w:rsidRPr="00604D91" w:rsidRDefault="00BB3126" w:rsidP="00C7618F">
            <w:pPr>
              <w:tabs>
                <w:tab w:val="clear" w:pos="567"/>
              </w:tabs>
              <w:spacing w:after="0" w:line="240" w:lineRule="auto"/>
              <w:jc w:val="right"/>
              <w:rPr>
                <w:rFonts w:ascii="Calibri" w:eastAsia="Times New Roman" w:hAnsi="Calibri" w:cs="Calibri"/>
                <w:sz w:val="20"/>
                <w:szCs w:val="20"/>
                <w:lang w:eastAsia="en-AU"/>
              </w:rPr>
            </w:pPr>
            <w:r w:rsidRPr="00604D91">
              <w:rPr>
                <w:rFonts w:ascii="Calibri" w:eastAsia="Times New Roman" w:hAnsi="Calibri" w:cs="Calibri"/>
                <w:sz w:val="20"/>
                <w:szCs w:val="20"/>
                <w:lang w:eastAsia="en-AU"/>
              </w:rPr>
              <w:t>-630</w:t>
            </w:r>
          </w:p>
        </w:tc>
        <w:tc>
          <w:tcPr>
            <w:tcW w:w="262" w:type="dxa"/>
            <w:tcBorders>
              <w:top w:val="nil"/>
              <w:left w:val="nil"/>
              <w:bottom w:val="nil"/>
              <w:right w:val="nil"/>
            </w:tcBorders>
            <w:shd w:val="clear" w:color="auto" w:fill="auto"/>
            <w:noWrap/>
            <w:hideMark/>
          </w:tcPr>
          <w:p w:rsidR="00BB3126" w:rsidRPr="00604D91" w:rsidRDefault="00BB3126" w:rsidP="00C7618F">
            <w:pPr>
              <w:tabs>
                <w:tab w:val="clear" w:pos="567"/>
              </w:tabs>
              <w:spacing w:after="0" w:line="240" w:lineRule="auto"/>
              <w:rPr>
                <w:rFonts w:ascii="Calibri" w:eastAsia="Times New Roman" w:hAnsi="Calibri" w:cs="Calibri"/>
                <w:sz w:val="20"/>
                <w:szCs w:val="20"/>
                <w:lang w:eastAsia="en-AU"/>
              </w:rPr>
            </w:pPr>
            <w:r w:rsidRPr="00604D91">
              <w:rPr>
                <w:rFonts w:ascii="Calibri" w:eastAsia="Times New Roman" w:hAnsi="Calibri" w:cs="Calibri"/>
                <w:sz w:val="20"/>
                <w:szCs w:val="20"/>
                <w:lang w:eastAsia="en-AU"/>
              </w:rPr>
              <w:t> </w:t>
            </w:r>
          </w:p>
        </w:tc>
        <w:tc>
          <w:tcPr>
            <w:tcW w:w="9038" w:type="dxa"/>
            <w:tcBorders>
              <w:top w:val="nil"/>
              <w:left w:val="nil"/>
              <w:bottom w:val="nil"/>
              <w:right w:val="nil"/>
            </w:tcBorders>
            <w:shd w:val="clear" w:color="auto" w:fill="auto"/>
            <w:hideMark/>
          </w:tcPr>
          <w:p w:rsidR="00BB3126" w:rsidRPr="00604D91" w:rsidRDefault="00BB3126" w:rsidP="00722F87">
            <w:pPr>
              <w:tabs>
                <w:tab w:val="clear" w:pos="567"/>
              </w:tabs>
              <w:spacing w:after="0" w:line="240" w:lineRule="auto"/>
              <w:rPr>
                <w:rFonts w:ascii="Calibri" w:eastAsia="Times New Roman" w:hAnsi="Calibri" w:cs="Calibri"/>
                <w:sz w:val="20"/>
                <w:szCs w:val="20"/>
                <w:lang w:eastAsia="en-AU"/>
              </w:rPr>
            </w:pPr>
            <w:r w:rsidRPr="00604D91">
              <w:rPr>
                <w:rFonts w:ascii="Calibri" w:eastAsia="Times New Roman" w:hAnsi="Calibri" w:cs="Calibri"/>
                <w:b/>
                <w:bCs/>
                <w:sz w:val="20"/>
                <w:szCs w:val="20"/>
                <w:lang w:eastAsia="en-AU"/>
              </w:rPr>
              <w:t xml:space="preserve">Property sales. </w:t>
            </w:r>
            <w:r w:rsidRPr="00604D91">
              <w:rPr>
                <w:rFonts w:ascii="Calibri" w:eastAsia="Times New Roman" w:hAnsi="Calibri" w:cs="Calibri"/>
                <w:sz w:val="20"/>
                <w:szCs w:val="20"/>
                <w:lang w:eastAsia="en-AU"/>
              </w:rPr>
              <w:t>Victoria had the highest growth in the value of property sales between 2014-15 and 2017</w:t>
            </w:r>
            <w:r w:rsidR="00722F87">
              <w:rPr>
                <w:rFonts w:ascii="Calibri" w:eastAsia="Times New Roman" w:hAnsi="Calibri" w:cs="Calibri"/>
                <w:sz w:val="20"/>
                <w:szCs w:val="20"/>
                <w:lang w:eastAsia="en-AU"/>
              </w:rPr>
              <w:noBreakHyphen/>
            </w:r>
            <w:r w:rsidRPr="00604D91">
              <w:rPr>
                <w:rFonts w:ascii="Calibri" w:eastAsia="Times New Roman" w:hAnsi="Calibri" w:cs="Calibri"/>
                <w:sz w:val="20"/>
                <w:szCs w:val="20"/>
                <w:lang w:eastAsia="en-AU"/>
              </w:rPr>
              <w:t>18, which increased its revenue raising capacity and reduced its GST share. As it has a higher than average value of property sales, the downward revision in New South Wales’ 2016-17 value of property sales also affected Victoria, further reducing its GST share.</w:t>
            </w:r>
          </w:p>
        </w:tc>
      </w:tr>
      <w:tr w:rsidR="00BB3126" w:rsidRPr="00604D91" w:rsidTr="00C7618F">
        <w:trPr>
          <w:trHeight w:val="555"/>
        </w:trPr>
        <w:tc>
          <w:tcPr>
            <w:tcW w:w="620" w:type="dxa"/>
            <w:tcBorders>
              <w:top w:val="nil"/>
              <w:left w:val="nil"/>
              <w:bottom w:val="nil"/>
              <w:right w:val="nil"/>
            </w:tcBorders>
            <w:shd w:val="clear" w:color="auto" w:fill="auto"/>
            <w:noWrap/>
            <w:hideMark/>
          </w:tcPr>
          <w:p w:rsidR="00BB3126" w:rsidRPr="00604D91" w:rsidRDefault="00BB3126" w:rsidP="00C7618F">
            <w:pPr>
              <w:tabs>
                <w:tab w:val="clear" w:pos="567"/>
              </w:tabs>
              <w:spacing w:after="0" w:line="240" w:lineRule="auto"/>
              <w:jc w:val="right"/>
              <w:rPr>
                <w:rFonts w:ascii="Calibri" w:eastAsia="Times New Roman" w:hAnsi="Calibri" w:cs="Calibri"/>
                <w:sz w:val="20"/>
                <w:szCs w:val="20"/>
                <w:lang w:eastAsia="en-AU"/>
              </w:rPr>
            </w:pPr>
            <w:r w:rsidRPr="00604D91">
              <w:rPr>
                <w:rFonts w:ascii="Calibri" w:eastAsia="Times New Roman" w:hAnsi="Calibri" w:cs="Calibri"/>
                <w:sz w:val="20"/>
                <w:szCs w:val="20"/>
                <w:lang w:eastAsia="en-AU"/>
              </w:rPr>
              <w:t>215</w:t>
            </w:r>
          </w:p>
        </w:tc>
        <w:tc>
          <w:tcPr>
            <w:tcW w:w="262" w:type="dxa"/>
            <w:tcBorders>
              <w:top w:val="nil"/>
              <w:left w:val="nil"/>
              <w:bottom w:val="nil"/>
              <w:right w:val="nil"/>
            </w:tcBorders>
            <w:shd w:val="clear" w:color="auto" w:fill="auto"/>
            <w:noWrap/>
            <w:hideMark/>
          </w:tcPr>
          <w:p w:rsidR="00BB3126" w:rsidRPr="00604D91"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604D91" w:rsidRDefault="00BB3126" w:rsidP="00EE6EF4">
            <w:pPr>
              <w:tabs>
                <w:tab w:val="clear" w:pos="567"/>
              </w:tabs>
              <w:spacing w:after="0" w:line="240" w:lineRule="auto"/>
              <w:rPr>
                <w:rFonts w:ascii="Calibri" w:eastAsia="Times New Roman" w:hAnsi="Calibri" w:cs="Calibri"/>
                <w:sz w:val="20"/>
                <w:szCs w:val="20"/>
                <w:lang w:eastAsia="en-AU"/>
              </w:rPr>
            </w:pPr>
            <w:r w:rsidRPr="00604D91">
              <w:rPr>
                <w:rFonts w:ascii="Calibri" w:eastAsia="Times New Roman" w:hAnsi="Calibri" w:cs="Calibri"/>
                <w:b/>
                <w:bCs/>
                <w:sz w:val="20"/>
                <w:szCs w:val="20"/>
                <w:lang w:eastAsia="en-AU"/>
              </w:rPr>
              <w:t xml:space="preserve">Wage costs. </w:t>
            </w:r>
            <w:r w:rsidRPr="00604D91">
              <w:rPr>
                <w:rFonts w:ascii="Calibri" w:eastAsia="Times New Roman" w:hAnsi="Calibri" w:cs="Calibri"/>
                <w:sz w:val="20"/>
                <w:szCs w:val="20"/>
                <w:lang w:eastAsia="en-AU"/>
              </w:rPr>
              <w:t xml:space="preserve">Above average growth in Victorian wage levels increased its </w:t>
            </w:r>
            <w:r w:rsidR="00EE6EF4">
              <w:rPr>
                <w:rFonts w:ascii="Calibri" w:eastAsia="Times New Roman" w:hAnsi="Calibri" w:cs="Calibri"/>
                <w:sz w:val="20"/>
                <w:szCs w:val="20"/>
                <w:lang w:eastAsia="en-AU"/>
              </w:rPr>
              <w:t xml:space="preserve">assessed </w:t>
            </w:r>
            <w:r w:rsidRPr="00604D91">
              <w:rPr>
                <w:rFonts w:ascii="Calibri" w:eastAsia="Times New Roman" w:hAnsi="Calibri" w:cs="Calibri"/>
                <w:sz w:val="20"/>
                <w:szCs w:val="20"/>
                <w:lang w:eastAsia="en-AU"/>
              </w:rPr>
              <w:t>service delivery costs and its GST share.</w:t>
            </w:r>
          </w:p>
        </w:tc>
      </w:tr>
      <w:tr w:rsidR="00BB3126" w:rsidRPr="00604D91" w:rsidTr="00C7618F">
        <w:trPr>
          <w:trHeight w:val="555"/>
        </w:trPr>
        <w:tc>
          <w:tcPr>
            <w:tcW w:w="620" w:type="dxa"/>
            <w:tcBorders>
              <w:top w:val="nil"/>
              <w:left w:val="nil"/>
              <w:bottom w:val="nil"/>
              <w:right w:val="nil"/>
            </w:tcBorders>
            <w:shd w:val="clear" w:color="auto" w:fill="auto"/>
            <w:noWrap/>
            <w:hideMark/>
          </w:tcPr>
          <w:p w:rsidR="00BB3126" w:rsidRPr="00604D91" w:rsidRDefault="00BB3126" w:rsidP="00C7618F">
            <w:pPr>
              <w:tabs>
                <w:tab w:val="clear" w:pos="567"/>
              </w:tabs>
              <w:spacing w:after="0" w:line="240" w:lineRule="auto"/>
              <w:jc w:val="right"/>
              <w:rPr>
                <w:rFonts w:ascii="Calibri" w:eastAsia="Times New Roman" w:hAnsi="Calibri" w:cs="Calibri"/>
                <w:sz w:val="20"/>
                <w:szCs w:val="20"/>
                <w:lang w:eastAsia="en-AU"/>
              </w:rPr>
            </w:pPr>
            <w:r w:rsidRPr="00604D91">
              <w:rPr>
                <w:rFonts w:ascii="Calibri" w:eastAsia="Times New Roman" w:hAnsi="Calibri" w:cs="Calibri"/>
                <w:sz w:val="20"/>
                <w:szCs w:val="20"/>
                <w:lang w:eastAsia="en-AU"/>
              </w:rPr>
              <w:t>174</w:t>
            </w:r>
          </w:p>
        </w:tc>
        <w:tc>
          <w:tcPr>
            <w:tcW w:w="262" w:type="dxa"/>
            <w:tcBorders>
              <w:top w:val="nil"/>
              <w:left w:val="nil"/>
              <w:bottom w:val="nil"/>
              <w:right w:val="nil"/>
            </w:tcBorders>
            <w:shd w:val="clear" w:color="auto" w:fill="auto"/>
            <w:noWrap/>
            <w:hideMark/>
          </w:tcPr>
          <w:p w:rsidR="00BB3126" w:rsidRPr="00604D91"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604D91" w:rsidRDefault="00BB3126" w:rsidP="00C7618F">
            <w:pPr>
              <w:tabs>
                <w:tab w:val="clear" w:pos="567"/>
              </w:tabs>
              <w:spacing w:after="0" w:line="240" w:lineRule="auto"/>
              <w:rPr>
                <w:rFonts w:ascii="Calibri" w:eastAsia="Times New Roman" w:hAnsi="Calibri" w:cs="Calibri"/>
                <w:sz w:val="20"/>
                <w:szCs w:val="20"/>
                <w:lang w:eastAsia="en-AU"/>
              </w:rPr>
            </w:pPr>
            <w:r w:rsidRPr="00604D91">
              <w:rPr>
                <w:rFonts w:ascii="Calibri" w:eastAsia="Times New Roman" w:hAnsi="Calibri" w:cs="Calibri"/>
                <w:b/>
                <w:bCs/>
                <w:sz w:val="20"/>
                <w:szCs w:val="20"/>
                <w:lang w:eastAsia="en-AU"/>
              </w:rPr>
              <w:t xml:space="preserve">Natural disaster relief. </w:t>
            </w:r>
            <w:r w:rsidRPr="00604D91">
              <w:rPr>
                <w:rFonts w:ascii="Calibri" w:eastAsia="Times New Roman" w:hAnsi="Calibri" w:cs="Calibri"/>
                <w:sz w:val="20"/>
                <w:szCs w:val="20"/>
                <w:lang w:eastAsia="en-AU"/>
              </w:rPr>
              <w:t>A one-off correction to remove local government out of pocket costs increased the GST share of States with a below average share of the correction, including Victoria.</w:t>
            </w:r>
          </w:p>
        </w:tc>
      </w:tr>
      <w:tr w:rsidR="00BB3126" w:rsidRPr="00604D91" w:rsidTr="00C7618F">
        <w:trPr>
          <w:trHeight w:val="1020"/>
        </w:trPr>
        <w:tc>
          <w:tcPr>
            <w:tcW w:w="620" w:type="dxa"/>
            <w:tcBorders>
              <w:top w:val="nil"/>
              <w:left w:val="nil"/>
              <w:bottom w:val="nil"/>
              <w:right w:val="nil"/>
            </w:tcBorders>
            <w:shd w:val="clear" w:color="auto" w:fill="auto"/>
            <w:noWrap/>
            <w:hideMark/>
          </w:tcPr>
          <w:p w:rsidR="00BB3126" w:rsidRPr="00604D91" w:rsidRDefault="00BB3126" w:rsidP="00C7618F">
            <w:pPr>
              <w:tabs>
                <w:tab w:val="clear" w:pos="567"/>
              </w:tabs>
              <w:spacing w:after="0" w:line="240" w:lineRule="auto"/>
              <w:jc w:val="right"/>
              <w:rPr>
                <w:rFonts w:ascii="Calibri" w:eastAsia="Times New Roman" w:hAnsi="Calibri" w:cs="Calibri"/>
                <w:sz w:val="20"/>
                <w:szCs w:val="20"/>
                <w:lang w:eastAsia="en-AU"/>
              </w:rPr>
            </w:pPr>
            <w:r w:rsidRPr="00604D91">
              <w:rPr>
                <w:rFonts w:ascii="Calibri" w:eastAsia="Times New Roman" w:hAnsi="Calibri" w:cs="Calibri"/>
                <w:sz w:val="20"/>
                <w:szCs w:val="20"/>
                <w:lang w:eastAsia="en-AU"/>
              </w:rPr>
              <w:t>103</w:t>
            </w:r>
          </w:p>
        </w:tc>
        <w:tc>
          <w:tcPr>
            <w:tcW w:w="262" w:type="dxa"/>
            <w:tcBorders>
              <w:top w:val="nil"/>
              <w:left w:val="nil"/>
              <w:bottom w:val="nil"/>
              <w:right w:val="nil"/>
            </w:tcBorders>
            <w:shd w:val="clear" w:color="auto" w:fill="auto"/>
            <w:noWrap/>
            <w:hideMark/>
          </w:tcPr>
          <w:p w:rsidR="00BB3126" w:rsidRPr="00604D91"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604D91" w:rsidRDefault="00BB3126" w:rsidP="00C51779">
            <w:pPr>
              <w:tabs>
                <w:tab w:val="clear" w:pos="567"/>
              </w:tabs>
              <w:spacing w:after="0" w:line="240" w:lineRule="auto"/>
              <w:rPr>
                <w:rFonts w:ascii="Calibri" w:eastAsia="Times New Roman" w:hAnsi="Calibri" w:cs="Calibri"/>
                <w:sz w:val="20"/>
                <w:szCs w:val="20"/>
                <w:lang w:eastAsia="en-AU"/>
              </w:rPr>
            </w:pPr>
            <w:r w:rsidRPr="00604D91">
              <w:rPr>
                <w:rFonts w:ascii="Calibri" w:eastAsia="Times New Roman" w:hAnsi="Calibri" w:cs="Calibri"/>
                <w:b/>
                <w:bCs/>
                <w:sz w:val="20"/>
                <w:szCs w:val="20"/>
                <w:lang w:eastAsia="en-AU"/>
              </w:rPr>
              <w:t>People with disabilities.</w:t>
            </w:r>
            <w:r w:rsidRPr="00604D91">
              <w:rPr>
                <w:rFonts w:ascii="Calibri" w:eastAsia="Times New Roman" w:hAnsi="Calibri" w:cs="Calibri"/>
                <w:sz w:val="20"/>
                <w:szCs w:val="20"/>
                <w:lang w:eastAsia="en-AU"/>
              </w:rPr>
              <w:t xml:space="preserve"> The method for assessing NDIS contributions has changed </w:t>
            </w:r>
            <w:r>
              <w:rPr>
                <w:rFonts w:ascii="Calibri" w:eastAsia="Times New Roman" w:hAnsi="Calibri" w:cs="Calibri"/>
                <w:sz w:val="20"/>
                <w:szCs w:val="20"/>
                <w:lang w:eastAsia="en-AU"/>
              </w:rPr>
              <w:t>as</w:t>
            </w:r>
            <w:r w:rsidRPr="00604D91">
              <w:rPr>
                <w:rFonts w:ascii="Calibri" w:eastAsia="Times New Roman" w:hAnsi="Calibri" w:cs="Calibri"/>
                <w:sz w:val="20"/>
                <w:szCs w:val="20"/>
                <w:lang w:eastAsia="en-AU"/>
              </w:rPr>
              <w:t xml:space="preserve"> most States will be funding NDIS under full scheme conditions in 2019-20. Victoria’s NDIS contributions, and therefore assessed disability expenses, are higher under full scheme conditions than under transition arrangements, which </w:t>
            </w:r>
            <w:r w:rsidR="00C51779">
              <w:rPr>
                <w:rFonts w:ascii="Calibri" w:eastAsia="Times New Roman" w:hAnsi="Calibri" w:cs="Calibri"/>
                <w:sz w:val="20"/>
                <w:szCs w:val="20"/>
                <w:lang w:eastAsia="en-AU"/>
              </w:rPr>
              <w:t>have</w:t>
            </w:r>
            <w:r w:rsidRPr="00604D91">
              <w:rPr>
                <w:rFonts w:ascii="Calibri" w:eastAsia="Times New Roman" w:hAnsi="Calibri" w:cs="Calibri"/>
                <w:sz w:val="20"/>
                <w:szCs w:val="20"/>
                <w:lang w:eastAsia="en-AU"/>
              </w:rPr>
              <w:t xml:space="preserve"> increased its GST share.</w:t>
            </w:r>
          </w:p>
        </w:tc>
      </w:tr>
      <w:tr w:rsidR="00BB3126" w:rsidRPr="00604D91" w:rsidTr="00C7618F">
        <w:trPr>
          <w:trHeight w:val="555"/>
        </w:trPr>
        <w:tc>
          <w:tcPr>
            <w:tcW w:w="620" w:type="dxa"/>
            <w:tcBorders>
              <w:top w:val="nil"/>
              <w:left w:val="nil"/>
              <w:bottom w:val="single" w:sz="4" w:space="0" w:color="auto"/>
              <w:right w:val="nil"/>
            </w:tcBorders>
            <w:shd w:val="clear" w:color="auto" w:fill="auto"/>
            <w:noWrap/>
            <w:hideMark/>
          </w:tcPr>
          <w:p w:rsidR="00BB3126" w:rsidRPr="00604D91" w:rsidRDefault="00BB3126" w:rsidP="00C7618F">
            <w:pPr>
              <w:tabs>
                <w:tab w:val="clear" w:pos="567"/>
              </w:tabs>
              <w:spacing w:after="0" w:line="240" w:lineRule="auto"/>
              <w:jc w:val="right"/>
              <w:rPr>
                <w:rFonts w:ascii="Calibri" w:eastAsia="Times New Roman" w:hAnsi="Calibri" w:cs="Calibri"/>
                <w:sz w:val="20"/>
                <w:szCs w:val="20"/>
                <w:lang w:eastAsia="en-AU"/>
              </w:rPr>
            </w:pPr>
            <w:r w:rsidRPr="00604D91">
              <w:rPr>
                <w:rFonts w:ascii="Calibri" w:eastAsia="Times New Roman" w:hAnsi="Calibri" w:cs="Calibri"/>
                <w:sz w:val="20"/>
                <w:szCs w:val="20"/>
                <w:lang w:eastAsia="en-AU"/>
              </w:rPr>
              <w:t>96</w:t>
            </w:r>
          </w:p>
        </w:tc>
        <w:tc>
          <w:tcPr>
            <w:tcW w:w="262" w:type="dxa"/>
            <w:tcBorders>
              <w:top w:val="nil"/>
              <w:left w:val="nil"/>
              <w:bottom w:val="single" w:sz="4" w:space="0" w:color="auto"/>
              <w:right w:val="nil"/>
            </w:tcBorders>
            <w:shd w:val="clear" w:color="auto" w:fill="auto"/>
            <w:noWrap/>
            <w:hideMark/>
          </w:tcPr>
          <w:p w:rsidR="00BB3126" w:rsidRPr="00604D91" w:rsidRDefault="00BB3126" w:rsidP="00C7618F">
            <w:pPr>
              <w:tabs>
                <w:tab w:val="clear" w:pos="567"/>
              </w:tabs>
              <w:spacing w:after="0" w:line="240" w:lineRule="auto"/>
              <w:rPr>
                <w:rFonts w:ascii="Calibri" w:eastAsia="Times New Roman" w:hAnsi="Calibri" w:cs="Calibri"/>
                <w:sz w:val="20"/>
                <w:szCs w:val="20"/>
                <w:lang w:eastAsia="en-AU"/>
              </w:rPr>
            </w:pPr>
            <w:r w:rsidRPr="00604D91">
              <w:rPr>
                <w:rFonts w:ascii="Calibri" w:eastAsia="Times New Roman" w:hAnsi="Calibri" w:cs="Calibri"/>
                <w:sz w:val="20"/>
                <w:szCs w:val="20"/>
                <w:lang w:eastAsia="en-AU"/>
              </w:rPr>
              <w:t> </w:t>
            </w:r>
          </w:p>
        </w:tc>
        <w:tc>
          <w:tcPr>
            <w:tcW w:w="9038" w:type="dxa"/>
            <w:tcBorders>
              <w:top w:val="nil"/>
              <w:left w:val="nil"/>
              <w:bottom w:val="single" w:sz="4" w:space="0" w:color="auto"/>
              <w:right w:val="nil"/>
            </w:tcBorders>
            <w:shd w:val="clear" w:color="auto" w:fill="auto"/>
            <w:hideMark/>
          </w:tcPr>
          <w:p w:rsidR="00BB3126" w:rsidRPr="00604D91" w:rsidRDefault="00BB3126" w:rsidP="00C7618F">
            <w:pPr>
              <w:tabs>
                <w:tab w:val="clear" w:pos="567"/>
              </w:tabs>
              <w:spacing w:after="0" w:line="240" w:lineRule="auto"/>
              <w:rPr>
                <w:rFonts w:ascii="Calibri" w:eastAsia="Times New Roman" w:hAnsi="Calibri" w:cs="Calibri"/>
                <w:sz w:val="20"/>
                <w:szCs w:val="20"/>
                <w:lang w:eastAsia="en-AU"/>
              </w:rPr>
            </w:pPr>
            <w:r w:rsidRPr="00604D91">
              <w:rPr>
                <w:rFonts w:ascii="Calibri" w:eastAsia="Times New Roman" w:hAnsi="Calibri" w:cs="Calibri"/>
                <w:b/>
                <w:bCs/>
                <w:sz w:val="20"/>
                <w:szCs w:val="20"/>
                <w:lang w:eastAsia="en-AU"/>
              </w:rPr>
              <w:t>Investment growth.</w:t>
            </w:r>
            <w:r w:rsidRPr="00604D91">
              <w:rPr>
                <w:rFonts w:ascii="Calibri" w:eastAsia="Times New Roman" w:hAnsi="Calibri" w:cs="Calibri"/>
                <w:sz w:val="20"/>
                <w:szCs w:val="20"/>
                <w:lang w:eastAsia="en-AU"/>
              </w:rPr>
              <w:t xml:space="preserve"> Growth in total urban transport investment from 2014-15 to 2017-18 increased Victoria’s share of GST due to its above average urban transport investment needs.</w:t>
            </w:r>
          </w:p>
        </w:tc>
      </w:tr>
    </w:tbl>
    <w:p w:rsidR="00BB3126" w:rsidRPr="00001ED7" w:rsidRDefault="00BB3126" w:rsidP="00BB3126">
      <w:pPr>
        <w:pStyle w:val="NoSpacing"/>
        <w:rPr>
          <w:highlight w:val="yellow"/>
        </w:rPr>
        <w:sectPr w:rsidR="00BB3126" w:rsidRPr="00001ED7" w:rsidSect="00C7618F">
          <w:type w:val="continuous"/>
          <w:pgSz w:w="11899" w:h="16838" w:code="9"/>
          <w:pgMar w:top="1440" w:right="1080" w:bottom="1440" w:left="1080" w:header="709" w:footer="709" w:gutter="0"/>
          <w:cols w:space="1"/>
          <w:titlePg/>
          <w:docGrid w:linePitch="326"/>
        </w:sectPr>
      </w:pPr>
    </w:p>
    <w:p w:rsidR="00BB3126" w:rsidRPr="005F42A8" w:rsidRDefault="00BB3126" w:rsidP="00BB3126">
      <w:pPr>
        <w:spacing w:before="240"/>
        <w:rPr>
          <w:szCs w:val="24"/>
        </w:rPr>
      </w:pPr>
      <w:r w:rsidRPr="008F6814">
        <w:rPr>
          <w:rStyle w:val="Heading6Char"/>
        </w:rPr>
        <w:t>Fiscal capacity.</w:t>
      </w:r>
      <w:r w:rsidRPr="008F6814">
        <w:t xml:space="preserve"> </w:t>
      </w:r>
      <w:r w:rsidRPr="008F6814">
        <w:rPr>
          <w:szCs w:val="24"/>
        </w:rPr>
        <w:t xml:space="preserve">Victoria’s strong fiscal capacity is </w:t>
      </w:r>
      <w:r w:rsidRPr="005F42A8">
        <w:rPr>
          <w:szCs w:val="24"/>
        </w:rPr>
        <w:t xml:space="preserve">due to its well below average </w:t>
      </w:r>
      <w:r>
        <w:rPr>
          <w:szCs w:val="24"/>
        </w:rPr>
        <w:t>expense requirement</w:t>
      </w:r>
      <w:r w:rsidRPr="005F42A8">
        <w:rPr>
          <w:szCs w:val="24"/>
        </w:rPr>
        <w:t>, reflecting its below average shares of government school enrolments, Indigenous people</w:t>
      </w:r>
      <w:r w:rsidR="007D7364">
        <w:rPr>
          <w:szCs w:val="24"/>
        </w:rPr>
        <w:t xml:space="preserve"> and</w:t>
      </w:r>
      <w:r w:rsidRPr="005F42A8">
        <w:rPr>
          <w:szCs w:val="24"/>
        </w:rPr>
        <w:t xml:space="preserve"> people living in remote areas</w:t>
      </w:r>
      <w:r w:rsidR="007D7364">
        <w:rPr>
          <w:szCs w:val="24"/>
        </w:rPr>
        <w:t>,</w:t>
      </w:r>
      <w:r w:rsidR="006B6C2F">
        <w:rPr>
          <w:szCs w:val="24"/>
        </w:rPr>
        <w:t xml:space="preserve"> and </w:t>
      </w:r>
      <w:r w:rsidRPr="005F42A8">
        <w:rPr>
          <w:szCs w:val="24"/>
        </w:rPr>
        <w:t>economies of scale in administration.</w:t>
      </w:r>
    </w:p>
    <w:p w:rsidR="00BB3126" w:rsidRPr="005F42A8" w:rsidRDefault="00BB3126" w:rsidP="00BB3126">
      <w:pPr>
        <w:rPr>
          <w:szCs w:val="24"/>
        </w:rPr>
      </w:pPr>
      <w:r w:rsidRPr="005F42A8">
        <w:rPr>
          <w:szCs w:val="24"/>
        </w:rPr>
        <w:t xml:space="preserve">Those effects on its fiscal capacity are partly offset by its below average mining production and above average investment requirement due to </w:t>
      </w:r>
      <w:r>
        <w:rPr>
          <w:szCs w:val="24"/>
        </w:rPr>
        <w:t xml:space="preserve">an </w:t>
      </w:r>
      <w:r w:rsidRPr="005F42A8">
        <w:rPr>
          <w:szCs w:val="24"/>
        </w:rPr>
        <w:t>above average share of national population growth.</w:t>
      </w:r>
    </w:p>
    <w:p w:rsidR="00BB3126" w:rsidRPr="005F42A8" w:rsidRDefault="00BB3126" w:rsidP="00BB3126">
      <w:pPr>
        <w:pStyle w:val="CGCTableHeading"/>
        <w:keepNext w:val="0"/>
        <w:keepLines w:val="0"/>
        <w:spacing w:after="80" w:line="320" w:lineRule="atLeast"/>
        <w:ind w:left="0" w:firstLine="0"/>
      </w:pPr>
      <w:r w:rsidRPr="005F42A8">
        <w:rPr>
          <w:szCs w:val="24"/>
        </w:rPr>
        <w:br w:type="column"/>
      </w:r>
      <w:r w:rsidRPr="005F42A8">
        <w:t xml:space="preserve">Table </w:t>
      </w:r>
      <w:r>
        <w:rPr>
          <w:noProof/>
        </w:rPr>
        <w:fldChar w:fldCharType="begin"/>
      </w:r>
      <w:r>
        <w:rPr>
          <w:noProof/>
        </w:rPr>
        <w:instrText xml:space="preserve"> SEQ Table \* ARABIC </w:instrText>
      </w:r>
      <w:r>
        <w:rPr>
          <w:noProof/>
        </w:rPr>
        <w:fldChar w:fldCharType="separate"/>
      </w:r>
      <w:r w:rsidR="00E82224">
        <w:rPr>
          <w:noProof/>
        </w:rPr>
        <w:t>10</w:t>
      </w:r>
      <w:r>
        <w:rPr>
          <w:noProof/>
        </w:rPr>
        <w:fldChar w:fldCharType="end"/>
      </w:r>
      <w:r w:rsidRPr="005F42A8">
        <w:tab/>
      </w:r>
      <w:r w:rsidR="00800008">
        <w:t>Illustrative</w:t>
      </w:r>
      <w:r w:rsidRPr="005F42A8">
        <w:t xml:space="preserve"> GST, 201</w:t>
      </w:r>
      <w:r>
        <w:t>9</w:t>
      </w:r>
      <w:r w:rsidRPr="005F42A8">
        <w:noBreakHyphen/>
      </w:r>
      <w:r>
        <w:t>20</w:t>
      </w:r>
    </w:p>
    <w:tbl>
      <w:tblPr>
        <w:tblW w:w="4240" w:type="dxa"/>
        <w:tblLayout w:type="fixed"/>
        <w:tblCellMar>
          <w:left w:w="0" w:type="dxa"/>
          <w:right w:w="0" w:type="dxa"/>
        </w:tblCellMar>
        <w:tblLook w:val="04A0" w:firstRow="1" w:lastRow="0" w:firstColumn="1" w:lastColumn="0" w:noHBand="0" w:noVBand="1"/>
      </w:tblPr>
      <w:tblGrid>
        <w:gridCol w:w="2700"/>
        <w:gridCol w:w="820"/>
        <w:gridCol w:w="720"/>
      </w:tblGrid>
      <w:tr w:rsidR="00BB3126" w:rsidRPr="0095104B" w:rsidTr="00C7618F">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BB3126" w:rsidRPr="0095104B"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$pc</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18 014</w:t>
            </w: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2 690</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 xml:space="preserve"> </w:t>
            </w: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 xml:space="preserve"> </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Expenses</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-4 791</w:t>
            </w: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-715</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Investment</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1 303</w:t>
            </w: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195</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Net borrowing</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-176</w:t>
            </w: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-26</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Revenue</w:t>
            </w:r>
          </w:p>
        </w:tc>
        <w:tc>
          <w:tcPr>
            <w:tcW w:w="8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2 432</w:t>
            </w:r>
          </w:p>
        </w:tc>
        <w:tc>
          <w:tcPr>
            <w:tcW w:w="72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363</w:t>
            </w:r>
          </w:p>
        </w:tc>
      </w:tr>
      <w:tr w:rsidR="00BB3126" w:rsidRPr="0095104B" w:rsidTr="00C7618F">
        <w:trPr>
          <w:trHeight w:val="315"/>
        </w:trPr>
        <w:tc>
          <w:tcPr>
            <w:tcW w:w="2700" w:type="dxa"/>
            <w:tcBorders>
              <w:top w:val="nil"/>
              <w:left w:val="nil"/>
              <w:bottom w:val="nil"/>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953</w:t>
            </w:r>
          </w:p>
        </w:tc>
        <w:tc>
          <w:tcPr>
            <w:tcW w:w="720" w:type="dxa"/>
            <w:tcBorders>
              <w:top w:val="nil"/>
              <w:left w:val="nil"/>
              <w:bottom w:val="single" w:sz="4" w:space="0" w:color="auto"/>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142</w:t>
            </w:r>
          </w:p>
        </w:tc>
      </w:tr>
      <w:tr w:rsidR="00BB3126" w:rsidRPr="0095104B" w:rsidTr="00C7618F">
        <w:trPr>
          <w:trHeight w:val="315"/>
        </w:trPr>
        <w:tc>
          <w:tcPr>
            <w:tcW w:w="2700" w:type="dxa"/>
            <w:tcBorders>
              <w:top w:val="nil"/>
              <w:left w:val="nil"/>
              <w:bottom w:val="single" w:sz="4" w:space="0" w:color="auto"/>
              <w:right w:val="nil"/>
            </w:tcBorders>
            <w:shd w:val="clear" w:color="auto" w:fill="auto"/>
            <w:noWrap/>
            <w:vAlign w:val="bottom"/>
            <w:hideMark/>
          </w:tcPr>
          <w:p w:rsidR="00BB3126" w:rsidRPr="0095104B" w:rsidRDefault="00F314F4" w:rsidP="00C7618F">
            <w:pPr>
              <w:keepNext/>
              <w:keepLines/>
              <w:tabs>
                <w:tab w:val="clear" w:pos="567"/>
              </w:tabs>
              <w:spacing w:after="0" w:line="240" w:lineRule="auto"/>
              <w:ind w:left="193" w:hanging="142"/>
              <w:rPr>
                <w:rFonts w:ascii="Calibri" w:eastAsia="Times New Roman" w:hAnsi="Calibri" w:cs="Calibri"/>
                <w:sz w:val="20"/>
                <w:szCs w:val="20"/>
                <w:lang w:eastAsia="en-AU"/>
              </w:rPr>
            </w:pPr>
            <w:r>
              <w:rPr>
                <w:rFonts w:ascii="Calibri" w:eastAsia="Times New Roman" w:hAnsi="Calibri" w:cs="Calibri"/>
                <w:sz w:val="20"/>
                <w:szCs w:val="20"/>
                <w:lang w:eastAsia="en-AU"/>
              </w:rPr>
              <w:t>Illustrative</w:t>
            </w:r>
            <w:r w:rsidRPr="00550305">
              <w:rPr>
                <w:rFonts w:ascii="Calibri" w:eastAsia="Times New Roman" w:hAnsi="Calibri" w:cs="Calibri"/>
                <w:sz w:val="20"/>
                <w:szCs w:val="20"/>
                <w:lang w:eastAsia="en-AU"/>
              </w:rPr>
              <w:t xml:space="preserve"> </w:t>
            </w:r>
            <w:r w:rsidR="00BB3126" w:rsidRPr="0095104B">
              <w:rPr>
                <w:rFonts w:ascii="Calibri" w:eastAsia="Times New Roman" w:hAnsi="Calibri" w:cs="Calibri"/>
                <w:sz w:val="20"/>
                <w:szCs w:val="20"/>
                <w:lang w:eastAsia="en-AU"/>
              </w:rPr>
              <w:t>GST</w:t>
            </w:r>
          </w:p>
        </w:tc>
        <w:tc>
          <w:tcPr>
            <w:tcW w:w="820" w:type="dxa"/>
            <w:tcBorders>
              <w:top w:val="nil"/>
              <w:left w:val="nil"/>
              <w:bottom w:val="single" w:sz="4" w:space="0" w:color="auto"/>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17 734</w:t>
            </w:r>
          </w:p>
        </w:tc>
        <w:tc>
          <w:tcPr>
            <w:tcW w:w="720" w:type="dxa"/>
            <w:tcBorders>
              <w:top w:val="nil"/>
              <w:left w:val="nil"/>
              <w:bottom w:val="single" w:sz="4" w:space="0" w:color="auto"/>
              <w:right w:val="nil"/>
            </w:tcBorders>
            <w:shd w:val="clear" w:color="auto" w:fill="auto"/>
            <w:noWrap/>
            <w:vAlign w:val="bottom"/>
            <w:hideMark/>
          </w:tcPr>
          <w:p w:rsidR="00BB3126" w:rsidRPr="0095104B"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95104B">
              <w:rPr>
                <w:rFonts w:ascii="Calibri" w:eastAsia="Times New Roman" w:hAnsi="Calibri" w:cs="Calibri"/>
                <w:sz w:val="20"/>
                <w:szCs w:val="20"/>
                <w:lang w:eastAsia="en-AU"/>
              </w:rPr>
              <w:t>2 648</w:t>
            </w:r>
          </w:p>
        </w:tc>
      </w:tr>
    </w:tbl>
    <w:p w:rsidR="00BB3126" w:rsidRPr="005F42A8" w:rsidRDefault="00BB3126" w:rsidP="00BB3126">
      <w:pPr>
        <w:pStyle w:val="CGCTableFootnote"/>
        <w:sectPr w:rsidR="00BB3126" w:rsidRPr="005F42A8" w:rsidSect="00C7618F">
          <w:type w:val="continuous"/>
          <w:pgSz w:w="11899" w:h="16838" w:code="9"/>
          <w:pgMar w:top="1440" w:right="1080" w:bottom="1440" w:left="1080" w:header="709" w:footer="709" w:gutter="0"/>
          <w:cols w:num="2" w:space="157" w:equalWidth="0">
            <w:col w:w="5500" w:space="157"/>
            <w:col w:w="4082"/>
          </w:cols>
          <w:titlePg/>
          <w:docGrid w:linePitch="326"/>
        </w:sectPr>
      </w:pPr>
      <w:r>
        <w:t>Note:</w:t>
      </w:r>
      <w:r>
        <w:tab/>
      </w:r>
      <w:r w:rsidRPr="005F42A8">
        <w:t>Table may not add due to rounding.</w:t>
      </w:r>
    </w:p>
    <w:p w:rsidR="00BB3126" w:rsidRPr="005F42A8" w:rsidRDefault="00BB3126" w:rsidP="00BB3126">
      <w:pPr>
        <w:pStyle w:val="Heading4"/>
        <w:spacing w:before="0"/>
        <w:sectPr w:rsidR="00BB3126" w:rsidRPr="005F42A8" w:rsidSect="00C7618F">
          <w:headerReference w:type="even" r:id="rId54"/>
          <w:headerReference w:type="default" r:id="rId55"/>
          <w:footerReference w:type="default" r:id="rId56"/>
          <w:headerReference w:type="first" r:id="rId57"/>
          <w:pgSz w:w="11899" w:h="16838" w:code="9"/>
          <w:pgMar w:top="1440" w:right="1080" w:bottom="1440" w:left="1080" w:header="709" w:footer="709" w:gutter="0"/>
          <w:cols w:space="708"/>
          <w:titlePg/>
          <w:docGrid w:linePitch="326"/>
        </w:sectPr>
      </w:pPr>
      <w:bookmarkStart w:id="344" w:name="_Toc442191910"/>
      <w:bookmarkStart w:id="345" w:name="_Toc442192162"/>
      <w:bookmarkStart w:id="346" w:name="_Toc442192227"/>
      <w:bookmarkStart w:id="347" w:name="_Toc442772813"/>
      <w:bookmarkStart w:id="348" w:name="_Toc442773040"/>
      <w:bookmarkStart w:id="349" w:name="_Toc442773212"/>
      <w:bookmarkStart w:id="350" w:name="_Toc442883277"/>
      <w:bookmarkStart w:id="351" w:name="_Toc474923745"/>
      <w:bookmarkStart w:id="352" w:name="_Toc505872171"/>
      <w:bookmarkStart w:id="353" w:name="_Toc536519622"/>
      <w:bookmarkStart w:id="354" w:name="_Toc536631332"/>
      <w:bookmarkStart w:id="355" w:name="_Toc536803165"/>
      <w:bookmarkStart w:id="356" w:name="_Toc536803253"/>
      <w:bookmarkStart w:id="357" w:name="_Toc1115133"/>
      <w:r w:rsidRPr="005F42A8">
        <w:lastRenderedPageBreak/>
        <w:t>Queensland</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BB3126" w:rsidRDefault="00BB3126" w:rsidP="00BB3126">
      <w:pPr>
        <w:rPr>
          <w:szCs w:val="24"/>
        </w:rPr>
      </w:pPr>
      <w:r w:rsidRPr="005F42A8">
        <w:rPr>
          <w:rStyle w:val="Heading6Char"/>
        </w:rPr>
        <w:t>Changes in this update.</w:t>
      </w:r>
      <w:r w:rsidRPr="005F42A8">
        <w:t xml:space="preserve"> </w:t>
      </w:r>
      <w:r w:rsidRPr="005F42A8">
        <w:rPr>
          <w:szCs w:val="24"/>
        </w:rPr>
        <w:t xml:space="preserve">Queensland’s fiscal capacity </w:t>
      </w:r>
      <w:r>
        <w:rPr>
          <w:szCs w:val="24"/>
        </w:rPr>
        <w:t xml:space="preserve">remains below </w:t>
      </w:r>
      <w:r w:rsidR="00D45A67">
        <w:rPr>
          <w:szCs w:val="24"/>
        </w:rPr>
        <w:t>average. H</w:t>
      </w:r>
      <w:r w:rsidRPr="000F608E">
        <w:rPr>
          <w:szCs w:val="24"/>
        </w:rPr>
        <w:t>owever, its position has strengthened. Queensland remains the State with the fourth strongest fiscal capacity</w:t>
      </w:r>
      <w:r>
        <w:rPr>
          <w:szCs w:val="24"/>
        </w:rPr>
        <w:t>.</w:t>
      </w:r>
      <w:r w:rsidRPr="005F42A8">
        <w:rPr>
          <w:szCs w:val="24"/>
        </w:rPr>
        <w:t xml:space="preserve"> </w:t>
      </w:r>
      <w:r w:rsidR="001F3A9A">
        <w:rPr>
          <w:szCs w:val="24"/>
        </w:rPr>
        <w:t>Slower than average growth</w:t>
      </w:r>
      <w:r w:rsidRPr="005F42A8">
        <w:rPr>
          <w:szCs w:val="24"/>
        </w:rPr>
        <w:t xml:space="preserve"> in </w:t>
      </w:r>
      <w:r>
        <w:rPr>
          <w:szCs w:val="24"/>
        </w:rPr>
        <w:t xml:space="preserve">the value of </w:t>
      </w:r>
      <w:r w:rsidRPr="005F42A8">
        <w:rPr>
          <w:szCs w:val="24"/>
        </w:rPr>
        <w:t xml:space="preserve">property sales and taxable land values increased its GST share. These changes were </w:t>
      </w:r>
      <w:r>
        <w:rPr>
          <w:szCs w:val="24"/>
        </w:rPr>
        <w:t xml:space="preserve">more than </w:t>
      </w:r>
      <w:r w:rsidRPr="005F42A8">
        <w:rPr>
          <w:szCs w:val="24"/>
        </w:rPr>
        <w:t xml:space="preserve">offset by </w:t>
      </w:r>
      <w:r>
        <w:rPr>
          <w:szCs w:val="24"/>
        </w:rPr>
        <w:t>an increase in coal royalties, a greater share of</w:t>
      </w:r>
      <w:r w:rsidRPr="005F42A8">
        <w:rPr>
          <w:szCs w:val="24"/>
        </w:rPr>
        <w:t xml:space="preserve"> Commonwealth payments, and </w:t>
      </w:r>
      <w:r>
        <w:rPr>
          <w:szCs w:val="24"/>
        </w:rPr>
        <w:t>reduced</w:t>
      </w:r>
      <w:r w:rsidRPr="005F42A8">
        <w:rPr>
          <w:szCs w:val="24"/>
        </w:rPr>
        <w:t xml:space="preserve"> natural disaster relief expenses. </w:t>
      </w:r>
      <w:r w:rsidRPr="005F42A8">
        <w:t>Compared with 2018</w:t>
      </w:r>
      <w:r>
        <w:noBreakHyphen/>
      </w:r>
      <w:r w:rsidRPr="005F42A8">
        <w:t xml:space="preserve">19, the State’s GST share will fall from </w:t>
      </w:r>
      <w:r w:rsidRPr="005F42A8">
        <w:rPr>
          <w:szCs w:val="24"/>
        </w:rPr>
        <w:t xml:space="preserve">22.0% to 21.1%. </w:t>
      </w:r>
      <w:r w:rsidRPr="005F42A8">
        <w:t>Growth in the pool does not offset the impact of Queensland’s improved fiscal capacity, and its GST entitlement will fall slightly</w:t>
      </w:r>
      <w:r>
        <w:t>,</w:t>
      </w:r>
      <w:r w:rsidRPr="005F42A8">
        <w:t xml:space="preserve"> by </w:t>
      </w:r>
      <w:r w:rsidRPr="005F42A8">
        <w:rPr>
          <w:szCs w:val="24"/>
        </w:rPr>
        <w:t>$7</w:t>
      </w:r>
      <w:r>
        <w:rPr>
          <w:szCs w:val="24"/>
        </w:rPr>
        <w:t>2</w:t>
      </w:r>
      <w:r w:rsidRPr="005F42A8">
        <w:rPr>
          <w:szCs w:val="24"/>
        </w:rPr>
        <w:t> million, or 0.5%.</w:t>
      </w:r>
    </w:p>
    <w:p w:rsidR="00BB3126" w:rsidRPr="005F42A8" w:rsidRDefault="00BB3126" w:rsidP="00BB3126">
      <w:pPr>
        <w:rPr>
          <w:b/>
          <w:bCs/>
          <w:szCs w:val="20"/>
        </w:rPr>
      </w:pPr>
      <w:r w:rsidRPr="005F42A8">
        <w:br w:type="column"/>
      </w:r>
      <w:r w:rsidRPr="005F42A8">
        <w:rPr>
          <w:b/>
          <w:bCs/>
          <w:szCs w:val="20"/>
        </w:rPr>
        <w:t xml:space="preserve">Table </w:t>
      </w:r>
      <w:r w:rsidRPr="005F42A8">
        <w:rPr>
          <w:b/>
          <w:bCs/>
          <w:szCs w:val="20"/>
        </w:rPr>
        <w:fldChar w:fldCharType="begin"/>
      </w:r>
      <w:r w:rsidRPr="005F42A8">
        <w:rPr>
          <w:b/>
          <w:bCs/>
          <w:szCs w:val="20"/>
        </w:rPr>
        <w:instrText xml:space="preserve"> SEQ Table \* ARABIC </w:instrText>
      </w:r>
      <w:r w:rsidRPr="005F42A8">
        <w:rPr>
          <w:b/>
          <w:bCs/>
          <w:szCs w:val="20"/>
        </w:rPr>
        <w:fldChar w:fldCharType="separate"/>
      </w:r>
      <w:r w:rsidR="00E82224">
        <w:rPr>
          <w:b/>
          <w:bCs/>
          <w:noProof/>
          <w:szCs w:val="20"/>
        </w:rPr>
        <w:t>11</w:t>
      </w:r>
      <w:r w:rsidRPr="005F42A8">
        <w:rPr>
          <w:b/>
          <w:bCs/>
          <w:szCs w:val="20"/>
        </w:rPr>
        <w:fldChar w:fldCharType="end"/>
      </w:r>
      <w:r w:rsidRPr="005F42A8">
        <w:rPr>
          <w:b/>
          <w:bCs/>
          <w:szCs w:val="20"/>
        </w:rPr>
        <w:tab/>
        <w:t>Change in GST</w:t>
      </w:r>
    </w:p>
    <w:tbl>
      <w:tblPr>
        <w:tblW w:w="4240" w:type="dxa"/>
        <w:tblLayout w:type="fixed"/>
        <w:tblCellMar>
          <w:left w:w="0" w:type="dxa"/>
          <w:right w:w="0" w:type="dxa"/>
        </w:tblCellMar>
        <w:tblLook w:val="04A0" w:firstRow="1" w:lastRow="0" w:firstColumn="1" w:lastColumn="0" w:noHBand="0" w:noVBand="1"/>
      </w:tblPr>
      <w:tblGrid>
        <w:gridCol w:w="2700"/>
        <w:gridCol w:w="820"/>
        <w:gridCol w:w="720"/>
      </w:tblGrid>
      <w:tr w:rsidR="00BB3126" w:rsidRPr="00550305" w:rsidTr="00C7618F">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$pc</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Change due to:</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rPr>
                <w:rFonts w:ascii="Calibri" w:eastAsia="Times New Roman" w:hAnsi="Calibri" w:cs="Calibri"/>
                <w:sz w:val="20"/>
                <w:szCs w:val="20"/>
                <w:lang w:eastAsia="en-AU"/>
              </w:rPr>
            </w:pP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rPr>
                <w:rFonts w:ascii="Times New Roman" w:eastAsia="Times New Roman" w:hAnsi="Times New Roman" w:cs="Times New Roman"/>
                <w:sz w:val="20"/>
                <w:szCs w:val="20"/>
                <w:lang w:eastAsia="en-AU"/>
              </w:rPr>
            </w:pP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New population</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-11</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522</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102</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-583</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-114</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200" w:firstLine="400"/>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Data revisions</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-292</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-57</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200" w:firstLine="400"/>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-291</w:t>
            </w:r>
          </w:p>
        </w:tc>
        <w:tc>
          <w:tcPr>
            <w:tcW w:w="7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-57</w:t>
            </w:r>
          </w:p>
        </w:tc>
      </w:tr>
      <w:tr w:rsidR="00BB3126" w:rsidRPr="00550305" w:rsidTr="00C7618F">
        <w:trPr>
          <w:trHeight w:val="315"/>
        </w:trPr>
        <w:tc>
          <w:tcPr>
            <w:tcW w:w="270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-72</w:t>
            </w:r>
          </w:p>
        </w:tc>
        <w:tc>
          <w:tcPr>
            <w:tcW w:w="7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-14</w:t>
            </w:r>
          </w:p>
        </w:tc>
      </w:tr>
    </w:tbl>
    <w:p w:rsidR="00BB3126" w:rsidRPr="005F42A8" w:rsidRDefault="00BB3126" w:rsidP="00BB3126">
      <w:pPr>
        <w:pStyle w:val="CGCTableFootnote"/>
        <w:sectPr w:rsidR="00BB3126" w:rsidRPr="005F42A8" w:rsidSect="00C7618F">
          <w:type w:val="continuous"/>
          <w:pgSz w:w="11899" w:h="16838" w:code="9"/>
          <w:pgMar w:top="1440" w:right="1080" w:bottom="1440" w:left="1080" w:header="709" w:footer="709" w:gutter="0"/>
          <w:cols w:num="2" w:space="145" w:equalWidth="0">
            <w:col w:w="5500" w:space="145"/>
            <w:col w:w="4094"/>
          </w:cols>
          <w:titlePg/>
          <w:docGrid w:linePitch="326"/>
        </w:sectPr>
      </w:pPr>
      <w:r>
        <w:t>Note:</w:t>
      </w:r>
      <w:r>
        <w:tab/>
      </w:r>
      <w:r w:rsidRPr="005F42A8">
        <w:t>Table may not add due to rounding.</w:t>
      </w:r>
    </w:p>
    <w:p w:rsidR="00BB3126" w:rsidRPr="003D0597" w:rsidRDefault="00BB3126" w:rsidP="00BB3126">
      <w:pPr>
        <w:pStyle w:val="CGCTableHeading"/>
        <w:spacing w:after="80" w:line="320" w:lineRule="atLeast"/>
      </w:pPr>
      <w:r w:rsidRPr="003D0597">
        <w:t xml:space="preserve">Table </w:t>
      </w:r>
      <w:r>
        <w:rPr>
          <w:noProof/>
        </w:rPr>
        <w:fldChar w:fldCharType="begin"/>
      </w:r>
      <w:r>
        <w:rPr>
          <w:noProof/>
        </w:rPr>
        <w:instrText xml:space="preserve"> SEQ Table \* ARABIC </w:instrText>
      </w:r>
      <w:r>
        <w:rPr>
          <w:noProof/>
        </w:rPr>
        <w:fldChar w:fldCharType="separate"/>
      </w:r>
      <w:r w:rsidR="00E82224">
        <w:rPr>
          <w:noProof/>
        </w:rPr>
        <w:t>12</w:t>
      </w:r>
      <w:r>
        <w:rPr>
          <w:noProof/>
        </w:rPr>
        <w:fldChar w:fldCharType="end"/>
      </w:r>
      <w:r w:rsidRPr="003D0597">
        <w:tab/>
        <w:t>Main changes for Queensland</w:t>
      </w:r>
    </w:p>
    <w:tbl>
      <w:tblPr>
        <w:tblW w:w="9920" w:type="dxa"/>
        <w:tblLook w:val="04A0" w:firstRow="1" w:lastRow="0" w:firstColumn="1" w:lastColumn="0" w:noHBand="0" w:noVBand="1"/>
      </w:tblPr>
      <w:tblGrid>
        <w:gridCol w:w="620"/>
        <w:gridCol w:w="262"/>
        <w:gridCol w:w="9038"/>
      </w:tblGrid>
      <w:tr w:rsidR="00BB3126" w:rsidRPr="002A2F9E" w:rsidTr="00C7618F">
        <w:trPr>
          <w:trHeight w:val="375"/>
        </w:trPr>
        <w:tc>
          <w:tcPr>
            <w:tcW w:w="620" w:type="dxa"/>
            <w:tcBorders>
              <w:top w:val="single" w:sz="4" w:space="0" w:color="auto"/>
              <w:left w:val="nil"/>
              <w:bottom w:val="single" w:sz="4" w:space="0" w:color="auto"/>
              <w:right w:val="nil"/>
            </w:tcBorders>
            <w:shd w:val="clear" w:color="auto" w:fill="auto"/>
            <w:noWrap/>
            <w:vAlign w:val="center"/>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$m</w:t>
            </w:r>
          </w:p>
        </w:tc>
        <w:tc>
          <w:tcPr>
            <w:tcW w:w="262" w:type="dxa"/>
            <w:tcBorders>
              <w:top w:val="single" w:sz="4" w:space="0" w:color="auto"/>
              <w:left w:val="nil"/>
              <w:bottom w:val="single" w:sz="4" w:space="0" w:color="auto"/>
              <w:right w:val="nil"/>
            </w:tcBorders>
            <w:shd w:val="clear" w:color="auto" w:fill="auto"/>
            <w:noWrap/>
            <w:vAlign w:val="center"/>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 </w:t>
            </w:r>
          </w:p>
        </w:tc>
        <w:tc>
          <w:tcPr>
            <w:tcW w:w="9038" w:type="dxa"/>
            <w:tcBorders>
              <w:top w:val="single" w:sz="4" w:space="0" w:color="auto"/>
              <w:left w:val="nil"/>
              <w:bottom w:val="single" w:sz="4" w:space="0" w:color="auto"/>
              <w:right w:val="nil"/>
            </w:tcBorders>
            <w:shd w:val="clear" w:color="auto" w:fill="auto"/>
            <w:vAlign w:val="center"/>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Reason for change</w:t>
            </w:r>
          </w:p>
        </w:tc>
      </w:tr>
      <w:tr w:rsidR="00BB3126" w:rsidRPr="002A2F9E" w:rsidTr="00C7618F">
        <w:trPr>
          <w:trHeight w:val="555"/>
        </w:trPr>
        <w:tc>
          <w:tcPr>
            <w:tcW w:w="620"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-436</w:t>
            </w:r>
          </w:p>
        </w:tc>
        <w:tc>
          <w:tcPr>
            <w:tcW w:w="262"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 </w:t>
            </w:r>
          </w:p>
        </w:tc>
        <w:tc>
          <w:tcPr>
            <w:tcW w:w="9038" w:type="dxa"/>
            <w:tcBorders>
              <w:top w:val="nil"/>
              <w:left w:val="nil"/>
              <w:bottom w:val="nil"/>
              <w:right w:val="nil"/>
            </w:tcBorders>
            <w:shd w:val="clear" w:color="auto" w:fill="auto"/>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b/>
                <w:bCs/>
                <w:sz w:val="20"/>
                <w:szCs w:val="20"/>
                <w:lang w:eastAsia="en-AU"/>
              </w:rPr>
              <w:t xml:space="preserve">Mining production. </w:t>
            </w:r>
            <w:r>
              <w:rPr>
                <w:rFonts w:ascii="Calibri" w:eastAsia="Times New Roman" w:hAnsi="Calibri" w:cs="Calibri"/>
                <w:sz w:val="20"/>
                <w:szCs w:val="20"/>
                <w:lang w:eastAsia="en-AU"/>
              </w:rPr>
              <w:t>Queensland’s</w:t>
            </w:r>
            <w:r w:rsidRPr="002A2F9E">
              <w:rPr>
                <w:rFonts w:ascii="Calibri" w:eastAsia="Times New Roman" w:hAnsi="Calibri" w:cs="Calibri"/>
                <w:sz w:val="20"/>
                <w:szCs w:val="20"/>
                <w:lang w:eastAsia="en-AU"/>
              </w:rPr>
              <w:t xml:space="preserve"> value of coal production increased substantially between 2014-15 and 2017-18, which increased its revenue raising capacity and reduced its GST share.</w:t>
            </w:r>
          </w:p>
        </w:tc>
      </w:tr>
      <w:tr w:rsidR="00BB3126" w:rsidRPr="002A2F9E" w:rsidTr="00C7618F">
        <w:trPr>
          <w:trHeight w:val="795"/>
        </w:trPr>
        <w:tc>
          <w:tcPr>
            <w:tcW w:w="620"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-355</w:t>
            </w:r>
          </w:p>
        </w:tc>
        <w:tc>
          <w:tcPr>
            <w:tcW w:w="262"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b/>
                <w:bCs/>
                <w:sz w:val="20"/>
                <w:szCs w:val="20"/>
                <w:lang w:eastAsia="en-AU"/>
              </w:rPr>
              <w:t xml:space="preserve">Natural disaster relief. </w:t>
            </w:r>
            <w:r w:rsidRPr="002A2F9E">
              <w:rPr>
                <w:rFonts w:ascii="Calibri" w:eastAsia="Times New Roman" w:hAnsi="Calibri" w:cs="Calibri"/>
                <w:sz w:val="20"/>
                <w:szCs w:val="20"/>
                <w:lang w:eastAsia="en-AU"/>
              </w:rPr>
              <w:t>Queensland’s net natural disaster expenses were significantly lower in 2017-18 compared to 2014-15. In addition, a one-off correction to remove local government out of pocket costs reduced the GST share of States with an above average share of the correction, including Queensland.</w:t>
            </w:r>
          </w:p>
        </w:tc>
      </w:tr>
      <w:tr w:rsidR="00BB3126" w:rsidRPr="002A2F9E" w:rsidTr="00C7618F">
        <w:trPr>
          <w:trHeight w:val="555"/>
        </w:trPr>
        <w:tc>
          <w:tcPr>
            <w:tcW w:w="620"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200</w:t>
            </w:r>
          </w:p>
        </w:tc>
        <w:tc>
          <w:tcPr>
            <w:tcW w:w="262"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b/>
                <w:bCs/>
                <w:sz w:val="20"/>
                <w:szCs w:val="20"/>
                <w:lang w:eastAsia="en-AU"/>
              </w:rPr>
              <w:t>Property sales.</w:t>
            </w:r>
            <w:r w:rsidRPr="002A2F9E">
              <w:rPr>
                <w:rFonts w:ascii="Calibri" w:eastAsia="Times New Roman" w:hAnsi="Calibri" w:cs="Calibri"/>
                <w:sz w:val="20"/>
                <w:szCs w:val="20"/>
                <w:lang w:eastAsia="en-AU"/>
              </w:rPr>
              <w:t xml:space="preserve"> Slower than average growth in the value of property sales reduced Queensland's revenue raising capacity and increased its GST share. </w:t>
            </w:r>
          </w:p>
        </w:tc>
      </w:tr>
      <w:tr w:rsidR="00BB3126" w:rsidRPr="002A2F9E" w:rsidTr="00C7618F">
        <w:trPr>
          <w:trHeight w:val="555"/>
        </w:trPr>
        <w:tc>
          <w:tcPr>
            <w:tcW w:w="620"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-182</w:t>
            </w:r>
          </w:p>
        </w:tc>
        <w:tc>
          <w:tcPr>
            <w:tcW w:w="262"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b/>
                <w:bCs/>
                <w:sz w:val="20"/>
                <w:szCs w:val="20"/>
                <w:lang w:eastAsia="en-AU"/>
              </w:rPr>
              <w:t xml:space="preserve">Commonwealth payments. </w:t>
            </w:r>
            <w:r w:rsidRPr="002A2F9E">
              <w:rPr>
                <w:rFonts w:ascii="Calibri" w:eastAsia="Times New Roman" w:hAnsi="Calibri" w:cs="Calibri"/>
                <w:sz w:val="20"/>
                <w:szCs w:val="20"/>
                <w:lang w:eastAsia="en-AU"/>
              </w:rPr>
              <w:t xml:space="preserve">Queensland’s share of payments was </w:t>
            </w:r>
            <w:r>
              <w:rPr>
                <w:rFonts w:ascii="Calibri" w:eastAsia="Times New Roman" w:hAnsi="Calibri" w:cs="Calibri"/>
                <w:sz w:val="20"/>
                <w:szCs w:val="20"/>
                <w:lang w:eastAsia="en-AU"/>
              </w:rPr>
              <w:t>greater in 2017-18 than in 2014-</w:t>
            </w:r>
            <w:r w:rsidRPr="002A2F9E">
              <w:rPr>
                <w:rFonts w:ascii="Calibri" w:eastAsia="Times New Roman" w:hAnsi="Calibri" w:cs="Calibri"/>
                <w:sz w:val="20"/>
                <w:szCs w:val="20"/>
                <w:lang w:eastAsia="en-AU"/>
              </w:rPr>
              <w:t>15, mainly due to higher shares of payments for health and infrastructure. This reduced its GST share.</w:t>
            </w:r>
          </w:p>
        </w:tc>
      </w:tr>
      <w:tr w:rsidR="00BB3126" w:rsidRPr="002A2F9E" w:rsidTr="00C7618F">
        <w:trPr>
          <w:trHeight w:val="555"/>
        </w:trPr>
        <w:tc>
          <w:tcPr>
            <w:tcW w:w="620" w:type="dxa"/>
            <w:tcBorders>
              <w:top w:val="nil"/>
              <w:left w:val="nil"/>
              <w:bottom w:val="single" w:sz="4" w:space="0" w:color="auto"/>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87</w:t>
            </w:r>
          </w:p>
        </w:tc>
        <w:tc>
          <w:tcPr>
            <w:tcW w:w="262" w:type="dxa"/>
            <w:tcBorders>
              <w:top w:val="nil"/>
              <w:left w:val="nil"/>
              <w:bottom w:val="single" w:sz="4" w:space="0" w:color="auto"/>
              <w:right w:val="nil"/>
            </w:tcBorders>
            <w:shd w:val="clear" w:color="auto" w:fill="auto"/>
            <w:noWrap/>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 </w:t>
            </w:r>
          </w:p>
        </w:tc>
        <w:tc>
          <w:tcPr>
            <w:tcW w:w="9038" w:type="dxa"/>
            <w:tcBorders>
              <w:top w:val="nil"/>
              <w:left w:val="nil"/>
              <w:bottom w:val="single" w:sz="4" w:space="0" w:color="auto"/>
              <w:right w:val="nil"/>
            </w:tcBorders>
            <w:shd w:val="clear" w:color="auto" w:fill="auto"/>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b/>
                <w:bCs/>
                <w:sz w:val="20"/>
                <w:szCs w:val="20"/>
                <w:lang w:eastAsia="en-AU"/>
              </w:rPr>
              <w:t>Taxable land values.</w:t>
            </w:r>
            <w:r w:rsidRPr="002A2F9E">
              <w:rPr>
                <w:rFonts w:ascii="Calibri" w:eastAsia="Times New Roman" w:hAnsi="Calibri" w:cs="Calibri"/>
                <w:sz w:val="20"/>
                <w:szCs w:val="20"/>
                <w:lang w:eastAsia="en-AU"/>
              </w:rPr>
              <w:t xml:space="preserve"> Below average growth in taxable land values reduced Queensland's revenue raising capacity and increased its GST share. </w:t>
            </w:r>
          </w:p>
        </w:tc>
      </w:tr>
    </w:tbl>
    <w:p w:rsidR="00BB3126" w:rsidRPr="00001ED7" w:rsidRDefault="00BB3126" w:rsidP="00BB3126">
      <w:pPr>
        <w:rPr>
          <w:highlight w:val="yellow"/>
        </w:rPr>
        <w:sectPr w:rsidR="00BB3126" w:rsidRPr="00001ED7" w:rsidSect="00C7618F">
          <w:type w:val="continuous"/>
          <w:pgSz w:w="11899" w:h="16838" w:code="9"/>
          <w:pgMar w:top="1440" w:right="1080" w:bottom="1440" w:left="1080" w:header="709" w:footer="709" w:gutter="0"/>
          <w:cols w:space="1"/>
          <w:titlePg/>
          <w:docGrid w:linePitch="326"/>
        </w:sectPr>
      </w:pPr>
    </w:p>
    <w:p w:rsidR="00BB3126" w:rsidRDefault="00BB3126" w:rsidP="00BB3126">
      <w:pPr>
        <w:spacing w:before="200"/>
        <w:rPr>
          <w:noProof/>
          <w:lang w:eastAsia="en-AU"/>
        </w:rPr>
      </w:pPr>
      <w:r w:rsidRPr="008F6814">
        <w:rPr>
          <w:rStyle w:val="Heading6Char"/>
        </w:rPr>
        <w:t xml:space="preserve">Fiscal </w:t>
      </w:r>
      <w:r w:rsidRPr="005F42A8">
        <w:rPr>
          <w:rStyle w:val="Heading6Char"/>
        </w:rPr>
        <w:t>capacity.</w:t>
      </w:r>
      <w:r w:rsidRPr="005F42A8">
        <w:t xml:space="preserve"> Queensland’s below average fiscal capacity is due to </w:t>
      </w:r>
      <w:r>
        <w:t xml:space="preserve">an </w:t>
      </w:r>
      <w:r w:rsidRPr="005F42A8">
        <w:t>above average expense</w:t>
      </w:r>
      <w:r>
        <w:t xml:space="preserve"> requirement and below average revenue raising capacity. Its high expense requirement is due to </w:t>
      </w:r>
      <w:r w:rsidRPr="005F42A8">
        <w:t xml:space="preserve">above average shares of government school enrolments, Indigenous people and people living in remote areas. </w:t>
      </w:r>
      <w:r>
        <w:t xml:space="preserve">Its below average revenue raising capacity reflects </w:t>
      </w:r>
      <w:r w:rsidRPr="005F42A8">
        <w:t xml:space="preserve">its below average </w:t>
      </w:r>
      <w:r>
        <w:t xml:space="preserve">value of </w:t>
      </w:r>
      <w:r w:rsidRPr="005F42A8">
        <w:t>property sales, taxable payrolls and taxable land values.</w:t>
      </w:r>
    </w:p>
    <w:p w:rsidR="00BB3126" w:rsidRPr="005F42A8" w:rsidRDefault="00BB3126" w:rsidP="00BB3126">
      <w:pPr>
        <w:rPr>
          <w:noProof/>
          <w:lang w:eastAsia="en-AU"/>
        </w:rPr>
      </w:pPr>
      <w:r w:rsidRPr="005F42A8">
        <w:rPr>
          <w:noProof/>
          <w:lang w:eastAsia="en-AU"/>
        </w:rPr>
        <w:t>T</w:t>
      </w:r>
      <w:r>
        <w:t>ho</w:t>
      </w:r>
      <w:r w:rsidRPr="005F42A8">
        <w:t>s</w:t>
      </w:r>
      <w:r>
        <w:t>e effects on its fiscal capacity are</w:t>
      </w:r>
      <w:r w:rsidRPr="005F42A8">
        <w:t xml:space="preserve"> partly offset </w:t>
      </w:r>
      <w:r w:rsidRPr="00587A7C">
        <w:t>by its a</w:t>
      </w:r>
      <w:r>
        <w:t xml:space="preserve">bove average mining production </w:t>
      </w:r>
      <w:r w:rsidRPr="00587A7C">
        <w:t>and share of Commonwealth payments.</w:t>
      </w:r>
    </w:p>
    <w:p w:rsidR="00BB3126" w:rsidRPr="005F42A8" w:rsidRDefault="00BB3126" w:rsidP="00BB3126">
      <w:pPr>
        <w:rPr>
          <w:szCs w:val="24"/>
        </w:rPr>
      </w:pPr>
    </w:p>
    <w:p w:rsidR="00BB3126" w:rsidRPr="005F42A8" w:rsidRDefault="00BB3126" w:rsidP="00BB3126">
      <w:pPr>
        <w:pStyle w:val="CGCTableHeading"/>
        <w:keepNext w:val="0"/>
        <w:keepLines w:val="0"/>
        <w:spacing w:after="80" w:line="320" w:lineRule="atLeast"/>
        <w:ind w:left="0" w:firstLine="0"/>
      </w:pPr>
      <w:r w:rsidRPr="005F42A8">
        <w:rPr>
          <w:szCs w:val="24"/>
        </w:rPr>
        <w:br w:type="column"/>
      </w:r>
      <w:r w:rsidRPr="005F42A8">
        <w:t xml:space="preserve">Table </w:t>
      </w:r>
      <w:r>
        <w:rPr>
          <w:noProof/>
        </w:rPr>
        <w:fldChar w:fldCharType="begin"/>
      </w:r>
      <w:r>
        <w:rPr>
          <w:noProof/>
        </w:rPr>
        <w:instrText xml:space="preserve"> SEQ Table \* ARABIC </w:instrText>
      </w:r>
      <w:r>
        <w:rPr>
          <w:noProof/>
        </w:rPr>
        <w:fldChar w:fldCharType="separate"/>
      </w:r>
      <w:r w:rsidR="00E82224">
        <w:rPr>
          <w:noProof/>
        </w:rPr>
        <w:t>13</w:t>
      </w:r>
      <w:r>
        <w:rPr>
          <w:noProof/>
        </w:rPr>
        <w:fldChar w:fldCharType="end"/>
      </w:r>
      <w:r w:rsidRPr="005F42A8">
        <w:tab/>
      </w:r>
      <w:r w:rsidR="00800008">
        <w:t>Illustrative</w:t>
      </w:r>
      <w:r w:rsidR="00800008" w:rsidRPr="005F42A8">
        <w:t xml:space="preserve"> </w:t>
      </w:r>
      <w:r w:rsidRPr="005F42A8">
        <w:t>GST, 201</w:t>
      </w:r>
      <w:r>
        <w:t>9</w:t>
      </w:r>
      <w:r w:rsidRPr="005F42A8">
        <w:noBreakHyphen/>
      </w:r>
      <w:r>
        <w:t>20</w:t>
      </w:r>
    </w:p>
    <w:tbl>
      <w:tblPr>
        <w:tblW w:w="4240" w:type="dxa"/>
        <w:tblLayout w:type="fixed"/>
        <w:tblCellMar>
          <w:left w:w="0" w:type="dxa"/>
          <w:right w:w="0" w:type="dxa"/>
        </w:tblCellMar>
        <w:tblLook w:val="04A0" w:firstRow="1" w:lastRow="0" w:firstColumn="1" w:lastColumn="0" w:noHBand="0" w:noVBand="1"/>
      </w:tblPr>
      <w:tblGrid>
        <w:gridCol w:w="2700"/>
        <w:gridCol w:w="820"/>
        <w:gridCol w:w="720"/>
      </w:tblGrid>
      <w:tr w:rsidR="00BB3126" w:rsidRPr="00550305" w:rsidTr="00C7618F">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$pc</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13 792</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2 690</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xml:space="preserve"> </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xml:space="preserve"> </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Expenses</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1 406</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274</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Investment</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-455</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-89</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Net borrowing</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20</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4</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Revenue</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510</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99</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-714</w:t>
            </w:r>
          </w:p>
        </w:tc>
        <w:tc>
          <w:tcPr>
            <w:tcW w:w="7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-139</w:t>
            </w:r>
          </w:p>
        </w:tc>
      </w:tr>
      <w:tr w:rsidR="00BB3126" w:rsidRPr="00550305" w:rsidTr="00C7618F">
        <w:trPr>
          <w:trHeight w:val="315"/>
        </w:trPr>
        <w:tc>
          <w:tcPr>
            <w:tcW w:w="2700" w:type="dxa"/>
            <w:tcBorders>
              <w:top w:val="nil"/>
              <w:left w:val="nil"/>
              <w:bottom w:val="single" w:sz="4" w:space="0" w:color="auto"/>
              <w:right w:val="nil"/>
            </w:tcBorders>
            <w:shd w:val="clear" w:color="auto" w:fill="auto"/>
            <w:noWrap/>
            <w:vAlign w:val="bottom"/>
            <w:hideMark/>
          </w:tcPr>
          <w:p w:rsidR="00BB3126" w:rsidRPr="00550305" w:rsidRDefault="00F314F4" w:rsidP="00C7618F">
            <w:pPr>
              <w:keepNext/>
              <w:keepLines/>
              <w:tabs>
                <w:tab w:val="clear" w:pos="567"/>
              </w:tabs>
              <w:spacing w:after="0" w:line="240" w:lineRule="auto"/>
              <w:ind w:left="193" w:hanging="142"/>
              <w:rPr>
                <w:rFonts w:ascii="Calibri" w:eastAsia="Times New Roman" w:hAnsi="Calibri" w:cs="Calibri"/>
                <w:sz w:val="20"/>
                <w:szCs w:val="20"/>
                <w:lang w:eastAsia="en-AU"/>
              </w:rPr>
            </w:pPr>
            <w:r>
              <w:rPr>
                <w:rFonts w:ascii="Calibri" w:eastAsia="Times New Roman" w:hAnsi="Calibri" w:cs="Calibri"/>
                <w:sz w:val="20"/>
                <w:szCs w:val="20"/>
                <w:lang w:eastAsia="en-AU"/>
              </w:rPr>
              <w:t>Illustrative</w:t>
            </w:r>
            <w:r w:rsidRPr="00550305">
              <w:rPr>
                <w:rFonts w:ascii="Calibri" w:eastAsia="Times New Roman" w:hAnsi="Calibri" w:cs="Calibri"/>
                <w:sz w:val="20"/>
                <w:szCs w:val="20"/>
                <w:lang w:eastAsia="en-AU"/>
              </w:rPr>
              <w:t xml:space="preserve"> </w:t>
            </w:r>
            <w:r w:rsidR="00BB3126" w:rsidRPr="00550305">
              <w:rPr>
                <w:rFonts w:ascii="Calibri" w:eastAsia="Times New Roman" w:hAnsi="Calibri" w:cs="Calibri"/>
                <w:sz w:val="20"/>
                <w:szCs w:val="20"/>
                <w:lang w:eastAsia="en-AU"/>
              </w:rPr>
              <w:t>GST</w:t>
            </w:r>
          </w:p>
        </w:tc>
        <w:tc>
          <w:tcPr>
            <w:tcW w:w="8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14 558</w:t>
            </w:r>
          </w:p>
        </w:tc>
        <w:tc>
          <w:tcPr>
            <w:tcW w:w="7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2 839</w:t>
            </w:r>
          </w:p>
        </w:tc>
      </w:tr>
    </w:tbl>
    <w:p w:rsidR="00BB3126" w:rsidRPr="005F42A8" w:rsidRDefault="00BB3126" w:rsidP="00BB3126">
      <w:pPr>
        <w:pStyle w:val="CGCTableFootnote"/>
        <w:sectPr w:rsidR="00BB3126" w:rsidRPr="005F42A8" w:rsidSect="00C7618F">
          <w:type w:val="continuous"/>
          <w:pgSz w:w="11899" w:h="16838" w:code="9"/>
          <w:pgMar w:top="1440" w:right="1080" w:bottom="1440" w:left="1080" w:header="709" w:footer="709" w:gutter="0"/>
          <w:cols w:num="2" w:space="157" w:equalWidth="0">
            <w:col w:w="5500" w:space="157"/>
            <w:col w:w="4082"/>
          </w:cols>
          <w:titlePg/>
          <w:docGrid w:linePitch="326"/>
        </w:sectPr>
      </w:pPr>
      <w:r>
        <w:t>Note:</w:t>
      </w:r>
      <w:r>
        <w:tab/>
      </w:r>
      <w:r w:rsidRPr="005F42A8">
        <w:t>Table may not add due to rounding.</w:t>
      </w:r>
    </w:p>
    <w:p w:rsidR="00BB3126" w:rsidRPr="005F42A8" w:rsidRDefault="00BB3126" w:rsidP="00BB3126">
      <w:pPr>
        <w:pStyle w:val="Heading4"/>
        <w:spacing w:before="0"/>
        <w:sectPr w:rsidR="00BB3126" w:rsidRPr="005F42A8" w:rsidSect="00C7618F">
          <w:headerReference w:type="even" r:id="rId58"/>
          <w:headerReference w:type="default" r:id="rId59"/>
          <w:footerReference w:type="default" r:id="rId60"/>
          <w:headerReference w:type="first" r:id="rId61"/>
          <w:pgSz w:w="11899" w:h="16838" w:code="9"/>
          <w:pgMar w:top="1440" w:right="1080" w:bottom="1440" w:left="1080" w:header="709" w:footer="709" w:gutter="0"/>
          <w:cols w:space="708"/>
          <w:titlePg/>
          <w:docGrid w:linePitch="326"/>
        </w:sectPr>
      </w:pPr>
      <w:bookmarkStart w:id="358" w:name="_Toc442191911"/>
      <w:bookmarkStart w:id="359" w:name="_Toc442192163"/>
      <w:bookmarkStart w:id="360" w:name="_Toc442192228"/>
      <w:bookmarkStart w:id="361" w:name="_Toc442772814"/>
      <w:bookmarkStart w:id="362" w:name="_Toc442773041"/>
      <w:bookmarkStart w:id="363" w:name="_Toc442773213"/>
      <w:bookmarkStart w:id="364" w:name="_Toc442883278"/>
      <w:bookmarkStart w:id="365" w:name="_Toc474923746"/>
      <w:bookmarkStart w:id="366" w:name="_Toc505872172"/>
      <w:bookmarkStart w:id="367" w:name="_Toc536519623"/>
      <w:bookmarkStart w:id="368" w:name="_Toc536631333"/>
      <w:bookmarkStart w:id="369" w:name="_Toc536803166"/>
      <w:bookmarkStart w:id="370" w:name="_Toc536803254"/>
      <w:bookmarkStart w:id="371" w:name="_Toc1115134"/>
      <w:r w:rsidRPr="005F42A8">
        <w:lastRenderedPageBreak/>
        <w:t>Western Australia</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BB3126" w:rsidRDefault="00BB3126" w:rsidP="00BB3126">
      <w:r w:rsidRPr="005F42A8">
        <w:rPr>
          <w:rStyle w:val="Heading6Char"/>
        </w:rPr>
        <w:t xml:space="preserve">Changes in this update. </w:t>
      </w:r>
      <w:r w:rsidRPr="005F42A8">
        <w:rPr>
          <w:szCs w:val="24"/>
        </w:rPr>
        <w:t>Western Australia remains the State with the strongest fiscal capacity but</w:t>
      </w:r>
      <w:r w:rsidRPr="005F42A8">
        <w:t xml:space="preserve"> its fiscal capacity </w:t>
      </w:r>
      <w:r>
        <w:t>has weakened. As a result,</w:t>
      </w:r>
      <w:r w:rsidRPr="005F42A8">
        <w:t xml:space="preserve"> </w:t>
      </w:r>
      <w:r>
        <w:t xml:space="preserve">Western Australia’s </w:t>
      </w:r>
      <w:r w:rsidRPr="005F42A8">
        <w:t>share of GST revenue in 2019</w:t>
      </w:r>
      <w:r w:rsidRPr="005F42A8">
        <w:noBreakHyphen/>
        <w:t xml:space="preserve">20 </w:t>
      </w:r>
      <w:r>
        <w:t>will increase</w:t>
      </w:r>
      <w:r w:rsidRPr="005F42A8">
        <w:t xml:space="preserve"> from 4.9% to 5.4%. This is primarily </w:t>
      </w:r>
      <w:r w:rsidRPr="00EE40AA">
        <w:t xml:space="preserve">due to absolute falls in North West Shelf royalties, </w:t>
      </w:r>
      <w:r>
        <w:t xml:space="preserve">the value of </w:t>
      </w:r>
      <w:r w:rsidRPr="00EE40AA">
        <w:t>property sales, taxable</w:t>
      </w:r>
      <w:r w:rsidRPr="005F42A8">
        <w:t xml:space="preserve"> payrolls and taxable land values between 2014-15 and 2017-18. These changes </w:t>
      </w:r>
      <w:r>
        <w:t>were</w:t>
      </w:r>
      <w:r w:rsidRPr="005F42A8">
        <w:t xml:space="preserve"> offset </w:t>
      </w:r>
      <w:r>
        <w:t xml:space="preserve">in large part </w:t>
      </w:r>
      <w:r w:rsidRPr="005F42A8">
        <w:t xml:space="preserve">by a decrease in </w:t>
      </w:r>
      <w:r>
        <w:t xml:space="preserve">its assessed </w:t>
      </w:r>
      <w:r w:rsidRPr="005F42A8">
        <w:t xml:space="preserve">wage </w:t>
      </w:r>
      <w:r>
        <w:t>costs</w:t>
      </w:r>
      <w:r w:rsidRPr="005F42A8">
        <w:t>. Compared with 2018</w:t>
      </w:r>
      <w:r w:rsidRPr="005F42A8">
        <w:noBreakHyphen/>
        <w:t xml:space="preserve">19, its GST share </w:t>
      </w:r>
      <w:r w:rsidRPr="005F42A8">
        <w:rPr>
          <w:szCs w:val="24"/>
        </w:rPr>
        <w:t xml:space="preserve">will rise by </w:t>
      </w:r>
      <w:r w:rsidRPr="005F42A8">
        <w:t>$4</w:t>
      </w:r>
      <w:r>
        <w:t>23</w:t>
      </w:r>
      <w:r w:rsidRPr="005F42A8">
        <w:t xml:space="preserve"> million, or </w:t>
      </w:r>
      <w:r>
        <w:t>12.9</w:t>
      </w:r>
      <w:r w:rsidRPr="005F42A8">
        <w:t>%.</w:t>
      </w:r>
    </w:p>
    <w:p w:rsidR="00BB3126" w:rsidRPr="005F42A8" w:rsidRDefault="00BB3126" w:rsidP="00BB3126">
      <w:pPr>
        <w:rPr>
          <w:rStyle w:val="CGCTableHeadingChar"/>
        </w:rPr>
      </w:pPr>
      <w:r w:rsidRPr="005F42A8">
        <w:br w:type="column"/>
      </w:r>
      <w:r w:rsidRPr="005F42A8">
        <w:rPr>
          <w:rStyle w:val="CGCTableHeadingChar"/>
        </w:rPr>
        <w:t xml:space="preserve">Table </w:t>
      </w:r>
      <w:r w:rsidRPr="005F42A8">
        <w:rPr>
          <w:rStyle w:val="CGCTableHeadingChar"/>
        </w:rPr>
        <w:fldChar w:fldCharType="begin"/>
      </w:r>
      <w:r w:rsidRPr="005F42A8">
        <w:rPr>
          <w:rStyle w:val="CGCTableHeadingChar"/>
        </w:rPr>
        <w:instrText xml:space="preserve"> SEQ Table \* ARABIC </w:instrText>
      </w:r>
      <w:r w:rsidRPr="005F42A8">
        <w:rPr>
          <w:rStyle w:val="CGCTableHeadingChar"/>
        </w:rPr>
        <w:fldChar w:fldCharType="separate"/>
      </w:r>
      <w:r w:rsidR="00E82224">
        <w:rPr>
          <w:rStyle w:val="CGCTableHeadingChar"/>
          <w:noProof/>
        </w:rPr>
        <w:t>14</w:t>
      </w:r>
      <w:r w:rsidRPr="005F42A8">
        <w:rPr>
          <w:rStyle w:val="CGCTableHeadingChar"/>
        </w:rPr>
        <w:fldChar w:fldCharType="end"/>
      </w:r>
      <w:r w:rsidRPr="005F42A8">
        <w:rPr>
          <w:rStyle w:val="CGCTableHeadingChar"/>
        </w:rPr>
        <w:tab/>
        <w:t>Change in GST</w:t>
      </w:r>
    </w:p>
    <w:tbl>
      <w:tblPr>
        <w:tblW w:w="4260" w:type="dxa"/>
        <w:tblLayout w:type="fixed"/>
        <w:tblCellMar>
          <w:left w:w="0" w:type="dxa"/>
          <w:right w:w="0" w:type="dxa"/>
        </w:tblCellMar>
        <w:tblLook w:val="04A0" w:firstRow="1" w:lastRow="0" w:firstColumn="1" w:lastColumn="0" w:noHBand="0" w:noVBand="1"/>
      </w:tblPr>
      <w:tblGrid>
        <w:gridCol w:w="2700"/>
        <w:gridCol w:w="800"/>
        <w:gridCol w:w="760"/>
      </w:tblGrid>
      <w:tr w:rsidR="00BB3126" w:rsidRPr="00550305" w:rsidTr="00C7618F">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w:t>
            </w:r>
          </w:p>
        </w:tc>
        <w:tc>
          <w:tcPr>
            <w:tcW w:w="80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$m</w:t>
            </w:r>
          </w:p>
        </w:tc>
        <w:tc>
          <w:tcPr>
            <w:tcW w:w="76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$pc</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Change due to:</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rPr>
                <w:rFonts w:ascii="Calibri" w:eastAsia="Times New Roman" w:hAnsi="Calibri" w:cs="Calibri"/>
                <w:sz w:val="20"/>
                <w:szCs w:val="20"/>
                <w:lang w:eastAsia="en-AU"/>
              </w:rPr>
            </w:pP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rPr>
                <w:rFonts w:ascii="Times New Roman" w:eastAsia="Times New Roman" w:hAnsi="Times New Roman" w:cs="Times New Roman"/>
                <w:sz w:val="20"/>
                <w:szCs w:val="20"/>
                <w:lang w:eastAsia="en-AU"/>
              </w:rPr>
            </w:pP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New population</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-18</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-7</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Growth in GST available</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116</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44</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New relativities</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xml:space="preserve"> 324</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123</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200" w:firstLine="400"/>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Data revisions</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-4</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-1</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200" w:firstLine="400"/>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Change in circumstances</w:t>
            </w:r>
          </w:p>
        </w:tc>
        <w:tc>
          <w:tcPr>
            <w:tcW w:w="80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 xml:space="preserve"> 328</w:t>
            </w:r>
          </w:p>
        </w:tc>
        <w:tc>
          <w:tcPr>
            <w:tcW w:w="76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124</w:t>
            </w:r>
          </w:p>
        </w:tc>
      </w:tr>
      <w:tr w:rsidR="00BB3126" w:rsidRPr="00550305" w:rsidTr="00C7618F">
        <w:trPr>
          <w:trHeight w:val="315"/>
        </w:trPr>
        <w:tc>
          <w:tcPr>
            <w:tcW w:w="270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Total change</w:t>
            </w:r>
          </w:p>
        </w:tc>
        <w:tc>
          <w:tcPr>
            <w:tcW w:w="80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xml:space="preserve"> 423</w:t>
            </w:r>
          </w:p>
        </w:tc>
        <w:tc>
          <w:tcPr>
            <w:tcW w:w="76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160</w:t>
            </w:r>
          </w:p>
        </w:tc>
      </w:tr>
    </w:tbl>
    <w:p w:rsidR="00AD152A" w:rsidRDefault="00BB3126" w:rsidP="00AD152A">
      <w:pPr>
        <w:pStyle w:val="CGCTableFootnote"/>
      </w:pPr>
      <w:r>
        <w:t>Note:</w:t>
      </w:r>
      <w:r>
        <w:tab/>
      </w:r>
      <w:r w:rsidRPr="005F42A8">
        <w:t>Table may not add due to rounding.</w:t>
      </w:r>
    </w:p>
    <w:p w:rsidR="00AD4AD0" w:rsidRPr="00AD4AD0" w:rsidRDefault="00105FE8" w:rsidP="00105FE8">
      <w:pPr>
        <w:pStyle w:val="CGCTableFootnote"/>
        <w:sectPr w:rsidR="00AD4AD0" w:rsidRPr="00AD4AD0" w:rsidSect="00C7618F">
          <w:type w:val="continuous"/>
          <w:pgSz w:w="11899" w:h="16838" w:code="9"/>
          <w:pgMar w:top="1440" w:right="1080" w:bottom="1440" w:left="1080" w:header="709" w:footer="709" w:gutter="0"/>
          <w:cols w:num="2" w:space="145" w:equalWidth="0">
            <w:col w:w="5500" w:space="145"/>
            <w:col w:w="4094"/>
          </w:cols>
          <w:titlePg/>
          <w:docGrid w:linePitch="326"/>
          <w15:footnoteColumns w:val="1"/>
        </w:sectPr>
      </w:pPr>
      <w:r>
        <w:tab/>
        <w:t xml:space="preserve">The Commonwealth will be </w:t>
      </w:r>
      <w:r w:rsidRPr="00AD152A">
        <w:t>making supplementary payments to Western Australia to deliver an outcome equivalent to a relativity of 0.7</w:t>
      </w:r>
      <w:r>
        <w:t xml:space="preserve"> (see paragraph </w:t>
      </w:r>
      <w:r>
        <w:fldChar w:fldCharType="begin"/>
      </w:r>
      <w:r>
        <w:instrText xml:space="preserve"> PAGEREF _Ref879495 \h </w:instrText>
      </w:r>
      <w:r>
        <w:fldChar w:fldCharType="separate"/>
      </w:r>
      <w:r w:rsidR="00E82224">
        <w:rPr>
          <w:noProof/>
        </w:rPr>
        <w:t>2</w:t>
      </w:r>
      <w:r>
        <w:fldChar w:fldCharType="end"/>
      </w:r>
      <w:r>
        <w:t>).</w:t>
      </w:r>
    </w:p>
    <w:p w:rsidR="00BB3126" w:rsidRPr="005F42A8" w:rsidRDefault="00BB3126" w:rsidP="00BB3126">
      <w:pPr>
        <w:pStyle w:val="CGCTableHeading"/>
        <w:spacing w:after="80" w:line="320" w:lineRule="atLeast"/>
      </w:pPr>
      <w:r w:rsidRPr="005F42A8">
        <w:t xml:space="preserve">Table </w:t>
      </w:r>
      <w:r w:rsidRPr="005F42A8">
        <w:rPr>
          <w:noProof/>
        </w:rPr>
        <w:fldChar w:fldCharType="begin"/>
      </w:r>
      <w:r w:rsidRPr="005F42A8">
        <w:rPr>
          <w:noProof/>
        </w:rPr>
        <w:instrText xml:space="preserve"> SEQ Table \* ARABIC </w:instrText>
      </w:r>
      <w:r w:rsidRPr="005F42A8">
        <w:rPr>
          <w:noProof/>
        </w:rPr>
        <w:fldChar w:fldCharType="separate"/>
      </w:r>
      <w:r w:rsidR="00E82224">
        <w:rPr>
          <w:noProof/>
        </w:rPr>
        <w:t>15</w:t>
      </w:r>
      <w:r w:rsidRPr="005F42A8">
        <w:rPr>
          <w:noProof/>
        </w:rPr>
        <w:fldChar w:fldCharType="end"/>
      </w:r>
      <w:r w:rsidRPr="005F42A8">
        <w:tab/>
        <w:t>Main changes for Western Australia</w:t>
      </w:r>
    </w:p>
    <w:tbl>
      <w:tblPr>
        <w:tblW w:w="9920" w:type="dxa"/>
        <w:tblLook w:val="04A0" w:firstRow="1" w:lastRow="0" w:firstColumn="1" w:lastColumn="0" w:noHBand="0" w:noVBand="1"/>
      </w:tblPr>
      <w:tblGrid>
        <w:gridCol w:w="620"/>
        <w:gridCol w:w="262"/>
        <w:gridCol w:w="9038"/>
      </w:tblGrid>
      <w:tr w:rsidR="00BB3126" w:rsidRPr="002A2F9E" w:rsidTr="00C7618F">
        <w:trPr>
          <w:trHeight w:val="375"/>
        </w:trPr>
        <w:tc>
          <w:tcPr>
            <w:tcW w:w="620" w:type="dxa"/>
            <w:tcBorders>
              <w:top w:val="single" w:sz="4" w:space="0" w:color="auto"/>
              <w:left w:val="nil"/>
              <w:bottom w:val="single" w:sz="4" w:space="0" w:color="auto"/>
              <w:right w:val="nil"/>
            </w:tcBorders>
            <w:shd w:val="clear" w:color="auto" w:fill="auto"/>
            <w:noWrap/>
            <w:vAlign w:val="center"/>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$m</w:t>
            </w:r>
          </w:p>
        </w:tc>
        <w:tc>
          <w:tcPr>
            <w:tcW w:w="262" w:type="dxa"/>
            <w:tcBorders>
              <w:top w:val="single" w:sz="4" w:space="0" w:color="auto"/>
              <w:left w:val="nil"/>
              <w:bottom w:val="single" w:sz="4" w:space="0" w:color="auto"/>
              <w:right w:val="nil"/>
            </w:tcBorders>
            <w:shd w:val="clear" w:color="auto" w:fill="auto"/>
            <w:noWrap/>
            <w:vAlign w:val="center"/>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 </w:t>
            </w:r>
          </w:p>
        </w:tc>
        <w:tc>
          <w:tcPr>
            <w:tcW w:w="9038" w:type="dxa"/>
            <w:tcBorders>
              <w:top w:val="single" w:sz="4" w:space="0" w:color="auto"/>
              <w:left w:val="nil"/>
              <w:bottom w:val="single" w:sz="4" w:space="0" w:color="auto"/>
              <w:right w:val="nil"/>
            </w:tcBorders>
            <w:shd w:val="clear" w:color="auto" w:fill="auto"/>
            <w:vAlign w:val="center"/>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Reason for change</w:t>
            </w:r>
          </w:p>
        </w:tc>
      </w:tr>
      <w:tr w:rsidR="00BB3126" w:rsidRPr="002A2F9E" w:rsidTr="00C7618F">
        <w:trPr>
          <w:trHeight w:val="555"/>
        </w:trPr>
        <w:tc>
          <w:tcPr>
            <w:tcW w:w="620"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-363</w:t>
            </w:r>
          </w:p>
        </w:tc>
        <w:tc>
          <w:tcPr>
            <w:tcW w:w="262" w:type="dxa"/>
            <w:tcBorders>
              <w:top w:val="nil"/>
              <w:left w:val="nil"/>
              <w:bottom w:val="nil"/>
              <w:right w:val="nil"/>
            </w:tcBorders>
            <w:shd w:val="clear" w:color="auto" w:fill="auto"/>
            <w:noWrap/>
            <w:hideMark/>
          </w:tcPr>
          <w:p w:rsidR="00BB3126" w:rsidRPr="001C6838" w:rsidRDefault="00BB3126" w:rsidP="00C7618F">
            <w:pPr>
              <w:tabs>
                <w:tab w:val="clear" w:pos="567"/>
              </w:tabs>
              <w:spacing w:after="0" w:line="240" w:lineRule="auto"/>
              <w:rPr>
                <w:rFonts w:ascii="Calibri" w:eastAsia="Times New Roman" w:hAnsi="Calibri" w:cs="Calibri"/>
                <w:sz w:val="20"/>
                <w:szCs w:val="20"/>
                <w:lang w:eastAsia="en-AU"/>
              </w:rPr>
            </w:pPr>
            <w:r w:rsidRPr="001C6838">
              <w:rPr>
                <w:rFonts w:ascii="Calibri" w:eastAsia="Times New Roman" w:hAnsi="Calibri" w:cs="Calibri"/>
                <w:sz w:val="20"/>
                <w:szCs w:val="20"/>
                <w:lang w:eastAsia="en-AU"/>
              </w:rPr>
              <w:t> </w:t>
            </w:r>
          </w:p>
        </w:tc>
        <w:tc>
          <w:tcPr>
            <w:tcW w:w="9038" w:type="dxa"/>
            <w:tcBorders>
              <w:top w:val="nil"/>
              <w:left w:val="nil"/>
              <w:bottom w:val="nil"/>
              <w:right w:val="nil"/>
            </w:tcBorders>
            <w:shd w:val="clear" w:color="auto" w:fill="auto"/>
            <w:hideMark/>
          </w:tcPr>
          <w:p w:rsidR="00BB3126" w:rsidRPr="001C6838" w:rsidRDefault="00BB3126" w:rsidP="00CE2784">
            <w:pPr>
              <w:tabs>
                <w:tab w:val="clear" w:pos="567"/>
              </w:tabs>
              <w:spacing w:after="0" w:line="240" w:lineRule="auto"/>
              <w:rPr>
                <w:rFonts w:ascii="Calibri" w:eastAsia="Times New Roman" w:hAnsi="Calibri" w:cs="Calibri"/>
                <w:sz w:val="20"/>
                <w:szCs w:val="20"/>
                <w:lang w:eastAsia="en-AU"/>
              </w:rPr>
            </w:pPr>
            <w:r w:rsidRPr="001C6838">
              <w:rPr>
                <w:rFonts w:ascii="Calibri" w:eastAsia="Times New Roman" w:hAnsi="Calibri" w:cs="Calibri"/>
                <w:b/>
                <w:bCs/>
                <w:sz w:val="20"/>
                <w:szCs w:val="20"/>
                <w:lang w:eastAsia="en-AU"/>
              </w:rPr>
              <w:t xml:space="preserve">Wage costs. </w:t>
            </w:r>
            <w:r w:rsidR="00C5496E">
              <w:rPr>
                <w:rFonts w:ascii="Calibri" w:eastAsia="Times New Roman" w:hAnsi="Calibri" w:cs="Calibri"/>
                <w:bCs/>
                <w:sz w:val="20"/>
                <w:szCs w:val="20"/>
                <w:lang w:eastAsia="en-AU"/>
              </w:rPr>
              <w:t>Below average growth in wage levels</w:t>
            </w:r>
            <w:r w:rsidR="006B6C2F">
              <w:rPr>
                <w:rFonts w:ascii="Calibri" w:eastAsia="Times New Roman" w:hAnsi="Calibri" w:cs="Calibri"/>
                <w:b/>
                <w:bCs/>
                <w:sz w:val="20"/>
                <w:szCs w:val="20"/>
                <w:lang w:eastAsia="en-AU"/>
              </w:rPr>
              <w:t xml:space="preserve"> </w:t>
            </w:r>
            <w:r w:rsidRPr="001C6838">
              <w:rPr>
                <w:rFonts w:ascii="Calibri" w:eastAsia="Times New Roman" w:hAnsi="Calibri" w:cs="Calibri"/>
                <w:sz w:val="20"/>
                <w:szCs w:val="20"/>
                <w:lang w:eastAsia="en-AU"/>
              </w:rPr>
              <w:t>reduced Western Australia's assessed service delivery costs</w:t>
            </w:r>
            <w:r w:rsidR="00C5496E">
              <w:rPr>
                <w:rFonts w:ascii="Calibri" w:eastAsia="Times New Roman" w:hAnsi="Calibri" w:cs="Calibri"/>
                <w:sz w:val="20"/>
                <w:szCs w:val="20"/>
                <w:lang w:eastAsia="en-AU"/>
              </w:rPr>
              <w:t xml:space="preserve"> </w:t>
            </w:r>
            <w:r w:rsidRPr="001C6838">
              <w:rPr>
                <w:rFonts w:ascii="Calibri" w:eastAsia="Times New Roman" w:hAnsi="Calibri" w:cs="Calibri"/>
                <w:sz w:val="20"/>
                <w:szCs w:val="20"/>
                <w:lang w:eastAsia="en-AU"/>
              </w:rPr>
              <w:t>and its GST share.</w:t>
            </w:r>
          </w:p>
        </w:tc>
      </w:tr>
      <w:tr w:rsidR="00BB3126" w:rsidRPr="002A2F9E" w:rsidTr="00C7618F">
        <w:trPr>
          <w:trHeight w:val="555"/>
        </w:trPr>
        <w:tc>
          <w:tcPr>
            <w:tcW w:w="620"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233</w:t>
            </w:r>
          </w:p>
        </w:tc>
        <w:tc>
          <w:tcPr>
            <w:tcW w:w="262" w:type="dxa"/>
            <w:tcBorders>
              <w:top w:val="nil"/>
              <w:left w:val="nil"/>
              <w:bottom w:val="nil"/>
              <w:right w:val="nil"/>
            </w:tcBorders>
            <w:shd w:val="clear" w:color="auto" w:fill="auto"/>
            <w:noWrap/>
            <w:hideMark/>
          </w:tcPr>
          <w:p w:rsidR="00BB3126" w:rsidRPr="001C6838"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1C6838" w:rsidRDefault="00BB3126" w:rsidP="00C7618F">
            <w:pPr>
              <w:tabs>
                <w:tab w:val="clear" w:pos="567"/>
              </w:tabs>
              <w:spacing w:after="0" w:line="240" w:lineRule="auto"/>
              <w:rPr>
                <w:rFonts w:ascii="Calibri" w:eastAsia="Times New Roman" w:hAnsi="Calibri" w:cs="Calibri"/>
                <w:sz w:val="20"/>
                <w:szCs w:val="20"/>
                <w:lang w:eastAsia="en-AU"/>
              </w:rPr>
            </w:pPr>
            <w:r w:rsidRPr="001C6838">
              <w:rPr>
                <w:rFonts w:ascii="Calibri" w:eastAsia="Times New Roman" w:hAnsi="Calibri" w:cs="Calibri"/>
                <w:b/>
                <w:bCs/>
                <w:sz w:val="20"/>
                <w:szCs w:val="20"/>
                <w:lang w:eastAsia="en-AU"/>
              </w:rPr>
              <w:t>Property sales.</w:t>
            </w:r>
            <w:r w:rsidRPr="001C6838">
              <w:rPr>
                <w:rFonts w:ascii="Calibri" w:eastAsia="Times New Roman" w:hAnsi="Calibri" w:cs="Calibri"/>
                <w:sz w:val="20"/>
                <w:szCs w:val="20"/>
                <w:lang w:eastAsia="en-AU"/>
              </w:rPr>
              <w:t xml:space="preserve"> A fall in the value of property sales reduced Western Australia's revenue raising capacity and increased its GST share. </w:t>
            </w:r>
          </w:p>
        </w:tc>
      </w:tr>
      <w:tr w:rsidR="00BB3126" w:rsidRPr="002A2F9E" w:rsidTr="00C7618F">
        <w:trPr>
          <w:trHeight w:val="555"/>
        </w:trPr>
        <w:tc>
          <w:tcPr>
            <w:tcW w:w="620"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217</w:t>
            </w:r>
          </w:p>
        </w:tc>
        <w:tc>
          <w:tcPr>
            <w:tcW w:w="262" w:type="dxa"/>
            <w:tcBorders>
              <w:top w:val="nil"/>
              <w:left w:val="nil"/>
              <w:bottom w:val="nil"/>
              <w:right w:val="nil"/>
            </w:tcBorders>
            <w:shd w:val="clear" w:color="auto" w:fill="auto"/>
            <w:noWrap/>
            <w:hideMark/>
          </w:tcPr>
          <w:p w:rsidR="00BB3126" w:rsidRPr="001C6838"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1C6838" w:rsidRDefault="00BB3126" w:rsidP="00C7618F">
            <w:pPr>
              <w:tabs>
                <w:tab w:val="clear" w:pos="567"/>
              </w:tabs>
              <w:spacing w:after="0" w:line="240" w:lineRule="auto"/>
              <w:rPr>
                <w:rFonts w:ascii="Calibri" w:eastAsia="Times New Roman" w:hAnsi="Calibri" w:cs="Calibri"/>
                <w:sz w:val="20"/>
                <w:szCs w:val="20"/>
                <w:lang w:eastAsia="en-AU"/>
              </w:rPr>
            </w:pPr>
            <w:r w:rsidRPr="001C6838">
              <w:rPr>
                <w:rFonts w:ascii="Calibri" w:eastAsia="Times New Roman" w:hAnsi="Calibri" w:cs="Calibri"/>
                <w:b/>
                <w:bCs/>
                <w:sz w:val="20"/>
                <w:szCs w:val="20"/>
                <w:lang w:eastAsia="en-AU"/>
              </w:rPr>
              <w:t xml:space="preserve">Mining production. </w:t>
            </w:r>
            <w:r w:rsidRPr="001C6838">
              <w:rPr>
                <w:rFonts w:ascii="Calibri" w:eastAsia="Times New Roman" w:hAnsi="Calibri" w:cs="Calibri"/>
                <w:sz w:val="20"/>
                <w:szCs w:val="20"/>
                <w:lang w:eastAsia="en-AU"/>
              </w:rPr>
              <w:t>An increased value of coal production in other States combined with a reduction in its North West Shelf royalties reduced Western Australia's revenue raising capacity and increased its GST share.</w:t>
            </w:r>
          </w:p>
        </w:tc>
      </w:tr>
      <w:tr w:rsidR="00BB3126" w:rsidRPr="002A2F9E" w:rsidTr="00C7618F">
        <w:trPr>
          <w:trHeight w:val="510"/>
        </w:trPr>
        <w:tc>
          <w:tcPr>
            <w:tcW w:w="620"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154</w:t>
            </w:r>
          </w:p>
        </w:tc>
        <w:tc>
          <w:tcPr>
            <w:tcW w:w="262" w:type="dxa"/>
            <w:tcBorders>
              <w:top w:val="nil"/>
              <w:left w:val="nil"/>
              <w:bottom w:val="nil"/>
              <w:right w:val="nil"/>
            </w:tcBorders>
            <w:shd w:val="clear" w:color="auto" w:fill="auto"/>
            <w:noWrap/>
            <w:hideMark/>
          </w:tcPr>
          <w:p w:rsidR="00BB3126" w:rsidRPr="001C6838"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1C6838" w:rsidRDefault="00BB3126" w:rsidP="00C7618F">
            <w:pPr>
              <w:tabs>
                <w:tab w:val="clear" w:pos="567"/>
              </w:tabs>
              <w:spacing w:after="0" w:line="240" w:lineRule="auto"/>
              <w:rPr>
                <w:rFonts w:ascii="Calibri" w:eastAsia="Times New Roman" w:hAnsi="Calibri" w:cs="Calibri"/>
                <w:sz w:val="20"/>
                <w:szCs w:val="20"/>
                <w:lang w:eastAsia="en-AU"/>
              </w:rPr>
            </w:pPr>
            <w:r w:rsidRPr="001C6838">
              <w:rPr>
                <w:rFonts w:ascii="Calibri" w:eastAsia="Times New Roman" w:hAnsi="Calibri" w:cs="Calibri"/>
                <w:b/>
                <w:bCs/>
                <w:sz w:val="20"/>
                <w:szCs w:val="20"/>
                <w:lang w:eastAsia="en-AU"/>
              </w:rPr>
              <w:t>Taxable payrolls.</w:t>
            </w:r>
            <w:r w:rsidRPr="001C6838">
              <w:rPr>
                <w:rFonts w:ascii="Calibri" w:eastAsia="Times New Roman" w:hAnsi="Calibri" w:cs="Calibri"/>
                <w:sz w:val="20"/>
                <w:szCs w:val="20"/>
                <w:lang w:eastAsia="en-AU"/>
              </w:rPr>
              <w:t xml:space="preserve"> A fall in taxable payrolls between 2014-15 and 2017-18 reduced Western Australia's revenue raising capacity and increased its GST share.</w:t>
            </w:r>
          </w:p>
        </w:tc>
      </w:tr>
      <w:tr w:rsidR="00BB3126" w:rsidRPr="002A2F9E" w:rsidTr="00C7618F">
        <w:trPr>
          <w:trHeight w:val="555"/>
        </w:trPr>
        <w:tc>
          <w:tcPr>
            <w:tcW w:w="620" w:type="dxa"/>
            <w:tcBorders>
              <w:top w:val="nil"/>
              <w:left w:val="nil"/>
              <w:bottom w:val="single" w:sz="4" w:space="0" w:color="auto"/>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127</w:t>
            </w:r>
          </w:p>
        </w:tc>
        <w:tc>
          <w:tcPr>
            <w:tcW w:w="262" w:type="dxa"/>
            <w:tcBorders>
              <w:top w:val="nil"/>
              <w:left w:val="nil"/>
              <w:bottom w:val="single" w:sz="4" w:space="0" w:color="auto"/>
              <w:right w:val="nil"/>
            </w:tcBorders>
            <w:shd w:val="clear" w:color="auto" w:fill="auto"/>
            <w:noWrap/>
            <w:hideMark/>
          </w:tcPr>
          <w:p w:rsidR="00BB3126" w:rsidRPr="001C6838" w:rsidRDefault="00BB3126" w:rsidP="00C7618F">
            <w:pPr>
              <w:tabs>
                <w:tab w:val="clear" w:pos="567"/>
              </w:tabs>
              <w:spacing w:after="0" w:line="240" w:lineRule="auto"/>
              <w:rPr>
                <w:rFonts w:ascii="Calibri" w:eastAsia="Times New Roman" w:hAnsi="Calibri" w:cs="Calibri"/>
                <w:sz w:val="20"/>
                <w:szCs w:val="20"/>
                <w:lang w:eastAsia="en-AU"/>
              </w:rPr>
            </w:pPr>
            <w:r w:rsidRPr="001C6838">
              <w:rPr>
                <w:rFonts w:ascii="Calibri" w:eastAsia="Times New Roman" w:hAnsi="Calibri" w:cs="Calibri"/>
                <w:sz w:val="20"/>
                <w:szCs w:val="20"/>
                <w:lang w:eastAsia="en-AU"/>
              </w:rPr>
              <w:t> </w:t>
            </w:r>
          </w:p>
        </w:tc>
        <w:tc>
          <w:tcPr>
            <w:tcW w:w="9038" w:type="dxa"/>
            <w:tcBorders>
              <w:top w:val="nil"/>
              <w:left w:val="nil"/>
              <w:bottom w:val="single" w:sz="4" w:space="0" w:color="auto"/>
              <w:right w:val="nil"/>
            </w:tcBorders>
            <w:shd w:val="clear" w:color="auto" w:fill="auto"/>
            <w:hideMark/>
          </w:tcPr>
          <w:p w:rsidR="00BB3126" w:rsidRPr="001C6838" w:rsidRDefault="00BB3126" w:rsidP="00C7618F">
            <w:pPr>
              <w:tabs>
                <w:tab w:val="clear" w:pos="567"/>
              </w:tabs>
              <w:spacing w:after="0" w:line="240" w:lineRule="auto"/>
              <w:rPr>
                <w:rFonts w:ascii="Calibri" w:eastAsia="Times New Roman" w:hAnsi="Calibri" w:cs="Calibri"/>
                <w:sz w:val="20"/>
                <w:szCs w:val="20"/>
                <w:lang w:eastAsia="en-AU"/>
              </w:rPr>
            </w:pPr>
            <w:r w:rsidRPr="001C6838">
              <w:rPr>
                <w:rFonts w:ascii="Calibri" w:eastAsia="Times New Roman" w:hAnsi="Calibri" w:cs="Calibri"/>
                <w:b/>
                <w:bCs/>
                <w:sz w:val="20"/>
                <w:szCs w:val="20"/>
                <w:lang w:eastAsia="en-AU"/>
              </w:rPr>
              <w:t>Taxable land values.</w:t>
            </w:r>
            <w:r w:rsidRPr="001C6838">
              <w:rPr>
                <w:rFonts w:ascii="Calibri" w:eastAsia="Times New Roman" w:hAnsi="Calibri" w:cs="Calibri"/>
                <w:sz w:val="20"/>
                <w:szCs w:val="20"/>
                <w:lang w:eastAsia="en-AU"/>
              </w:rPr>
              <w:t xml:space="preserve"> A fall in land values reduced Western Australia's revenue raising capacity and increased its GST share. </w:t>
            </w:r>
          </w:p>
        </w:tc>
      </w:tr>
    </w:tbl>
    <w:p w:rsidR="00BB3126" w:rsidRPr="005F42A8" w:rsidRDefault="00BB3126" w:rsidP="00BB3126">
      <w:pPr>
        <w:sectPr w:rsidR="00BB3126" w:rsidRPr="005F42A8" w:rsidSect="00C7618F">
          <w:type w:val="continuous"/>
          <w:pgSz w:w="11899" w:h="16838" w:code="9"/>
          <w:pgMar w:top="1440" w:right="1080" w:bottom="1440" w:left="1080" w:header="709" w:footer="709" w:gutter="0"/>
          <w:cols w:space="1"/>
          <w:titlePg/>
          <w:docGrid w:linePitch="326"/>
        </w:sectPr>
      </w:pPr>
    </w:p>
    <w:p w:rsidR="00BB3126" w:rsidRPr="005F42A8" w:rsidRDefault="00BB3126" w:rsidP="00BB3126">
      <w:pPr>
        <w:spacing w:before="240"/>
      </w:pPr>
      <w:r w:rsidRPr="005F42A8">
        <w:rPr>
          <w:rStyle w:val="Heading6Char"/>
        </w:rPr>
        <w:t>Fiscal capacity.</w:t>
      </w:r>
      <w:r w:rsidRPr="005F42A8">
        <w:t xml:space="preserve"> Western Australia’s high fiscal capacity is due to above average capacity in all revenue streams except stamp duty and insurance tax. It has especially high capacity in mining revenue and, to a lesser extent, taxable payrolls. The effects on its fiscal capacity are partly offset by its having the third highest assessed expenses per capita.</w:t>
      </w:r>
    </w:p>
    <w:p w:rsidR="00BB3126" w:rsidRPr="005F42A8" w:rsidRDefault="00BB3126" w:rsidP="00BB3126">
      <w:pPr>
        <w:rPr>
          <w:szCs w:val="24"/>
        </w:rPr>
      </w:pPr>
      <w:r>
        <w:t>Its high expense requirement</w:t>
      </w:r>
      <w:r w:rsidRPr="005F42A8">
        <w:t xml:space="preserve"> </w:t>
      </w:r>
      <w:r>
        <w:t>is</w:t>
      </w:r>
      <w:r w:rsidRPr="005F42A8">
        <w:t xml:space="preserve"> due to above average shares of Indigenous people and people in remote areas. Below average non</w:t>
      </w:r>
      <w:r w:rsidRPr="005F42A8">
        <w:noBreakHyphen/>
        <w:t xml:space="preserve">State provision of health services also contribute to its relatively high </w:t>
      </w:r>
      <w:r>
        <w:t>expense requirement</w:t>
      </w:r>
      <w:r w:rsidRPr="005F42A8">
        <w:t>.</w:t>
      </w:r>
    </w:p>
    <w:p w:rsidR="00BB3126" w:rsidRPr="005F42A8" w:rsidRDefault="00BB3126" w:rsidP="00BB3126">
      <w:pPr>
        <w:pStyle w:val="CGCTableHeading"/>
        <w:spacing w:after="80" w:line="320" w:lineRule="atLeast"/>
      </w:pPr>
      <w:r w:rsidRPr="005F42A8">
        <w:rPr>
          <w:szCs w:val="24"/>
        </w:rPr>
        <w:br w:type="column"/>
      </w:r>
      <w:r w:rsidRPr="005F42A8">
        <w:t xml:space="preserve">Table </w:t>
      </w:r>
      <w:r>
        <w:rPr>
          <w:noProof/>
        </w:rPr>
        <w:fldChar w:fldCharType="begin"/>
      </w:r>
      <w:r>
        <w:rPr>
          <w:noProof/>
        </w:rPr>
        <w:instrText xml:space="preserve"> SEQ Table \* ARABIC </w:instrText>
      </w:r>
      <w:r>
        <w:rPr>
          <w:noProof/>
        </w:rPr>
        <w:fldChar w:fldCharType="separate"/>
      </w:r>
      <w:r w:rsidR="00E82224">
        <w:rPr>
          <w:noProof/>
        </w:rPr>
        <w:t>16</w:t>
      </w:r>
      <w:r>
        <w:rPr>
          <w:noProof/>
        </w:rPr>
        <w:fldChar w:fldCharType="end"/>
      </w:r>
      <w:r w:rsidRPr="005F42A8">
        <w:tab/>
      </w:r>
      <w:r w:rsidR="00800008">
        <w:t>Illustrative</w:t>
      </w:r>
      <w:r w:rsidR="00800008" w:rsidRPr="005F42A8">
        <w:t xml:space="preserve"> </w:t>
      </w:r>
      <w:r w:rsidRPr="005F42A8">
        <w:t>GST, 201</w:t>
      </w:r>
      <w:r>
        <w:t>9</w:t>
      </w:r>
      <w:r w:rsidRPr="005F42A8">
        <w:noBreakHyphen/>
      </w:r>
      <w:r>
        <w:t>20</w:t>
      </w:r>
    </w:p>
    <w:tbl>
      <w:tblPr>
        <w:tblW w:w="4260" w:type="dxa"/>
        <w:tblLayout w:type="fixed"/>
        <w:tblCellMar>
          <w:left w:w="0" w:type="dxa"/>
          <w:right w:w="0" w:type="dxa"/>
        </w:tblCellMar>
        <w:tblLook w:val="04A0" w:firstRow="1" w:lastRow="0" w:firstColumn="1" w:lastColumn="0" w:noHBand="0" w:noVBand="1"/>
      </w:tblPr>
      <w:tblGrid>
        <w:gridCol w:w="2700"/>
        <w:gridCol w:w="800"/>
        <w:gridCol w:w="760"/>
      </w:tblGrid>
      <w:tr w:rsidR="00BB3126" w:rsidRPr="00550305" w:rsidTr="00C7618F">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w:t>
            </w:r>
          </w:p>
        </w:tc>
        <w:tc>
          <w:tcPr>
            <w:tcW w:w="80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$m</w:t>
            </w:r>
          </w:p>
        </w:tc>
        <w:tc>
          <w:tcPr>
            <w:tcW w:w="76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$pc</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Equal per capita share</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7 113</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2 690</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Effect of assessed:</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xml:space="preserve"> </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xml:space="preserve"> </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Expenses</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1 994</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754</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Investment</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-529</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-200</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Net borrowing</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77</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29</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Revenue</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-4 972</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-1 880</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Commonwealth payments</w:t>
            </w:r>
          </w:p>
        </w:tc>
        <w:tc>
          <w:tcPr>
            <w:tcW w:w="80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12</w:t>
            </w:r>
          </w:p>
        </w:tc>
        <w:tc>
          <w:tcPr>
            <w:tcW w:w="76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5</w:t>
            </w:r>
          </w:p>
        </w:tc>
      </w:tr>
      <w:tr w:rsidR="00BB3126" w:rsidRPr="00550305" w:rsidTr="00C7618F">
        <w:trPr>
          <w:trHeight w:val="315"/>
        </w:trPr>
        <w:tc>
          <w:tcPr>
            <w:tcW w:w="2700" w:type="dxa"/>
            <w:tcBorders>
              <w:top w:val="nil"/>
              <w:left w:val="nil"/>
              <w:bottom w:val="single" w:sz="4" w:space="0" w:color="auto"/>
              <w:right w:val="nil"/>
            </w:tcBorders>
            <w:shd w:val="clear" w:color="auto" w:fill="auto"/>
            <w:noWrap/>
            <w:vAlign w:val="bottom"/>
            <w:hideMark/>
          </w:tcPr>
          <w:p w:rsidR="00BB3126" w:rsidRPr="00550305" w:rsidRDefault="001F3A9A" w:rsidP="00C7618F">
            <w:pPr>
              <w:keepNext/>
              <w:keepLines/>
              <w:tabs>
                <w:tab w:val="clear" w:pos="567"/>
              </w:tabs>
              <w:spacing w:after="0" w:line="240" w:lineRule="auto"/>
              <w:ind w:left="193" w:hanging="142"/>
              <w:rPr>
                <w:rFonts w:ascii="Calibri" w:eastAsia="Times New Roman" w:hAnsi="Calibri" w:cs="Calibri"/>
                <w:sz w:val="20"/>
                <w:szCs w:val="20"/>
                <w:lang w:eastAsia="en-AU"/>
              </w:rPr>
            </w:pPr>
            <w:r>
              <w:rPr>
                <w:rFonts w:ascii="Calibri" w:eastAsia="Times New Roman" w:hAnsi="Calibri" w:cs="Calibri"/>
                <w:sz w:val="20"/>
                <w:szCs w:val="20"/>
                <w:lang w:eastAsia="en-AU"/>
              </w:rPr>
              <w:t>Illustrative</w:t>
            </w:r>
            <w:r w:rsidRPr="00550305">
              <w:rPr>
                <w:rFonts w:ascii="Calibri" w:eastAsia="Times New Roman" w:hAnsi="Calibri" w:cs="Calibri"/>
                <w:sz w:val="20"/>
                <w:szCs w:val="20"/>
                <w:lang w:eastAsia="en-AU"/>
              </w:rPr>
              <w:t xml:space="preserve"> </w:t>
            </w:r>
            <w:r w:rsidR="00BB3126" w:rsidRPr="00550305">
              <w:rPr>
                <w:rFonts w:ascii="Calibri" w:eastAsia="Times New Roman" w:hAnsi="Calibri" w:cs="Calibri"/>
                <w:sz w:val="20"/>
                <w:szCs w:val="20"/>
                <w:lang w:eastAsia="en-AU"/>
              </w:rPr>
              <w:t>GST</w:t>
            </w:r>
          </w:p>
        </w:tc>
        <w:tc>
          <w:tcPr>
            <w:tcW w:w="80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3 694</w:t>
            </w:r>
          </w:p>
        </w:tc>
        <w:tc>
          <w:tcPr>
            <w:tcW w:w="76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1 397</w:t>
            </w:r>
          </w:p>
        </w:tc>
      </w:tr>
    </w:tbl>
    <w:p w:rsidR="00BB3126" w:rsidRPr="005F42A8" w:rsidRDefault="00BB3126" w:rsidP="00BB3126">
      <w:pPr>
        <w:pStyle w:val="CGCTableFootnote"/>
        <w:sectPr w:rsidR="00BB3126" w:rsidRPr="005F42A8" w:rsidSect="00C7618F">
          <w:type w:val="continuous"/>
          <w:pgSz w:w="11899" w:h="16838" w:code="9"/>
          <w:pgMar w:top="1440" w:right="1077" w:bottom="1440" w:left="1077" w:header="709" w:footer="709" w:gutter="0"/>
          <w:cols w:num="2" w:space="157" w:equalWidth="0">
            <w:col w:w="5503" w:space="157"/>
            <w:col w:w="4085"/>
          </w:cols>
          <w:titlePg/>
          <w:docGrid w:linePitch="326"/>
        </w:sectPr>
      </w:pPr>
      <w:r>
        <w:t>Note:</w:t>
      </w:r>
      <w:r>
        <w:tab/>
      </w:r>
      <w:r w:rsidRPr="005F42A8">
        <w:t>Table may not add due to rounding.</w:t>
      </w:r>
    </w:p>
    <w:p w:rsidR="00BB3126" w:rsidRPr="005F42A8" w:rsidRDefault="00BB3126" w:rsidP="00BB3126">
      <w:pPr>
        <w:pStyle w:val="Heading4"/>
        <w:spacing w:before="0"/>
        <w:sectPr w:rsidR="00BB3126" w:rsidRPr="005F42A8" w:rsidSect="00C7618F">
          <w:headerReference w:type="even" r:id="rId62"/>
          <w:headerReference w:type="default" r:id="rId63"/>
          <w:footerReference w:type="default" r:id="rId64"/>
          <w:headerReference w:type="first" r:id="rId65"/>
          <w:pgSz w:w="11899" w:h="16838" w:code="9"/>
          <w:pgMar w:top="1440" w:right="1080" w:bottom="1440" w:left="1080" w:header="709" w:footer="709" w:gutter="0"/>
          <w:cols w:space="708"/>
          <w:titlePg/>
          <w:docGrid w:linePitch="326"/>
        </w:sectPr>
      </w:pPr>
      <w:bookmarkStart w:id="372" w:name="_Toc442191912"/>
      <w:bookmarkStart w:id="373" w:name="_Toc442192164"/>
      <w:bookmarkStart w:id="374" w:name="_Toc442192229"/>
      <w:bookmarkStart w:id="375" w:name="_Toc442772815"/>
      <w:bookmarkStart w:id="376" w:name="_Toc442773042"/>
      <w:bookmarkStart w:id="377" w:name="_Toc442773214"/>
      <w:bookmarkStart w:id="378" w:name="_Toc442883279"/>
      <w:bookmarkStart w:id="379" w:name="_Toc474923747"/>
      <w:bookmarkStart w:id="380" w:name="_Toc505872173"/>
      <w:bookmarkStart w:id="381" w:name="_Toc536519624"/>
      <w:bookmarkStart w:id="382" w:name="_Toc536631334"/>
      <w:bookmarkStart w:id="383" w:name="_Toc536803167"/>
      <w:bookmarkStart w:id="384" w:name="_Toc536803255"/>
      <w:bookmarkStart w:id="385" w:name="_Toc1115135"/>
      <w:r w:rsidRPr="005F42A8">
        <w:lastRenderedPageBreak/>
        <w:t>South Australia</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rsidR="00BB3126" w:rsidRDefault="00BB3126" w:rsidP="00BB3126">
      <w:pPr>
        <w:rPr>
          <w:szCs w:val="24"/>
        </w:rPr>
      </w:pPr>
      <w:r w:rsidRPr="005F42A8">
        <w:rPr>
          <w:rStyle w:val="Heading6Char"/>
        </w:rPr>
        <w:t xml:space="preserve">Changes in this update. </w:t>
      </w:r>
      <w:r w:rsidRPr="005F42A8">
        <w:rPr>
          <w:szCs w:val="24"/>
        </w:rPr>
        <w:t>South Australia’s fiscal capacity</w:t>
      </w:r>
      <w:r>
        <w:rPr>
          <w:szCs w:val="24"/>
        </w:rPr>
        <w:t>, which</w:t>
      </w:r>
      <w:r w:rsidRPr="005F42A8">
        <w:rPr>
          <w:szCs w:val="24"/>
        </w:rPr>
        <w:t xml:space="preserve"> remains the third lowest, </w:t>
      </w:r>
      <w:r>
        <w:rPr>
          <w:szCs w:val="24"/>
        </w:rPr>
        <w:t>has</w:t>
      </w:r>
      <w:r w:rsidRPr="005F42A8">
        <w:rPr>
          <w:szCs w:val="24"/>
        </w:rPr>
        <w:t xml:space="preserve"> </w:t>
      </w:r>
      <w:r>
        <w:rPr>
          <w:szCs w:val="24"/>
        </w:rPr>
        <w:t>strengthened</w:t>
      </w:r>
      <w:r w:rsidRPr="005F42A8">
        <w:rPr>
          <w:szCs w:val="24"/>
        </w:rPr>
        <w:t xml:space="preserve"> slightly due to an increase in its </w:t>
      </w:r>
      <w:r>
        <w:rPr>
          <w:szCs w:val="24"/>
        </w:rPr>
        <w:t xml:space="preserve">share of </w:t>
      </w:r>
      <w:r w:rsidRPr="005F42A8">
        <w:rPr>
          <w:szCs w:val="24"/>
        </w:rPr>
        <w:t>Commonwealth payments</w:t>
      </w:r>
      <w:r>
        <w:rPr>
          <w:szCs w:val="24"/>
        </w:rPr>
        <w:t xml:space="preserve"> and a</w:t>
      </w:r>
      <w:r w:rsidRPr="005F42A8">
        <w:rPr>
          <w:szCs w:val="24"/>
        </w:rPr>
        <w:t xml:space="preserve"> </w:t>
      </w:r>
      <w:r>
        <w:rPr>
          <w:szCs w:val="24"/>
        </w:rPr>
        <w:t>lower infrastructure requirement</w:t>
      </w:r>
      <w:r w:rsidRPr="005F42A8">
        <w:rPr>
          <w:szCs w:val="24"/>
        </w:rPr>
        <w:t xml:space="preserve">. These changes are partially offset by a decline in its </w:t>
      </w:r>
      <w:r>
        <w:rPr>
          <w:szCs w:val="24"/>
        </w:rPr>
        <w:t xml:space="preserve">share of </w:t>
      </w:r>
      <w:r w:rsidRPr="005F42A8">
        <w:rPr>
          <w:szCs w:val="24"/>
        </w:rPr>
        <w:t xml:space="preserve">mining production and </w:t>
      </w:r>
      <w:r>
        <w:rPr>
          <w:szCs w:val="24"/>
        </w:rPr>
        <w:t xml:space="preserve">below average growth in </w:t>
      </w:r>
      <w:r w:rsidRPr="005F42A8">
        <w:rPr>
          <w:szCs w:val="24"/>
        </w:rPr>
        <w:t xml:space="preserve">taxable land values. </w:t>
      </w:r>
      <w:r w:rsidRPr="005F42A8">
        <w:t xml:space="preserve">Compared with 2018-19, the State’s share of GST will decrease slightly </w:t>
      </w:r>
      <w:r w:rsidRPr="005F42A8">
        <w:rPr>
          <w:szCs w:val="24"/>
        </w:rPr>
        <w:t>from 10.2% to 10.1%, but combined with pool growth, its GST entitlement will rise by $131 million, or 1.9%.</w:t>
      </w:r>
    </w:p>
    <w:p w:rsidR="00BB3126" w:rsidRPr="005F42A8" w:rsidRDefault="00BB3126" w:rsidP="00BB3126">
      <w:pPr>
        <w:rPr>
          <w:rStyle w:val="CGCTableHeadingChar"/>
        </w:rPr>
      </w:pPr>
      <w:r w:rsidRPr="005F42A8">
        <w:br w:type="column"/>
      </w:r>
      <w:r w:rsidRPr="005F42A8">
        <w:rPr>
          <w:rStyle w:val="CGCTableHeadingChar"/>
        </w:rPr>
        <w:t xml:space="preserve">Table </w:t>
      </w:r>
      <w:r w:rsidRPr="005F42A8">
        <w:rPr>
          <w:rStyle w:val="CGCTableHeadingChar"/>
        </w:rPr>
        <w:fldChar w:fldCharType="begin"/>
      </w:r>
      <w:r w:rsidRPr="005F42A8">
        <w:rPr>
          <w:rStyle w:val="CGCTableHeadingChar"/>
        </w:rPr>
        <w:instrText xml:space="preserve"> SEQ Table \* ARABIC </w:instrText>
      </w:r>
      <w:r w:rsidRPr="005F42A8">
        <w:rPr>
          <w:rStyle w:val="CGCTableHeadingChar"/>
        </w:rPr>
        <w:fldChar w:fldCharType="separate"/>
      </w:r>
      <w:r w:rsidR="00E82224">
        <w:rPr>
          <w:rStyle w:val="CGCTableHeadingChar"/>
          <w:noProof/>
        </w:rPr>
        <w:t>17</w:t>
      </w:r>
      <w:r w:rsidRPr="005F42A8">
        <w:rPr>
          <w:rStyle w:val="CGCTableHeadingChar"/>
        </w:rPr>
        <w:fldChar w:fldCharType="end"/>
      </w:r>
      <w:r w:rsidRPr="005F42A8">
        <w:rPr>
          <w:rStyle w:val="CGCTableHeadingChar"/>
        </w:rPr>
        <w:tab/>
        <w:t>Change in GST</w:t>
      </w:r>
    </w:p>
    <w:tbl>
      <w:tblPr>
        <w:tblW w:w="4240" w:type="dxa"/>
        <w:tblLayout w:type="fixed"/>
        <w:tblCellMar>
          <w:left w:w="0" w:type="dxa"/>
          <w:right w:w="0" w:type="dxa"/>
        </w:tblCellMar>
        <w:tblLook w:val="04A0" w:firstRow="1" w:lastRow="0" w:firstColumn="1" w:lastColumn="0" w:noHBand="0" w:noVBand="1"/>
      </w:tblPr>
      <w:tblGrid>
        <w:gridCol w:w="2700"/>
        <w:gridCol w:w="820"/>
        <w:gridCol w:w="720"/>
      </w:tblGrid>
      <w:tr w:rsidR="00BB3126" w:rsidRPr="00550305" w:rsidTr="00C7618F">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$pc</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Change due to:</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rPr>
                <w:rFonts w:ascii="Calibri" w:eastAsia="Times New Roman" w:hAnsi="Calibri" w:cs="Calibri"/>
                <w:sz w:val="20"/>
                <w:szCs w:val="20"/>
                <w:lang w:eastAsia="en-AU"/>
              </w:rPr>
            </w:pP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rPr>
                <w:rFonts w:ascii="Times New Roman" w:eastAsia="Times New Roman" w:hAnsi="Times New Roman" w:cs="Times New Roman"/>
                <w:sz w:val="20"/>
                <w:szCs w:val="20"/>
                <w:lang w:eastAsia="en-AU"/>
              </w:rPr>
            </w:pP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New population</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-55</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-31</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241</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137</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-56</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-32</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200" w:firstLine="400"/>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Data revisions</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-8</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-5</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200" w:firstLine="400"/>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-48</w:t>
            </w:r>
          </w:p>
        </w:tc>
        <w:tc>
          <w:tcPr>
            <w:tcW w:w="7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-27</w:t>
            </w:r>
          </w:p>
        </w:tc>
      </w:tr>
      <w:tr w:rsidR="00BB3126" w:rsidRPr="00550305" w:rsidTr="00C7618F">
        <w:trPr>
          <w:trHeight w:val="315"/>
        </w:trPr>
        <w:tc>
          <w:tcPr>
            <w:tcW w:w="270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131</w:t>
            </w:r>
          </w:p>
        </w:tc>
        <w:tc>
          <w:tcPr>
            <w:tcW w:w="7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74</w:t>
            </w:r>
          </w:p>
        </w:tc>
      </w:tr>
    </w:tbl>
    <w:p w:rsidR="00BB3126" w:rsidRPr="005F42A8" w:rsidRDefault="00BB3126" w:rsidP="00BB3126">
      <w:pPr>
        <w:pStyle w:val="CGCTableFootnote"/>
        <w:sectPr w:rsidR="00BB3126" w:rsidRPr="005F42A8" w:rsidSect="00C7618F">
          <w:type w:val="continuous"/>
          <w:pgSz w:w="11899" w:h="16838" w:code="9"/>
          <w:pgMar w:top="1440" w:right="1080" w:bottom="1440" w:left="1080" w:header="709" w:footer="709" w:gutter="0"/>
          <w:cols w:num="2" w:space="145" w:equalWidth="0">
            <w:col w:w="5500" w:space="145"/>
            <w:col w:w="4094"/>
          </w:cols>
          <w:titlePg/>
          <w:docGrid w:linePitch="326"/>
        </w:sectPr>
      </w:pPr>
      <w:r>
        <w:t>Note:</w:t>
      </w:r>
      <w:r>
        <w:tab/>
      </w:r>
      <w:r w:rsidRPr="005F42A8">
        <w:t>Table may not add due to rounding.</w:t>
      </w:r>
    </w:p>
    <w:p w:rsidR="00BB3126" w:rsidRPr="005F42A8" w:rsidRDefault="00BB3126" w:rsidP="00BB3126">
      <w:pPr>
        <w:pStyle w:val="CGCTableHeading"/>
        <w:spacing w:after="80"/>
      </w:pPr>
      <w:r w:rsidRPr="005F42A8">
        <w:t xml:space="preserve">Table </w:t>
      </w:r>
      <w:r w:rsidRPr="005F42A8">
        <w:rPr>
          <w:noProof/>
        </w:rPr>
        <w:fldChar w:fldCharType="begin"/>
      </w:r>
      <w:r w:rsidRPr="005F42A8">
        <w:rPr>
          <w:noProof/>
        </w:rPr>
        <w:instrText xml:space="preserve"> SEQ Table \* ARABIC </w:instrText>
      </w:r>
      <w:r w:rsidRPr="005F42A8">
        <w:rPr>
          <w:noProof/>
        </w:rPr>
        <w:fldChar w:fldCharType="separate"/>
      </w:r>
      <w:r w:rsidR="00E82224">
        <w:rPr>
          <w:noProof/>
        </w:rPr>
        <w:t>18</w:t>
      </w:r>
      <w:r w:rsidRPr="005F42A8">
        <w:rPr>
          <w:noProof/>
        </w:rPr>
        <w:fldChar w:fldCharType="end"/>
      </w:r>
      <w:r w:rsidRPr="005F42A8">
        <w:tab/>
        <w:t>Main changes for South Australia</w:t>
      </w:r>
    </w:p>
    <w:tbl>
      <w:tblPr>
        <w:tblW w:w="9920" w:type="dxa"/>
        <w:tblLook w:val="04A0" w:firstRow="1" w:lastRow="0" w:firstColumn="1" w:lastColumn="0" w:noHBand="0" w:noVBand="1"/>
      </w:tblPr>
      <w:tblGrid>
        <w:gridCol w:w="620"/>
        <w:gridCol w:w="262"/>
        <w:gridCol w:w="9038"/>
      </w:tblGrid>
      <w:tr w:rsidR="00BB3126" w:rsidRPr="002A2F9E" w:rsidTr="00C7618F">
        <w:trPr>
          <w:trHeight w:val="375"/>
        </w:trPr>
        <w:tc>
          <w:tcPr>
            <w:tcW w:w="620" w:type="dxa"/>
            <w:tcBorders>
              <w:top w:val="single" w:sz="4" w:space="0" w:color="auto"/>
              <w:left w:val="nil"/>
              <w:bottom w:val="single" w:sz="4" w:space="0" w:color="auto"/>
              <w:right w:val="nil"/>
            </w:tcBorders>
            <w:shd w:val="clear" w:color="auto" w:fill="auto"/>
            <w:noWrap/>
            <w:vAlign w:val="center"/>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$m</w:t>
            </w:r>
          </w:p>
        </w:tc>
        <w:tc>
          <w:tcPr>
            <w:tcW w:w="262" w:type="dxa"/>
            <w:tcBorders>
              <w:top w:val="single" w:sz="4" w:space="0" w:color="auto"/>
              <w:left w:val="nil"/>
              <w:bottom w:val="single" w:sz="4" w:space="0" w:color="auto"/>
              <w:right w:val="nil"/>
            </w:tcBorders>
            <w:shd w:val="clear" w:color="auto" w:fill="auto"/>
            <w:noWrap/>
            <w:vAlign w:val="center"/>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 </w:t>
            </w:r>
          </w:p>
        </w:tc>
        <w:tc>
          <w:tcPr>
            <w:tcW w:w="9038" w:type="dxa"/>
            <w:tcBorders>
              <w:top w:val="single" w:sz="4" w:space="0" w:color="auto"/>
              <w:left w:val="nil"/>
              <w:bottom w:val="single" w:sz="4" w:space="0" w:color="auto"/>
              <w:right w:val="nil"/>
            </w:tcBorders>
            <w:shd w:val="clear" w:color="auto" w:fill="auto"/>
            <w:vAlign w:val="center"/>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Reason for change</w:t>
            </w:r>
          </w:p>
        </w:tc>
      </w:tr>
      <w:tr w:rsidR="00BB3126" w:rsidRPr="002A2F9E" w:rsidTr="00C7618F">
        <w:trPr>
          <w:trHeight w:val="510"/>
        </w:trPr>
        <w:tc>
          <w:tcPr>
            <w:tcW w:w="620"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-137</w:t>
            </w:r>
          </w:p>
        </w:tc>
        <w:tc>
          <w:tcPr>
            <w:tcW w:w="262"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 </w:t>
            </w:r>
          </w:p>
        </w:tc>
        <w:tc>
          <w:tcPr>
            <w:tcW w:w="9038" w:type="dxa"/>
            <w:tcBorders>
              <w:top w:val="nil"/>
              <w:left w:val="nil"/>
              <w:bottom w:val="nil"/>
              <w:right w:val="nil"/>
            </w:tcBorders>
            <w:shd w:val="clear" w:color="auto" w:fill="auto"/>
            <w:hideMark/>
          </w:tcPr>
          <w:p w:rsidR="00BB3126" w:rsidRPr="001C6838" w:rsidRDefault="00BB3126" w:rsidP="00C7618F">
            <w:pPr>
              <w:tabs>
                <w:tab w:val="clear" w:pos="567"/>
              </w:tabs>
              <w:spacing w:after="0" w:line="240" w:lineRule="auto"/>
              <w:rPr>
                <w:rFonts w:ascii="Calibri" w:eastAsia="Times New Roman" w:hAnsi="Calibri" w:cs="Calibri"/>
                <w:sz w:val="20"/>
                <w:szCs w:val="20"/>
                <w:lang w:eastAsia="en-AU"/>
              </w:rPr>
            </w:pPr>
            <w:r w:rsidRPr="001C6838">
              <w:rPr>
                <w:rFonts w:ascii="Calibri" w:eastAsia="Times New Roman" w:hAnsi="Calibri" w:cs="Calibri"/>
                <w:b/>
                <w:bCs/>
                <w:sz w:val="20"/>
                <w:szCs w:val="20"/>
                <w:lang w:eastAsia="en-AU"/>
              </w:rPr>
              <w:t xml:space="preserve">Commonwealth payments. </w:t>
            </w:r>
            <w:r w:rsidRPr="001C6838">
              <w:rPr>
                <w:rFonts w:ascii="Calibri" w:eastAsia="Times New Roman" w:hAnsi="Calibri" w:cs="Calibri"/>
                <w:sz w:val="20"/>
                <w:szCs w:val="20"/>
                <w:lang w:eastAsia="en-AU"/>
              </w:rPr>
              <w:t>South Australia’s share of payments was greater in 2017-18 than in 2014</w:t>
            </w:r>
            <w:r w:rsidRPr="001C6838">
              <w:rPr>
                <w:rFonts w:ascii="Calibri" w:eastAsia="Times New Roman" w:hAnsi="Calibri" w:cs="Calibri"/>
                <w:sz w:val="20"/>
                <w:szCs w:val="20"/>
                <w:lang w:eastAsia="en-AU"/>
              </w:rPr>
              <w:noBreakHyphen/>
              <w:t>15. This reduced its GST share.</w:t>
            </w:r>
          </w:p>
        </w:tc>
      </w:tr>
      <w:tr w:rsidR="00BB3126" w:rsidRPr="002A2F9E" w:rsidTr="00C7618F">
        <w:trPr>
          <w:trHeight w:val="510"/>
        </w:trPr>
        <w:tc>
          <w:tcPr>
            <w:tcW w:w="620"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74</w:t>
            </w:r>
          </w:p>
        </w:tc>
        <w:tc>
          <w:tcPr>
            <w:tcW w:w="262"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1C6838" w:rsidRDefault="00BB3126" w:rsidP="00C7618F">
            <w:pPr>
              <w:tabs>
                <w:tab w:val="clear" w:pos="567"/>
              </w:tabs>
              <w:spacing w:after="0" w:line="240" w:lineRule="auto"/>
              <w:rPr>
                <w:rFonts w:ascii="Calibri" w:eastAsia="Times New Roman" w:hAnsi="Calibri" w:cs="Calibri"/>
                <w:sz w:val="20"/>
                <w:szCs w:val="20"/>
                <w:lang w:eastAsia="en-AU"/>
              </w:rPr>
            </w:pPr>
            <w:r w:rsidRPr="001C6838">
              <w:rPr>
                <w:rFonts w:ascii="Calibri" w:eastAsia="Times New Roman" w:hAnsi="Calibri" w:cs="Calibri"/>
                <w:b/>
                <w:bCs/>
                <w:sz w:val="20"/>
                <w:szCs w:val="20"/>
                <w:lang w:eastAsia="en-AU"/>
              </w:rPr>
              <w:t xml:space="preserve">Mining production. </w:t>
            </w:r>
            <w:r w:rsidRPr="001C6838">
              <w:rPr>
                <w:rFonts w:ascii="Calibri" w:eastAsia="Times New Roman" w:hAnsi="Calibri" w:cs="Calibri"/>
                <w:sz w:val="20"/>
                <w:szCs w:val="20"/>
                <w:lang w:eastAsia="en-AU"/>
              </w:rPr>
              <w:t>An increased value of coal production in other States reduced South Australia's relative revenue raising capacity and increased its GST share.</w:t>
            </w:r>
          </w:p>
        </w:tc>
      </w:tr>
      <w:tr w:rsidR="00BB3126" w:rsidRPr="002A2F9E" w:rsidTr="00C7618F">
        <w:trPr>
          <w:trHeight w:val="315"/>
        </w:trPr>
        <w:tc>
          <w:tcPr>
            <w:tcW w:w="620"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-49</w:t>
            </w:r>
          </w:p>
        </w:tc>
        <w:tc>
          <w:tcPr>
            <w:tcW w:w="262"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1C6838" w:rsidRDefault="00BB3126" w:rsidP="00404A77">
            <w:pPr>
              <w:tabs>
                <w:tab w:val="clear" w:pos="567"/>
              </w:tabs>
              <w:spacing w:after="0" w:line="240" w:lineRule="auto"/>
              <w:rPr>
                <w:rFonts w:ascii="Calibri" w:eastAsia="Times New Roman" w:hAnsi="Calibri" w:cs="Calibri"/>
                <w:sz w:val="20"/>
                <w:szCs w:val="20"/>
                <w:lang w:eastAsia="en-AU"/>
              </w:rPr>
            </w:pPr>
            <w:r w:rsidRPr="001C6838">
              <w:rPr>
                <w:rFonts w:ascii="Calibri" w:eastAsia="Times New Roman" w:hAnsi="Calibri" w:cs="Calibri"/>
                <w:b/>
                <w:bCs/>
                <w:sz w:val="20"/>
                <w:szCs w:val="20"/>
                <w:lang w:eastAsia="en-AU"/>
              </w:rPr>
              <w:t xml:space="preserve">Population growth. </w:t>
            </w:r>
            <w:r w:rsidR="006B6C2F">
              <w:rPr>
                <w:rFonts w:ascii="Calibri" w:eastAsia="Times New Roman" w:hAnsi="Calibri" w:cs="Calibri"/>
                <w:sz w:val="20"/>
                <w:szCs w:val="20"/>
                <w:lang w:eastAsia="en-AU"/>
              </w:rPr>
              <w:t xml:space="preserve">A lower share of </w:t>
            </w:r>
            <w:r w:rsidR="007D7364">
              <w:rPr>
                <w:rFonts w:ascii="Calibri" w:eastAsia="Times New Roman" w:hAnsi="Calibri" w:cs="Calibri"/>
                <w:sz w:val="20"/>
                <w:szCs w:val="20"/>
                <w:lang w:eastAsia="en-AU"/>
              </w:rPr>
              <w:t xml:space="preserve">national </w:t>
            </w:r>
            <w:r w:rsidRPr="001C6838">
              <w:rPr>
                <w:rFonts w:ascii="Calibri" w:eastAsia="Times New Roman" w:hAnsi="Calibri" w:cs="Calibri"/>
                <w:sz w:val="20"/>
                <w:szCs w:val="20"/>
                <w:lang w:eastAsia="en-AU"/>
              </w:rPr>
              <w:t xml:space="preserve">population growth in South Australia has decreased its </w:t>
            </w:r>
            <w:r w:rsidR="00404A77">
              <w:rPr>
                <w:rFonts w:ascii="Calibri" w:eastAsia="Times New Roman" w:hAnsi="Calibri" w:cs="Calibri"/>
                <w:sz w:val="20"/>
                <w:szCs w:val="20"/>
                <w:lang w:eastAsia="en-AU"/>
              </w:rPr>
              <w:t xml:space="preserve">assessed </w:t>
            </w:r>
            <w:r w:rsidRPr="001C6838">
              <w:rPr>
                <w:rFonts w:ascii="Calibri" w:eastAsia="Times New Roman" w:hAnsi="Calibri" w:cs="Calibri"/>
                <w:sz w:val="20"/>
                <w:szCs w:val="20"/>
                <w:lang w:eastAsia="en-AU"/>
              </w:rPr>
              <w:t xml:space="preserve">investment </w:t>
            </w:r>
            <w:r w:rsidR="00404A77">
              <w:rPr>
                <w:rFonts w:ascii="Calibri" w:eastAsia="Times New Roman" w:hAnsi="Calibri" w:cs="Calibri"/>
                <w:sz w:val="20"/>
                <w:szCs w:val="20"/>
                <w:lang w:eastAsia="en-AU"/>
              </w:rPr>
              <w:t>needs</w:t>
            </w:r>
            <w:r w:rsidRPr="001C6838">
              <w:rPr>
                <w:rFonts w:ascii="Calibri" w:eastAsia="Times New Roman" w:hAnsi="Calibri" w:cs="Calibri"/>
                <w:sz w:val="20"/>
                <w:szCs w:val="20"/>
                <w:lang w:eastAsia="en-AU"/>
              </w:rPr>
              <w:t>.</w:t>
            </w:r>
          </w:p>
        </w:tc>
      </w:tr>
      <w:tr w:rsidR="00BB3126" w:rsidRPr="002A2F9E" w:rsidTr="00C7618F">
        <w:trPr>
          <w:trHeight w:val="555"/>
        </w:trPr>
        <w:tc>
          <w:tcPr>
            <w:tcW w:w="620"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-33</w:t>
            </w:r>
          </w:p>
        </w:tc>
        <w:tc>
          <w:tcPr>
            <w:tcW w:w="262"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1C6838" w:rsidRDefault="00BB3126" w:rsidP="00C7618F">
            <w:pPr>
              <w:tabs>
                <w:tab w:val="clear" w:pos="567"/>
              </w:tabs>
              <w:spacing w:after="0" w:line="240" w:lineRule="auto"/>
              <w:rPr>
                <w:rFonts w:ascii="Calibri" w:eastAsia="Times New Roman" w:hAnsi="Calibri" w:cs="Calibri"/>
                <w:sz w:val="20"/>
                <w:szCs w:val="20"/>
                <w:lang w:eastAsia="en-AU"/>
              </w:rPr>
            </w:pPr>
            <w:r w:rsidRPr="001C6838">
              <w:rPr>
                <w:rFonts w:ascii="Calibri" w:eastAsia="Times New Roman" w:hAnsi="Calibri" w:cs="Calibri"/>
                <w:b/>
                <w:bCs/>
                <w:sz w:val="20"/>
                <w:szCs w:val="20"/>
                <w:lang w:eastAsia="en-AU"/>
              </w:rPr>
              <w:t xml:space="preserve">Investment growth. </w:t>
            </w:r>
            <w:r w:rsidRPr="001C6838">
              <w:rPr>
                <w:rFonts w:ascii="Calibri" w:eastAsia="Times New Roman" w:hAnsi="Calibri" w:cs="Calibri"/>
                <w:sz w:val="20"/>
                <w:szCs w:val="20"/>
                <w:lang w:eastAsia="en-AU"/>
              </w:rPr>
              <w:t>Growth in total urban transport investment from 2014-15 to 2017-18 decreased South Australia’s share of GST due to its below average urban transport investment needs.</w:t>
            </w:r>
          </w:p>
        </w:tc>
      </w:tr>
      <w:tr w:rsidR="00BB3126" w:rsidRPr="002A2F9E" w:rsidTr="00C7618F">
        <w:trPr>
          <w:trHeight w:val="555"/>
        </w:trPr>
        <w:tc>
          <w:tcPr>
            <w:tcW w:w="620" w:type="dxa"/>
            <w:tcBorders>
              <w:top w:val="nil"/>
              <w:left w:val="nil"/>
              <w:bottom w:val="single" w:sz="4" w:space="0" w:color="auto"/>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32</w:t>
            </w:r>
          </w:p>
        </w:tc>
        <w:tc>
          <w:tcPr>
            <w:tcW w:w="262" w:type="dxa"/>
            <w:tcBorders>
              <w:top w:val="nil"/>
              <w:left w:val="nil"/>
              <w:bottom w:val="single" w:sz="4" w:space="0" w:color="auto"/>
              <w:right w:val="nil"/>
            </w:tcBorders>
            <w:shd w:val="clear" w:color="auto" w:fill="auto"/>
            <w:noWrap/>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 </w:t>
            </w:r>
          </w:p>
        </w:tc>
        <w:tc>
          <w:tcPr>
            <w:tcW w:w="9038" w:type="dxa"/>
            <w:tcBorders>
              <w:top w:val="nil"/>
              <w:left w:val="nil"/>
              <w:bottom w:val="single" w:sz="4" w:space="0" w:color="auto"/>
              <w:right w:val="nil"/>
            </w:tcBorders>
            <w:shd w:val="clear" w:color="auto" w:fill="auto"/>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b/>
                <w:bCs/>
                <w:sz w:val="20"/>
                <w:szCs w:val="20"/>
                <w:lang w:eastAsia="en-AU"/>
              </w:rPr>
              <w:t>Taxable land values.</w:t>
            </w:r>
            <w:r w:rsidRPr="002A2F9E">
              <w:rPr>
                <w:rFonts w:ascii="Calibri" w:eastAsia="Times New Roman" w:hAnsi="Calibri" w:cs="Calibri"/>
                <w:sz w:val="20"/>
                <w:szCs w:val="20"/>
                <w:lang w:eastAsia="en-AU"/>
              </w:rPr>
              <w:t xml:space="preserve"> Slower than average growth in land values reduced South Australia's revenue raising capacity and increased its GST share.</w:t>
            </w:r>
          </w:p>
        </w:tc>
      </w:tr>
    </w:tbl>
    <w:p w:rsidR="00BB3126" w:rsidRPr="005F42A8" w:rsidRDefault="00BB3126" w:rsidP="00BB3126">
      <w:pPr>
        <w:sectPr w:rsidR="00BB3126" w:rsidRPr="005F42A8" w:rsidSect="00C7618F">
          <w:type w:val="continuous"/>
          <w:pgSz w:w="11899" w:h="16838" w:code="9"/>
          <w:pgMar w:top="1440" w:right="1080" w:bottom="1440" w:left="1080" w:header="709" w:footer="709" w:gutter="0"/>
          <w:cols w:space="1"/>
          <w:titlePg/>
          <w:docGrid w:linePitch="326"/>
        </w:sectPr>
      </w:pPr>
    </w:p>
    <w:p w:rsidR="00BB3126" w:rsidRPr="005F42A8" w:rsidRDefault="00BB3126" w:rsidP="00BB3126">
      <w:pPr>
        <w:spacing w:before="240"/>
        <w:rPr>
          <w:noProof/>
          <w:lang w:eastAsia="en-AU"/>
        </w:rPr>
      </w:pPr>
      <w:r w:rsidRPr="005F42A8">
        <w:rPr>
          <w:rStyle w:val="Heading6Char"/>
        </w:rPr>
        <w:t>Fiscal capacity.</w:t>
      </w:r>
      <w:r w:rsidRPr="005F42A8">
        <w:t xml:space="preserve"> South Australia’s below average fiscal capacity is mainly due to its below average revenue raising capacity from property sales, mining royalties, taxable payrolls and </w:t>
      </w:r>
      <w:r w:rsidR="008404E2">
        <w:t xml:space="preserve">taxable </w:t>
      </w:r>
      <w:r w:rsidRPr="005F42A8">
        <w:t xml:space="preserve">land </w:t>
      </w:r>
      <w:r w:rsidR="007D7364">
        <w:t>values</w:t>
      </w:r>
      <w:r w:rsidRPr="005F42A8">
        <w:t xml:space="preserve">. </w:t>
      </w:r>
    </w:p>
    <w:p w:rsidR="00BB3126" w:rsidRPr="005F42A8" w:rsidRDefault="00BB3126" w:rsidP="00BB3126">
      <w:r w:rsidRPr="005F42A8">
        <w:t>Those effects are reinforced by its above average expense requirement, which reflects its above average shares of older people and people of low socio</w:t>
      </w:r>
      <w:r w:rsidR="007D7364">
        <w:noBreakHyphen/>
      </w:r>
      <w:r w:rsidRPr="005F42A8">
        <w:t xml:space="preserve">economic status, offset partially by below average wage </w:t>
      </w:r>
      <w:r>
        <w:t>costs</w:t>
      </w:r>
      <w:r w:rsidRPr="005F42A8">
        <w:t xml:space="preserve"> and assessed transport costs.</w:t>
      </w:r>
    </w:p>
    <w:p w:rsidR="00BB3126" w:rsidRPr="005F42A8" w:rsidRDefault="00BB3126" w:rsidP="00BB3126">
      <w:pPr>
        <w:rPr>
          <w:szCs w:val="24"/>
        </w:rPr>
      </w:pPr>
      <w:r w:rsidRPr="005F42A8">
        <w:t xml:space="preserve">Its above average requirement for GST is partially offset by </w:t>
      </w:r>
      <w:r>
        <w:t xml:space="preserve">an above average share of Commonwealth payments and </w:t>
      </w:r>
      <w:r w:rsidRPr="005F42A8">
        <w:t xml:space="preserve">its </w:t>
      </w:r>
      <w:r>
        <w:t>below average investment requirement</w:t>
      </w:r>
      <w:r w:rsidRPr="005F42A8">
        <w:t xml:space="preserve"> due to a </w:t>
      </w:r>
      <w:r>
        <w:t>below</w:t>
      </w:r>
      <w:r w:rsidRPr="005F42A8">
        <w:t xml:space="preserve"> average share of national population growth.</w:t>
      </w:r>
    </w:p>
    <w:p w:rsidR="00BB3126" w:rsidRPr="005F42A8" w:rsidRDefault="00BB3126" w:rsidP="00BB3126">
      <w:pPr>
        <w:pStyle w:val="CGCTableHeading"/>
        <w:spacing w:after="80" w:line="320" w:lineRule="atLeast"/>
      </w:pPr>
      <w:r w:rsidRPr="005F42A8">
        <w:rPr>
          <w:szCs w:val="24"/>
        </w:rPr>
        <w:br w:type="column"/>
      </w:r>
      <w:r w:rsidRPr="005F42A8">
        <w:t xml:space="preserve">Table </w:t>
      </w:r>
      <w:r>
        <w:rPr>
          <w:noProof/>
        </w:rPr>
        <w:fldChar w:fldCharType="begin"/>
      </w:r>
      <w:r>
        <w:rPr>
          <w:noProof/>
        </w:rPr>
        <w:instrText xml:space="preserve"> SEQ Table \* ARABIC </w:instrText>
      </w:r>
      <w:r>
        <w:rPr>
          <w:noProof/>
        </w:rPr>
        <w:fldChar w:fldCharType="separate"/>
      </w:r>
      <w:r w:rsidR="00E82224">
        <w:rPr>
          <w:noProof/>
        </w:rPr>
        <w:t>19</w:t>
      </w:r>
      <w:r>
        <w:rPr>
          <w:noProof/>
        </w:rPr>
        <w:fldChar w:fldCharType="end"/>
      </w:r>
      <w:r w:rsidRPr="005F42A8">
        <w:tab/>
      </w:r>
      <w:r w:rsidR="00800008">
        <w:t>Illustrative</w:t>
      </w:r>
      <w:r w:rsidR="00800008" w:rsidRPr="005F42A8">
        <w:t xml:space="preserve"> </w:t>
      </w:r>
      <w:r w:rsidRPr="005F42A8">
        <w:t>GST, 2019</w:t>
      </w:r>
      <w:r w:rsidRPr="005F42A8">
        <w:noBreakHyphen/>
        <w:t>20</w:t>
      </w:r>
    </w:p>
    <w:tbl>
      <w:tblPr>
        <w:tblW w:w="4240" w:type="dxa"/>
        <w:tblLayout w:type="fixed"/>
        <w:tblCellMar>
          <w:left w:w="0" w:type="dxa"/>
          <w:right w:w="0" w:type="dxa"/>
        </w:tblCellMar>
        <w:tblLook w:val="04A0" w:firstRow="1" w:lastRow="0" w:firstColumn="1" w:lastColumn="0" w:noHBand="0" w:noVBand="1"/>
      </w:tblPr>
      <w:tblGrid>
        <w:gridCol w:w="2700"/>
        <w:gridCol w:w="820"/>
        <w:gridCol w:w="720"/>
      </w:tblGrid>
      <w:tr w:rsidR="00BB3126" w:rsidRPr="00550305" w:rsidTr="00C7618F">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$pc</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4 731</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2 690</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xml:space="preserve"> </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xml:space="preserve"> </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Expenses</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548</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312</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Investment</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-442</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-251</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Net borrowing</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53</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30</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Revenue</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2 122</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1 207</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-67</w:t>
            </w:r>
          </w:p>
        </w:tc>
        <w:tc>
          <w:tcPr>
            <w:tcW w:w="7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-38</w:t>
            </w:r>
          </w:p>
        </w:tc>
      </w:tr>
      <w:tr w:rsidR="00BB3126" w:rsidRPr="00550305" w:rsidTr="00C7618F">
        <w:trPr>
          <w:trHeight w:val="315"/>
        </w:trPr>
        <w:tc>
          <w:tcPr>
            <w:tcW w:w="2700" w:type="dxa"/>
            <w:tcBorders>
              <w:top w:val="nil"/>
              <w:left w:val="nil"/>
              <w:bottom w:val="single" w:sz="4" w:space="0" w:color="auto"/>
              <w:right w:val="nil"/>
            </w:tcBorders>
            <w:shd w:val="clear" w:color="auto" w:fill="auto"/>
            <w:noWrap/>
            <w:vAlign w:val="bottom"/>
            <w:hideMark/>
          </w:tcPr>
          <w:p w:rsidR="00BB3126" w:rsidRPr="00550305" w:rsidRDefault="00F314F4" w:rsidP="00C7618F">
            <w:pPr>
              <w:keepNext/>
              <w:keepLines/>
              <w:tabs>
                <w:tab w:val="clear" w:pos="567"/>
              </w:tabs>
              <w:spacing w:after="0" w:line="240" w:lineRule="auto"/>
              <w:ind w:left="193" w:hanging="142"/>
              <w:rPr>
                <w:rFonts w:ascii="Calibri" w:eastAsia="Times New Roman" w:hAnsi="Calibri" w:cs="Calibri"/>
                <w:sz w:val="20"/>
                <w:szCs w:val="20"/>
                <w:lang w:eastAsia="en-AU"/>
              </w:rPr>
            </w:pPr>
            <w:r>
              <w:rPr>
                <w:rFonts w:ascii="Calibri" w:eastAsia="Times New Roman" w:hAnsi="Calibri" w:cs="Calibri"/>
                <w:sz w:val="20"/>
                <w:szCs w:val="20"/>
                <w:lang w:eastAsia="en-AU"/>
              </w:rPr>
              <w:t>Illustrative</w:t>
            </w:r>
            <w:r w:rsidRPr="00550305">
              <w:rPr>
                <w:rFonts w:ascii="Calibri" w:eastAsia="Times New Roman" w:hAnsi="Calibri" w:cs="Calibri"/>
                <w:sz w:val="20"/>
                <w:szCs w:val="20"/>
                <w:lang w:eastAsia="en-AU"/>
              </w:rPr>
              <w:t xml:space="preserve"> </w:t>
            </w:r>
            <w:r w:rsidR="00BB3126" w:rsidRPr="00550305">
              <w:rPr>
                <w:rFonts w:ascii="Calibri" w:eastAsia="Times New Roman" w:hAnsi="Calibri" w:cs="Calibri"/>
                <w:sz w:val="20"/>
                <w:szCs w:val="20"/>
                <w:lang w:eastAsia="en-AU"/>
              </w:rPr>
              <w:t>GST</w:t>
            </w:r>
          </w:p>
        </w:tc>
        <w:tc>
          <w:tcPr>
            <w:tcW w:w="8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6 946</w:t>
            </w:r>
          </w:p>
        </w:tc>
        <w:tc>
          <w:tcPr>
            <w:tcW w:w="7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3 949</w:t>
            </w:r>
          </w:p>
        </w:tc>
      </w:tr>
    </w:tbl>
    <w:p w:rsidR="00BB3126" w:rsidRPr="00001ED7" w:rsidRDefault="00BB3126" w:rsidP="00BB3126">
      <w:pPr>
        <w:pStyle w:val="CGCTableFootnote"/>
        <w:rPr>
          <w:highlight w:val="yellow"/>
        </w:rPr>
        <w:sectPr w:rsidR="00BB3126" w:rsidRPr="00001ED7" w:rsidSect="00C7618F">
          <w:type w:val="continuous"/>
          <w:pgSz w:w="11899" w:h="16838" w:code="9"/>
          <w:pgMar w:top="1440" w:right="1080" w:bottom="1440" w:left="1080" w:header="709" w:footer="709" w:gutter="0"/>
          <w:cols w:num="2" w:space="157" w:equalWidth="0">
            <w:col w:w="5500" w:space="157"/>
            <w:col w:w="4082"/>
          </w:cols>
          <w:titlePg/>
          <w:docGrid w:linePitch="326"/>
        </w:sectPr>
      </w:pPr>
      <w:r>
        <w:t>Note:</w:t>
      </w:r>
      <w:r>
        <w:tab/>
      </w:r>
      <w:r w:rsidRPr="005F42A8">
        <w:t>Table may not add due to rounding.</w:t>
      </w:r>
    </w:p>
    <w:p w:rsidR="00BB3126" w:rsidRPr="005F42A8" w:rsidRDefault="00BB3126" w:rsidP="00BB3126">
      <w:pPr>
        <w:pStyle w:val="Heading4"/>
        <w:spacing w:before="0"/>
        <w:sectPr w:rsidR="00BB3126" w:rsidRPr="005F42A8" w:rsidSect="00C7618F">
          <w:headerReference w:type="even" r:id="rId66"/>
          <w:headerReference w:type="default" r:id="rId67"/>
          <w:footerReference w:type="default" r:id="rId68"/>
          <w:headerReference w:type="first" r:id="rId69"/>
          <w:pgSz w:w="11899" w:h="16838" w:code="9"/>
          <w:pgMar w:top="1440" w:right="1080" w:bottom="1440" w:left="1080" w:header="709" w:footer="709" w:gutter="0"/>
          <w:cols w:space="708"/>
          <w:titlePg/>
          <w:docGrid w:linePitch="326"/>
        </w:sectPr>
      </w:pPr>
      <w:bookmarkStart w:id="386" w:name="_Toc442191913"/>
      <w:bookmarkStart w:id="387" w:name="_Toc442192165"/>
      <w:bookmarkStart w:id="388" w:name="_Toc442192230"/>
      <w:bookmarkStart w:id="389" w:name="_Toc442772816"/>
      <w:bookmarkStart w:id="390" w:name="_Toc442773043"/>
      <w:bookmarkStart w:id="391" w:name="_Toc442773215"/>
      <w:bookmarkStart w:id="392" w:name="_Toc442883280"/>
      <w:bookmarkStart w:id="393" w:name="_Toc474923748"/>
      <w:bookmarkStart w:id="394" w:name="_Toc505872174"/>
      <w:bookmarkStart w:id="395" w:name="_Toc536519625"/>
      <w:bookmarkStart w:id="396" w:name="_Toc536631335"/>
      <w:bookmarkStart w:id="397" w:name="_Toc536803168"/>
      <w:bookmarkStart w:id="398" w:name="_Toc536803256"/>
      <w:bookmarkStart w:id="399" w:name="_Toc1115136"/>
      <w:r w:rsidRPr="005F42A8">
        <w:lastRenderedPageBreak/>
        <w:t>Tasmania</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rsidR="00BB3126" w:rsidRDefault="00BB3126" w:rsidP="00BB3126">
      <w:r w:rsidRPr="005F42A8">
        <w:rPr>
          <w:rStyle w:val="Heading6Char"/>
        </w:rPr>
        <w:t xml:space="preserve">Changes in this update. </w:t>
      </w:r>
      <w:r w:rsidRPr="005F42A8">
        <w:rPr>
          <w:szCs w:val="24"/>
        </w:rPr>
        <w:t xml:space="preserve">Tasmania’s fiscal capacity </w:t>
      </w:r>
      <w:r>
        <w:rPr>
          <w:szCs w:val="24"/>
        </w:rPr>
        <w:t>strengthened</w:t>
      </w:r>
      <w:r w:rsidRPr="005F42A8">
        <w:rPr>
          <w:szCs w:val="24"/>
        </w:rPr>
        <w:t xml:space="preserve"> marginally but it remains the State with the second lowest fiscal capacity. Its </w:t>
      </w:r>
      <w:r>
        <w:rPr>
          <w:szCs w:val="24"/>
        </w:rPr>
        <w:t>expense needs</w:t>
      </w:r>
      <w:r w:rsidRPr="005F42A8">
        <w:rPr>
          <w:szCs w:val="24"/>
        </w:rPr>
        <w:t xml:space="preserve"> increased due to </w:t>
      </w:r>
      <w:r>
        <w:rPr>
          <w:szCs w:val="24"/>
        </w:rPr>
        <w:t>increasing</w:t>
      </w:r>
      <w:r w:rsidRPr="005F42A8">
        <w:rPr>
          <w:szCs w:val="24"/>
        </w:rPr>
        <w:t xml:space="preserve"> wage </w:t>
      </w:r>
      <w:r>
        <w:rPr>
          <w:szCs w:val="24"/>
        </w:rPr>
        <w:t>costs</w:t>
      </w:r>
      <w:r w:rsidRPr="005F42A8">
        <w:rPr>
          <w:szCs w:val="24"/>
        </w:rPr>
        <w:t xml:space="preserve"> and higher population growth relative to previous years. These changes were offset </w:t>
      </w:r>
      <w:r>
        <w:rPr>
          <w:szCs w:val="24"/>
        </w:rPr>
        <w:t xml:space="preserve">by </w:t>
      </w:r>
      <w:r w:rsidRPr="005F42A8">
        <w:rPr>
          <w:szCs w:val="24"/>
        </w:rPr>
        <w:t xml:space="preserve">increases in its </w:t>
      </w:r>
      <w:r>
        <w:rPr>
          <w:szCs w:val="24"/>
        </w:rPr>
        <w:t>share of</w:t>
      </w:r>
      <w:r w:rsidRPr="005F42A8">
        <w:rPr>
          <w:szCs w:val="24"/>
        </w:rPr>
        <w:t xml:space="preserve"> Commonwealth payments, </w:t>
      </w:r>
      <w:r>
        <w:rPr>
          <w:szCs w:val="24"/>
        </w:rPr>
        <w:t xml:space="preserve">above average </w:t>
      </w:r>
      <w:r w:rsidRPr="005F42A8">
        <w:rPr>
          <w:szCs w:val="24"/>
        </w:rPr>
        <w:t>growth in</w:t>
      </w:r>
      <w:r>
        <w:rPr>
          <w:szCs w:val="24"/>
        </w:rPr>
        <w:t xml:space="preserve"> the value of</w:t>
      </w:r>
      <w:r w:rsidRPr="005F42A8">
        <w:rPr>
          <w:szCs w:val="24"/>
        </w:rPr>
        <w:t xml:space="preserve"> property sales</w:t>
      </w:r>
      <w:r>
        <w:rPr>
          <w:szCs w:val="24"/>
        </w:rPr>
        <w:t xml:space="preserve"> and a relative decline in urban transport investment needs</w:t>
      </w:r>
      <w:r w:rsidRPr="005F42A8">
        <w:rPr>
          <w:szCs w:val="24"/>
        </w:rPr>
        <w:t xml:space="preserve">. Tasmania’s GST share </w:t>
      </w:r>
      <w:r>
        <w:rPr>
          <w:szCs w:val="24"/>
        </w:rPr>
        <w:t>will decrease slightly from</w:t>
      </w:r>
      <w:r>
        <w:rPr>
          <w:rStyle w:val="CommentReference"/>
        </w:rPr>
        <w:t xml:space="preserve"> </w:t>
      </w:r>
      <w:r w:rsidRPr="005F42A8">
        <w:rPr>
          <w:szCs w:val="24"/>
        </w:rPr>
        <w:t>3.7%</w:t>
      </w:r>
      <w:r>
        <w:rPr>
          <w:szCs w:val="24"/>
        </w:rPr>
        <w:t xml:space="preserve"> to 3.6%, but</w:t>
      </w:r>
      <w:r w:rsidRPr="005F42A8">
        <w:rPr>
          <w:szCs w:val="24"/>
        </w:rPr>
        <w:t xml:space="preserve"> its GST entitlement in 2019</w:t>
      </w:r>
      <w:r w:rsidRPr="005F42A8">
        <w:rPr>
          <w:szCs w:val="24"/>
        </w:rPr>
        <w:noBreakHyphen/>
        <w:t xml:space="preserve">20 will rise by </w:t>
      </w:r>
      <w:r w:rsidRPr="005F42A8">
        <w:t>$</w:t>
      </w:r>
      <w:r>
        <w:t>44</w:t>
      </w:r>
      <w:r w:rsidRPr="005F42A8">
        <w:t xml:space="preserve"> million, or </w:t>
      </w:r>
      <w:r>
        <w:t>1.8</w:t>
      </w:r>
      <w:r w:rsidRPr="005F42A8">
        <w:t>%, due to growth in the pool.</w:t>
      </w:r>
    </w:p>
    <w:p w:rsidR="00BB3126" w:rsidRPr="005F42A8" w:rsidRDefault="00BB3126" w:rsidP="00BB3126">
      <w:pPr>
        <w:rPr>
          <w:rStyle w:val="CGCTableHeadingChar"/>
        </w:rPr>
      </w:pPr>
      <w:r w:rsidRPr="005F42A8">
        <w:br w:type="column"/>
      </w:r>
      <w:r w:rsidRPr="005F42A8">
        <w:rPr>
          <w:rStyle w:val="CGCTableHeadingChar"/>
        </w:rPr>
        <w:t xml:space="preserve">Table </w:t>
      </w:r>
      <w:r w:rsidRPr="005F42A8">
        <w:rPr>
          <w:rStyle w:val="CGCTableHeadingChar"/>
        </w:rPr>
        <w:fldChar w:fldCharType="begin"/>
      </w:r>
      <w:r w:rsidRPr="005F42A8">
        <w:rPr>
          <w:rStyle w:val="CGCTableHeadingChar"/>
        </w:rPr>
        <w:instrText xml:space="preserve"> SEQ Table \* ARABIC </w:instrText>
      </w:r>
      <w:r w:rsidRPr="005F42A8">
        <w:rPr>
          <w:rStyle w:val="CGCTableHeadingChar"/>
        </w:rPr>
        <w:fldChar w:fldCharType="separate"/>
      </w:r>
      <w:r w:rsidR="00E82224">
        <w:rPr>
          <w:rStyle w:val="CGCTableHeadingChar"/>
          <w:noProof/>
        </w:rPr>
        <w:t>20</w:t>
      </w:r>
      <w:r w:rsidRPr="005F42A8">
        <w:rPr>
          <w:rStyle w:val="CGCTableHeadingChar"/>
        </w:rPr>
        <w:fldChar w:fldCharType="end"/>
      </w:r>
      <w:r w:rsidRPr="005F42A8">
        <w:rPr>
          <w:rStyle w:val="CGCTableHeadingChar"/>
        </w:rPr>
        <w:tab/>
        <w:t>Change in GST</w:t>
      </w:r>
    </w:p>
    <w:tbl>
      <w:tblPr>
        <w:tblW w:w="4240" w:type="dxa"/>
        <w:tblLayout w:type="fixed"/>
        <w:tblCellMar>
          <w:left w:w="0" w:type="dxa"/>
          <w:right w:w="0" w:type="dxa"/>
        </w:tblCellMar>
        <w:tblLook w:val="04A0" w:firstRow="1" w:lastRow="0" w:firstColumn="1" w:lastColumn="0" w:noHBand="0" w:noVBand="1"/>
      </w:tblPr>
      <w:tblGrid>
        <w:gridCol w:w="2700"/>
        <w:gridCol w:w="820"/>
        <w:gridCol w:w="720"/>
      </w:tblGrid>
      <w:tr w:rsidR="00BB3126" w:rsidRPr="00550305" w:rsidTr="00C7618F">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$pc</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Change due to:</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rPr>
                <w:rFonts w:ascii="Calibri" w:eastAsia="Times New Roman" w:hAnsi="Calibri" w:cs="Calibri"/>
                <w:sz w:val="20"/>
                <w:szCs w:val="20"/>
                <w:lang w:eastAsia="en-AU"/>
              </w:rPr>
            </w:pP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rPr>
                <w:rFonts w:ascii="Times New Roman" w:eastAsia="Times New Roman" w:hAnsi="Times New Roman" w:cs="Times New Roman"/>
                <w:sz w:val="20"/>
                <w:szCs w:val="20"/>
                <w:lang w:eastAsia="en-AU"/>
              </w:rPr>
            </w:pP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New population</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-27</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-50</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87</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164</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-16</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-31</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200" w:firstLine="400"/>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Data revisions</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1</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1</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200" w:firstLine="400"/>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-17</w:t>
            </w:r>
          </w:p>
        </w:tc>
        <w:tc>
          <w:tcPr>
            <w:tcW w:w="7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-32</w:t>
            </w:r>
          </w:p>
        </w:tc>
      </w:tr>
      <w:tr w:rsidR="00BB3126" w:rsidRPr="00550305" w:rsidTr="00C7618F">
        <w:trPr>
          <w:trHeight w:val="315"/>
        </w:trPr>
        <w:tc>
          <w:tcPr>
            <w:tcW w:w="270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44</w:t>
            </w:r>
          </w:p>
        </w:tc>
        <w:tc>
          <w:tcPr>
            <w:tcW w:w="7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84</w:t>
            </w:r>
          </w:p>
        </w:tc>
      </w:tr>
    </w:tbl>
    <w:p w:rsidR="00BB3126" w:rsidRPr="005F42A8" w:rsidRDefault="00BB3126" w:rsidP="00BB3126">
      <w:pPr>
        <w:pStyle w:val="CGCTableFootnote"/>
        <w:sectPr w:rsidR="00BB3126" w:rsidRPr="005F42A8" w:rsidSect="00C7618F">
          <w:type w:val="continuous"/>
          <w:pgSz w:w="11899" w:h="16838" w:code="9"/>
          <w:pgMar w:top="1440" w:right="1080" w:bottom="1440" w:left="1080" w:header="709" w:footer="709" w:gutter="0"/>
          <w:cols w:num="2" w:space="145" w:equalWidth="0">
            <w:col w:w="5500" w:space="145"/>
            <w:col w:w="4094"/>
          </w:cols>
          <w:titlePg/>
          <w:docGrid w:linePitch="326"/>
        </w:sectPr>
      </w:pPr>
      <w:r>
        <w:t>Note:</w:t>
      </w:r>
      <w:r>
        <w:tab/>
      </w:r>
      <w:r w:rsidRPr="005F42A8">
        <w:t>Table may not add due to rounding.</w:t>
      </w:r>
    </w:p>
    <w:p w:rsidR="00BB3126" w:rsidRPr="003D0597" w:rsidRDefault="00BB3126" w:rsidP="00BB3126">
      <w:pPr>
        <w:pStyle w:val="CGCTableHeading"/>
        <w:spacing w:after="80" w:line="320" w:lineRule="atLeast"/>
      </w:pPr>
      <w:r w:rsidRPr="003D0597">
        <w:t xml:space="preserve">Table </w:t>
      </w:r>
      <w:r>
        <w:rPr>
          <w:noProof/>
        </w:rPr>
        <w:fldChar w:fldCharType="begin"/>
      </w:r>
      <w:r>
        <w:rPr>
          <w:noProof/>
        </w:rPr>
        <w:instrText xml:space="preserve"> SEQ Table \* ARABIC </w:instrText>
      </w:r>
      <w:r>
        <w:rPr>
          <w:noProof/>
        </w:rPr>
        <w:fldChar w:fldCharType="separate"/>
      </w:r>
      <w:r w:rsidR="00E82224">
        <w:rPr>
          <w:noProof/>
        </w:rPr>
        <w:t>21</w:t>
      </w:r>
      <w:r>
        <w:rPr>
          <w:noProof/>
        </w:rPr>
        <w:fldChar w:fldCharType="end"/>
      </w:r>
      <w:r w:rsidRPr="003D0597">
        <w:tab/>
        <w:t>Main changes for Tasmania</w:t>
      </w:r>
    </w:p>
    <w:tbl>
      <w:tblPr>
        <w:tblW w:w="9920" w:type="dxa"/>
        <w:tblLook w:val="04A0" w:firstRow="1" w:lastRow="0" w:firstColumn="1" w:lastColumn="0" w:noHBand="0" w:noVBand="1"/>
      </w:tblPr>
      <w:tblGrid>
        <w:gridCol w:w="620"/>
        <w:gridCol w:w="262"/>
        <w:gridCol w:w="9038"/>
      </w:tblGrid>
      <w:tr w:rsidR="00BB3126" w:rsidRPr="002A2F9E" w:rsidTr="00C7618F">
        <w:trPr>
          <w:trHeight w:val="375"/>
        </w:trPr>
        <w:tc>
          <w:tcPr>
            <w:tcW w:w="620" w:type="dxa"/>
            <w:tcBorders>
              <w:top w:val="single" w:sz="4" w:space="0" w:color="auto"/>
              <w:left w:val="nil"/>
              <w:bottom w:val="single" w:sz="4" w:space="0" w:color="auto"/>
              <w:right w:val="nil"/>
            </w:tcBorders>
            <w:shd w:val="clear" w:color="auto" w:fill="auto"/>
            <w:noWrap/>
            <w:vAlign w:val="center"/>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$m</w:t>
            </w:r>
          </w:p>
        </w:tc>
        <w:tc>
          <w:tcPr>
            <w:tcW w:w="262" w:type="dxa"/>
            <w:tcBorders>
              <w:top w:val="single" w:sz="4" w:space="0" w:color="auto"/>
              <w:left w:val="nil"/>
              <w:bottom w:val="single" w:sz="4" w:space="0" w:color="auto"/>
              <w:right w:val="nil"/>
            </w:tcBorders>
            <w:shd w:val="clear" w:color="auto" w:fill="auto"/>
            <w:noWrap/>
            <w:vAlign w:val="center"/>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 </w:t>
            </w:r>
          </w:p>
        </w:tc>
        <w:tc>
          <w:tcPr>
            <w:tcW w:w="9038" w:type="dxa"/>
            <w:tcBorders>
              <w:top w:val="single" w:sz="4" w:space="0" w:color="auto"/>
              <w:left w:val="nil"/>
              <w:bottom w:val="single" w:sz="4" w:space="0" w:color="auto"/>
              <w:right w:val="nil"/>
            </w:tcBorders>
            <w:shd w:val="clear" w:color="auto" w:fill="auto"/>
            <w:vAlign w:val="center"/>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Reason for change</w:t>
            </w:r>
          </w:p>
        </w:tc>
      </w:tr>
      <w:tr w:rsidR="00BB3126" w:rsidRPr="002A2F9E" w:rsidTr="00C7618F">
        <w:trPr>
          <w:trHeight w:val="510"/>
        </w:trPr>
        <w:tc>
          <w:tcPr>
            <w:tcW w:w="620"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29</w:t>
            </w:r>
          </w:p>
        </w:tc>
        <w:tc>
          <w:tcPr>
            <w:tcW w:w="262"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 </w:t>
            </w:r>
          </w:p>
        </w:tc>
        <w:tc>
          <w:tcPr>
            <w:tcW w:w="9038" w:type="dxa"/>
            <w:tcBorders>
              <w:top w:val="nil"/>
              <w:left w:val="nil"/>
              <w:bottom w:val="nil"/>
              <w:right w:val="nil"/>
            </w:tcBorders>
            <w:shd w:val="clear" w:color="auto" w:fill="auto"/>
            <w:hideMark/>
          </w:tcPr>
          <w:p w:rsidR="00BB3126" w:rsidRPr="002A2F9E" w:rsidRDefault="00BB3126" w:rsidP="00EE6EF4">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b/>
                <w:bCs/>
                <w:sz w:val="20"/>
                <w:szCs w:val="20"/>
                <w:lang w:eastAsia="en-AU"/>
              </w:rPr>
              <w:t xml:space="preserve">Wage costs. </w:t>
            </w:r>
            <w:r w:rsidRPr="002A2F9E">
              <w:rPr>
                <w:rFonts w:ascii="Calibri" w:eastAsia="Times New Roman" w:hAnsi="Calibri" w:cs="Calibri"/>
                <w:sz w:val="20"/>
                <w:szCs w:val="20"/>
                <w:lang w:eastAsia="en-AU"/>
              </w:rPr>
              <w:t xml:space="preserve">Above average growth in wage levels increased Tasmania's </w:t>
            </w:r>
            <w:r w:rsidR="00EE6EF4">
              <w:rPr>
                <w:rFonts w:ascii="Calibri" w:eastAsia="Times New Roman" w:hAnsi="Calibri" w:cs="Calibri"/>
                <w:sz w:val="20"/>
                <w:szCs w:val="20"/>
                <w:lang w:eastAsia="en-AU"/>
              </w:rPr>
              <w:t xml:space="preserve">assessed </w:t>
            </w:r>
            <w:r w:rsidRPr="002A2F9E">
              <w:rPr>
                <w:rFonts w:ascii="Calibri" w:eastAsia="Times New Roman" w:hAnsi="Calibri" w:cs="Calibri"/>
                <w:sz w:val="20"/>
                <w:szCs w:val="20"/>
                <w:lang w:eastAsia="en-AU"/>
              </w:rPr>
              <w:t>service delivery costs and its GST share.</w:t>
            </w:r>
          </w:p>
        </w:tc>
      </w:tr>
      <w:tr w:rsidR="00BB3126" w:rsidRPr="002A2F9E" w:rsidTr="00C7618F">
        <w:trPr>
          <w:trHeight w:val="555"/>
        </w:trPr>
        <w:tc>
          <w:tcPr>
            <w:tcW w:w="620"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-25</w:t>
            </w:r>
          </w:p>
        </w:tc>
        <w:tc>
          <w:tcPr>
            <w:tcW w:w="262"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b/>
                <w:bCs/>
                <w:sz w:val="20"/>
                <w:szCs w:val="20"/>
                <w:lang w:eastAsia="en-AU"/>
              </w:rPr>
              <w:t xml:space="preserve">Commonwealth payments. </w:t>
            </w:r>
            <w:r w:rsidRPr="002A2F9E">
              <w:rPr>
                <w:rFonts w:ascii="Calibri" w:eastAsia="Times New Roman" w:hAnsi="Calibri" w:cs="Calibri"/>
                <w:sz w:val="20"/>
                <w:szCs w:val="20"/>
                <w:lang w:eastAsia="en-AU"/>
              </w:rPr>
              <w:t>Tasmania’s share of payments was greater in 2017-18 than in 2014-15, mainly due to higher shares of payments for road and hospital infrastructure. This reduced its GST share.</w:t>
            </w:r>
          </w:p>
        </w:tc>
      </w:tr>
      <w:tr w:rsidR="00BB3126" w:rsidRPr="002A2F9E" w:rsidTr="00C7618F">
        <w:trPr>
          <w:trHeight w:val="555"/>
        </w:trPr>
        <w:tc>
          <w:tcPr>
            <w:tcW w:w="620"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-23</w:t>
            </w:r>
          </w:p>
        </w:tc>
        <w:tc>
          <w:tcPr>
            <w:tcW w:w="262"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b/>
                <w:bCs/>
                <w:sz w:val="20"/>
                <w:szCs w:val="20"/>
                <w:lang w:eastAsia="en-AU"/>
              </w:rPr>
              <w:t>Investment growth.</w:t>
            </w:r>
            <w:r w:rsidRPr="002A2F9E">
              <w:rPr>
                <w:rFonts w:ascii="Calibri" w:eastAsia="Times New Roman" w:hAnsi="Calibri" w:cs="Calibri"/>
                <w:sz w:val="20"/>
                <w:szCs w:val="20"/>
                <w:lang w:eastAsia="en-AU"/>
              </w:rPr>
              <w:t xml:space="preserve"> Growth in total urban transport investment from 2014-15 to 2017-18 decreased Tasmania’s share of payments due to its below average urban transport investment needs.</w:t>
            </w:r>
          </w:p>
        </w:tc>
      </w:tr>
      <w:tr w:rsidR="00BB3126" w:rsidRPr="002A2F9E" w:rsidTr="00C7618F">
        <w:trPr>
          <w:trHeight w:val="510"/>
        </w:trPr>
        <w:tc>
          <w:tcPr>
            <w:tcW w:w="620"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22</w:t>
            </w:r>
          </w:p>
        </w:tc>
        <w:tc>
          <w:tcPr>
            <w:tcW w:w="262" w:type="dxa"/>
            <w:tcBorders>
              <w:top w:val="nil"/>
              <w:left w:val="nil"/>
              <w:bottom w:val="nil"/>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2A2F9E" w:rsidRDefault="00BB3126" w:rsidP="00404A77">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b/>
                <w:bCs/>
                <w:sz w:val="20"/>
                <w:szCs w:val="20"/>
                <w:lang w:eastAsia="en-AU"/>
              </w:rPr>
              <w:t>Population growth.</w:t>
            </w:r>
            <w:r w:rsidRPr="002A2F9E">
              <w:rPr>
                <w:rFonts w:ascii="Calibri" w:eastAsia="Times New Roman" w:hAnsi="Calibri" w:cs="Calibri"/>
                <w:sz w:val="20"/>
                <w:szCs w:val="20"/>
                <w:lang w:eastAsia="en-AU"/>
              </w:rPr>
              <w:t xml:space="preserve"> Tasmania's </w:t>
            </w:r>
            <w:r w:rsidR="006B6C2F">
              <w:rPr>
                <w:rFonts w:ascii="Calibri" w:eastAsia="Times New Roman" w:hAnsi="Calibri" w:cs="Calibri"/>
                <w:sz w:val="20"/>
                <w:szCs w:val="20"/>
                <w:lang w:eastAsia="en-AU"/>
              </w:rPr>
              <w:t xml:space="preserve">share of national </w:t>
            </w:r>
            <w:r w:rsidRPr="002A2F9E">
              <w:rPr>
                <w:rFonts w:ascii="Calibri" w:eastAsia="Times New Roman" w:hAnsi="Calibri" w:cs="Calibri"/>
                <w:sz w:val="20"/>
                <w:szCs w:val="20"/>
                <w:lang w:eastAsia="en-AU"/>
              </w:rPr>
              <w:t>population growth increased between 2014-15 and 2017</w:t>
            </w:r>
            <w:r w:rsidR="00404A77">
              <w:rPr>
                <w:rFonts w:ascii="Calibri" w:eastAsia="Times New Roman" w:hAnsi="Calibri" w:cs="Calibri"/>
                <w:sz w:val="20"/>
                <w:szCs w:val="20"/>
                <w:lang w:eastAsia="en-AU"/>
              </w:rPr>
              <w:noBreakHyphen/>
            </w:r>
            <w:r w:rsidRPr="002A2F9E">
              <w:rPr>
                <w:rFonts w:ascii="Calibri" w:eastAsia="Times New Roman" w:hAnsi="Calibri" w:cs="Calibri"/>
                <w:sz w:val="20"/>
                <w:szCs w:val="20"/>
                <w:lang w:eastAsia="en-AU"/>
              </w:rPr>
              <w:t>18</w:t>
            </w:r>
            <w:r>
              <w:rPr>
                <w:rFonts w:ascii="Calibri" w:eastAsia="Times New Roman" w:hAnsi="Calibri" w:cs="Calibri"/>
                <w:sz w:val="20"/>
                <w:szCs w:val="20"/>
                <w:lang w:eastAsia="en-AU"/>
              </w:rPr>
              <w:t>,</w:t>
            </w:r>
            <w:r w:rsidRPr="002A2F9E">
              <w:rPr>
                <w:rFonts w:ascii="Calibri" w:eastAsia="Times New Roman" w:hAnsi="Calibri" w:cs="Calibri"/>
                <w:sz w:val="20"/>
                <w:szCs w:val="20"/>
                <w:lang w:eastAsia="en-AU"/>
              </w:rPr>
              <w:t xml:space="preserve"> </w:t>
            </w:r>
            <w:r w:rsidR="00404A77">
              <w:rPr>
                <w:rFonts w:ascii="Calibri" w:eastAsia="Times New Roman" w:hAnsi="Calibri" w:cs="Calibri"/>
                <w:sz w:val="20"/>
                <w:szCs w:val="20"/>
                <w:lang w:eastAsia="en-AU"/>
              </w:rPr>
              <w:t>increasing its assessed</w:t>
            </w:r>
            <w:r w:rsidRPr="002A2F9E">
              <w:rPr>
                <w:rFonts w:ascii="Calibri" w:eastAsia="Times New Roman" w:hAnsi="Calibri" w:cs="Calibri"/>
                <w:sz w:val="20"/>
                <w:szCs w:val="20"/>
                <w:lang w:eastAsia="en-AU"/>
              </w:rPr>
              <w:t xml:space="preserve"> investment needs.</w:t>
            </w:r>
          </w:p>
        </w:tc>
      </w:tr>
      <w:tr w:rsidR="00BB3126" w:rsidRPr="002A2F9E" w:rsidTr="00C7618F">
        <w:trPr>
          <w:trHeight w:val="555"/>
        </w:trPr>
        <w:tc>
          <w:tcPr>
            <w:tcW w:w="620" w:type="dxa"/>
            <w:tcBorders>
              <w:top w:val="nil"/>
              <w:left w:val="nil"/>
              <w:bottom w:val="single" w:sz="4" w:space="0" w:color="auto"/>
              <w:right w:val="nil"/>
            </w:tcBorders>
            <w:shd w:val="clear" w:color="auto" w:fill="auto"/>
            <w:noWrap/>
            <w:hideMark/>
          </w:tcPr>
          <w:p w:rsidR="00BB3126" w:rsidRPr="002A2F9E" w:rsidRDefault="00BB3126" w:rsidP="00C7618F">
            <w:pPr>
              <w:tabs>
                <w:tab w:val="clear" w:pos="567"/>
              </w:tabs>
              <w:spacing w:after="0" w:line="240" w:lineRule="auto"/>
              <w:jc w:val="right"/>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-16</w:t>
            </w:r>
          </w:p>
        </w:tc>
        <w:tc>
          <w:tcPr>
            <w:tcW w:w="262" w:type="dxa"/>
            <w:tcBorders>
              <w:top w:val="nil"/>
              <w:left w:val="nil"/>
              <w:bottom w:val="single" w:sz="4" w:space="0" w:color="auto"/>
              <w:right w:val="nil"/>
            </w:tcBorders>
            <w:shd w:val="clear" w:color="auto" w:fill="auto"/>
            <w:noWrap/>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sz w:val="20"/>
                <w:szCs w:val="20"/>
                <w:lang w:eastAsia="en-AU"/>
              </w:rPr>
              <w:t> </w:t>
            </w:r>
          </w:p>
        </w:tc>
        <w:tc>
          <w:tcPr>
            <w:tcW w:w="9038" w:type="dxa"/>
            <w:tcBorders>
              <w:top w:val="nil"/>
              <w:left w:val="nil"/>
              <w:bottom w:val="single" w:sz="4" w:space="0" w:color="auto"/>
              <w:right w:val="nil"/>
            </w:tcBorders>
            <w:shd w:val="clear" w:color="auto" w:fill="auto"/>
            <w:hideMark/>
          </w:tcPr>
          <w:p w:rsidR="00BB3126" w:rsidRPr="002A2F9E" w:rsidRDefault="00BB3126" w:rsidP="00C7618F">
            <w:pPr>
              <w:tabs>
                <w:tab w:val="clear" w:pos="567"/>
              </w:tabs>
              <w:spacing w:after="0" w:line="240" w:lineRule="auto"/>
              <w:rPr>
                <w:rFonts w:ascii="Calibri" w:eastAsia="Times New Roman" w:hAnsi="Calibri" w:cs="Calibri"/>
                <w:sz w:val="20"/>
                <w:szCs w:val="20"/>
                <w:lang w:eastAsia="en-AU"/>
              </w:rPr>
            </w:pPr>
            <w:r w:rsidRPr="002A2F9E">
              <w:rPr>
                <w:rFonts w:ascii="Calibri" w:eastAsia="Times New Roman" w:hAnsi="Calibri" w:cs="Calibri"/>
                <w:b/>
                <w:bCs/>
                <w:sz w:val="20"/>
                <w:szCs w:val="20"/>
                <w:lang w:eastAsia="en-AU"/>
              </w:rPr>
              <w:t xml:space="preserve">Property sales. </w:t>
            </w:r>
            <w:r w:rsidRPr="002A2F9E">
              <w:rPr>
                <w:rFonts w:ascii="Calibri" w:eastAsia="Times New Roman" w:hAnsi="Calibri" w:cs="Calibri"/>
                <w:sz w:val="20"/>
                <w:szCs w:val="20"/>
                <w:lang w:eastAsia="en-AU"/>
              </w:rPr>
              <w:t xml:space="preserve">Above average growth in </w:t>
            </w:r>
            <w:r>
              <w:rPr>
                <w:rFonts w:ascii="Calibri" w:eastAsia="Times New Roman" w:hAnsi="Calibri" w:cs="Calibri"/>
                <w:sz w:val="20"/>
                <w:szCs w:val="20"/>
                <w:lang w:eastAsia="en-AU"/>
              </w:rPr>
              <w:t xml:space="preserve">the value of </w:t>
            </w:r>
            <w:r w:rsidRPr="002A2F9E">
              <w:rPr>
                <w:rFonts w:ascii="Calibri" w:eastAsia="Times New Roman" w:hAnsi="Calibri" w:cs="Calibri"/>
                <w:sz w:val="20"/>
                <w:szCs w:val="20"/>
                <w:lang w:eastAsia="en-AU"/>
              </w:rPr>
              <w:t>property sales increased Tasmania's revenue raising capacity and reduced its GST share.</w:t>
            </w:r>
          </w:p>
        </w:tc>
      </w:tr>
    </w:tbl>
    <w:p w:rsidR="00BB3126" w:rsidRPr="00001ED7" w:rsidRDefault="00BB3126" w:rsidP="00BB3126">
      <w:pPr>
        <w:rPr>
          <w:highlight w:val="yellow"/>
        </w:rPr>
        <w:sectPr w:rsidR="00BB3126" w:rsidRPr="00001ED7" w:rsidSect="00C7618F">
          <w:type w:val="continuous"/>
          <w:pgSz w:w="11899" w:h="16838" w:code="9"/>
          <w:pgMar w:top="1440" w:right="1080" w:bottom="1440" w:left="1080" w:header="709" w:footer="709" w:gutter="0"/>
          <w:cols w:space="1"/>
          <w:titlePg/>
          <w:docGrid w:linePitch="326"/>
        </w:sectPr>
      </w:pPr>
    </w:p>
    <w:p w:rsidR="00BB3126" w:rsidRPr="005F42A8" w:rsidRDefault="00BB3126" w:rsidP="00BB3126">
      <w:pPr>
        <w:spacing w:before="240"/>
      </w:pPr>
      <w:r w:rsidRPr="008F6814">
        <w:rPr>
          <w:rStyle w:val="Heading6Char"/>
        </w:rPr>
        <w:t>Fiscal capacity.</w:t>
      </w:r>
      <w:r w:rsidRPr="008F6814">
        <w:t xml:space="preserve"> Tasmania has </w:t>
      </w:r>
      <w:r>
        <w:t>weak</w:t>
      </w:r>
      <w:r w:rsidRPr="008F6814">
        <w:t xml:space="preserve"> revenue </w:t>
      </w:r>
      <w:r>
        <w:t xml:space="preserve">raising </w:t>
      </w:r>
      <w:r w:rsidRPr="005F42A8">
        <w:t>capacity, with well below average</w:t>
      </w:r>
      <w:r>
        <w:t xml:space="preserve"> mining production,</w:t>
      </w:r>
      <w:r w:rsidRPr="005F42A8">
        <w:t xml:space="preserve"> taxable payrolls and </w:t>
      </w:r>
      <w:r>
        <w:t xml:space="preserve">value of </w:t>
      </w:r>
      <w:r w:rsidRPr="005F42A8">
        <w:t xml:space="preserve">property sales. In addition, it has the second highest per capita assessed expenses for </w:t>
      </w:r>
      <w:r>
        <w:t xml:space="preserve">schools, </w:t>
      </w:r>
      <w:r w:rsidRPr="005F42A8">
        <w:t>health</w:t>
      </w:r>
      <w:r>
        <w:t>, housing</w:t>
      </w:r>
      <w:r w:rsidRPr="005F42A8">
        <w:t xml:space="preserve"> and welfare. </w:t>
      </w:r>
    </w:p>
    <w:p w:rsidR="00BB3126" w:rsidRPr="005F42A8" w:rsidRDefault="00BB3126" w:rsidP="00BB3126">
      <w:r w:rsidRPr="005F42A8">
        <w:t>These high service delivery costs reflect the State’s above average shares of people in regional areas</w:t>
      </w:r>
      <w:r>
        <w:t xml:space="preserve">, </w:t>
      </w:r>
      <w:r w:rsidRPr="005F42A8">
        <w:t xml:space="preserve">people of low socio-economic status, older people and government school students. </w:t>
      </w:r>
      <w:r w:rsidR="007A197C">
        <w:t>Tasmania’s</w:t>
      </w:r>
      <w:r w:rsidRPr="005F42A8">
        <w:t xml:space="preserve"> higher assessed costs are compounded by diseconomies of scale in administration.</w:t>
      </w:r>
    </w:p>
    <w:p w:rsidR="00BB3126" w:rsidRPr="005F42A8" w:rsidRDefault="00BB3126" w:rsidP="00BB3126">
      <w:pPr>
        <w:pStyle w:val="CGCTableHeading"/>
        <w:keepNext w:val="0"/>
        <w:keepLines w:val="0"/>
        <w:spacing w:after="80" w:line="320" w:lineRule="atLeast"/>
        <w:ind w:left="0" w:firstLine="0"/>
      </w:pPr>
      <w:r w:rsidRPr="005F42A8">
        <w:rPr>
          <w:szCs w:val="24"/>
        </w:rPr>
        <w:br w:type="column"/>
      </w:r>
      <w:r w:rsidRPr="005F42A8">
        <w:t xml:space="preserve">Table </w:t>
      </w:r>
      <w:r>
        <w:rPr>
          <w:noProof/>
        </w:rPr>
        <w:fldChar w:fldCharType="begin"/>
      </w:r>
      <w:r>
        <w:rPr>
          <w:noProof/>
        </w:rPr>
        <w:instrText xml:space="preserve"> SEQ Table \* ARABIC </w:instrText>
      </w:r>
      <w:r>
        <w:rPr>
          <w:noProof/>
        </w:rPr>
        <w:fldChar w:fldCharType="separate"/>
      </w:r>
      <w:r w:rsidR="00E82224">
        <w:rPr>
          <w:noProof/>
        </w:rPr>
        <w:t>22</w:t>
      </w:r>
      <w:r>
        <w:rPr>
          <w:noProof/>
        </w:rPr>
        <w:fldChar w:fldCharType="end"/>
      </w:r>
      <w:r w:rsidRPr="005F42A8">
        <w:tab/>
      </w:r>
      <w:r w:rsidR="00800008">
        <w:t>Illustrative</w:t>
      </w:r>
      <w:r w:rsidR="00800008" w:rsidRPr="005F42A8">
        <w:t xml:space="preserve"> </w:t>
      </w:r>
      <w:r w:rsidRPr="005F42A8">
        <w:t>GST, 2019</w:t>
      </w:r>
      <w:r w:rsidRPr="005F42A8">
        <w:noBreakHyphen/>
        <w:t>20</w:t>
      </w:r>
    </w:p>
    <w:tbl>
      <w:tblPr>
        <w:tblW w:w="4240" w:type="dxa"/>
        <w:tblLayout w:type="fixed"/>
        <w:tblCellMar>
          <w:left w:w="0" w:type="dxa"/>
          <w:right w:w="0" w:type="dxa"/>
        </w:tblCellMar>
        <w:tblLook w:val="04A0" w:firstRow="1" w:lastRow="0" w:firstColumn="1" w:lastColumn="0" w:noHBand="0" w:noVBand="1"/>
      </w:tblPr>
      <w:tblGrid>
        <w:gridCol w:w="2700"/>
        <w:gridCol w:w="820"/>
        <w:gridCol w:w="720"/>
      </w:tblGrid>
      <w:tr w:rsidR="00BB3126" w:rsidRPr="00550305" w:rsidTr="00C7618F">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$pc</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1 429</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2 690</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xml:space="preserve"> </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xml:space="preserve"> </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Expenses</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587</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1 106</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Investment</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-164</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-309</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Net borrowing</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17</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32</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Revenue</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731</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1 375</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-86</w:t>
            </w:r>
          </w:p>
        </w:tc>
        <w:tc>
          <w:tcPr>
            <w:tcW w:w="7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-163</w:t>
            </w:r>
          </w:p>
        </w:tc>
      </w:tr>
      <w:tr w:rsidR="00BB3126" w:rsidRPr="00550305" w:rsidTr="00C7618F">
        <w:trPr>
          <w:trHeight w:val="315"/>
        </w:trPr>
        <w:tc>
          <w:tcPr>
            <w:tcW w:w="2700" w:type="dxa"/>
            <w:tcBorders>
              <w:top w:val="nil"/>
              <w:left w:val="nil"/>
              <w:bottom w:val="single" w:sz="4" w:space="0" w:color="auto"/>
              <w:right w:val="nil"/>
            </w:tcBorders>
            <w:shd w:val="clear" w:color="auto" w:fill="auto"/>
            <w:noWrap/>
            <w:vAlign w:val="bottom"/>
            <w:hideMark/>
          </w:tcPr>
          <w:p w:rsidR="00BB3126" w:rsidRPr="00550305" w:rsidRDefault="001F3A9A" w:rsidP="00C7618F">
            <w:pPr>
              <w:keepNext/>
              <w:keepLines/>
              <w:tabs>
                <w:tab w:val="clear" w:pos="567"/>
              </w:tabs>
              <w:spacing w:after="0" w:line="240" w:lineRule="auto"/>
              <w:ind w:left="193" w:hanging="142"/>
              <w:rPr>
                <w:rFonts w:ascii="Calibri" w:eastAsia="Times New Roman" w:hAnsi="Calibri" w:cs="Calibri"/>
                <w:sz w:val="20"/>
                <w:szCs w:val="20"/>
                <w:lang w:eastAsia="en-AU"/>
              </w:rPr>
            </w:pPr>
            <w:r>
              <w:rPr>
                <w:rFonts w:ascii="Calibri" w:eastAsia="Times New Roman" w:hAnsi="Calibri" w:cs="Calibri"/>
                <w:sz w:val="20"/>
                <w:szCs w:val="20"/>
                <w:lang w:eastAsia="en-AU"/>
              </w:rPr>
              <w:t>Illustrative</w:t>
            </w:r>
            <w:r w:rsidRPr="00550305">
              <w:rPr>
                <w:rFonts w:ascii="Calibri" w:eastAsia="Times New Roman" w:hAnsi="Calibri" w:cs="Calibri"/>
                <w:sz w:val="20"/>
                <w:szCs w:val="20"/>
                <w:lang w:eastAsia="en-AU"/>
              </w:rPr>
              <w:t xml:space="preserve"> </w:t>
            </w:r>
            <w:r w:rsidR="00BB3126" w:rsidRPr="00550305">
              <w:rPr>
                <w:rFonts w:ascii="Calibri" w:eastAsia="Times New Roman" w:hAnsi="Calibri" w:cs="Calibri"/>
                <w:sz w:val="20"/>
                <w:szCs w:val="20"/>
                <w:lang w:eastAsia="en-AU"/>
              </w:rPr>
              <w:t>GST</w:t>
            </w:r>
          </w:p>
        </w:tc>
        <w:tc>
          <w:tcPr>
            <w:tcW w:w="8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2 513</w:t>
            </w:r>
          </w:p>
        </w:tc>
        <w:tc>
          <w:tcPr>
            <w:tcW w:w="7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4 731</w:t>
            </w:r>
          </w:p>
        </w:tc>
      </w:tr>
    </w:tbl>
    <w:p w:rsidR="00BB3126" w:rsidRPr="005F42A8" w:rsidRDefault="00BB3126" w:rsidP="00BB3126">
      <w:pPr>
        <w:pStyle w:val="CGCTableFootnote"/>
        <w:sectPr w:rsidR="00BB3126" w:rsidRPr="005F42A8" w:rsidSect="00C7618F">
          <w:type w:val="continuous"/>
          <w:pgSz w:w="11899" w:h="16838" w:code="9"/>
          <w:pgMar w:top="1440" w:right="1080" w:bottom="1440" w:left="1080" w:header="709" w:footer="709" w:gutter="0"/>
          <w:cols w:num="2" w:space="157" w:equalWidth="0">
            <w:col w:w="5500" w:space="157"/>
            <w:col w:w="4082"/>
          </w:cols>
          <w:titlePg/>
          <w:docGrid w:linePitch="326"/>
        </w:sectPr>
      </w:pPr>
      <w:r>
        <w:t>Note:</w:t>
      </w:r>
      <w:r>
        <w:tab/>
      </w:r>
      <w:r w:rsidRPr="005F42A8">
        <w:t>Table may not add due to rounding.</w:t>
      </w:r>
    </w:p>
    <w:p w:rsidR="00BB3126" w:rsidRPr="005F42A8" w:rsidRDefault="00BB3126" w:rsidP="00BB3126">
      <w:pPr>
        <w:pStyle w:val="Heading4"/>
        <w:spacing w:before="0"/>
      </w:pPr>
      <w:bookmarkStart w:id="400" w:name="_Toc428803225"/>
      <w:bookmarkStart w:id="401" w:name="_Toc433353482"/>
      <w:bookmarkStart w:id="402" w:name="_Toc441241588"/>
      <w:bookmarkStart w:id="403" w:name="_Toc441499258"/>
      <w:bookmarkStart w:id="404" w:name="_Toc442191914"/>
      <w:bookmarkStart w:id="405" w:name="_Toc442192166"/>
      <w:bookmarkStart w:id="406" w:name="_Toc442192231"/>
      <w:bookmarkStart w:id="407" w:name="_Toc442772817"/>
      <w:bookmarkStart w:id="408" w:name="_Toc442773044"/>
      <w:bookmarkStart w:id="409" w:name="_Toc442773216"/>
      <w:bookmarkStart w:id="410" w:name="_Toc442883281"/>
      <w:bookmarkStart w:id="411" w:name="_Toc474923749"/>
      <w:bookmarkStart w:id="412" w:name="_Toc505872175"/>
      <w:bookmarkStart w:id="413" w:name="_Toc536519626"/>
      <w:bookmarkStart w:id="414" w:name="_Toc536631336"/>
      <w:bookmarkStart w:id="415" w:name="_Toc536803169"/>
      <w:bookmarkStart w:id="416" w:name="_Toc536803257"/>
      <w:bookmarkStart w:id="417" w:name="_Toc1115137"/>
      <w:r w:rsidRPr="005F42A8">
        <w:lastRenderedPageBreak/>
        <w:t>Australian Capital Territory</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BB3126" w:rsidRPr="005F42A8" w:rsidRDefault="00BB3126" w:rsidP="00BB3126">
      <w:pPr>
        <w:pStyle w:val="Heading4"/>
        <w:spacing w:before="0"/>
        <w:sectPr w:rsidR="00BB3126" w:rsidRPr="005F42A8" w:rsidSect="00C7618F">
          <w:headerReference w:type="even" r:id="rId70"/>
          <w:headerReference w:type="default" r:id="rId71"/>
          <w:footerReference w:type="default" r:id="rId72"/>
          <w:headerReference w:type="first" r:id="rId73"/>
          <w:pgSz w:w="11899" w:h="16838" w:code="9"/>
          <w:pgMar w:top="1440" w:right="1080" w:bottom="1440" w:left="1080" w:header="709" w:footer="709" w:gutter="0"/>
          <w:cols w:space="708"/>
          <w:titlePg/>
          <w:docGrid w:linePitch="326"/>
        </w:sectPr>
      </w:pPr>
    </w:p>
    <w:p w:rsidR="00BB3126" w:rsidRDefault="00BB3126" w:rsidP="00BB3126">
      <w:pPr>
        <w:rPr>
          <w:szCs w:val="24"/>
        </w:rPr>
      </w:pPr>
      <w:r w:rsidRPr="005F42A8">
        <w:rPr>
          <w:rStyle w:val="Heading6Char"/>
        </w:rPr>
        <w:t xml:space="preserve">Changes in this update. </w:t>
      </w:r>
      <w:r w:rsidRPr="005F42A8">
        <w:rPr>
          <w:szCs w:val="24"/>
        </w:rPr>
        <w:t xml:space="preserve">The ACT’s fiscal capacity has </w:t>
      </w:r>
      <w:r>
        <w:rPr>
          <w:szCs w:val="24"/>
        </w:rPr>
        <w:t>weakened</w:t>
      </w:r>
      <w:r w:rsidRPr="005F42A8">
        <w:rPr>
          <w:szCs w:val="24"/>
        </w:rPr>
        <w:t xml:space="preserve"> but it </w:t>
      </w:r>
      <w:r w:rsidRPr="005F42A8">
        <w:t xml:space="preserve">remains the fourth </w:t>
      </w:r>
      <w:r>
        <w:t>weakest</w:t>
      </w:r>
      <w:r w:rsidRPr="005F42A8">
        <w:t xml:space="preserve"> State</w:t>
      </w:r>
      <w:r w:rsidRPr="005F42A8">
        <w:rPr>
          <w:szCs w:val="24"/>
        </w:rPr>
        <w:t xml:space="preserve">. </w:t>
      </w:r>
      <w:r w:rsidR="006B6C2F">
        <w:rPr>
          <w:szCs w:val="24"/>
        </w:rPr>
        <w:t>Above average g</w:t>
      </w:r>
      <w:r w:rsidRPr="005F42A8">
        <w:rPr>
          <w:szCs w:val="24"/>
        </w:rPr>
        <w:t xml:space="preserve">rowth in wage levels, </w:t>
      </w:r>
      <w:r>
        <w:rPr>
          <w:szCs w:val="24"/>
        </w:rPr>
        <w:t>increasing</w:t>
      </w:r>
      <w:r w:rsidRPr="005F42A8">
        <w:rPr>
          <w:szCs w:val="24"/>
        </w:rPr>
        <w:t xml:space="preserve"> population growth and growth in mining production in other States increased its GST share. These changes were partially offset by </w:t>
      </w:r>
      <w:r>
        <w:rPr>
          <w:szCs w:val="24"/>
        </w:rPr>
        <w:t>above average growth in the value of property sales and a relative decline in urban transport investment needs</w:t>
      </w:r>
      <w:r w:rsidRPr="005F42A8">
        <w:rPr>
          <w:szCs w:val="24"/>
        </w:rPr>
        <w:t xml:space="preserve">. Its </w:t>
      </w:r>
      <w:r>
        <w:rPr>
          <w:szCs w:val="24"/>
        </w:rPr>
        <w:t>weakened</w:t>
      </w:r>
      <w:r w:rsidRPr="005F42A8">
        <w:rPr>
          <w:szCs w:val="24"/>
        </w:rPr>
        <w:t xml:space="preserve"> fiscal capacity will see its GST share increase from 2.0% to 2.1%. Combined with pool growth, its GST entitlement in 2019</w:t>
      </w:r>
      <w:r w:rsidRPr="005F42A8">
        <w:rPr>
          <w:szCs w:val="24"/>
        </w:rPr>
        <w:noBreakHyphen/>
        <w:t>20 will increase by $1</w:t>
      </w:r>
      <w:r>
        <w:rPr>
          <w:szCs w:val="24"/>
        </w:rPr>
        <w:t>13 million, or 8.5</w:t>
      </w:r>
      <w:r w:rsidRPr="005F42A8">
        <w:rPr>
          <w:szCs w:val="24"/>
        </w:rPr>
        <w:t>%.</w:t>
      </w:r>
    </w:p>
    <w:p w:rsidR="00BB3126" w:rsidRPr="005F42A8" w:rsidRDefault="00BB3126" w:rsidP="00BB3126">
      <w:pPr>
        <w:rPr>
          <w:rStyle w:val="CGCTableHeadingChar"/>
        </w:rPr>
      </w:pPr>
      <w:r w:rsidRPr="005F42A8">
        <w:br w:type="column"/>
      </w:r>
      <w:bookmarkStart w:id="418" w:name="_Ref1114250"/>
      <w:r w:rsidRPr="005F42A8">
        <w:rPr>
          <w:rStyle w:val="CGCTableHeadingChar"/>
        </w:rPr>
        <w:t xml:space="preserve">Table </w:t>
      </w:r>
      <w:r w:rsidRPr="005F42A8">
        <w:rPr>
          <w:rStyle w:val="CGCTableHeadingChar"/>
        </w:rPr>
        <w:fldChar w:fldCharType="begin"/>
      </w:r>
      <w:r w:rsidRPr="005F42A8">
        <w:rPr>
          <w:rStyle w:val="CGCTableHeadingChar"/>
        </w:rPr>
        <w:instrText xml:space="preserve"> SEQ Table \* ARABIC </w:instrText>
      </w:r>
      <w:r w:rsidRPr="005F42A8">
        <w:rPr>
          <w:rStyle w:val="CGCTableHeadingChar"/>
        </w:rPr>
        <w:fldChar w:fldCharType="separate"/>
      </w:r>
      <w:r w:rsidR="00E82224">
        <w:rPr>
          <w:rStyle w:val="CGCTableHeadingChar"/>
          <w:noProof/>
        </w:rPr>
        <w:t>23</w:t>
      </w:r>
      <w:r w:rsidRPr="005F42A8">
        <w:rPr>
          <w:rStyle w:val="CGCTableHeadingChar"/>
        </w:rPr>
        <w:fldChar w:fldCharType="end"/>
      </w:r>
      <w:bookmarkEnd w:id="418"/>
      <w:r w:rsidRPr="005F42A8">
        <w:rPr>
          <w:rStyle w:val="CGCTableHeadingChar"/>
        </w:rPr>
        <w:tab/>
        <w:t>Change in GST</w:t>
      </w:r>
    </w:p>
    <w:tbl>
      <w:tblPr>
        <w:tblW w:w="4240" w:type="dxa"/>
        <w:tblLayout w:type="fixed"/>
        <w:tblCellMar>
          <w:left w:w="0" w:type="dxa"/>
          <w:right w:w="0" w:type="dxa"/>
        </w:tblCellMar>
        <w:tblLook w:val="04A0" w:firstRow="1" w:lastRow="0" w:firstColumn="1" w:lastColumn="0" w:noHBand="0" w:noVBand="1"/>
      </w:tblPr>
      <w:tblGrid>
        <w:gridCol w:w="2700"/>
        <w:gridCol w:w="820"/>
        <w:gridCol w:w="720"/>
      </w:tblGrid>
      <w:tr w:rsidR="00BB3126" w:rsidRPr="00550305" w:rsidTr="00C7618F">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$pc</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Change due to:</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rPr>
                <w:rFonts w:ascii="Calibri" w:eastAsia="Times New Roman" w:hAnsi="Calibri" w:cs="Calibri"/>
                <w:sz w:val="20"/>
                <w:szCs w:val="20"/>
                <w:lang w:eastAsia="en-AU"/>
              </w:rPr>
            </w:pP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rPr>
                <w:rFonts w:ascii="Times New Roman" w:eastAsia="Times New Roman" w:hAnsi="Times New Roman" w:cs="Times New Roman"/>
                <w:sz w:val="20"/>
                <w:szCs w:val="20"/>
                <w:lang w:eastAsia="en-AU"/>
              </w:rPr>
            </w:pP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New population</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0</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Growth in GST available</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47</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110</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New relativities</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66</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153</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200" w:firstLine="400"/>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Data revisions</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39</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90</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200" w:firstLine="400"/>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Change in circumstances</w:t>
            </w:r>
          </w:p>
        </w:tc>
        <w:tc>
          <w:tcPr>
            <w:tcW w:w="8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27</w:t>
            </w:r>
          </w:p>
        </w:tc>
        <w:tc>
          <w:tcPr>
            <w:tcW w:w="7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63</w:t>
            </w:r>
          </w:p>
        </w:tc>
      </w:tr>
      <w:tr w:rsidR="00BB3126" w:rsidRPr="00550305" w:rsidTr="00C7618F">
        <w:trPr>
          <w:trHeight w:val="315"/>
        </w:trPr>
        <w:tc>
          <w:tcPr>
            <w:tcW w:w="270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Total change</w:t>
            </w:r>
          </w:p>
        </w:tc>
        <w:tc>
          <w:tcPr>
            <w:tcW w:w="8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113</w:t>
            </w:r>
          </w:p>
        </w:tc>
        <w:tc>
          <w:tcPr>
            <w:tcW w:w="7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262</w:t>
            </w:r>
          </w:p>
        </w:tc>
      </w:tr>
    </w:tbl>
    <w:p w:rsidR="00BB3126" w:rsidRPr="005F42A8" w:rsidRDefault="00BB3126" w:rsidP="00BB3126">
      <w:pPr>
        <w:pStyle w:val="CGCTableFootnote"/>
        <w:sectPr w:rsidR="00BB3126" w:rsidRPr="005F42A8" w:rsidSect="00C7618F">
          <w:type w:val="continuous"/>
          <w:pgSz w:w="11899" w:h="16838" w:code="9"/>
          <w:pgMar w:top="1440" w:right="1080" w:bottom="1440" w:left="1080" w:header="709" w:footer="709" w:gutter="0"/>
          <w:cols w:num="2" w:space="145" w:equalWidth="0">
            <w:col w:w="5500" w:space="145"/>
            <w:col w:w="4094"/>
          </w:cols>
          <w:titlePg/>
          <w:docGrid w:linePitch="326"/>
        </w:sectPr>
      </w:pPr>
      <w:r>
        <w:t>Note:</w:t>
      </w:r>
      <w:r>
        <w:tab/>
      </w:r>
      <w:r w:rsidRPr="005F42A8">
        <w:t>Table may not add due to rounding.</w:t>
      </w:r>
    </w:p>
    <w:p w:rsidR="00BB3126" w:rsidRPr="003D0597" w:rsidRDefault="00BB3126" w:rsidP="00BB3126">
      <w:pPr>
        <w:pStyle w:val="CGCTableHeading"/>
        <w:spacing w:after="80" w:line="320" w:lineRule="atLeast"/>
      </w:pPr>
      <w:r w:rsidRPr="003D0597">
        <w:t xml:space="preserve">Table </w:t>
      </w:r>
      <w:r>
        <w:rPr>
          <w:noProof/>
        </w:rPr>
        <w:fldChar w:fldCharType="begin"/>
      </w:r>
      <w:r>
        <w:rPr>
          <w:noProof/>
        </w:rPr>
        <w:instrText xml:space="preserve"> SEQ Table \* ARABIC </w:instrText>
      </w:r>
      <w:r>
        <w:rPr>
          <w:noProof/>
        </w:rPr>
        <w:fldChar w:fldCharType="separate"/>
      </w:r>
      <w:r w:rsidR="00E82224">
        <w:rPr>
          <w:noProof/>
        </w:rPr>
        <w:t>24</w:t>
      </w:r>
      <w:r>
        <w:rPr>
          <w:noProof/>
        </w:rPr>
        <w:fldChar w:fldCharType="end"/>
      </w:r>
      <w:r w:rsidRPr="003D0597">
        <w:rPr>
          <w:bCs/>
        </w:rPr>
        <w:tab/>
      </w:r>
      <w:r w:rsidRPr="003D0597">
        <w:t>Main changes for the ACT</w:t>
      </w:r>
    </w:p>
    <w:tbl>
      <w:tblPr>
        <w:tblW w:w="9920" w:type="dxa"/>
        <w:tblLook w:val="04A0" w:firstRow="1" w:lastRow="0" w:firstColumn="1" w:lastColumn="0" w:noHBand="0" w:noVBand="1"/>
      </w:tblPr>
      <w:tblGrid>
        <w:gridCol w:w="620"/>
        <w:gridCol w:w="262"/>
        <w:gridCol w:w="9038"/>
      </w:tblGrid>
      <w:tr w:rsidR="00BB3126" w:rsidRPr="002F0718" w:rsidTr="00C7618F">
        <w:trPr>
          <w:trHeight w:val="375"/>
        </w:trPr>
        <w:tc>
          <w:tcPr>
            <w:tcW w:w="620" w:type="dxa"/>
            <w:tcBorders>
              <w:top w:val="single" w:sz="4" w:space="0" w:color="auto"/>
              <w:left w:val="nil"/>
              <w:bottom w:val="single" w:sz="4" w:space="0" w:color="auto"/>
              <w:right w:val="nil"/>
            </w:tcBorders>
            <w:shd w:val="clear" w:color="auto" w:fill="auto"/>
            <w:noWrap/>
            <w:vAlign w:val="center"/>
            <w:hideMark/>
          </w:tcPr>
          <w:p w:rsidR="00BB3126" w:rsidRPr="002F0718" w:rsidRDefault="00BB3126" w:rsidP="00C7618F">
            <w:pPr>
              <w:tabs>
                <w:tab w:val="clear" w:pos="567"/>
              </w:tabs>
              <w:spacing w:after="0" w:line="240" w:lineRule="auto"/>
              <w:jc w:val="right"/>
              <w:rPr>
                <w:rFonts w:ascii="Calibri" w:eastAsia="Times New Roman" w:hAnsi="Calibri" w:cs="Calibri"/>
                <w:sz w:val="20"/>
                <w:szCs w:val="20"/>
                <w:lang w:eastAsia="en-AU"/>
              </w:rPr>
            </w:pPr>
            <w:r w:rsidRPr="002F0718">
              <w:rPr>
                <w:rFonts w:ascii="Calibri" w:eastAsia="Times New Roman" w:hAnsi="Calibri" w:cs="Calibri"/>
                <w:sz w:val="20"/>
                <w:szCs w:val="20"/>
                <w:lang w:eastAsia="en-AU"/>
              </w:rPr>
              <w:t>$m</w:t>
            </w:r>
          </w:p>
        </w:tc>
        <w:tc>
          <w:tcPr>
            <w:tcW w:w="262" w:type="dxa"/>
            <w:tcBorders>
              <w:top w:val="single" w:sz="4" w:space="0" w:color="auto"/>
              <w:left w:val="nil"/>
              <w:bottom w:val="single" w:sz="4" w:space="0" w:color="auto"/>
              <w:right w:val="nil"/>
            </w:tcBorders>
            <w:shd w:val="clear" w:color="auto" w:fill="auto"/>
            <w:noWrap/>
            <w:vAlign w:val="center"/>
            <w:hideMark/>
          </w:tcPr>
          <w:p w:rsidR="00BB3126" w:rsidRPr="002F0718" w:rsidRDefault="00BB3126" w:rsidP="00C7618F">
            <w:pPr>
              <w:tabs>
                <w:tab w:val="clear" w:pos="567"/>
              </w:tabs>
              <w:spacing w:after="0" w:line="240" w:lineRule="auto"/>
              <w:rPr>
                <w:rFonts w:ascii="Calibri" w:eastAsia="Times New Roman" w:hAnsi="Calibri" w:cs="Calibri"/>
                <w:sz w:val="20"/>
                <w:szCs w:val="20"/>
                <w:lang w:eastAsia="en-AU"/>
              </w:rPr>
            </w:pPr>
            <w:r w:rsidRPr="002F0718">
              <w:rPr>
                <w:rFonts w:ascii="Calibri" w:eastAsia="Times New Roman" w:hAnsi="Calibri" w:cs="Calibri"/>
                <w:sz w:val="20"/>
                <w:szCs w:val="20"/>
                <w:lang w:eastAsia="en-AU"/>
              </w:rPr>
              <w:t> </w:t>
            </w:r>
          </w:p>
        </w:tc>
        <w:tc>
          <w:tcPr>
            <w:tcW w:w="9038" w:type="dxa"/>
            <w:tcBorders>
              <w:top w:val="single" w:sz="4" w:space="0" w:color="auto"/>
              <w:left w:val="nil"/>
              <w:bottom w:val="single" w:sz="4" w:space="0" w:color="auto"/>
              <w:right w:val="nil"/>
            </w:tcBorders>
            <w:shd w:val="clear" w:color="auto" w:fill="auto"/>
            <w:vAlign w:val="center"/>
            <w:hideMark/>
          </w:tcPr>
          <w:p w:rsidR="00BB3126" w:rsidRPr="002F0718" w:rsidRDefault="00BB3126" w:rsidP="00C7618F">
            <w:pPr>
              <w:tabs>
                <w:tab w:val="clear" w:pos="567"/>
              </w:tabs>
              <w:spacing w:after="0" w:line="240" w:lineRule="auto"/>
              <w:rPr>
                <w:rFonts w:ascii="Calibri" w:eastAsia="Times New Roman" w:hAnsi="Calibri" w:cs="Calibri"/>
                <w:sz w:val="20"/>
                <w:szCs w:val="20"/>
                <w:lang w:eastAsia="en-AU"/>
              </w:rPr>
            </w:pPr>
            <w:r w:rsidRPr="002F0718">
              <w:rPr>
                <w:rFonts w:ascii="Calibri" w:eastAsia="Times New Roman" w:hAnsi="Calibri" w:cs="Calibri"/>
                <w:sz w:val="20"/>
                <w:szCs w:val="20"/>
                <w:lang w:eastAsia="en-AU"/>
              </w:rPr>
              <w:t>Reason for change</w:t>
            </w:r>
          </w:p>
        </w:tc>
      </w:tr>
      <w:tr w:rsidR="00BB3126" w:rsidRPr="002F0718" w:rsidTr="00C7618F">
        <w:trPr>
          <w:trHeight w:val="510"/>
        </w:trPr>
        <w:tc>
          <w:tcPr>
            <w:tcW w:w="620" w:type="dxa"/>
            <w:tcBorders>
              <w:top w:val="nil"/>
              <w:left w:val="nil"/>
              <w:bottom w:val="nil"/>
              <w:right w:val="nil"/>
            </w:tcBorders>
            <w:shd w:val="clear" w:color="auto" w:fill="auto"/>
            <w:noWrap/>
            <w:hideMark/>
          </w:tcPr>
          <w:p w:rsidR="00BB3126" w:rsidRPr="002F0718" w:rsidRDefault="00BB3126" w:rsidP="00C7618F">
            <w:pPr>
              <w:tabs>
                <w:tab w:val="clear" w:pos="567"/>
              </w:tabs>
              <w:spacing w:after="0" w:line="240" w:lineRule="auto"/>
              <w:jc w:val="right"/>
              <w:rPr>
                <w:rFonts w:ascii="Calibri" w:eastAsia="Times New Roman" w:hAnsi="Calibri" w:cs="Calibri"/>
                <w:sz w:val="20"/>
                <w:szCs w:val="20"/>
                <w:lang w:eastAsia="en-AU"/>
              </w:rPr>
            </w:pPr>
            <w:r w:rsidRPr="002F0718">
              <w:rPr>
                <w:rFonts w:ascii="Calibri" w:eastAsia="Times New Roman" w:hAnsi="Calibri" w:cs="Calibri"/>
                <w:sz w:val="20"/>
                <w:szCs w:val="20"/>
                <w:lang w:eastAsia="en-AU"/>
              </w:rPr>
              <w:t>35</w:t>
            </w:r>
          </w:p>
        </w:tc>
        <w:tc>
          <w:tcPr>
            <w:tcW w:w="262" w:type="dxa"/>
            <w:tcBorders>
              <w:top w:val="nil"/>
              <w:left w:val="nil"/>
              <w:bottom w:val="nil"/>
              <w:right w:val="nil"/>
            </w:tcBorders>
            <w:shd w:val="clear" w:color="auto" w:fill="auto"/>
            <w:noWrap/>
            <w:hideMark/>
          </w:tcPr>
          <w:p w:rsidR="00BB3126" w:rsidRPr="002F0718" w:rsidRDefault="00BB3126" w:rsidP="00C7618F">
            <w:pPr>
              <w:tabs>
                <w:tab w:val="clear" w:pos="567"/>
              </w:tabs>
              <w:spacing w:after="0" w:line="240" w:lineRule="auto"/>
              <w:rPr>
                <w:rFonts w:ascii="Calibri" w:eastAsia="Times New Roman" w:hAnsi="Calibri" w:cs="Calibri"/>
                <w:sz w:val="20"/>
                <w:szCs w:val="20"/>
                <w:lang w:eastAsia="en-AU"/>
              </w:rPr>
            </w:pPr>
            <w:r w:rsidRPr="002F0718">
              <w:rPr>
                <w:rFonts w:ascii="Calibri" w:eastAsia="Times New Roman" w:hAnsi="Calibri" w:cs="Calibri"/>
                <w:sz w:val="20"/>
                <w:szCs w:val="20"/>
                <w:lang w:eastAsia="en-AU"/>
              </w:rPr>
              <w:t> </w:t>
            </w:r>
          </w:p>
        </w:tc>
        <w:tc>
          <w:tcPr>
            <w:tcW w:w="9038" w:type="dxa"/>
            <w:tcBorders>
              <w:top w:val="nil"/>
              <w:left w:val="nil"/>
              <w:bottom w:val="nil"/>
              <w:right w:val="nil"/>
            </w:tcBorders>
            <w:shd w:val="clear" w:color="auto" w:fill="auto"/>
            <w:hideMark/>
          </w:tcPr>
          <w:p w:rsidR="00BB3126" w:rsidRPr="002F0718" w:rsidRDefault="00BB3126" w:rsidP="00C7618F">
            <w:pPr>
              <w:tabs>
                <w:tab w:val="clear" w:pos="567"/>
              </w:tabs>
              <w:spacing w:after="0" w:line="240" w:lineRule="auto"/>
              <w:rPr>
                <w:rFonts w:ascii="Calibri" w:eastAsia="Times New Roman" w:hAnsi="Calibri" w:cs="Calibri"/>
                <w:sz w:val="20"/>
                <w:szCs w:val="20"/>
                <w:lang w:eastAsia="en-AU"/>
              </w:rPr>
            </w:pPr>
            <w:r w:rsidRPr="002F0718">
              <w:rPr>
                <w:rFonts w:ascii="Calibri" w:eastAsia="Times New Roman" w:hAnsi="Calibri" w:cs="Calibri"/>
                <w:b/>
                <w:bCs/>
                <w:sz w:val="20"/>
                <w:szCs w:val="20"/>
                <w:lang w:eastAsia="en-AU"/>
              </w:rPr>
              <w:t xml:space="preserve">Wage costs. </w:t>
            </w:r>
            <w:r w:rsidRPr="002F0718">
              <w:rPr>
                <w:rFonts w:ascii="Calibri" w:eastAsia="Times New Roman" w:hAnsi="Calibri" w:cs="Calibri"/>
                <w:sz w:val="20"/>
                <w:szCs w:val="20"/>
                <w:lang w:eastAsia="en-AU"/>
              </w:rPr>
              <w:t xml:space="preserve">Above average growth in wage levels increased the ACT's assessed service delivery costs </w:t>
            </w:r>
            <w:r w:rsidR="00C5496E">
              <w:rPr>
                <w:rFonts w:ascii="Calibri" w:eastAsia="Times New Roman" w:hAnsi="Calibri" w:cs="Calibri"/>
                <w:sz w:val="20"/>
                <w:szCs w:val="20"/>
                <w:lang w:eastAsia="en-AU"/>
              </w:rPr>
              <w:t xml:space="preserve">relative to other States </w:t>
            </w:r>
            <w:r w:rsidRPr="002F0718">
              <w:rPr>
                <w:rFonts w:ascii="Calibri" w:eastAsia="Times New Roman" w:hAnsi="Calibri" w:cs="Calibri"/>
                <w:sz w:val="20"/>
                <w:szCs w:val="20"/>
                <w:lang w:eastAsia="en-AU"/>
              </w:rPr>
              <w:t>and its GST share.</w:t>
            </w:r>
          </w:p>
        </w:tc>
      </w:tr>
      <w:tr w:rsidR="00BB3126" w:rsidRPr="002F0718" w:rsidTr="00C7618F">
        <w:trPr>
          <w:trHeight w:val="555"/>
        </w:trPr>
        <w:tc>
          <w:tcPr>
            <w:tcW w:w="620" w:type="dxa"/>
            <w:tcBorders>
              <w:top w:val="nil"/>
              <w:left w:val="nil"/>
              <w:bottom w:val="nil"/>
              <w:right w:val="nil"/>
            </w:tcBorders>
            <w:shd w:val="clear" w:color="auto" w:fill="auto"/>
            <w:noWrap/>
            <w:hideMark/>
          </w:tcPr>
          <w:p w:rsidR="00BB3126" w:rsidRPr="002F0718" w:rsidRDefault="00BB3126" w:rsidP="00C7618F">
            <w:pPr>
              <w:tabs>
                <w:tab w:val="clear" w:pos="567"/>
              </w:tabs>
              <w:spacing w:after="0" w:line="240" w:lineRule="auto"/>
              <w:jc w:val="right"/>
              <w:rPr>
                <w:rFonts w:ascii="Calibri" w:eastAsia="Times New Roman" w:hAnsi="Calibri" w:cs="Calibri"/>
                <w:sz w:val="20"/>
                <w:szCs w:val="20"/>
                <w:lang w:eastAsia="en-AU"/>
              </w:rPr>
            </w:pPr>
            <w:r w:rsidRPr="002F0718">
              <w:rPr>
                <w:rFonts w:ascii="Calibri" w:eastAsia="Times New Roman" w:hAnsi="Calibri" w:cs="Calibri"/>
                <w:sz w:val="20"/>
                <w:szCs w:val="20"/>
                <w:lang w:eastAsia="en-AU"/>
              </w:rPr>
              <w:t>-20</w:t>
            </w:r>
          </w:p>
        </w:tc>
        <w:tc>
          <w:tcPr>
            <w:tcW w:w="262" w:type="dxa"/>
            <w:tcBorders>
              <w:top w:val="nil"/>
              <w:left w:val="nil"/>
              <w:bottom w:val="nil"/>
              <w:right w:val="nil"/>
            </w:tcBorders>
            <w:shd w:val="clear" w:color="auto" w:fill="auto"/>
            <w:noWrap/>
            <w:hideMark/>
          </w:tcPr>
          <w:p w:rsidR="00BB3126" w:rsidRPr="002F0718"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2F0718" w:rsidRDefault="00BB3126" w:rsidP="00C7618F">
            <w:pPr>
              <w:tabs>
                <w:tab w:val="clear" w:pos="567"/>
              </w:tabs>
              <w:spacing w:after="0" w:line="240" w:lineRule="auto"/>
              <w:rPr>
                <w:rFonts w:ascii="Calibri" w:eastAsia="Times New Roman" w:hAnsi="Calibri" w:cs="Calibri"/>
                <w:sz w:val="20"/>
                <w:szCs w:val="20"/>
                <w:lang w:eastAsia="en-AU"/>
              </w:rPr>
            </w:pPr>
            <w:r w:rsidRPr="002F0718">
              <w:rPr>
                <w:rFonts w:ascii="Calibri" w:eastAsia="Times New Roman" w:hAnsi="Calibri" w:cs="Calibri"/>
                <w:b/>
                <w:bCs/>
                <w:sz w:val="20"/>
                <w:szCs w:val="20"/>
                <w:lang w:eastAsia="en-AU"/>
              </w:rPr>
              <w:t>Property sales.</w:t>
            </w:r>
            <w:r w:rsidRPr="002F0718">
              <w:rPr>
                <w:rFonts w:ascii="Calibri" w:eastAsia="Times New Roman" w:hAnsi="Calibri" w:cs="Calibri"/>
                <w:sz w:val="20"/>
                <w:szCs w:val="20"/>
                <w:lang w:eastAsia="en-AU"/>
              </w:rPr>
              <w:t xml:space="preserve"> Above average growth in </w:t>
            </w:r>
            <w:r>
              <w:rPr>
                <w:rFonts w:ascii="Calibri" w:eastAsia="Times New Roman" w:hAnsi="Calibri" w:cs="Calibri"/>
                <w:sz w:val="20"/>
                <w:szCs w:val="20"/>
                <w:lang w:eastAsia="en-AU"/>
              </w:rPr>
              <w:t xml:space="preserve">the value of </w:t>
            </w:r>
            <w:r w:rsidRPr="002F0718">
              <w:rPr>
                <w:rFonts w:ascii="Calibri" w:eastAsia="Times New Roman" w:hAnsi="Calibri" w:cs="Calibri"/>
                <w:sz w:val="20"/>
                <w:szCs w:val="20"/>
                <w:lang w:eastAsia="en-AU"/>
              </w:rPr>
              <w:t xml:space="preserve">property sales increased </w:t>
            </w:r>
            <w:r>
              <w:rPr>
                <w:rFonts w:ascii="Calibri" w:eastAsia="Times New Roman" w:hAnsi="Calibri" w:cs="Calibri"/>
                <w:sz w:val="20"/>
                <w:szCs w:val="20"/>
                <w:lang w:eastAsia="en-AU"/>
              </w:rPr>
              <w:t>the ACT’s</w:t>
            </w:r>
            <w:r w:rsidRPr="002F0718">
              <w:rPr>
                <w:rFonts w:ascii="Calibri" w:eastAsia="Times New Roman" w:hAnsi="Calibri" w:cs="Calibri"/>
                <w:sz w:val="20"/>
                <w:szCs w:val="20"/>
                <w:lang w:eastAsia="en-AU"/>
              </w:rPr>
              <w:t xml:space="preserve"> revenue raising capacity and reduced its GST share.</w:t>
            </w:r>
          </w:p>
        </w:tc>
      </w:tr>
      <w:tr w:rsidR="00BB3126" w:rsidRPr="002F0718" w:rsidTr="00C7618F">
        <w:trPr>
          <w:trHeight w:val="555"/>
        </w:trPr>
        <w:tc>
          <w:tcPr>
            <w:tcW w:w="620" w:type="dxa"/>
            <w:tcBorders>
              <w:top w:val="nil"/>
              <w:left w:val="nil"/>
              <w:bottom w:val="nil"/>
              <w:right w:val="nil"/>
            </w:tcBorders>
            <w:shd w:val="clear" w:color="auto" w:fill="auto"/>
            <w:noWrap/>
            <w:hideMark/>
          </w:tcPr>
          <w:p w:rsidR="00BB3126" w:rsidRPr="002F0718" w:rsidRDefault="00BB3126" w:rsidP="00C7618F">
            <w:pPr>
              <w:tabs>
                <w:tab w:val="clear" w:pos="567"/>
              </w:tabs>
              <w:spacing w:after="0" w:line="240" w:lineRule="auto"/>
              <w:jc w:val="right"/>
              <w:rPr>
                <w:rFonts w:ascii="Calibri" w:eastAsia="Times New Roman" w:hAnsi="Calibri" w:cs="Calibri"/>
                <w:sz w:val="20"/>
                <w:szCs w:val="20"/>
                <w:lang w:eastAsia="en-AU"/>
              </w:rPr>
            </w:pPr>
            <w:r w:rsidRPr="002F0718">
              <w:rPr>
                <w:rFonts w:ascii="Calibri" w:eastAsia="Times New Roman" w:hAnsi="Calibri" w:cs="Calibri"/>
                <w:sz w:val="20"/>
                <w:szCs w:val="20"/>
                <w:lang w:eastAsia="en-AU"/>
              </w:rPr>
              <w:t>17</w:t>
            </w:r>
          </w:p>
        </w:tc>
        <w:tc>
          <w:tcPr>
            <w:tcW w:w="262" w:type="dxa"/>
            <w:tcBorders>
              <w:top w:val="nil"/>
              <w:left w:val="nil"/>
              <w:bottom w:val="nil"/>
              <w:right w:val="nil"/>
            </w:tcBorders>
            <w:shd w:val="clear" w:color="auto" w:fill="auto"/>
            <w:noWrap/>
            <w:hideMark/>
          </w:tcPr>
          <w:p w:rsidR="00BB3126" w:rsidRPr="002F0718"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2F0718" w:rsidRDefault="00BB3126" w:rsidP="00B5265E">
            <w:pPr>
              <w:tabs>
                <w:tab w:val="clear" w:pos="567"/>
              </w:tabs>
              <w:spacing w:after="0" w:line="240" w:lineRule="auto"/>
              <w:rPr>
                <w:rFonts w:ascii="Calibri" w:eastAsia="Times New Roman" w:hAnsi="Calibri" w:cs="Calibri"/>
                <w:sz w:val="20"/>
                <w:szCs w:val="20"/>
                <w:lang w:eastAsia="en-AU"/>
              </w:rPr>
            </w:pPr>
            <w:r w:rsidRPr="002F0718">
              <w:rPr>
                <w:rFonts w:ascii="Calibri" w:eastAsia="Times New Roman" w:hAnsi="Calibri" w:cs="Calibri"/>
                <w:b/>
                <w:bCs/>
                <w:sz w:val="20"/>
                <w:szCs w:val="20"/>
                <w:lang w:eastAsia="en-AU"/>
              </w:rPr>
              <w:t>Population growth.</w:t>
            </w:r>
            <w:r w:rsidRPr="002F0718">
              <w:rPr>
                <w:rFonts w:ascii="Calibri" w:eastAsia="Times New Roman" w:hAnsi="Calibri" w:cs="Calibri"/>
                <w:sz w:val="20"/>
                <w:szCs w:val="20"/>
                <w:lang w:eastAsia="en-AU"/>
              </w:rPr>
              <w:t xml:space="preserve"> The ACT's </w:t>
            </w:r>
            <w:r w:rsidR="006B6C2F">
              <w:rPr>
                <w:rFonts w:ascii="Calibri" w:eastAsia="Times New Roman" w:hAnsi="Calibri" w:cs="Calibri"/>
                <w:sz w:val="20"/>
                <w:szCs w:val="20"/>
                <w:lang w:eastAsia="en-AU"/>
              </w:rPr>
              <w:t xml:space="preserve">share of national </w:t>
            </w:r>
            <w:r w:rsidRPr="002F0718">
              <w:rPr>
                <w:rFonts w:ascii="Calibri" w:eastAsia="Times New Roman" w:hAnsi="Calibri" w:cs="Calibri"/>
                <w:sz w:val="20"/>
                <w:szCs w:val="20"/>
                <w:lang w:eastAsia="en-AU"/>
              </w:rPr>
              <w:t>population growth increased between 2014-15 and 2017</w:t>
            </w:r>
            <w:r w:rsidR="00B5265E">
              <w:rPr>
                <w:rFonts w:ascii="Calibri" w:eastAsia="Times New Roman" w:hAnsi="Calibri" w:cs="Calibri"/>
                <w:sz w:val="20"/>
                <w:szCs w:val="20"/>
                <w:lang w:eastAsia="en-AU"/>
              </w:rPr>
              <w:noBreakHyphen/>
            </w:r>
            <w:r w:rsidRPr="002F0718">
              <w:rPr>
                <w:rFonts w:ascii="Calibri" w:eastAsia="Times New Roman" w:hAnsi="Calibri" w:cs="Calibri"/>
                <w:sz w:val="20"/>
                <w:szCs w:val="20"/>
                <w:lang w:eastAsia="en-AU"/>
              </w:rPr>
              <w:t>18</w:t>
            </w:r>
            <w:r>
              <w:rPr>
                <w:rFonts w:ascii="Calibri" w:eastAsia="Times New Roman" w:hAnsi="Calibri" w:cs="Calibri"/>
                <w:sz w:val="20"/>
                <w:szCs w:val="20"/>
                <w:lang w:eastAsia="en-AU"/>
              </w:rPr>
              <w:t>,</w:t>
            </w:r>
            <w:r w:rsidRPr="002F0718">
              <w:rPr>
                <w:rFonts w:ascii="Calibri" w:eastAsia="Times New Roman" w:hAnsi="Calibri" w:cs="Calibri"/>
                <w:sz w:val="20"/>
                <w:szCs w:val="20"/>
                <w:lang w:eastAsia="en-AU"/>
              </w:rPr>
              <w:t xml:space="preserve"> </w:t>
            </w:r>
            <w:r w:rsidR="00404A77">
              <w:rPr>
                <w:rFonts w:ascii="Calibri" w:eastAsia="Times New Roman" w:hAnsi="Calibri" w:cs="Calibri"/>
                <w:sz w:val="20"/>
                <w:szCs w:val="20"/>
                <w:lang w:eastAsia="en-AU"/>
              </w:rPr>
              <w:t>increasing its assessed</w:t>
            </w:r>
            <w:r w:rsidRPr="002F0718">
              <w:rPr>
                <w:rFonts w:ascii="Calibri" w:eastAsia="Times New Roman" w:hAnsi="Calibri" w:cs="Calibri"/>
                <w:sz w:val="20"/>
                <w:szCs w:val="20"/>
                <w:lang w:eastAsia="en-AU"/>
              </w:rPr>
              <w:t xml:space="preserve"> investment needs.</w:t>
            </w:r>
          </w:p>
        </w:tc>
      </w:tr>
      <w:tr w:rsidR="00BB3126" w:rsidRPr="002F0718" w:rsidTr="00C7618F">
        <w:trPr>
          <w:trHeight w:val="555"/>
        </w:trPr>
        <w:tc>
          <w:tcPr>
            <w:tcW w:w="620" w:type="dxa"/>
            <w:tcBorders>
              <w:top w:val="nil"/>
              <w:left w:val="nil"/>
              <w:bottom w:val="nil"/>
              <w:right w:val="nil"/>
            </w:tcBorders>
            <w:shd w:val="clear" w:color="auto" w:fill="auto"/>
            <w:noWrap/>
            <w:hideMark/>
          </w:tcPr>
          <w:p w:rsidR="00BB3126" w:rsidRPr="002F0718" w:rsidRDefault="00BB3126" w:rsidP="00C7618F">
            <w:pPr>
              <w:tabs>
                <w:tab w:val="clear" w:pos="567"/>
              </w:tabs>
              <w:spacing w:after="0" w:line="240" w:lineRule="auto"/>
              <w:jc w:val="right"/>
              <w:rPr>
                <w:rFonts w:ascii="Calibri" w:eastAsia="Times New Roman" w:hAnsi="Calibri" w:cs="Calibri"/>
                <w:sz w:val="20"/>
                <w:szCs w:val="20"/>
                <w:lang w:eastAsia="en-AU"/>
              </w:rPr>
            </w:pPr>
            <w:r w:rsidRPr="002F0718">
              <w:rPr>
                <w:rFonts w:ascii="Calibri" w:eastAsia="Times New Roman" w:hAnsi="Calibri" w:cs="Calibri"/>
                <w:sz w:val="20"/>
                <w:szCs w:val="20"/>
                <w:lang w:eastAsia="en-AU"/>
              </w:rPr>
              <w:t>-14</w:t>
            </w:r>
          </w:p>
        </w:tc>
        <w:tc>
          <w:tcPr>
            <w:tcW w:w="262" w:type="dxa"/>
            <w:tcBorders>
              <w:top w:val="nil"/>
              <w:left w:val="nil"/>
              <w:bottom w:val="nil"/>
              <w:right w:val="nil"/>
            </w:tcBorders>
            <w:shd w:val="clear" w:color="auto" w:fill="auto"/>
            <w:noWrap/>
            <w:hideMark/>
          </w:tcPr>
          <w:p w:rsidR="00BB3126" w:rsidRPr="002F0718"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2F0718" w:rsidRDefault="00BB3126" w:rsidP="00C7618F">
            <w:pPr>
              <w:tabs>
                <w:tab w:val="clear" w:pos="567"/>
              </w:tabs>
              <w:spacing w:after="0" w:line="240" w:lineRule="auto"/>
              <w:rPr>
                <w:rFonts w:ascii="Calibri" w:eastAsia="Times New Roman" w:hAnsi="Calibri" w:cs="Calibri"/>
                <w:sz w:val="20"/>
                <w:szCs w:val="20"/>
                <w:lang w:eastAsia="en-AU"/>
              </w:rPr>
            </w:pPr>
            <w:r w:rsidRPr="002F0718">
              <w:rPr>
                <w:rFonts w:ascii="Calibri" w:eastAsia="Times New Roman" w:hAnsi="Calibri" w:cs="Calibri"/>
                <w:b/>
                <w:bCs/>
                <w:sz w:val="20"/>
                <w:szCs w:val="20"/>
                <w:lang w:eastAsia="en-AU"/>
              </w:rPr>
              <w:t xml:space="preserve">Investment growth. </w:t>
            </w:r>
            <w:r w:rsidRPr="002F0718">
              <w:rPr>
                <w:rFonts w:ascii="Calibri" w:eastAsia="Times New Roman" w:hAnsi="Calibri" w:cs="Calibri"/>
                <w:sz w:val="20"/>
                <w:szCs w:val="20"/>
                <w:lang w:eastAsia="en-AU"/>
              </w:rPr>
              <w:t>Growth in total urban transport investment from 2014-15 to 2017-18 decreased the ACT’s share of GST due to its below average urban transport investment needs.</w:t>
            </w:r>
          </w:p>
        </w:tc>
      </w:tr>
      <w:tr w:rsidR="00BB3126" w:rsidRPr="002F0718" w:rsidTr="00C7618F">
        <w:trPr>
          <w:trHeight w:val="510"/>
        </w:trPr>
        <w:tc>
          <w:tcPr>
            <w:tcW w:w="620" w:type="dxa"/>
            <w:tcBorders>
              <w:top w:val="nil"/>
              <w:left w:val="nil"/>
              <w:bottom w:val="single" w:sz="4" w:space="0" w:color="auto"/>
              <w:right w:val="nil"/>
            </w:tcBorders>
            <w:shd w:val="clear" w:color="auto" w:fill="auto"/>
            <w:noWrap/>
            <w:hideMark/>
          </w:tcPr>
          <w:p w:rsidR="00BB3126" w:rsidRPr="002F0718" w:rsidRDefault="00BB3126" w:rsidP="00C7618F">
            <w:pPr>
              <w:tabs>
                <w:tab w:val="clear" w:pos="567"/>
              </w:tabs>
              <w:spacing w:after="0" w:line="240" w:lineRule="auto"/>
              <w:jc w:val="right"/>
              <w:rPr>
                <w:rFonts w:ascii="Calibri" w:eastAsia="Times New Roman" w:hAnsi="Calibri" w:cs="Calibri"/>
                <w:sz w:val="20"/>
                <w:szCs w:val="20"/>
                <w:lang w:eastAsia="en-AU"/>
              </w:rPr>
            </w:pPr>
            <w:r w:rsidRPr="002F0718">
              <w:rPr>
                <w:rFonts w:ascii="Calibri" w:eastAsia="Times New Roman" w:hAnsi="Calibri" w:cs="Calibri"/>
                <w:sz w:val="20"/>
                <w:szCs w:val="20"/>
                <w:lang w:eastAsia="en-AU"/>
              </w:rPr>
              <w:t>13</w:t>
            </w:r>
          </w:p>
        </w:tc>
        <w:tc>
          <w:tcPr>
            <w:tcW w:w="262" w:type="dxa"/>
            <w:tcBorders>
              <w:top w:val="nil"/>
              <w:left w:val="nil"/>
              <w:bottom w:val="single" w:sz="4" w:space="0" w:color="auto"/>
              <w:right w:val="nil"/>
            </w:tcBorders>
            <w:shd w:val="clear" w:color="auto" w:fill="auto"/>
            <w:noWrap/>
            <w:hideMark/>
          </w:tcPr>
          <w:p w:rsidR="00BB3126" w:rsidRPr="002F0718" w:rsidRDefault="00BB3126" w:rsidP="00C7618F">
            <w:pPr>
              <w:tabs>
                <w:tab w:val="clear" w:pos="567"/>
              </w:tabs>
              <w:spacing w:after="0" w:line="240" w:lineRule="auto"/>
              <w:rPr>
                <w:rFonts w:ascii="Calibri" w:eastAsia="Times New Roman" w:hAnsi="Calibri" w:cs="Calibri"/>
                <w:sz w:val="20"/>
                <w:szCs w:val="20"/>
                <w:lang w:eastAsia="en-AU"/>
              </w:rPr>
            </w:pPr>
            <w:r w:rsidRPr="002F0718">
              <w:rPr>
                <w:rFonts w:ascii="Calibri" w:eastAsia="Times New Roman" w:hAnsi="Calibri" w:cs="Calibri"/>
                <w:sz w:val="20"/>
                <w:szCs w:val="20"/>
                <w:lang w:eastAsia="en-AU"/>
              </w:rPr>
              <w:t> </w:t>
            </w:r>
          </w:p>
        </w:tc>
        <w:tc>
          <w:tcPr>
            <w:tcW w:w="9038" w:type="dxa"/>
            <w:tcBorders>
              <w:top w:val="nil"/>
              <w:left w:val="nil"/>
              <w:bottom w:val="single" w:sz="4" w:space="0" w:color="auto"/>
              <w:right w:val="nil"/>
            </w:tcBorders>
            <w:shd w:val="clear" w:color="auto" w:fill="auto"/>
            <w:hideMark/>
          </w:tcPr>
          <w:p w:rsidR="00BB3126" w:rsidRPr="002F0718" w:rsidRDefault="00BB3126" w:rsidP="00C7618F">
            <w:pPr>
              <w:tabs>
                <w:tab w:val="clear" w:pos="567"/>
              </w:tabs>
              <w:spacing w:after="0" w:line="240" w:lineRule="auto"/>
              <w:rPr>
                <w:rFonts w:ascii="Calibri" w:eastAsia="Times New Roman" w:hAnsi="Calibri" w:cs="Calibri"/>
                <w:sz w:val="20"/>
                <w:szCs w:val="20"/>
                <w:lang w:eastAsia="en-AU"/>
              </w:rPr>
            </w:pPr>
            <w:r w:rsidRPr="002F0718">
              <w:rPr>
                <w:rFonts w:ascii="Calibri" w:eastAsia="Times New Roman" w:hAnsi="Calibri" w:cs="Calibri"/>
                <w:b/>
                <w:bCs/>
                <w:sz w:val="20"/>
                <w:szCs w:val="20"/>
                <w:lang w:eastAsia="en-AU"/>
              </w:rPr>
              <w:t xml:space="preserve">Mining production. </w:t>
            </w:r>
            <w:r w:rsidRPr="002F0718">
              <w:rPr>
                <w:rFonts w:ascii="Calibri" w:eastAsia="Times New Roman" w:hAnsi="Calibri" w:cs="Calibri"/>
                <w:sz w:val="20"/>
                <w:szCs w:val="20"/>
                <w:lang w:eastAsia="en-AU"/>
              </w:rPr>
              <w:t xml:space="preserve">Growth in the value of coal production in other States reduced </w:t>
            </w:r>
            <w:r>
              <w:rPr>
                <w:rFonts w:ascii="Calibri" w:eastAsia="Times New Roman" w:hAnsi="Calibri" w:cs="Calibri"/>
                <w:sz w:val="20"/>
                <w:szCs w:val="20"/>
                <w:lang w:eastAsia="en-AU"/>
              </w:rPr>
              <w:t>the ACT’s</w:t>
            </w:r>
            <w:r w:rsidRPr="002F0718">
              <w:rPr>
                <w:rFonts w:ascii="Calibri" w:eastAsia="Times New Roman" w:hAnsi="Calibri" w:cs="Calibri"/>
                <w:sz w:val="20"/>
                <w:szCs w:val="20"/>
                <w:lang w:eastAsia="en-AU"/>
              </w:rPr>
              <w:t xml:space="preserve"> relative revenue raising capacity, increasing its GST share.</w:t>
            </w:r>
          </w:p>
        </w:tc>
      </w:tr>
    </w:tbl>
    <w:p w:rsidR="00BB3126" w:rsidRPr="00001ED7" w:rsidRDefault="00BB3126" w:rsidP="00BB3126">
      <w:pPr>
        <w:rPr>
          <w:highlight w:val="yellow"/>
        </w:rPr>
        <w:sectPr w:rsidR="00BB3126" w:rsidRPr="00001ED7" w:rsidSect="00C7618F">
          <w:type w:val="continuous"/>
          <w:pgSz w:w="11899" w:h="16838" w:code="9"/>
          <w:pgMar w:top="1440" w:right="1080" w:bottom="1440" w:left="1080" w:header="709" w:footer="709" w:gutter="0"/>
          <w:cols w:space="1"/>
          <w:titlePg/>
          <w:docGrid w:linePitch="326"/>
        </w:sectPr>
      </w:pPr>
    </w:p>
    <w:p w:rsidR="00BB3126" w:rsidRPr="005F42A8" w:rsidRDefault="00BB3126" w:rsidP="00BB3126">
      <w:pPr>
        <w:spacing w:before="240"/>
      </w:pPr>
      <w:r w:rsidRPr="008F6814">
        <w:rPr>
          <w:rStyle w:val="Heading6Char"/>
        </w:rPr>
        <w:t>Fiscal capacity.</w:t>
      </w:r>
      <w:r w:rsidRPr="008F6814">
        <w:t xml:space="preserve"> The ACT’s below </w:t>
      </w:r>
      <w:r w:rsidRPr="005F42A8">
        <w:t xml:space="preserve">average fiscal capacity is due to its below average capacity to raise revenue across most revenue bases. </w:t>
      </w:r>
      <w:r w:rsidR="009C5324">
        <w:t xml:space="preserve">The ACT is unable to levy taxes on Commonwealth agencies, such as on payrolls and land. </w:t>
      </w:r>
      <w:r w:rsidRPr="005F42A8">
        <w:t xml:space="preserve">It </w:t>
      </w:r>
      <w:r w:rsidR="009C5324">
        <w:t xml:space="preserve">also </w:t>
      </w:r>
      <w:r w:rsidRPr="005F42A8">
        <w:t>has no mining industry</w:t>
      </w:r>
      <w:r w:rsidR="009C5324">
        <w:t xml:space="preserve"> and </w:t>
      </w:r>
      <w:r w:rsidRPr="005F42A8">
        <w:t xml:space="preserve">receives a below average share of Commonwealth payments. </w:t>
      </w:r>
    </w:p>
    <w:p w:rsidR="00BB3126" w:rsidRPr="005F42A8" w:rsidRDefault="00BB3126" w:rsidP="00BB3126">
      <w:pPr>
        <w:rPr>
          <w:szCs w:val="24"/>
        </w:rPr>
      </w:pPr>
      <w:r w:rsidRPr="005F42A8">
        <w:t xml:space="preserve">The ACT’s </w:t>
      </w:r>
      <w:r>
        <w:t>expense requirement</w:t>
      </w:r>
      <w:r w:rsidRPr="005F42A8">
        <w:t xml:space="preserve"> is also below average, partially offsetting</w:t>
      </w:r>
      <w:r>
        <w:t xml:space="preserve"> the effect of</w:t>
      </w:r>
      <w:r w:rsidRPr="005F42A8">
        <w:t xml:space="preserve"> its low revenue raising capacity. The low cost of its relatively young, urbanised, higher socio-economic status population more than offsets the impact of diseconomies of scale in administration and above average wage costs.</w:t>
      </w:r>
    </w:p>
    <w:p w:rsidR="00BB3126" w:rsidRPr="005F42A8" w:rsidRDefault="00BB3126" w:rsidP="00BB3126">
      <w:pPr>
        <w:pStyle w:val="CGCTableHeading"/>
        <w:keepNext w:val="0"/>
        <w:keepLines w:val="0"/>
        <w:spacing w:after="80" w:line="320" w:lineRule="atLeast"/>
        <w:ind w:left="0" w:firstLine="0"/>
      </w:pPr>
      <w:r w:rsidRPr="005F42A8">
        <w:rPr>
          <w:szCs w:val="24"/>
        </w:rPr>
        <w:br w:type="column"/>
      </w:r>
      <w:r w:rsidRPr="005F42A8">
        <w:t xml:space="preserve">Table </w:t>
      </w:r>
      <w:r>
        <w:rPr>
          <w:noProof/>
        </w:rPr>
        <w:fldChar w:fldCharType="begin"/>
      </w:r>
      <w:r>
        <w:rPr>
          <w:noProof/>
        </w:rPr>
        <w:instrText xml:space="preserve"> SEQ Table \* ARABIC </w:instrText>
      </w:r>
      <w:r>
        <w:rPr>
          <w:noProof/>
        </w:rPr>
        <w:fldChar w:fldCharType="separate"/>
      </w:r>
      <w:r w:rsidR="00E82224">
        <w:rPr>
          <w:noProof/>
        </w:rPr>
        <w:t>25</w:t>
      </w:r>
      <w:r>
        <w:rPr>
          <w:noProof/>
        </w:rPr>
        <w:fldChar w:fldCharType="end"/>
      </w:r>
      <w:r w:rsidRPr="005F42A8">
        <w:tab/>
      </w:r>
      <w:r w:rsidR="00800008">
        <w:t>Illustrative</w:t>
      </w:r>
      <w:r w:rsidR="00800008" w:rsidRPr="005F42A8">
        <w:t xml:space="preserve"> </w:t>
      </w:r>
      <w:r w:rsidRPr="005F42A8">
        <w:t>GST, 2019</w:t>
      </w:r>
      <w:r w:rsidRPr="005F42A8">
        <w:noBreakHyphen/>
        <w:t>20</w:t>
      </w:r>
    </w:p>
    <w:tbl>
      <w:tblPr>
        <w:tblW w:w="4240" w:type="dxa"/>
        <w:tblLayout w:type="fixed"/>
        <w:tblCellMar>
          <w:left w:w="0" w:type="dxa"/>
          <w:right w:w="0" w:type="dxa"/>
        </w:tblCellMar>
        <w:tblLook w:val="04A0" w:firstRow="1" w:lastRow="0" w:firstColumn="1" w:lastColumn="0" w:noHBand="0" w:noVBand="1"/>
      </w:tblPr>
      <w:tblGrid>
        <w:gridCol w:w="2700"/>
        <w:gridCol w:w="820"/>
        <w:gridCol w:w="720"/>
      </w:tblGrid>
      <w:tr w:rsidR="00BB3126" w:rsidRPr="00550305" w:rsidTr="00C7618F">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$m</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$pc</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Equal per capita share</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1 158</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2 690</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Effect of assessed:</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xml:space="preserve"> </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xml:space="preserve"> </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Expenses</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-139</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-322</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Investment</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-13</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-29</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Net borrowing</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-6</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-14</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Revenue</w:t>
            </w:r>
          </w:p>
        </w:tc>
        <w:tc>
          <w:tcPr>
            <w:tcW w:w="8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335</w:t>
            </w:r>
          </w:p>
        </w:tc>
        <w:tc>
          <w:tcPr>
            <w:tcW w:w="72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779</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Commonwealth payments</w:t>
            </w:r>
          </w:p>
        </w:tc>
        <w:tc>
          <w:tcPr>
            <w:tcW w:w="8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100</w:t>
            </w:r>
          </w:p>
        </w:tc>
        <w:tc>
          <w:tcPr>
            <w:tcW w:w="7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232</w:t>
            </w:r>
          </w:p>
        </w:tc>
      </w:tr>
      <w:tr w:rsidR="00BB3126" w:rsidRPr="00550305" w:rsidTr="00C7618F">
        <w:trPr>
          <w:trHeight w:val="315"/>
        </w:trPr>
        <w:tc>
          <w:tcPr>
            <w:tcW w:w="2700" w:type="dxa"/>
            <w:tcBorders>
              <w:top w:val="nil"/>
              <w:left w:val="nil"/>
              <w:bottom w:val="single" w:sz="4" w:space="0" w:color="auto"/>
              <w:right w:val="nil"/>
            </w:tcBorders>
            <w:shd w:val="clear" w:color="auto" w:fill="auto"/>
            <w:noWrap/>
            <w:vAlign w:val="bottom"/>
            <w:hideMark/>
          </w:tcPr>
          <w:p w:rsidR="00BB3126" w:rsidRPr="00550305" w:rsidRDefault="001F3A9A" w:rsidP="00C7618F">
            <w:pPr>
              <w:keepNext/>
              <w:keepLines/>
              <w:tabs>
                <w:tab w:val="clear" w:pos="567"/>
              </w:tabs>
              <w:spacing w:after="0" w:line="240" w:lineRule="auto"/>
              <w:ind w:left="193" w:hanging="142"/>
              <w:rPr>
                <w:rFonts w:ascii="Calibri" w:eastAsia="Times New Roman" w:hAnsi="Calibri" w:cs="Calibri"/>
                <w:sz w:val="20"/>
                <w:szCs w:val="20"/>
                <w:lang w:eastAsia="en-AU"/>
              </w:rPr>
            </w:pPr>
            <w:r>
              <w:rPr>
                <w:rFonts w:ascii="Calibri" w:eastAsia="Times New Roman" w:hAnsi="Calibri" w:cs="Calibri"/>
                <w:sz w:val="20"/>
                <w:szCs w:val="20"/>
                <w:lang w:eastAsia="en-AU"/>
              </w:rPr>
              <w:t>Illustrative</w:t>
            </w:r>
            <w:r w:rsidRPr="00550305">
              <w:rPr>
                <w:rFonts w:ascii="Calibri" w:eastAsia="Times New Roman" w:hAnsi="Calibri" w:cs="Calibri"/>
                <w:sz w:val="20"/>
                <w:szCs w:val="20"/>
                <w:lang w:eastAsia="en-AU"/>
              </w:rPr>
              <w:t xml:space="preserve"> </w:t>
            </w:r>
            <w:r w:rsidR="00BB3126" w:rsidRPr="00550305">
              <w:rPr>
                <w:rFonts w:ascii="Calibri" w:eastAsia="Times New Roman" w:hAnsi="Calibri" w:cs="Calibri"/>
                <w:sz w:val="20"/>
                <w:szCs w:val="20"/>
                <w:lang w:eastAsia="en-AU"/>
              </w:rPr>
              <w:t>GST</w:t>
            </w:r>
          </w:p>
        </w:tc>
        <w:tc>
          <w:tcPr>
            <w:tcW w:w="8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1 435</w:t>
            </w:r>
          </w:p>
        </w:tc>
        <w:tc>
          <w:tcPr>
            <w:tcW w:w="72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3 335</w:t>
            </w:r>
          </w:p>
        </w:tc>
      </w:tr>
    </w:tbl>
    <w:p w:rsidR="00BB3126" w:rsidRPr="00001ED7" w:rsidRDefault="00BB3126" w:rsidP="00BB3126">
      <w:pPr>
        <w:pStyle w:val="CGCTableFootnote"/>
        <w:rPr>
          <w:highlight w:val="yellow"/>
        </w:rPr>
        <w:sectPr w:rsidR="00BB3126" w:rsidRPr="00001ED7" w:rsidSect="00C7618F">
          <w:type w:val="continuous"/>
          <w:pgSz w:w="11899" w:h="16838" w:code="9"/>
          <w:pgMar w:top="1440" w:right="1080" w:bottom="1440" w:left="1080" w:header="709" w:footer="709" w:gutter="0"/>
          <w:cols w:num="2" w:space="157" w:equalWidth="0">
            <w:col w:w="5500" w:space="157"/>
            <w:col w:w="4082"/>
          </w:cols>
          <w:titlePg/>
          <w:docGrid w:linePitch="326"/>
        </w:sectPr>
      </w:pPr>
      <w:r>
        <w:t>Note:</w:t>
      </w:r>
      <w:r>
        <w:tab/>
      </w:r>
      <w:r w:rsidRPr="005F42A8">
        <w:t>Table may not add due to rounding.</w:t>
      </w:r>
    </w:p>
    <w:p w:rsidR="00BB3126" w:rsidRPr="005F42A8" w:rsidRDefault="00BB3126" w:rsidP="00BB3126">
      <w:pPr>
        <w:pStyle w:val="Heading4"/>
        <w:spacing w:before="0"/>
        <w:sectPr w:rsidR="00BB3126" w:rsidRPr="005F42A8" w:rsidSect="00C7618F">
          <w:headerReference w:type="even" r:id="rId74"/>
          <w:headerReference w:type="default" r:id="rId75"/>
          <w:footerReference w:type="default" r:id="rId76"/>
          <w:headerReference w:type="first" r:id="rId77"/>
          <w:pgSz w:w="11899" w:h="16838" w:code="9"/>
          <w:pgMar w:top="1440" w:right="1080" w:bottom="1440" w:left="1080" w:header="709" w:footer="709" w:gutter="0"/>
          <w:cols w:space="708"/>
          <w:titlePg/>
          <w:docGrid w:linePitch="326"/>
        </w:sectPr>
      </w:pPr>
      <w:bookmarkStart w:id="419" w:name="_Toc442191915"/>
      <w:bookmarkStart w:id="420" w:name="_Toc442192167"/>
      <w:bookmarkStart w:id="421" w:name="_Toc442192232"/>
      <w:bookmarkStart w:id="422" w:name="_Toc442772818"/>
      <w:bookmarkStart w:id="423" w:name="_Toc442773045"/>
      <w:bookmarkStart w:id="424" w:name="_Toc442773217"/>
      <w:bookmarkStart w:id="425" w:name="_Toc442883282"/>
      <w:bookmarkStart w:id="426" w:name="_Toc474923750"/>
      <w:bookmarkStart w:id="427" w:name="_Toc505872176"/>
      <w:bookmarkStart w:id="428" w:name="_Toc536519627"/>
      <w:bookmarkStart w:id="429" w:name="_Toc536631337"/>
      <w:bookmarkStart w:id="430" w:name="_Toc536803170"/>
      <w:bookmarkStart w:id="431" w:name="_Toc536803258"/>
      <w:bookmarkStart w:id="432" w:name="_Toc1115138"/>
      <w:r w:rsidRPr="005F42A8">
        <w:lastRenderedPageBreak/>
        <w:t>Northern Territory</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rsidR="00AD4AD0" w:rsidRDefault="00BB3126" w:rsidP="00BB3126">
      <w:pPr>
        <w:rPr>
          <w:szCs w:val="24"/>
        </w:rPr>
      </w:pPr>
      <w:r w:rsidRPr="005F42A8">
        <w:rPr>
          <w:rStyle w:val="Heading6Char"/>
        </w:rPr>
        <w:t xml:space="preserve">Changes in this update. </w:t>
      </w:r>
      <w:r w:rsidRPr="00FA0419">
        <w:rPr>
          <w:szCs w:val="24"/>
        </w:rPr>
        <w:t>The Northern Territory’s fiscal cap</w:t>
      </w:r>
      <w:r>
        <w:rPr>
          <w:szCs w:val="24"/>
        </w:rPr>
        <w:t>acity has deteriorated slightly. I</w:t>
      </w:r>
      <w:r w:rsidRPr="00FA0419">
        <w:rPr>
          <w:szCs w:val="24"/>
        </w:rPr>
        <w:t xml:space="preserve">t remains the fiscally weakest State. Upward revisions to </w:t>
      </w:r>
      <w:r w:rsidR="00984CED">
        <w:rPr>
          <w:szCs w:val="24"/>
        </w:rPr>
        <w:t xml:space="preserve">its share of </w:t>
      </w:r>
      <w:r w:rsidRPr="00FA0419">
        <w:rPr>
          <w:szCs w:val="24"/>
        </w:rPr>
        <w:t xml:space="preserve">population growth </w:t>
      </w:r>
      <w:r w:rsidR="009C5324">
        <w:rPr>
          <w:szCs w:val="24"/>
        </w:rPr>
        <w:t xml:space="preserve">in the assessment years </w:t>
      </w:r>
      <w:r w:rsidRPr="00FA0419">
        <w:rPr>
          <w:szCs w:val="24"/>
        </w:rPr>
        <w:t xml:space="preserve">and a sharp decline in </w:t>
      </w:r>
      <w:r>
        <w:rPr>
          <w:szCs w:val="24"/>
        </w:rPr>
        <w:t xml:space="preserve">the value of </w:t>
      </w:r>
      <w:r w:rsidRPr="00FA0419">
        <w:rPr>
          <w:szCs w:val="24"/>
        </w:rPr>
        <w:t xml:space="preserve">property sales increased its GST share. These changes were largely offset by </w:t>
      </w:r>
      <w:r>
        <w:rPr>
          <w:szCs w:val="24"/>
        </w:rPr>
        <w:t xml:space="preserve">decreases in its share of NDIS contributions, </w:t>
      </w:r>
      <w:r w:rsidRPr="00FA0419">
        <w:rPr>
          <w:szCs w:val="24"/>
        </w:rPr>
        <w:t xml:space="preserve">revisions to health data and a relative decline in assessed wage costs. Despite the increase in its relativity, </w:t>
      </w:r>
      <w:r>
        <w:rPr>
          <w:szCs w:val="24"/>
        </w:rPr>
        <w:t xml:space="preserve">new population </w:t>
      </w:r>
      <w:r w:rsidR="007A197C">
        <w:rPr>
          <w:szCs w:val="24"/>
        </w:rPr>
        <w:t>estimates</w:t>
      </w:r>
      <w:r>
        <w:rPr>
          <w:szCs w:val="24"/>
        </w:rPr>
        <w:t xml:space="preserve"> for</w:t>
      </w:r>
      <w:r w:rsidRPr="00FA0419">
        <w:rPr>
          <w:szCs w:val="24"/>
        </w:rPr>
        <w:t xml:space="preserve"> 2019-20 will see the Northern Territory’s GST share fall from 4.2% to 4.1%. However, the Northern Territory’s GST entitlement will rise by $68</w:t>
      </w:r>
      <w:r w:rsidR="00B5265E">
        <w:rPr>
          <w:szCs w:val="24"/>
        </w:rPr>
        <w:t> </w:t>
      </w:r>
      <w:r w:rsidRPr="00FA0419">
        <w:rPr>
          <w:szCs w:val="24"/>
        </w:rPr>
        <w:t>million, or 2.4%, mainly due to growth in the pool</w:t>
      </w:r>
      <w:r>
        <w:rPr>
          <w:szCs w:val="24"/>
        </w:rPr>
        <w:t>.</w:t>
      </w:r>
    </w:p>
    <w:p w:rsidR="00BB3126" w:rsidRPr="005F42A8" w:rsidRDefault="00BB3126" w:rsidP="00BB3126">
      <w:pPr>
        <w:rPr>
          <w:rStyle w:val="CGCTableHeadingChar"/>
        </w:rPr>
      </w:pPr>
      <w:r w:rsidRPr="005F42A8">
        <w:br w:type="column"/>
      </w:r>
      <w:r w:rsidRPr="005F42A8">
        <w:rPr>
          <w:rStyle w:val="CGCTableHeadingChar"/>
        </w:rPr>
        <w:t xml:space="preserve">Table </w:t>
      </w:r>
      <w:r w:rsidRPr="005F42A8">
        <w:rPr>
          <w:rStyle w:val="CGCTableHeadingChar"/>
        </w:rPr>
        <w:fldChar w:fldCharType="begin"/>
      </w:r>
      <w:r w:rsidRPr="005F42A8">
        <w:rPr>
          <w:rStyle w:val="CGCTableHeadingChar"/>
        </w:rPr>
        <w:instrText xml:space="preserve"> SEQ Table \* ARABIC </w:instrText>
      </w:r>
      <w:r w:rsidRPr="005F42A8">
        <w:rPr>
          <w:rStyle w:val="CGCTableHeadingChar"/>
        </w:rPr>
        <w:fldChar w:fldCharType="separate"/>
      </w:r>
      <w:r w:rsidR="00E82224">
        <w:rPr>
          <w:rStyle w:val="CGCTableHeadingChar"/>
          <w:noProof/>
        </w:rPr>
        <w:t>26</w:t>
      </w:r>
      <w:r w:rsidRPr="005F42A8">
        <w:rPr>
          <w:rStyle w:val="CGCTableHeadingChar"/>
        </w:rPr>
        <w:fldChar w:fldCharType="end"/>
      </w:r>
      <w:r w:rsidRPr="005F42A8">
        <w:rPr>
          <w:rStyle w:val="CGCTableHeadingChar"/>
        </w:rPr>
        <w:tab/>
        <w:t>Change in GST</w:t>
      </w:r>
    </w:p>
    <w:tbl>
      <w:tblPr>
        <w:tblW w:w="4260" w:type="dxa"/>
        <w:tblLayout w:type="fixed"/>
        <w:tblCellMar>
          <w:left w:w="0" w:type="dxa"/>
          <w:right w:w="0" w:type="dxa"/>
        </w:tblCellMar>
        <w:tblLook w:val="04A0" w:firstRow="1" w:lastRow="0" w:firstColumn="1" w:lastColumn="0" w:noHBand="0" w:noVBand="1"/>
      </w:tblPr>
      <w:tblGrid>
        <w:gridCol w:w="2700"/>
        <w:gridCol w:w="760"/>
        <w:gridCol w:w="800"/>
      </w:tblGrid>
      <w:tr w:rsidR="00BB3126" w:rsidRPr="00550305" w:rsidTr="00C7618F">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w:t>
            </w:r>
          </w:p>
        </w:tc>
        <w:tc>
          <w:tcPr>
            <w:tcW w:w="76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$m</w:t>
            </w:r>
          </w:p>
        </w:tc>
        <w:tc>
          <w:tcPr>
            <w:tcW w:w="80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$pc</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Change due to:</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rPr>
                <w:rFonts w:ascii="Calibri" w:eastAsia="Times New Roman" w:hAnsi="Calibri" w:cs="Calibri"/>
                <w:sz w:val="20"/>
                <w:szCs w:val="20"/>
                <w:lang w:eastAsia="en-AU"/>
              </w:rPr>
            </w:pP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rPr>
                <w:rFonts w:ascii="Times New Roman" w:eastAsia="Times New Roman" w:hAnsi="Times New Roman" w:cs="Times New Roman"/>
                <w:sz w:val="20"/>
                <w:szCs w:val="20"/>
                <w:lang w:eastAsia="en-AU"/>
              </w:rPr>
            </w:pP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New population</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-37</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-148</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Growth in GST available</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98</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396</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New relativities</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6</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xml:space="preserve"> 24</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200" w:firstLine="400"/>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Data revisions</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75</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301</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200" w:firstLine="400"/>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Change in circumstances</w:t>
            </w:r>
          </w:p>
        </w:tc>
        <w:tc>
          <w:tcPr>
            <w:tcW w:w="76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-69</w:t>
            </w:r>
          </w:p>
        </w:tc>
        <w:tc>
          <w:tcPr>
            <w:tcW w:w="80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i/>
                <w:iCs/>
                <w:sz w:val="20"/>
                <w:szCs w:val="20"/>
                <w:lang w:eastAsia="en-AU"/>
              </w:rPr>
            </w:pPr>
            <w:r w:rsidRPr="00550305">
              <w:rPr>
                <w:rFonts w:ascii="Calibri" w:eastAsia="Times New Roman" w:hAnsi="Calibri" w:cs="Calibri"/>
                <w:i/>
                <w:iCs/>
                <w:sz w:val="20"/>
                <w:szCs w:val="20"/>
                <w:lang w:eastAsia="en-AU"/>
              </w:rPr>
              <w:t>-276</w:t>
            </w:r>
          </w:p>
        </w:tc>
      </w:tr>
      <w:tr w:rsidR="00BB3126" w:rsidRPr="00550305" w:rsidTr="00C7618F">
        <w:trPr>
          <w:trHeight w:val="315"/>
        </w:trPr>
        <w:tc>
          <w:tcPr>
            <w:tcW w:w="270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Total change</w:t>
            </w:r>
          </w:p>
        </w:tc>
        <w:tc>
          <w:tcPr>
            <w:tcW w:w="76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68</w:t>
            </w:r>
          </w:p>
        </w:tc>
        <w:tc>
          <w:tcPr>
            <w:tcW w:w="80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272</w:t>
            </w:r>
          </w:p>
        </w:tc>
      </w:tr>
    </w:tbl>
    <w:p w:rsidR="00BB3126" w:rsidRDefault="00BB3126" w:rsidP="00BB3126">
      <w:pPr>
        <w:pStyle w:val="CGCTableFootnote"/>
      </w:pPr>
      <w:r>
        <w:t>Note:</w:t>
      </w:r>
      <w:r>
        <w:tab/>
      </w:r>
      <w:r w:rsidRPr="005F42A8">
        <w:t>Table may not add due to rounding.</w:t>
      </w:r>
    </w:p>
    <w:p w:rsidR="00AD4AD0" w:rsidRPr="00AD4AD0" w:rsidRDefault="00AD4AD0" w:rsidP="00AD4AD0">
      <w:pPr>
        <w:pStyle w:val="CGCTableFootnote"/>
        <w:sectPr w:rsidR="00AD4AD0" w:rsidRPr="00AD4AD0" w:rsidSect="00C7618F">
          <w:type w:val="continuous"/>
          <w:pgSz w:w="11899" w:h="16838" w:code="9"/>
          <w:pgMar w:top="1440" w:right="1080" w:bottom="1440" w:left="1080" w:header="709" w:footer="709" w:gutter="0"/>
          <w:cols w:num="2" w:space="145" w:equalWidth="0">
            <w:col w:w="5500" w:space="145"/>
            <w:col w:w="4094"/>
          </w:cols>
          <w:titlePg/>
          <w:docGrid w:linePitch="326"/>
        </w:sectPr>
      </w:pPr>
      <w:r>
        <w:tab/>
      </w:r>
      <w:r w:rsidRPr="00AD4AD0">
        <w:t xml:space="preserve">The Commonwealth will be making supplementary payments to </w:t>
      </w:r>
      <w:r>
        <w:t>the Northern Territory</w:t>
      </w:r>
      <w:r w:rsidRPr="00AD4AD0">
        <w:t xml:space="preserve"> to deliver an outcome equivalent to a relativity of </w:t>
      </w:r>
      <w:r>
        <w:t>4.66</w:t>
      </w:r>
      <w:r w:rsidRPr="00AD4AD0">
        <w:t xml:space="preserve"> (see </w:t>
      </w:r>
      <w:r w:rsidR="007C23EB">
        <w:t xml:space="preserve">paragraph </w:t>
      </w:r>
      <w:r w:rsidR="007C23EB">
        <w:fldChar w:fldCharType="begin"/>
      </w:r>
      <w:r w:rsidR="007C23EB">
        <w:instrText xml:space="preserve"> PAGEREF _Ref879495 \h </w:instrText>
      </w:r>
      <w:r w:rsidR="007C23EB">
        <w:fldChar w:fldCharType="separate"/>
      </w:r>
      <w:r w:rsidR="00E82224">
        <w:rPr>
          <w:noProof/>
        </w:rPr>
        <w:t>2</w:t>
      </w:r>
      <w:r w:rsidR="007C23EB">
        <w:fldChar w:fldCharType="end"/>
      </w:r>
      <w:r w:rsidRPr="00AD4AD0">
        <w:t>).</w:t>
      </w:r>
    </w:p>
    <w:p w:rsidR="00BB3126" w:rsidRPr="005F42A8" w:rsidRDefault="00BB3126" w:rsidP="00AD4AD0">
      <w:pPr>
        <w:pStyle w:val="CGCTableHeading"/>
        <w:spacing w:after="80" w:line="320" w:lineRule="atLeast"/>
      </w:pPr>
      <w:r w:rsidRPr="005F42A8">
        <w:t xml:space="preserve">Table </w:t>
      </w:r>
      <w:r w:rsidRPr="005F42A8">
        <w:rPr>
          <w:noProof/>
        </w:rPr>
        <w:fldChar w:fldCharType="begin"/>
      </w:r>
      <w:r w:rsidRPr="005F42A8">
        <w:rPr>
          <w:noProof/>
        </w:rPr>
        <w:instrText xml:space="preserve"> SEQ Table \* ARABIC </w:instrText>
      </w:r>
      <w:r w:rsidRPr="005F42A8">
        <w:rPr>
          <w:noProof/>
        </w:rPr>
        <w:fldChar w:fldCharType="separate"/>
      </w:r>
      <w:r w:rsidR="00E82224">
        <w:rPr>
          <w:noProof/>
        </w:rPr>
        <w:t>27</w:t>
      </w:r>
      <w:r w:rsidRPr="005F42A8">
        <w:rPr>
          <w:noProof/>
        </w:rPr>
        <w:fldChar w:fldCharType="end"/>
      </w:r>
      <w:r w:rsidRPr="005F42A8">
        <w:rPr>
          <w:bCs/>
        </w:rPr>
        <w:tab/>
      </w:r>
      <w:r w:rsidRPr="005F42A8">
        <w:t>Main changes for the Northern Territory</w:t>
      </w:r>
    </w:p>
    <w:tbl>
      <w:tblPr>
        <w:tblW w:w="9920" w:type="dxa"/>
        <w:tblLook w:val="04A0" w:firstRow="1" w:lastRow="0" w:firstColumn="1" w:lastColumn="0" w:noHBand="0" w:noVBand="1"/>
      </w:tblPr>
      <w:tblGrid>
        <w:gridCol w:w="620"/>
        <w:gridCol w:w="262"/>
        <w:gridCol w:w="9038"/>
      </w:tblGrid>
      <w:tr w:rsidR="00BB3126" w:rsidRPr="00A10E81" w:rsidTr="00C7618F">
        <w:trPr>
          <w:trHeight w:val="375"/>
        </w:trPr>
        <w:tc>
          <w:tcPr>
            <w:tcW w:w="620" w:type="dxa"/>
            <w:tcBorders>
              <w:top w:val="single" w:sz="4" w:space="0" w:color="auto"/>
              <w:left w:val="nil"/>
              <w:bottom w:val="single" w:sz="4" w:space="0" w:color="auto"/>
              <w:right w:val="nil"/>
            </w:tcBorders>
            <w:shd w:val="clear" w:color="auto" w:fill="auto"/>
            <w:noWrap/>
            <w:vAlign w:val="center"/>
            <w:hideMark/>
          </w:tcPr>
          <w:p w:rsidR="00BB3126" w:rsidRPr="00A10E81" w:rsidRDefault="00BB3126" w:rsidP="00C7618F">
            <w:pPr>
              <w:tabs>
                <w:tab w:val="clear" w:pos="567"/>
              </w:tabs>
              <w:spacing w:after="0" w:line="240" w:lineRule="auto"/>
              <w:jc w:val="right"/>
              <w:rPr>
                <w:rFonts w:ascii="Calibri" w:eastAsia="Times New Roman" w:hAnsi="Calibri" w:cs="Calibri"/>
                <w:sz w:val="20"/>
                <w:szCs w:val="20"/>
                <w:lang w:eastAsia="en-AU"/>
              </w:rPr>
            </w:pPr>
            <w:r w:rsidRPr="00A10E81">
              <w:rPr>
                <w:rFonts w:ascii="Calibri" w:eastAsia="Times New Roman" w:hAnsi="Calibri" w:cs="Calibri"/>
                <w:sz w:val="20"/>
                <w:szCs w:val="20"/>
                <w:lang w:eastAsia="en-AU"/>
              </w:rPr>
              <w:t>$m</w:t>
            </w:r>
          </w:p>
        </w:tc>
        <w:tc>
          <w:tcPr>
            <w:tcW w:w="262" w:type="dxa"/>
            <w:tcBorders>
              <w:top w:val="single" w:sz="4" w:space="0" w:color="auto"/>
              <w:left w:val="nil"/>
              <w:bottom w:val="single" w:sz="4" w:space="0" w:color="auto"/>
              <w:right w:val="nil"/>
            </w:tcBorders>
            <w:shd w:val="clear" w:color="auto" w:fill="auto"/>
            <w:noWrap/>
            <w:vAlign w:val="center"/>
            <w:hideMark/>
          </w:tcPr>
          <w:p w:rsidR="00BB3126" w:rsidRPr="00A10E81" w:rsidRDefault="00BB3126" w:rsidP="00C7618F">
            <w:pPr>
              <w:tabs>
                <w:tab w:val="clear" w:pos="567"/>
              </w:tabs>
              <w:spacing w:after="0" w:line="240" w:lineRule="auto"/>
              <w:rPr>
                <w:rFonts w:ascii="Calibri" w:eastAsia="Times New Roman" w:hAnsi="Calibri" w:cs="Calibri"/>
                <w:sz w:val="20"/>
                <w:szCs w:val="20"/>
                <w:lang w:eastAsia="en-AU"/>
              </w:rPr>
            </w:pPr>
            <w:r w:rsidRPr="00A10E81">
              <w:rPr>
                <w:rFonts w:ascii="Calibri" w:eastAsia="Times New Roman" w:hAnsi="Calibri" w:cs="Calibri"/>
                <w:sz w:val="20"/>
                <w:szCs w:val="20"/>
                <w:lang w:eastAsia="en-AU"/>
              </w:rPr>
              <w:t> </w:t>
            </w:r>
          </w:p>
        </w:tc>
        <w:tc>
          <w:tcPr>
            <w:tcW w:w="9038" w:type="dxa"/>
            <w:tcBorders>
              <w:top w:val="single" w:sz="4" w:space="0" w:color="auto"/>
              <w:left w:val="nil"/>
              <w:bottom w:val="single" w:sz="4" w:space="0" w:color="auto"/>
              <w:right w:val="nil"/>
            </w:tcBorders>
            <w:shd w:val="clear" w:color="auto" w:fill="auto"/>
            <w:vAlign w:val="center"/>
            <w:hideMark/>
          </w:tcPr>
          <w:p w:rsidR="00BB3126" w:rsidRPr="00A10E81" w:rsidRDefault="00BB3126" w:rsidP="00C7618F">
            <w:pPr>
              <w:tabs>
                <w:tab w:val="clear" w:pos="567"/>
              </w:tabs>
              <w:spacing w:after="0" w:line="240" w:lineRule="auto"/>
              <w:rPr>
                <w:rFonts w:ascii="Calibri" w:eastAsia="Times New Roman" w:hAnsi="Calibri" w:cs="Calibri"/>
                <w:sz w:val="20"/>
                <w:szCs w:val="20"/>
                <w:lang w:eastAsia="en-AU"/>
              </w:rPr>
            </w:pPr>
            <w:r w:rsidRPr="00A10E81">
              <w:rPr>
                <w:rFonts w:ascii="Calibri" w:eastAsia="Times New Roman" w:hAnsi="Calibri" w:cs="Calibri"/>
                <w:sz w:val="20"/>
                <w:szCs w:val="20"/>
                <w:lang w:eastAsia="en-AU"/>
              </w:rPr>
              <w:t>Reason for change</w:t>
            </w:r>
          </w:p>
        </w:tc>
      </w:tr>
      <w:tr w:rsidR="00BB3126" w:rsidRPr="00A10E81" w:rsidTr="00C7618F">
        <w:trPr>
          <w:trHeight w:val="473"/>
        </w:trPr>
        <w:tc>
          <w:tcPr>
            <w:tcW w:w="620" w:type="dxa"/>
            <w:tcBorders>
              <w:top w:val="nil"/>
              <w:left w:val="nil"/>
              <w:bottom w:val="nil"/>
              <w:right w:val="nil"/>
            </w:tcBorders>
            <w:shd w:val="clear" w:color="auto" w:fill="auto"/>
            <w:noWrap/>
            <w:hideMark/>
          </w:tcPr>
          <w:p w:rsidR="00BB3126" w:rsidRPr="00A10E81" w:rsidRDefault="00BB3126" w:rsidP="00C7618F">
            <w:pPr>
              <w:tabs>
                <w:tab w:val="clear" w:pos="567"/>
              </w:tabs>
              <w:spacing w:after="0" w:line="240" w:lineRule="auto"/>
              <w:jc w:val="right"/>
              <w:rPr>
                <w:rFonts w:ascii="Calibri" w:eastAsia="Times New Roman" w:hAnsi="Calibri" w:cs="Calibri"/>
                <w:sz w:val="20"/>
                <w:szCs w:val="20"/>
                <w:lang w:eastAsia="en-AU"/>
              </w:rPr>
            </w:pPr>
            <w:r w:rsidRPr="00A10E81">
              <w:rPr>
                <w:rFonts w:ascii="Calibri" w:eastAsia="Times New Roman" w:hAnsi="Calibri" w:cs="Calibri"/>
                <w:sz w:val="20"/>
                <w:szCs w:val="20"/>
                <w:lang w:eastAsia="en-AU"/>
              </w:rPr>
              <w:t>49</w:t>
            </w:r>
          </w:p>
        </w:tc>
        <w:tc>
          <w:tcPr>
            <w:tcW w:w="262" w:type="dxa"/>
            <w:tcBorders>
              <w:top w:val="nil"/>
              <w:left w:val="nil"/>
              <w:bottom w:val="nil"/>
              <w:right w:val="nil"/>
            </w:tcBorders>
            <w:shd w:val="clear" w:color="auto" w:fill="auto"/>
            <w:noWrap/>
            <w:hideMark/>
          </w:tcPr>
          <w:p w:rsidR="00BB3126" w:rsidRPr="00A10E81" w:rsidRDefault="00BB3126" w:rsidP="00C7618F">
            <w:pPr>
              <w:tabs>
                <w:tab w:val="clear" w:pos="567"/>
              </w:tabs>
              <w:spacing w:after="0" w:line="240" w:lineRule="auto"/>
              <w:rPr>
                <w:rFonts w:ascii="Calibri" w:eastAsia="Times New Roman" w:hAnsi="Calibri" w:cs="Calibri"/>
                <w:sz w:val="20"/>
                <w:szCs w:val="20"/>
                <w:lang w:eastAsia="en-AU"/>
              </w:rPr>
            </w:pPr>
            <w:r w:rsidRPr="00A10E81">
              <w:rPr>
                <w:rFonts w:ascii="Calibri" w:eastAsia="Times New Roman" w:hAnsi="Calibri" w:cs="Calibri"/>
                <w:sz w:val="20"/>
                <w:szCs w:val="20"/>
                <w:lang w:eastAsia="en-AU"/>
              </w:rPr>
              <w:t> </w:t>
            </w:r>
          </w:p>
        </w:tc>
        <w:tc>
          <w:tcPr>
            <w:tcW w:w="9038" w:type="dxa"/>
            <w:tcBorders>
              <w:top w:val="nil"/>
              <w:left w:val="nil"/>
              <w:bottom w:val="nil"/>
              <w:right w:val="nil"/>
            </w:tcBorders>
            <w:shd w:val="clear" w:color="auto" w:fill="auto"/>
            <w:hideMark/>
          </w:tcPr>
          <w:p w:rsidR="00BB3126" w:rsidRPr="00A10E81" w:rsidRDefault="00BB3126" w:rsidP="00C7618F">
            <w:pPr>
              <w:tabs>
                <w:tab w:val="clear" w:pos="567"/>
              </w:tabs>
              <w:spacing w:after="0" w:line="240" w:lineRule="auto"/>
              <w:rPr>
                <w:rFonts w:ascii="Calibri" w:eastAsia="Times New Roman" w:hAnsi="Calibri" w:cs="Calibri"/>
                <w:sz w:val="20"/>
                <w:szCs w:val="20"/>
                <w:lang w:eastAsia="en-AU"/>
              </w:rPr>
            </w:pPr>
            <w:r w:rsidRPr="00A50AE2">
              <w:rPr>
                <w:rFonts w:ascii="Calibri" w:eastAsia="Times New Roman" w:hAnsi="Calibri" w:cs="Calibri"/>
                <w:b/>
                <w:sz w:val="20"/>
                <w:szCs w:val="20"/>
                <w:lang w:eastAsia="en-AU"/>
              </w:rPr>
              <w:t>Population growth.</w:t>
            </w:r>
            <w:r w:rsidRPr="00A10E81">
              <w:rPr>
                <w:rFonts w:ascii="Calibri" w:eastAsia="Times New Roman" w:hAnsi="Calibri" w:cs="Calibri"/>
                <w:sz w:val="20"/>
                <w:szCs w:val="20"/>
                <w:lang w:eastAsia="en-AU"/>
              </w:rPr>
              <w:t xml:space="preserve"> Upward revisions to ABS population growth estima</w:t>
            </w:r>
            <w:r>
              <w:rPr>
                <w:rFonts w:ascii="Calibri" w:eastAsia="Times New Roman" w:hAnsi="Calibri" w:cs="Calibri"/>
                <w:sz w:val="20"/>
                <w:szCs w:val="20"/>
                <w:lang w:eastAsia="en-AU"/>
              </w:rPr>
              <w:t xml:space="preserve">tes </w:t>
            </w:r>
            <w:r w:rsidR="009C5324">
              <w:rPr>
                <w:rFonts w:ascii="Calibri" w:eastAsia="Times New Roman" w:hAnsi="Calibri" w:cs="Calibri"/>
                <w:sz w:val="20"/>
                <w:szCs w:val="20"/>
                <w:lang w:eastAsia="en-AU"/>
              </w:rPr>
              <w:t xml:space="preserve">in the assessment years </w:t>
            </w:r>
            <w:r>
              <w:rPr>
                <w:rFonts w:ascii="Calibri" w:eastAsia="Times New Roman" w:hAnsi="Calibri" w:cs="Calibri"/>
                <w:sz w:val="20"/>
                <w:szCs w:val="20"/>
                <w:lang w:eastAsia="en-AU"/>
              </w:rPr>
              <w:t>for the Northern Territory</w:t>
            </w:r>
            <w:r w:rsidRPr="00A10E81">
              <w:rPr>
                <w:rFonts w:ascii="Calibri" w:eastAsia="Times New Roman" w:hAnsi="Calibri" w:cs="Calibri"/>
                <w:sz w:val="20"/>
                <w:szCs w:val="20"/>
                <w:lang w:eastAsia="en-AU"/>
              </w:rPr>
              <w:t xml:space="preserve"> have increased its </w:t>
            </w:r>
            <w:r w:rsidR="009C5324">
              <w:rPr>
                <w:rFonts w:ascii="Calibri" w:eastAsia="Times New Roman" w:hAnsi="Calibri" w:cs="Calibri"/>
                <w:sz w:val="20"/>
                <w:szCs w:val="20"/>
                <w:lang w:eastAsia="en-AU"/>
              </w:rPr>
              <w:t xml:space="preserve">assessed </w:t>
            </w:r>
            <w:r w:rsidRPr="00A10E81">
              <w:rPr>
                <w:rFonts w:ascii="Calibri" w:eastAsia="Times New Roman" w:hAnsi="Calibri" w:cs="Calibri"/>
                <w:sz w:val="20"/>
                <w:szCs w:val="20"/>
                <w:lang w:eastAsia="en-AU"/>
              </w:rPr>
              <w:t>investment needs.</w:t>
            </w:r>
          </w:p>
        </w:tc>
      </w:tr>
      <w:tr w:rsidR="00BB3126" w:rsidRPr="00A10E81" w:rsidTr="00C7618F">
        <w:trPr>
          <w:trHeight w:val="619"/>
        </w:trPr>
        <w:tc>
          <w:tcPr>
            <w:tcW w:w="620" w:type="dxa"/>
            <w:tcBorders>
              <w:top w:val="nil"/>
              <w:left w:val="nil"/>
              <w:bottom w:val="nil"/>
              <w:right w:val="nil"/>
            </w:tcBorders>
            <w:shd w:val="clear" w:color="auto" w:fill="auto"/>
            <w:noWrap/>
            <w:hideMark/>
          </w:tcPr>
          <w:p w:rsidR="00BB3126" w:rsidRPr="00A10E81" w:rsidRDefault="00BB3126" w:rsidP="00C7618F">
            <w:pPr>
              <w:tabs>
                <w:tab w:val="clear" w:pos="567"/>
              </w:tabs>
              <w:spacing w:after="0" w:line="240" w:lineRule="auto"/>
              <w:jc w:val="right"/>
              <w:rPr>
                <w:rFonts w:ascii="Calibri" w:eastAsia="Times New Roman" w:hAnsi="Calibri" w:cs="Calibri"/>
                <w:sz w:val="20"/>
                <w:szCs w:val="20"/>
                <w:lang w:eastAsia="en-AU"/>
              </w:rPr>
            </w:pPr>
            <w:r w:rsidRPr="00A10E81">
              <w:rPr>
                <w:rFonts w:ascii="Calibri" w:eastAsia="Times New Roman" w:hAnsi="Calibri" w:cs="Calibri"/>
                <w:sz w:val="20"/>
                <w:szCs w:val="20"/>
                <w:lang w:eastAsia="en-AU"/>
              </w:rPr>
              <w:t>-40</w:t>
            </w:r>
          </w:p>
        </w:tc>
        <w:tc>
          <w:tcPr>
            <w:tcW w:w="262" w:type="dxa"/>
            <w:tcBorders>
              <w:top w:val="nil"/>
              <w:left w:val="nil"/>
              <w:bottom w:val="nil"/>
              <w:right w:val="nil"/>
            </w:tcBorders>
            <w:shd w:val="clear" w:color="auto" w:fill="auto"/>
            <w:noWrap/>
            <w:hideMark/>
          </w:tcPr>
          <w:p w:rsidR="00BB3126" w:rsidRPr="00A10E81"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E9721F" w:rsidRDefault="00BB3126" w:rsidP="00C7618F">
            <w:pPr>
              <w:tabs>
                <w:tab w:val="clear" w:pos="567"/>
              </w:tabs>
              <w:spacing w:after="0" w:line="240" w:lineRule="auto"/>
              <w:rPr>
                <w:rFonts w:ascii="Calibri" w:eastAsia="Times New Roman" w:hAnsi="Calibri" w:cs="Calibri"/>
                <w:sz w:val="20"/>
                <w:szCs w:val="20"/>
                <w:lang w:eastAsia="en-AU"/>
              </w:rPr>
            </w:pPr>
            <w:r w:rsidRPr="00E9721F">
              <w:rPr>
                <w:rFonts w:ascii="Calibri" w:eastAsia="Times New Roman" w:hAnsi="Calibri" w:cs="Calibri"/>
                <w:b/>
                <w:sz w:val="20"/>
                <w:szCs w:val="20"/>
                <w:lang w:eastAsia="en-AU"/>
              </w:rPr>
              <w:t>People with disabilities.</w:t>
            </w:r>
            <w:r w:rsidRPr="00E9721F">
              <w:rPr>
                <w:rFonts w:ascii="Calibri" w:eastAsia="Times New Roman" w:hAnsi="Calibri" w:cs="Calibri"/>
                <w:sz w:val="20"/>
                <w:szCs w:val="20"/>
                <w:lang w:eastAsia="en-AU"/>
              </w:rPr>
              <w:t xml:space="preserve"> The NDIS assessment has changed </w:t>
            </w:r>
            <w:r>
              <w:rPr>
                <w:rFonts w:ascii="Calibri" w:eastAsia="Times New Roman" w:hAnsi="Calibri" w:cs="Calibri"/>
                <w:sz w:val="20"/>
                <w:szCs w:val="20"/>
                <w:lang w:eastAsia="en-AU"/>
              </w:rPr>
              <w:t>as</w:t>
            </w:r>
            <w:r w:rsidRPr="00E9721F">
              <w:rPr>
                <w:rFonts w:ascii="Calibri" w:eastAsia="Times New Roman" w:hAnsi="Calibri" w:cs="Calibri"/>
                <w:sz w:val="20"/>
                <w:szCs w:val="20"/>
                <w:lang w:eastAsia="en-AU"/>
              </w:rPr>
              <w:t xml:space="preserve"> most States will be funding NDIS under full scheme conditions in 2019-20. The Northern Territory’s NDIS contributions, and therefore assessed disability expenses, are lower under the new arrangements, which has reduced its GST share.</w:t>
            </w:r>
          </w:p>
        </w:tc>
      </w:tr>
      <w:tr w:rsidR="00BB3126" w:rsidRPr="00A10E81" w:rsidTr="00C7618F">
        <w:trPr>
          <w:trHeight w:val="555"/>
        </w:trPr>
        <w:tc>
          <w:tcPr>
            <w:tcW w:w="620" w:type="dxa"/>
            <w:tcBorders>
              <w:top w:val="nil"/>
              <w:left w:val="nil"/>
              <w:bottom w:val="nil"/>
              <w:right w:val="nil"/>
            </w:tcBorders>
            <w:shd w:val="clear" w:color="auto" w:fill="auto"/>
            <w:noWrap/>
            <w:hideMark/>
          </w:tcPr>
          <w:p w:rsidR="00BB3126" w:rsidRPr="00A10E81" w:rsidRDefault="00BB3126" w:rsidP="00C7618F">
            <w:pPr>
              <w:tabs>
                <w:tab w:val="clear" w:pos="567"/>
              </w:tabs>
              <w:spacing w:after="0" w:line="240" w:lineRule="auto"/>
              <w:jc w:val="right"/>
              <w:rPr>
                <w:rFonts w:ascii="Calibri" w:eastAsia="Times New Roman" w:hAnsi="Calibri" w:cs="Calibri"/>
                <w:sz w:val="20"/>
                <w:szCs w:val="20"/>
                <w:lang w:eastAsia="en-AU"/>
              </w:rPr>
            </w:pPr>
            <w:r w:rsidRPr="00A10E81">
              <w:rPr>
                <w:rFonts w:ascii="Calibri" w:eastAsia="Times New Roman" w:hAnsi="Calibri" w:cs="Calibri"/>
                <w:sz w:val="20"/>
                <w:szCs w:val="20"/>
                <w:lang w:eastAsia="en-AU"/>
              </w:rPr>
              <w:t>25</w:t>
            </w:r>
          </w:p>
        </w:tc>
        <w:tc>
          <w:tcPr>
            <w:tcW w:w="262" w:type="dxa"/>
            <w:tcBorders>
              <w:top w:val="nil"/>
              <w:left w:val="nil"/>
              <w:bottom w:val="nil"/>
              <w:right w:val="nil"/>
            </w:tcBorders>
            <w:shd w:val="clear" w:color="auto" w:fill="auto"/>
            <w:noWrap/>
            <w:hideMark/>
          </w:tcPr>
          <w:p w:rsidR="00BB3126" w:rsidRPr="00A10E81"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E9721F" w:rsidRDefault="00BB3126" w:rsidP="00C7618F">
            <w:pPr>
              <w:tabs>
                <w:tab w:val="clear" w:pos="567"/>
              </w:tabs>
              <w:spacing w:after="0" w:line="240" w:lineRule="auto"/>
              <w:rPr>
                <w:rFonts w:ascii="Calibri" w:eastAsia="Times New Roman" w:hAnsi="Calibri" w:cs="Calibri"/>
                <w:sz w:val="20"/>
                <w:szCs w:val="20"/>
                <w:lang w:eastAsia="en-AU"/>
              </w:rPr>
            </w:pPr>
            <w:r w:rsidRPr="00E9721F">
              <w:rPr>
                <w:rFonts w:ascii="Calibri" w:eastAsia="Times New Roman" w:hAnsi="Calibri" w:cs="Calibri"/>
                <w:b/>
                <w:sz w:val="20"/>
                <w:szCs w:val="20"/>
                <w:lang w:eastAsia="en-AU"/>
              </w:rPr>
              <w:t>Property sales.</w:t>
            </w:r>
            <w:r w:rsidRPr="00E9721F">
              <w:rPr>
                <w:rFonts w:ascii="Calibri" w:eastAsia="Times New Roman" w:hAnsi="Calibri" w:cs="Calibri"/>
                <w:sz w:val="20"/>
                <w:szCs w:val="20"/>
                <w:lang w:eastAsia="en-AU"/>
              </w:rPr>
              <w:t xml:space="preserve"> The Northern Territory’s value of property sales fell between 2014-15 and 2017-18, reducing its revenue raising capacity and increasing its GST share.</w:t>
            </w:r>
          </w:p>
        </w:tc>
      </w:tr>
      <w:tr w:rsidR="00BB3126" w:rsidRPr="00A10E81" w:rsidTr="00C7618F">
        <w:trPr>
          <w:trHeight w:val="555"/>
        </w:trPr>
        <w:tc>
          <w:tcPr>
            <w:tcW w:w="620" w:type="dxa"/>
            <w:tcBorders>
              <w:top w:val="nil"/>
              <w:left w:val="nil"/>
              <w:bottom w:val="nil"/>
              <w:right w:val="nil"/>
            </w:tcBorders>
            <w:shd w:val="clear" w:color="auto" w:fill="auto"/>
            <w:noWrap/>
            <w:hideMark/>
          </w:tcPr>
          <w:p w:rsidR="00BB3126" w:rsidRPr="00A10E81" w:rsidRDefault="00BB3126" w:rsidP="00C7618F">
            <w:pPr>
              <w:tabs>
                <w:tab w:val="clear" w:pos="567"/>
              </w:tabs>
              <w:spacing w:after="0" w:line="240" w:lineRule="auto"/>
              <w:jc w:val="right"/>
              <w:rPr>
                <w:rFonts w:ascii="Calibri" w:eastAsia="Times New Roman" w:hAnsi="Calibri" w:cs="Calibri"/>
                <w:sz w:val="20"/>
                <w:szCs w:val="20"/>
                <w:lang w:eastAsia="en-AU"/>
              </w:rPr>
            </w:pPr>
            <w:r w:rsidRPr="00A10E81">
              <w:rPr>
                <w:rFonts w:ascii="Calibri" w:eastAsia="Times New Roman" w:hAnsi="Calibri" w:cs="Calibri"/>
                <w:sz w:val="20"/>
                <w:szCs w:val="20"/>
                <w:lang w:eastAsia="en-AU"/>
              </w:rPr>
              <w:t>-15</w:t>
            </w:r>
          </w:p>
        </w:tc>
        <w:tc>
          <w:tcPr>
            <w:tcW w:w="262" w:type="dxa"/>
            <w:tcBorders>
              <w:top w:val="nil"/>
              <w:left w:val="nil"/>
              <w:bottom w:val="nil"/>
              <w:right w:val="nil"/>
            </w:tcBorders>
            <w:shd w:val="clear" w:color="auto" w:fill="auto"/>
            <w:noWrap/>
            <w:hideMark/>
          </w:tcPr>
          <w:p w:rsidR="00BB3126" w:rsidRPr="00A10E81" w:rsidRDefault="00BB3126" w:rsidP="00C7618F">
            <w:pPr>
              <w:tabs>
                <w:tab w:val="clear" w:pos="567"/>
              </w:tabs>
              <w:spacing w:after="0" w:line="240" w:lineRule="auto"/>
              <w:jc w:val="right"/>
              <w:rPr>
                <w:rFonts w:ascii="Calibri" w:eastAsia="Times New Roman" w:hAnsi="Calibri" w:cs="Calibri"/>
                <w:sz w:val="20"/>
                <w:szCs w:val="20"/>
                <w:lang w:eastAsia="en-AU"/>
              </w:rPr>
            </w:pPr>
          </w:p>
        </w:tc>
        <w:tc>
          <w:tcPr>
            <w:tcW w:w="9038" w:type="dxa"/>
            <w:tcBorders>
              <w:top w:val="nil"/>
              <w:left w:val="nil"/>
              <w:bottom w:val="nil"/>
              <w:right w:val="nil"/>
            </w:tcBorders>
            <w:shd w:val="clear" w:color="auto" w:fill="auto"/>
            <w:hideMark/>
          </w:tcPr>
          <w:p w:rsidR="00BB3126" w:rsidRPr="001C6838" w:rsidRDefault="00BB3126" w:rsidP="00C7618F">
            <w:pPr>
              <w:tabs>
                <w:tab w:val="clear" w:pos="567"/>
              </w:tabs>
              <w:spacing w:after="0" w:line="240" w:lineRule="auto"/>
              <w:rPr>
                <w:rFonts w:ascii="Calibri" w:eastAsia="Times New Roman" w:hAnsi="Calibri" w:cs="Calibri"/>
                <w:sz w:val="20"/>
                <w:szCs w:val="20"/>
                <w:lang w:eastAsia="en-AU"/>
              </w:rPr>
            </w:pPr>
            <w:r w:rsidRPr="001C6838">
              <w:rPr>
                <w:rFonts w:ascii="Calibri" w:eastAsia="Times New Roman" w:hAnsi="Calibri" w:cs="Calibri"/>
                <w:b/>
                <w:sz w:val="20"/>
                <w:szCs w:val="20"/>
                <w:lang w:eastAsia="en-AU"/>
              </w:rPr>
              <w:t>Use of health services.</w:t>
            </w:r>
            <w:r w:rsidRPr="001C6838">
              <w:rPr>
                <w:rFonts w:ascii="Calibri" w:eastAsia="Times New Roman" w:hAnsi="Calibri" w:cs="Calibri"/>
                <w:sz w:val="20"/>
                <w:szCs w:val="20"/>
                <w:lang w:eastAsia="en-AU"/>
              </w:rPr>
              <w:t xml:space="preserve"> Revised data on the use of health services show that per capita spending nationally on people living in regional and remote areas has declined. All of the Northern Territory’s population lives in these areas, causing a fall in its assessed spending and GST share.</w:t>
            </w:r>
          </w:p>
        </w:tc>
      </w:tr>
      <w:tr w:rsidR="00BB3126" w:rsidRPr="00A10E81" w:rsidTr="00C7618F">
        <w:trPr>
          <w:trHeight w:val="555"/>
        </w:trPr>
        <w:tc>
          <w:tcPr>
            <w:tcW w:w="620" w:type="dxa"/>
            <w:tcBorders>
              <w:top w:val="nil"/>
              <w:left w:val="nil"/>
              <w:bottom w:val="single" w:sz="4" w:space="0" w:color="auto"/>
              <w:right w:val="nil"/>
            </w:tcBorders>
            <w:shd w:val="clear" w:color="auto" w:fill="auto"/>
            <w:noWrap/>
            <w:hideMark/>
          </w:tcPr>
          <w:p w:rsidR="00BB3126" w:rsidRPr="00A10E81" w:rsidRDefault="00BB3126" w:rsidP="00C7618F">
            <w:pPr>
              <w:tabs>
                <w:tab w:val="clear" w:pos="567"/>
              </w:tabs>
              <w:spacing w:after="0" w:line="240" w:lineRule="auto"/>
              <w:jc w:val="right"/>
              <w:rPr>
                <w:rFonts w:ascii="Calibri" w:eastAsia="Times New Roman" w:hAnsi="Calibri" w:cs="Calibri"/>
                <w:sz w:val="20"/>
                <w:szCs w:val="20"/>
                <w:lang w:eastAsia="en-AU"/>
              </w:rPr>
            </w:pPr>
            <w:r w:rsidRPr="00A10E81">
              <w:rPr>
                <w:rFonts w:ascii="Calibri" w:eastAsia="Times New Roman" w:hAnsi="Calibri" w:cs="Calibri"/>
                <w:sz w:val="20"/>
                <w:szCs w:val="20"/>
                <w:lang w:eastAsia="en-AU"/>
              </w:rPr>
              <w:t>-14</w:t>
            </w:r>
          </w:p>
        </w:tc>
        <w:tc>
          <w:tcPr>
            <w:tcW w:w="262" w:type="dxa"/>
            <w:tcBorders>
              <w:top w:val="nil"/>
              <w:left w:val="nil"/>
              <w:bottom w:val="single" w:sz="4" w:space="0" w:color="auto"/>
              <w:right w:val="nil"/>
            </w:tcBorders>
            <w:shd w:val="clear" w:color="auto" w:fill="auto"/>
            <w:noWrap/>
            <w:hideMark/>
          </w:tcPr>
          <w:p w:rsidR="00BB3126" w:rsidRPr="00A10E81" w:rsidRDefault="00BB3126" w:rsidP="00C7618F">
            <w:pPr>
              <w:tabs>
                <w:tab w:val="clear" w:pos="567"/>
              </w:tabs>
              <w:spacing w:after="0" w:line="240" w:lineRule="auto"/>
              <w:rPr>
                <w:rFonts w:ascii="Calibri" w:eastAsia="Times New Roman" w:hAnsi="Calibri" w:cs="Calibri"/>
                <w:sz w:val="20"/>
                <w:szCs w:val="20"/>
                <w:lang w:eastAsia="en-AU"/>
              </w:rPr>
            </w:pPr>
            <w:r w:rsidRPr="00A10E81">
              <w:rPr>
                <w:rFonts w:ascii="Calibri" w:eastAsia="Times New Roman" w:hAnsi="Calibri" w:cs="Calibri"/>
                <w:sz w:val="20"/>
                <w:szCs w:val="20"/>
                <w:lang w:eastAsia="en-AU"/>
              </w:rPr>
              <w:t> </w:t>
            </w:r>
          </w:p>
        </w:tc>
        <w:tc>
          <w:tcPr>
            <w:tcW w:w="9038" w:type="dxa"/>
            <w:tcBorders>
              <w:top w:val="nil"/>
              <w:left w:val="nil"/>
              <w:bottom w:val="single" w:sz="4" w:space="0" w:color="auto"/>
              <w:right w:val="nil"/>
            </w:tcBorders>
            <w:shd w:val="clear" w:color="auto" w:fill="auto"/>
            <w:hideMark/>
          </w:tcPr>
          <w:p w:rsidR="00BB3126" w:rsidRPr="001C6838" w:rsidRDefault="00BB3126" w:rsidP="00EE6EF4">
            <w:pPr>
              <w:tabs>
                <w:tab w:val="clear" w:pos="567"/>
              </w:tabs>
              <w:spacing w:after="0" w:line="240" w:lineRule="auto"/>
              <w:rPr>
                <w:rFonts w:ascii="Calibri" w:eastAsia="Times New Roman" w:hAnsi="Calibri" w:cs="Calibri"/>
                <w:sz w:val="20"/>
                <w:szCs w:val="20"/>
                <w:lang w:eastAsia="en-AU"/>
              </w:rPr>
            </w:pPr>
            <w:r w:rsidRPr="001C6838">
              <w:rPr>
                <w:rFonts w:ascii="Calibri" w:eastAsia="Times New Roman" w:hAnsi="Calibri" w:cs="Calibri"/>
                <w:b/>
                <w:sz w:val="20"/>
                <w:szCs w:val="20"/>
                <w:lang w:eastAsia="en-AU"/>
              </w:rPr>
              <w:t>Wage costs.</w:t>
            </w:r>
            <w:r w:rsidRPr="001C6838">
              <w:rPr>
                <w:rFonts w:ascii="Calibri" w:eastAsia="Times New Roman" w:hAnsi="Calibri" w:cs="Calibri"/>
                <w:sz w:val="20"/>
                <w:szCs w:val="20"/>
                <w:lang w:eastAsia="en-AU"/>
              </w:rPr>
              <w:t xml:space="preserve"> Below average growth in wage levels reduced the Northern Territory's </w:t>
            </w:r>
            <w:r w:rsidR="009C5324">
              <w:rPr>
                <w:rFonts w:ascii="Calibri" w:eastAsia="Times New Roman" w:hAnsi="Calibri" w:cs="Calibri"/>
                <w:sz w:val="20"/>
                <w:szCs w:val="20"/>
                <w:lang w:eastAsia="en-AU"/>
              </w:rPr>
              <w:t xml:space="preserve">assessed </w:t>
            </w:r>
            <w:r w:rsidRPr="001C6838">
              <w:rPr>
                <w:rFonts w:ascii="Calibri" w:eastAsia="Times New Roman" w:hAnsi="Calibri" w:cs="Calibri"/>
                <w:sz w:val="20"/>
                <w:szCs w:val="20"/>
                <w:lang w:eastAsia="en-AU"/>
              </w:rPr>
              <w:t>service delivery costs and its GST share.</w:t>
            </w:r>
          </w:p>
        </w:tc>
      </w:tr>
    </w:tbl>
    <w:p w:rsidR="00BB3126" w:rsidRPr="005F42A8" w:rsidRDefault="00BB3126" w:rsidP="00BB3126">
      <w:pPr>
        <w:pStyle w:val="NoSpacing"/>
        <w:sectPr w:rsidR="00BB3126" w:rsidRPr="005F42A8" w:rsidSect="00C7618F">
          <w:type w:val="continuous"/>
          <w:pgSz w:w="11899" w:h="16838" w:code="9"/>
          <w:pgMar w:top="1440" w:right="1080" w:bottom="1440" w:left="1080" w:header="709" w:footer="709" w:gutter="0"/>
          <w:cols w:space="1"/>
          <w:titlePg/>
          <w:docGrid w:linePitch="326"/>
        </w:sectPr>
      </w:pPr>
    </w:p>
    <w:p w:rsidR="00BB3126" w:rsidRPr="005F42A8" w:rsidRDefault="00BB3126" w:rsidP="00BB3126">
      <w:pPr>
        <w:spacing w:before="240"/>
      </w:pPr>
      <w:r w:rsidRPr="005F42A8">
        <w:rPr>
          <w:rStyle w:val="Heading6Char"/>
        </w:rPr>
        <w:t>Fiscal capacity.</w:t>
      </w:r>
      <w:r w:rsidRPr="005F42A8">
        <w:t xml:space="preserve"> The Northern Territory’s below average fiscal capacity is primarily due to its above average </w:t>
      </w:r>
      <w:r>
        <w:t>expense requirement</w:t>
      </w:r>
      <w:r w:rsidRPr="005F42A8">
        <w:t xml:space="preserve">. It has above average shares of high cost population groups, including exceptionally high proportions of Indigenous people and people </w:t>
      </w:r>
      <w:r>
        <w:t xml:space="preserve">living </w:t>
      </w:r>
      <w:r w:rsidRPr="005F42A8">
        <w:t xml:space="preserve">in remote areas. </w:t>
      </w:r>
    </w:p>
    <w:p w:rsidR="00BB3126" w:rsidRPr="005F42A8" w:rsidRDefault="00BB3126" w:rsidP="00BB3126">
      <w:pPr>
        <w:rPr>
          <w:szCs w:val="24"/>
        </w:rPr>
      </w:pPr>
      <w:r w:rsidRPr="005F42A8">
        <w:t xml:space="preserve">These effects are reinforced by its below average capacity to raise revenue from property sales and </w:t>
      </w:r>
      <w:r>
        <w:t xml:space="preserve">taxable </w:t>
      </w:r>
      <w:r w:rsidRPr="005F42A8">
        <w:t xml:space="preserve">land </w:t>
      </w:r>
      <w:r>
        <w:t>values but are partially offset by its relatively strong mining and payroll tax bases</w:t>
      </w:r>
      <w:r w:rsidRPr="005F42A8">
        <w:t>. Its above average need for assistance is partially met through an above average share of Commonwealth payments.</w:t>
      </w:r>
    </w:p>
    <w:p w:rsidR="00BB3126" w:rsidRPr="005F42A8" w:rsidRDefault="00BB3126" w:rsidP="00BB3126">
      <w:pPr>
        <w:pStyle w:val="CGCTableHeading"/>
        <w:spacing w:after="80" w:line="320" w:lineRule="atLeast"/>
      </w:pPr>
      <w:r w:rsidRPr="005F42A8">
        <w:rPr>
          <w:szCs w:val="24"/>
        </w:rPr>
        <w:br w:type="column"/>
      </w:r>
      <w:r w:rsidRPr="005F42A8">
        <w:t xml:space="preserve">Table </w:t>
      </w:r>
      <w:r>
        <w:rPr>
          <w:noProof/>
        </w:rPr>
        <w:fldChar w:fldCharType="begin"/>
      </w:r>
      <w:r>
        <w:rPr>
          <w:noProof/>
        </w:rPr>
        <w:instrText xml:space="preserve"> SEQ Table \* ARABIC </w:instrText>
      </w:r>
      <w:r>
        <w:rPr>
          <w:noProof/>
        </w:rPr>
        <w:fldChar w:fldCharType="separate"/>
      </w:r>
      <w:r w:rsidR="00E82224">
        <w:rPr>
          <w:noProof/>
        </w:rPr>
        <w:t>28</w:t>
      </w:r>
      <w:r>
        <w:rPr>
          <w:noProof/>
        </w:rPr>
        <w:fldChar w:fldCharType="end"/>
      </w:r>
      <w:r w:rsidRPr="005F42A8">
        <w:tab/>
      </w:r>
      <w:r w:rsidR="00800008">
        <w:t>Illustrative</w:t>
      </w:r>
      <w:r w:rsidR="00800008" w:rsidRPr="005F42A8">
        <w:t xml:space="preserve"> </w:t>
      </w:r>
      <w:r w:rsidRPr="005F42A8">
        <w:t>GST, 2019</w:t>
      </w:r>
      <w:r w:rsidRPr="005F42A8">
        <w:noBreakHyphen/>
        <w:t>20</w:t>
      </w:r>
    </w:p>
    <w:tbl>
      <w:tblPr>
        <w:tblW w:w="4260" w:type="dxa"/>
        <w:tblLayout w:type="fixed"/>
        <w:tblCellMar>
          <w:left w:w="0" w:type="dxa"/>
          <w:right w:w="0" w:type="dxa"/>
        </w:tblCellMar>
        <w:tblLook w:val="04A0" w:firstRow="1" w:lastRow="0" w:firstColumn="1" w:lastColumn="0" w:noHBand="0" w:noVBand="1"/>
      </w:tblPr>
      <w:tblGrid>
        <w:gridCol w:w="2700"/>
        <w:gridCol w:w="760"/>
        <w:gridCol w:w="800"/>
      </w:tblGrid>
      <w:tr w:rsidR="00BB3126" w:rsidRPr="00550305" w:rsidTr="00C7618F">
        <w:trPr>
          <w:trHeight w:val="259"/>
        </w:trPr>
        <w:tc>
          <w:tcPr>
            <w:tcW w:w="270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w:t>
            </w:r>
          </w:p>
        </w:tc>
        <w:tc>
          <w:tcPr>
            <w:tcW w:w="76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$m</w:t>
            </w:r>
          </w:p>
        </w:tc>
        <w:tc>
          <w:tcPr>
            <w:tcW w:w="800" w:type="dxa"/>
            <w:tcBorders>
              <w:top w:val="single" w:sz="4" w:space="0" w:color="auto"/>
              <w:left w:val="nil"/>
              <w:bottom w:val="single" w:sz="4" w:space="0" w:color="auto"/>
              <w:right w:val="nil"/>
            </w:tcBorders>
            <w:shd w:val="clear" w:color="auto" w:fill="auto"/>
            <w:noWrap/>
            <w:vAlign w:val="center"/>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$pc</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Equal per capita share</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669</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2 690</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Effect of assessed:</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xml:space="preserve"> </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 xml:space="preserve"> </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Expenses</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2 672</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10 744</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Investment</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-79</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-316</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Net borrowing</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9</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36</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Revenue</w:t>
            </w:r>
          </w:p>
        </w:tc>
        <w:tc>
          <w:tcPr>
            <w:tcW w:w="76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48</w:t>
            </w:r>
          </w:p>
        </w:tc>
        <w:tc>
          <w:tcPr>
            <w:tcW w:w="8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192</w:t>
            </w:r>
          </w:p>
        </w:tc>
      </w:tr>
      <w:tr w:rsidR="00BB3126" w:rsidRPr="00550305" w:rsidTr="00C7618F">
        <w:trPr>
          <w:trHeight w:val="315"/>
        </w:trPr>
        <w:tc>
          <w:tcPr>
            <w:tcW w:w="2700" w:type="dxa"/>
            <w:tcBorders>
              <w:top w:val="nil"/>
              <w:left w:val="nil"/>
              <w:bottom w:val="nil"/>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Commonwealth payments</w:t>
            </w:r>
          </w:p>
        </w:tc>
        <w:tc>
          <w:tcPr>
            <w:tcW w:w="76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-460</w:t>
            </w:r>
          </w:p>
        </w:tc>
        <w:tc>
          <w:tcPr>
            <w:tcW w:w="80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-1 848</w:t>
            </w:r>
          </w:p>
        </w:tc>
      </w:tr>
      <w:tr w:rsidR="00BB3126" w:rsidRPr="00550305" w:rsidTr="00C7618F">
        <w:trPr>
          <w:trHeight w:val="315"/>
        </w:trPr>
        <w:tc>
          <w:tcPr>
            <w:tcW w:w="2700" w:type="dxa"/>
            <w:tcBorders>
              <w:top w:val="nil"/>
              <w:left w:val="nil"/>
              <w:bottom w:val="single" w:sz="4" w:space="0" w:color="auto"/>
              <w:right w:val="nil"/>
            </w:tcBorders>
            <w:shd w:val="clear" w:color="auto" w:fill="auto"/>
            <w:noWrap/>
            <w:vAlign w:val="bottom"/>
            <w:hideMark/>
          </w:tcPr>
          <w:p w:rsidR="00BB3126" w:rsidRPr="00550305" w:rsidRDefault="001F3A9A" w:rsidP="00C7618F">
            <w:pPr>
              <w:keepNext/>
              <w:keepLines/>
              <w:tabs>
                <w:tab w:val="clear" w:pos="567"/>
              </w:tabs>
              <w:spacing w:after="0" w:line="240" w:lineRule="auto"/>
              <w:ind w:left="193" w:hanging="142"/>
              <w:rPr>
                <w:rFonts w:ascii="Calibri" w:eastAsia="Times New Roman" w:hAnsi="Calibri" w:cs="Calibri"/>
                <w:sz w:val="20"/>
                <w:szCs w:val="20"/>
                <w:lang w:eastAsia="en-AU"/>
              </w:rPr>
            </w:pPr>
            <w:r>
              <w:rPr>
                <w:rFonts w:ascii="Calibri" w:eastAsia="Times New Roman" w:hAnsi="Calibri" w:cs="Calibri"/>
                <w:sz w:val="20"/>
                <w:szCs w:val="20"/>
                <w:lang w:eastAsia="en-AU"/>
              </w:rPr>
              <w:t>Illustrative</w:t>
            </w:r>
            <w:r w:rsidR="00BB3126" w:rsidRPr="00550305">
              <w:rPr>
                <w:rFonts w:ascii="Calibri" w:eastAsia="Times New Roman" w:hAnsi="Calibri" w:cs="Calibri"/>
                <w:sz w:val="20"/>
                <w:szCs w:val="20"/>
                <w:lang w:eastAsia="en-AU"/>
              </w:rPr>
              <w:t xml:space="preserve"> GST</w:t>
            </w:r>
          </w:p>
        </w:tc>
        <w:tc>
          <w:tcPr>
            <w:tcW w:w="76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2 860</w:t>
            </w:r>
          </w:p>
        </w:tc>
        <w:tc>
          <w:tcPr>
            <w:tcW w:w="800" w:type="dxa"/>
            <w:tcBorders>
              <w:top w:val="nil"/>
              <w:left w:val="nil"/>
              <w:bottom w:val="single" w:sz="4" w:space="0" w:color="auto"/>
              <w:right w:val="nil"/>
            </w:tcBorders>
            <w:shd w:val="clear" w:color="auto" w:fill="auto"/>
            <w:noWrap/>
            <w:vAlign w:val="bottom"/>
            <w:hideMark/>
          </w:tcPr>
          <w:p w:rsidR="00BB3126" w:rsidRPr="0055030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50305">
              <w:rPr>
                <w:rFonts w:ascii="Calibri" w:eastAsia="Times New Roman" w:hAnsi="Calibri" w:cs="Calibri"/>
                <w:sz w:val="20"/>
                <w:szCs w:val="20"/>
                <w:lang w:eastAsia="en-AU"/>
              </w:rPr>
              <w:t>11 498</w:t>
            </w:r>
          </w:p>
        </w:tc>
      </w:tr>
    </w:tbl>
    <w:p w:rsidR="00BB3126" w:rsidRPr="002A48E0" w:rsidRDefault="00BB3126" w:rsidP="00BB3126">
      <w:pPr>
        <w:pStyle w:val="CGCTableFootnote"/>
        <w:sectPr w:rsidR="00BB3126" w:rsidRPr="002A48E0" w:rsidSect="00C7618F">
          <w:type w:val="continuous"/>
          <w:pgSz w:w="11899" w:h="16838" w:code="9"/>
          <w:pgMar w:top="1440" w:right="1080" w:bottom="1440" w:left="1080" w:header="709" w:footer="709" w:gutter="0"/>
          <w:cols w:num="2" w:space="157" w:equalWidth="0">
            <w:col w:w="5500" w:space="157"/>
            <w:col w:w="4082"/>
          </w:cols>
          <w:titlePg/>
          <w:docGrid w:linePitch="326"/>
        </w:sectPr>
      </w:pPr>
      <w:r>
        <w:t>Note:</w:t>
      </w:r>
      <w:r>
        <w:tab/>
      </w:r>
      <w:r w:rsidRPr="005F42A8">
        <w:t>Table may not add due to rounding.</w:t>
      </w:r>
    </w:p>
    <w:p w:rsidR="00BB3126" w:rsidRPr="002A48E0" w:rsidRDefault="00BB3126" w:rsidP="00BB3126">
      <w:pPr>
        <w:tabs>
          <w:tab w:val="clear" w:pos="567"/>
        </w:tabs>
        <w:spacing w:after="40" w:line="240" w:lineRule="auto"/>
        <w:rPr>
          <w:rFonts w:cs="Arial"/>
          <w:b/>
          <w:color w:val="0000FF"/>
        </w:rPr>
        <w:sectPr w:rsidR="00BB3126" w:rsidRPr="002A48E0" w:rsidSect="00C7618F">
          <w:headerReference w:type="even" r:id="rId78"/>
          <w:headerReference w:type="default" r:id="rId79"/>
          <w:footerReference w:type="default" r:id="rId80"/>
          <w:headerReference w:type="first" r:id="rId81"/>
          <w:type w:val="continuous"/>
          <w:pgSz w:w="11899" w:h="16838" w:code="9"/>
          <w:pgMar w:top="1701" w:right="1474" w:bottom="1701" w:left="1474" w:header="709" w:footer="709" w:gutter="0"/>
          <w:cols w:space="708"/>
          <w:docGrid w:linePitch="299"/>
        </w:sectPr>
      </w:pPr>
    </w:p>
    <w:p w:rsidR="00BB3126" w:rsidRPr="00B17E45" w:rsidRDefault="00BB3126" w:rsidP="00BB3126">
      <w:pPr>
        <w:pStyle w:val="Heading1"/>
      </w:pPr>
      <w:bookmarkStart w:id="433" w:name="_Toc536803171"/>
      <w:bookmarkStart w:id="434" w:name="_Toc536803259"/>
      <w:bookmarkStart w:id="435" w:name="_Toc1115139"/>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B17E45">
        <w:lastRenderedPageBreak/>
        <w:t>Chapter 1</w:t>
      </w:r>
      <w:bookmarkEnd w:id="433"/>
      <w:bookmarkEnd w:id="434"/>
      <w:bookmarkEnd w:id="435"/>
    </w:p>
    <w:p w:rsidR="00BB3126" w:rsidRPr="00B17E45" w:rsidRDefault="00BB3126" w:rsidP="00BB3126">
      <w:pPr>
        <w:pStyle w:val="Heading2"/>
      </w:pPr>
      <w:bookmarkStart w:id="436" w:name="_Ref473625499"/>
      <w:bookmarkStart w:id="437" w:name="_Toc474923752"/>
      <w:bookmarkStart w:id="438" w:name="_Toc505872177"/>
      <w:bookmarkStart w:id="439" w:name="_Toc536519628"/>
      <w:bookmarkStart w:id="440" w:name="_Toc536631338"/>
      <w:bookmarkStart w:id="441" w:name="_Toc536803172"/>
      <w:bookmarkStart w:id="442" w:name="_Toc536803260"/>
      <w:bookmarkStart w:id="443" w:name="_Toc536803597"/>
      <w:bookmarkStart w:id="444" w:name="_Toc174382"/>
      <w:bookmarkStart w:id="445" w:name="_Toc1115140"/>
      <w:r w:rsidRPr="00B17E45">
        <w:t>Changes in the GST distribution</w:t>
      </w:r>
      <w:bookmarkEnd w:id="436"/>
      <w:bookmarkEnd w:id="437"/>
      <w:bookmarkEnd w:id="438"/>
      <w:bookmarkEnd w:id="439"/>
      <w:bookmarkEnd w:id="440"/>
      <w:bookmarkEnd w:id="441"/>
      <w:bookmarkEnd w:id="442"/>
      <w:bookmarkEnd w:id="443"/>
      <w:bookmarkEnd w:id="444"/>
      <w:bookmarkEnd w:id="445"/>
    </w:p>
    <w:p w:rsidR="00BB3126" w:rsidRPr="00B17E45" w:rsidRDefault="00BB3126" w:rsidP="00BB3126">
      <w:pPr>
        <w:pStyle w:val="11para"/>
      </w:pPr>
      <w:r w:rsidRPr="00B17E45">
        <w:t xml:space="preserve">This chapter explains </w:t>
      </w:r>
      <w:r>
        <w:t xml:space="preserve">in detail </w:t>
      </w:r>
      <w:r w:rsidRPr="00B17E45">
        <w:t>why the GST distribution in this update differs from the 2018 Update distribution.</w:t>
      </w:r>
    </w:p>
    <w:p w:rsidR="00BB3126" w:rsidRPr="00113093" w:rsidRDefault="00BB3126" w:rsidP="00BB3126">
      <w:pPr>
        <w:pStyle w:val="Heading3"/>
      </w:pPr>
      <w:bookmarkStart w:id="446" w:name="_Toc430166134"/>
      <w:bookmarkStart w:id="447" w:name="_Toc433353486"/>
      <w:bookmarkStart w:id="448" w:name="_Toc441241590"/>
      <w:bookmarkStart w:id="449" w:name="_Toc441499260"/>
      <w:bookmarkStart w:id="450" w:name="_Toc441656027"/>
      <w:bookmarkStart w:id="451" w:name="_Toc442191916"/>
      <w:bookmarkStart w:id="452" w:name="_Toc442192170"/>
      <w:bookmarkStart w:id="453" w:name="_Toc442192235"/>
      <w:bookmarkStart w:id="454" w:name="_Toc442772819"/>
      <w:bookmarkStart w:id="455" w:name="_Toc442773048"/>
      <w:bookmarkStart w:id="456" w:name="_Toc442773218"/>
      <w:bookmarkStart w:id="457" w:name="_Toc442773564"/>
      <w:bookmarkStart w:id="458" w:name="_Toc442883285"/>
      <w:bookmarkStart w:id="459" w:name="_Toc474923753"/>
      <w:bookmarkStart w:id="460" w:name="_Toc505872178"/>
      <w:bookmarkStart w:id="461" w:name="_Toc536519629"/>
      <w:bookmarkStart w:id="462" w:name="_Toc536631339"/>
      <w:bookmarkStart w:id="463" w:name="_Toc536803173"/>
      <w:bookmarkStart w:id="464" w:name="_Toc536803261"/>
      <w:bookmarkStart w:id="465" w:name="_Toc1115141"/>
      <w:r w:rsidRPr="00113093">
        <w:t>Movements in the GST distribution</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bookmarkStart w:id="466" w:name="_Toc433353487"/>
    <w:bookmarkStart w:id="467" w:name="_Toc441241591"/>
    <w:bookmarkStart w:id="468" w:name="_Toc441499261"/>
    <w:bookmarkStart w:id="469" w:name="_Toc442191917"/>
    <w:bookmarkStart w:id="470" w:name="_Toc442192171"/>
    <w:bookmarkStart w:id="471" w:name="_Toc442192236"/>
    <w:bookmarkStart w:id="472" w:name="_Toc442772820"/>
    <w:bookmarkStart w:id="473" w:name="_Toc442773049"/>
    <w:bookmarkStart w:id="474" w:name="_Toc442773219"/>
    <w:bookmarkStart w:id="475" w:name="_Toc442883286"/>
    <w:bookmarkStart w:id="476" w:name="_Toc474923754"/>
    <w:p w:rsidR="00BB3126" w:rsidRPr="00D37C34" w:rsidRDefault="00BB3126" w:rsidP="00BB3126">
      <w:pPr>
        <w:pStyle w:val="11para"/>
      </w:pPr>
      <w:r w:rsidRPr="00D37C34">
        <w:fldChar w:fldCharType="begin"/>
      </w:r>
      <w:r w:rsidRPr="00D37C34">
        <w:instrText xml:space="preserve"> REF _Ref503880166 \h  \* MERGEFORMAT </w:instrText>
      </w:r>
      <w:r w:rsidRPr="00D37C34">
        <w:fldChar w:fldCharType="separate"/>
      </w:r>
      <w:r w:rsidR="00E82224" w:rsidRPr="00D37C34">
        <w:t>Table 1</w:t>
      </w:r>
      <w:r w:rsidR="00E82224" w:rsidRPr="00D37C34">
        <w:noBreakHyphen/>
      </w:r>
      <w:r w:rsidR="00E82224">
        <w:t>1</w:t>
      </w:r>
      <w:r w:rsidRPr="00D37C34">
        <w:fldChar w:fldCharType="end"/>
      </w:r>
      <w:r w:rsidRPr="00D37C34">
        <w:t xml:space="preserve"> shows the differences between the estimated GST distribution for 2018</w:t>
      </w:r>
      <w:r w:rsidRPr="00D37C34">
        <w:noBreakHyphen/>
        <w:t>19 and the illustrative distribution for 2019</w:t>
      </w:r>
      <w:r w:rsidRPr="00D37C34">
        <w:noBreakHyphen/>
        <w:t>20</w:t>
      </w:r>
      <w:r w:rsidR="0034129F">
        <w:t xml:space="preserve"> by State</w:t>
      </w:r>
      <w:r w:rsidRPr="00D37C34">
        <w:t>.</w:t>
      </w:r>
    </w:p>
    <w:p w:rsidR="00BB3126" w:rsidRPr="00D37C34" w:rsidRDefault="00BB3126" w:rsidP="00BB3126">
      <w:pPr>
        <w:pStyle w:val="Caption"/>
      </w:pPr>
      <w:bookmarkStart w:id="477" w:name="_Ref503880166"/>
      <w:r w:rsidRPr="00D37C34">
        <w:t>Table 1</w:t>
      </w:r>
      <w:r w:rsidRPr="00D37C34">
        <w:noBreakHyphen/>
      </w:r>
      <w:r>
        <w:rPr>
          <w:noProof/>
        </w:rPr>
        <w:fldChar w:fldCharType="begin"/>
      </w:r>
      <w:r>
        <w:rPr>
          <w:noProof/>
        </w:rPr>
        <w:instrText xml:space="preserve"> SEQ Table \* ARABIC \s 1 </w:instrText>
      </w:r>
      <w:r>
        <w:rPr>
          <w:noProof/>
        </w:rPr>
        <w:fldChar w:fldCharType="separate"/>
      </w:r>
      <w:r w:rsidR="00E82224">
        <w:rPr>
          <w:noProof/>
        </w:rPr>
        <w:t>1</w:t>
      </w:r>
      <w:r>
        <w:rPr>
          <w:noProof/>
        </w:rPr>
        <w:fldChar w:fldCharType="end"/>
      </w:r>
      <w:bookmarkEnd w:id="477"/>
      <w:r w:rsidRPr="00D37C34">
        <w:tab/>
        <w:t>Distribution of the 2018</w:t>
      </w:r>
      <w:r w:rsidRPr="00D37C34">
        <w:noBreakHyphen/>
        <w:t>19 GST and the illustrative 2019</w:t>
      </w:r>
      <w:r w:rsidRPr="00D37C34">
        <w:noBreakHyphen/>
        <w:t>20 GST distribution</w:t>
      </w:r>
    </w:p>
    <w:tbl>
      <w:tblPr>
        <w:tblW w:w="8960" w:type="dxa"/>
        <w:tblLayout w:type="fixed"/>
        <w:tblCellMar>
          <w:left w:w="0" w:type="dxa"/>
          <w:right w:w="0" w:type="dxa"/>
        </w:tblCellMar>
        <w:tblLook w:val="04A0" w:firstRow="1" w:lastRow="0" w:firstColumn="1" w:lastColumn="0" w:noHBand="0" w:noVBand="1"/>
      </w:tblPr>
      <w:tblGrid>
        <w:gridCol w:w="2180"/>
        <w:gridCol w:w="820"/>
        <w:gridCol w:w="820"/>
        <w:gridCol w:w="820"/>
        <w:gridCol w:w="700"/>
        <w:gridCol w:w="700"/>
        <w:gridCol w:w="700"/>
        <w:gridCol w:w="700"/>
        <w:gridCol w:w="700"/>
        <w:gridCol w:w="820"/>
      </w:tblGrid>
      <w:tr w:rsidR="00BB3126" w:rsidRPr="00031F24" w:rsidTr="00C7618F">
        <w:trPr>
          <w:trHeight w:val="379"/>
        </w:trPr>
        <w:tc>
          <w:tcPr>
            <w:tcW w:w="218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 </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NSW</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Vic</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Qld</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WA</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SA</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Tas</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ACT</w:t>
            </w:r>
          </w:p>
        </w:tc>
        <w:tc>
          <w:tcPr>
            <w:tcW w:w="70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Total</w:t>
            </w:r>
          </w:p>
        </w:tc>
      </w:tr>
      <w:tr w:rsidR="00BB3126" w:rsidRPr="00031F24" w:rsidTr="00C7618F">
        <w:trPr>
          <w:trHeight w:val="259"/>
        </w:trPr>
        <w:tc>
          <w:tcPr>
            <w:tcW w:w="21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$m</w:t>
            </w:r>
          </w:p>
        </w:tc>
      </w:tr>
      <w:tr w:rsidR="00BB3126" w:rsidRPr="00031F24" w:rsidTr="00C7618F">
        <w:trPr>
          <w:trHeight w:val="315"/>
        </w:trPr>
        <w:tc>
          <w:tcPr>
            <w:tcW w:w="21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Estimated 2018-19</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18 257</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17 074</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14 630</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3 271</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6 815</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2 469</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1 322</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2 792</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66 630</w:t>
            </w:r>
          </w:p>
        </w:tc>
      </w:tr>
      <w:tr w:rsidR="00BB3126" w:rsidRPr="00031F24" w:rsidTr="00C7618F">
        <w:trPr>
          <w:trHeight w:val="315"/>
        </w:trPr>
        <w:tc>
          <w:tcPr>
            <w:tcW w:w="21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Illustrative 2019-20 (a)</w:t>
            </w:r>
          </w:p>
        </w:tc>
        <w:tc>
          <w:tcPr>
            <w:tcW w:w="82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19 269</w:t>
            </w:r>
          </w:p>
        </w:tc>
        <w:tc>
          <w:tcPr>
            <w:tcW w:w="82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17 734</w:t>
            </w:r>
          </w:p>
        </w:tc>
        <w:tc>
          <w:tcPr>
            <w:tcW w:w="82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14 558</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3 694</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6 946</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2 513</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1 435</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2 860</w:t>
            </w:r>
          </w:p>
        </w:tc>
        <w:tc>
          <w:tcPr>
            <w:tcW w:w="82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69 010</w:t>
            </w:r>
          </w:p>
        </w:tc>
      </w:tr>
      <w:tr w:rsidR="00BB3126" w:rsidRPr="00031F24" w:rsidTr="00C7618F">
        <w:trPr>
          <w:trHeight w:val="315"/>
        </w:trPr>
        <w:tc>
          <w:tcPr>
            <w:tcW w:w="21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Change</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1 012</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661</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-72</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423</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131</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44</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113</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68</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2 380</w:t>
            </w:r>
          </w:p>
        </w:tc>
      </w:tr>
      <w:tr w:rsidR="00BB3126" w:rsidRPr="00031F24" w:rsidTr="00C7618F">
        <w:trPr>
          <w:trHeight w:val="315"/>
        </w:trPr>
        <w:tc>
          <w:tcPr>
            <w:tcW w:w="21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i/>
                <w:iCs/>
                <w:sz w:val="20"/>
                <w:szCs w:val="20"/>
                <w:lang w:eastAsia="en-AU"/>
              </w:rPr>
            </w:pPr>
            <w:r w:rsidRPr="00031F24">
              <w:rPr>
                <w:rFonts w:ascii="Calibri" w:eastAsia="Times New Roman" w:hAnsi="Calibri" w:cs="Calibri"/>
                <w:i/>
                <w:iCs/>
                <w:sz w:val="20"/>
                <w:szCs w:val="20"/>
                <w:lang w:eastAsia="en-AU"/>
              </w:rPr>
              <w:t>Change caused by new:</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rPr>
                <w:rFonts w:ascii="Calibri" w:eastAsia="Times New Roman" w:hAnsi="Calibri" w:cs="Calibri"/>
                <w:i/>
                <w:iCs/>
                <w:sz w:val="20"/>
                <w:szCs w:val="20"/>
                <w:lang w:eastAsia="en-AU"/>
              </w:rPr>
            </w:pP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r>
      <w:tr w:rsidR="00BB3126" w:rsidRPr="00031F24" w:rsidTr="00C7618F">
        <w:trPr>
          <w:trHeight w:val="315"/>
        </w:trPr>
        <w:tc>
          <w:tcPr>
            <w:tcW w:w="21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firstLineChars="100" w:firstLine="200"/>
              <w:rPr>
                <w:rFonts w:ascii="Calibri" w:eastAsia="Times New Roman" w:hAnsi="Calibri" w:cs="Calibri"/>
                <w:i/>
                <w:iCs/>
                <w:sz w:val="20"/>
                <w:szCs w:val="20"/>
                <w:lang w:eastAsia="en-AU"/>
              </w:rPr>
            </w:pPr>
            <w:r w:rsidRPr="00031F24">
              <w:rPr>
                <w:rFonts w:ascii="Calibri" w:eastAsia="Times New Roman" w:hAnsi="Calibri" w:cs="Calibri"/>
                <w:i/>
                <w:iCs/>
                <w:sz w:val="20"/>
                <w:szCs w:val="20"/>
                <w:lang w:eastAsia="en-AU"/>
              </w:rPr>
              <w:t>Population (b)</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28</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119</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-11</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-18</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-55</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-27</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0</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-37</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0</w:t>
            </w:r>
          </w:p>
        </w:tc>
      </w:tr>
      <w:tr w:rsidR="00BB3126" w:rsidRPr="00031F24" w:rsidTr="00C7618F">
        <w:trPr>
          <w:trHeight w:val="315"/>
        </w:trPr>
        <w:tc>
          <w:tcPr>
            <w:tcW w:w="21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firstLineChars="100" w:firstLine="200"/>
              <w:rPr>
                <w:rFonts w:ascii="Calibri" w:eastAsia="Times New Roman" w:hAnsi="Calibri" w:cs="Calibri"/>
                <w:i/>
                <w:iCs/>
                <w:sz w:val="20"/>
                <w:szCs w:val="20"/>
                <w:lang w:eastAsia="en-AU"/>
              </w:rPr>
            </w:pPr>
            <w:r w:rsidRPr="00031F24">
              <w:rPr>
                <w:rFonts w:ascii="Calibri" w:eastAsia="Times New Roman" w:hAnsi="Calibri" w:cs="Calibri"/>
                <w:i/>
                <w:iCs/>
                <w:sz w:val="20"/>
                <w:szCs w:val="20"/>
                <w:lang w:eastAsia="en-AU"/>
              </w:rPr>
              <w:t>Pool (c)</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653</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614</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522</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116</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241</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87</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47</w:t>
            </w:r>
          </w:p>
        </w:tc>
        <w:tc>
          <w:tcPr>
            <w:tcW w:w="70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98</w:t>
            </w:r>
          </w:p>
        </w:tc>
        <w:tc>
          <w:tcPr>
            <w:tcW w:w="82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2 380</w:t>
            </w:r>
          </w:p>
        </w:tc>
      </w:tr>
      <w:tr w:rsidR="00BB3126" w:rsidRPr="00031F24" w:rsidTr="00C7618F">
        <w:trPr>
          <w:trHeight w:val="315"/>
        </w:trPr>
        <w:tc>
          <w:tcPr>
            <w:tcW w:w="218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ind w:left="193" w:firstLineChars="100" w:firstLine="200"/>
              <w:rPr>
                <w:rFonts w:ascii="Calibri" w:eastAsia="Times New Roman" w:hAnsi="Calibri" w:cs="Calibri"/>
                <w:i/>
                <w:iCs/>
                <w:sz w:val="20"/>
                <w:szCs w:val="20"/>
                <w:lang w:eastAsia="en-AU"/>
              </w:rPr>
            </w:pPr>
            <w:r w:rsidRPr="00031F24">
              <w:rPr>
                <w:rFonts w:ascii="Calibri" w:eastAsia="Times New Roman" w:hAnsi="Calibri" w:cs="Calibri"/>
                <w:i/>
                <w:iCs/>
                <w:sz w:val="20"/>
                <w:szCs w:val="20"/>
                <w:lang w:eastAsia="en-AU"/>
              </w:rPr>
              <w:t>Fiscal capacities (d)</w:t>
            </w:r>
          </w:p>
        </w:tc>
        <w:tc>
          <w:tcPr>
            <w:tcW w:w="82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331</w:t>
            </w:r>
          </w:p>
        </w:tc>
        <w:tc>
          <w:tcPr>
            <w:tcW w:w="82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-72</w:t>
            </w:r>
          </w:p>
        </w:tc>
        <w:tc>
          <w:tcPr>
            <w:tcW w:w="82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-583</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324</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-56</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-16</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66</w:t>
            </w:r>
          </w:p>
        </w:tc>
        <w:tc>
          <w:tcPr>
            <w:tcW w:w="70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w:t>
            </w:r>
          </w:p>
        </w:tc>
        <w:tc>
          <w:tcPr>
            <w:tcW w:w="820" w:type="dxa"/>
            <w:tcBorders>
              <w:top w:val="nil"/>
              <w:left w:val="nil"/>
              <w:bottom w:val="nil"/>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0</w:t>
            </w:r>
          </w:p>
        </w:tc>
      </w:tr>
      <w:tr w:rsidR="00BB3126" w:rsidRPr="00031F24" w:rsidTr="00C7618F">
        <w:trPr>
          <w:trHeight w:val="315"/>
        </w:trPr>
        <w:tc>
          <w:tcPr>
            <w:tcW w:w="2180" w:type="dxa"/>
            <w:tcBorders>
              <w:top w:val="nil"/>
              <w:left w:val="nil"/>
              <w:bottom w:val="nil"/>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Change ($m)</w:t>
            </w:r>
          </w:p>
        </w:tc>
        <w:tc>
          <w:tcPr>
            <w:tcW w:w="82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1 012</w:t>
            </w:r>
          </w:p>
        </w:tc>
        <w:tc>
          <w:tcPr>
            <w:tcW w:w="82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661</w:t>
            </w:r>
          </w:p>
        </w:tc>
        <w:tc>
          <w:tcPr>
            <w:tcW w:w="82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-72</w:t>
            </w:r>
          </w:p>
        </w:tc>
        <w:tc>
          <w:tcPr>
            <w:tcW w:w="70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423</w:t>
            </w:r>
          </w:p>
        </w:tc>
        <w:tc>
          <w:tcPr>
            <w:tcW w:w="70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131</w:t>
            </w:r>
          </w:p>
        </w:tc>
        <w:tc>
          <w:tcPr>
            <w:tcW w:w="70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44</w:t>
            </w:r>
          </w:p>
        </w:tc>
        <w:tc>
          <w:tcPr>
            <w:tcW w:w="70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113</w:t>
            </w:r>
          </w:p>
        </w:tc>
        <w:tc>
          <w:tcPr>
            <w:tcW w:w="70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68</w:t>
            </w:r>
          </w:p>
        </w:tc>
        <w:tc>
          <w:tcPr>
            <w:tcW w:w="820" w:type="dxa"/>
            <w:tcBorders>
              <w:top w:val="single" w:sz="4" w:space="0" w:color="auto"/>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2 380</w:t>
            </w:r>
          </w:p>
        </w:tc>
      </w:tr>
      <w:tr w:rsidR="00BB3126" w:rsidRPr="00031F24" w:rsidTr="00C7618F">
        <w:trPr>
          <w:trHeight w:val="315"/>
        </w:trPr>
        <w:tc>
          <w:tcPr>
            <w:tcW w:w="218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Change ($pc)</w:t>
            </w:r>
          </w:p>
        </w:tc>
        <w:tc>
          <w:tcPr>
            <w:tcW w:w="82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123</w:t>
            </w:r>
          </w:p>
        </w:tc>
        <w:tc>
          <w:tcPr>
            <w:tcW w:w="82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99</w:t>
            </w:r>
          </w:p>
        </w:tc>
        <w:tc>
          <w:tcPr>
            <w:tcW w:w="82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-14</w:t>
            </w:r>
          </w:p>
        </w:tc>
        <w:tc>
          <w:tcPr>
            <w:tcW w:w="70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160</w:t>
            </w:r>
          </w:p>
        </w:tc>
        <w:tc>
          <w:tcPr>
            <w:tcW w:w="70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74</w:t>
            </w:r>
          </w:p>
        </w:tc>
        <w:tc>
          <w:tcPr>
            <w:tcW w:w="70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84</w:t>
            </w:r>
          </w:p>
        </w:tc>
        <w:tc>
          <w:tcPr>
            <w:tcW w:w="70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262</w:t>
            </w:r>
          </w:p>
        </w:tc>
        <w:tc>
          <w:tcPr>
            <w:tcW w:w="700" w:type="dxa"/>
            <w:tcBorders>
              <w:top w:val="nil"/>
              <w:left w:val="nil"/>
              <w:bottom w:val="single" w:sz="4" w:space="0" w:color="auto"/>
              <w:right w:val="nil"/>
            </w:tcBorders>
            <w:shd w:val="clear" w:color="auto" w:fill="auto"/>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272</w:t>
            </w:r>
          </w:p>
        </w:tc>
        <w:tc>
          <w:tcPr>
            <w:tcW w:w="820" w:type="dxa"/>
            <w:tcBorders>
              <w:top w:val="nil"/>
              <w:left w:val="nil"/>
              <w:bottom w:val="single" w:sz="4" w:space="0" w:color="auto"/>
              <w:right w:val="nil"/>
            </w:tcBorders>
            <w:shd w:val="clear" w:color="auto" w:fill="auto"/>
            <w:noWrap/>
            <w:vAlign w:val="bottom"/>
            <w:hideMark/>
          </w:tcPr>
          <w:p w:rsidR="00BB3126" w:rsidRPr="00031F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31F24">
              <w:rPr>
                <w:rFonts w:ascii="Calibri" w:eastAsia="Times New Roman" w:hAnsi="Calibri" w:cs="Calibri"/>
                <w:sz w:val="20"/>
                <w:szCs w:val="20"/>
                <w:lang w:eastAsia="en-AU"/>
              </w:rPr>
              <w:t>93</w:t>
            </w:r>
          </w:p>
        </w:tc>
      </w:tr>
    </w:tbl>
    <w:p w:rsidR="00BB3126" w:rsidRPr="006D3C9D" w:rsidRDefault="00BB3126" w:rsidP="00BB3126">
      <w:pPr>
        <w:pStyle w:val="CGCTableFootnote"/>
        <w:keepNext/>
      </w:pPr>
      <w:r w:rsidRPr="006D3C9D">
        <w:t>(a)</w:t>
      </w:r>
      <w:r w:rsidRPr="006D3C9D">
        <w:tab/>
        <w:t>Obtained by applying the 2019 Update relativities to estimated State populations as at December 2019 and estimated GST revenue for 2019</w:t>
      </w:r>
      <w:r w:rsidRPr="006D3C9D">
        <w:noBreakHyphen/>
        <w:t>20.</w:t>
      </w:r>
    </w:p>
    <w:p w:rsidR="00BB3126" w:rsidRPr="006D3C9D" w:rsidRDefault="00BB3126" w:rsidP="00BB3126">
      <w:pPr>
        <w:pStyle w:val="CGCTableFootnote"/>
        <w:keepNext/>
      </w:pPr>
      <w:r w:rsidRPr="006D3C9D">
        <w:t>(b)</w:t>
      </w:r>
      <w:r w:rsidRPr="006D3C9D">
        <w:tab/>
        <w:t>Effects on the distribution of 2018</w:t>
      </w:r>
      <w:r w:rsidRPr="006D3C9D">
        <w:noBreakHyphen/>
        <w:t xml:space="preserve">19 GST revenue of using </w:t>
      </w:r>
      <w:r w:rsidR="00876EAD">
        <w:t>estimated</w:t>
      </w:r>
      <w:r w:rsidRPr="006D3C9D">
        <w:t xml:space="preserve"> State populations as at December 2019 instead of December 2018, with 2018 Update relativities.</w:t>
      </w:r>
    </w:p>
    <w:p w:rsidR="00BB3126" w:rsidRPr="006D3C9D" w:rsidRDefault="00BB3126" w:rsidP="00BB3126">
      <w:pPr>
        <w:pStyle w:val="CGCTableFootnote"/>
        <w:keepNext/>
      </w:pPr>
      <w:r w:rsidRPr="006D3C9D">
        <w:t>(c)</w:t>
      </w:r>
      <w:r w:rsidRPr="006D3C9D">
        <w:tab/>
        <w:t xml:space="preserve">Effect of applying the 2018 Update relativities to the estimated growth in GST revenue for 2019-20. </w:t>
      </w:r>
    </w:p>
    <w:p w:rsidR="00BB3126" w:rsidRPr="006D3C9D" w:rsidRDefault="00BB3126" w:rsidP="00BB3126">
      <w:pPr>
        <w:pStyle w:val="CGCTableFootnote"/>
        <w:keepNext/>
      </w:pPr>
      <w:r w:rsidRPr="006D3C9D">
        <w:t>(d)</w:t>
      </w:r>
      <w:r w:rsidRPr="006D3C9D">
        <w:tab/>
        <w:t xml:space="preserve">Effects on the distribution of the 2019-20 GST revenue of using the 2019 Update </w:t>
      </w:r>
      <w:r>
        <w:t>relativities</w:t>
      </w:r>
      <w:r w:rsidRPr="006D3C9D">
        <w:t xml:space="preserve"> instead of 2018 Update </w:t>
      </w:r>
      <w:r>
        <w:t>relativities</w:t>
      </w:r>
      <w:r w:rsidRPr="006D3C9D">
        <w:t>.</w:t>
      </w:r>
    </w:p>
    <w:p w:rsidR="00BB3126" w:rsidRPr="00550CD6" w:rsidRDefault="00BB3126" w:rsidP="00BB3126">
      <w:pPr>
        <w:pStyle w:val="CGCTableFootnote"/>
        <w:rPr>
          <w:highlight w:val="yellow"/>
        </w:rPr>
      </w:pPr>
      <w:r w:rsidRPr="006D3C9D">
        <w:t>Source:</w:t>
      </w:r>
      <w:r w:rsidRPr="006D3C9D">
        <w:tab/>
        <w:t>2018</w:t>
      </w:r>
      <w:r w:rsidRPr="006D3C9D">
        <w:noBreakHyphen/>
        <w:t>19 GST entitlement and 2019</w:t>
      </w:r>
      <w:r w:rsidRPr="006D3C9D">
        <w:noBreakHyphen/>
        <w:t xml:space="preserve">20 GST revenue are taken from the </w:t>
      </w:r>
      <w:r w:rsidRPr="006D3C9D">
        <w:rPr>
          <w:i/>
        </w:rPr>
        <w:t>Australian Government Budget, Mid</w:t>
      </w:r>
      <w:r w:rsidRPr="006D3C9D">
        <w:rPr>
          <w:i/>
        </w:rPr>
        <w:noBreakHyphen/>
        <w:t>Year Economic and Fiscal Outlook 2018</w:t>
      </w:r>
      <w:r w:rsidRPr="006D3C9D">
        <w:rPr>
          <w:i/>
        </w:rPr>
        <w:noBreakHyphen/>
        <w:t xml:space="preserve">19. </w:t>
      </w:r>
      <w:r w:rsidRPr="006D3C9D">
        <w:t>December 2018 and 2019 population estimates were provided by the Commonwealth Treasury.</w:t>
      </w:r>
    </w:p>
    <w:p w:rsidR="00BB3126" w:rsidRPr="00AB21E4" w:rsidRDefault="00BB3126" w:rsidP="00BB3126">
      <w:pPr>
        <w:pStyle w:val="11para"/>
      </w:pPr>
      <w:r w:rsidRPr="00AB21E4">
        <w:t>The two distributions differ for the following reasons.</w:t>
      </w:r>
    </w:p>
    <w:p w:rsidR="00BB3126" w:rsidRPr="00EB5F62" w:rsidRDefault="00BB3126" w:rsidP="00BB3126">
      <w:pPr>
        <w:numPr>
          <w:ilvl w:val="0"/>
          <w:numId w:val="1"/>
        </w:numPr>
        <w:tabs>
          <w:tab w:val="clear" w:pos="567"/>
          <w:tab w:val="clear" w:pos="927"/>
          <w:tab w:val="left" w:pos="1134"/>
          <w:tab w:val="num" w:pos="4188"/>
        </w:tabs>
        <w:spacing w:before="80" w:line="300" w:lineRule="atLeast"/>
        <w:ind w:left="1134" w:hanging="567"/>
      </w:pPr>
      <w:r w:rsidRPr="00AB21E4">
        <w:t>State populations have changed — the illustrative 2019</w:t>
      </w:r>
      <w:r w:rsidRPr="00AB21E4">
        <w:noBreakHyphen/>
        <w:t xml:space="preserve">20 distribution is based on </w:t>
      </w:r>
      <w:r w:rsidR="00876EAD">
        <w:t>estimated</w:t>
      </w:r>
      <w:r w:rsidRPr="00AB21E4">
        <w:t xml:space="preserve"> State populations as at December 2019 whereas the 2018</w:t>
      </w:r>
      <w:r w:rsidRPr="00AB21E4">
        <w:noBreakHyphen/>
        <w:t>19 distribution is based on populations for a yea</w:t>
      </w:r>
      <w:r w:rsidRPr="00023BDC">
        <w:t xml:space="preserve">r earlier. State shares of the total population differ slightly between these two dates and affect the total GST </w:t>
      </w:r>
      <w:r w:rsidRPr="00EB5F62">
        <w:t>allocation for each State.</w:t>
      </w:r>
    </w:p>
    <w:p w:rsidR="00BB3126" w:rsidRPr="00D37C34" w:rsidRDefault="00BB3126" w:rsidP="00BB3126">
      <w:pPr>
        <w:numPr>
          <w:ilvl w:val="0"/>
          <w:numId w:val="1"/>
        </w:numPr>
        <w:tabs>
          <w:tab w:val="clear" w:pos="567"/>
          <w:tab w:val="clear" w:pos="927"/>
          <w:tab w:val="left" w:pos="1134"/>
          <w:tab w:val="num" w:pos="4188"/>
        </w:tabs>
        <w:spacing w:before="80" w:line="300" w:lineRule="atLeast"/>
        <w:ind w:left="1134" w:hanging="567"/>
      </w:pPr>
      <w:r w:rsidRPr="00EB5F62">
        <w:lastRenderedPageBreak/>
        <w:t>The size of the GST pool available for distribution has changed. Any growth in the pool is distributed amon</w:t>
      </w:r>
      <w:r>
        <w:t>g States using their relativity-</w:t>
      </w:r>
      <w:r w:rsidRPr="00EB5F62">
        <w:t xml:space="preserve">weighted population </w:t>
      </w:r>
      <w:r w:rsidRPr="00D37C34">
        <w:t>shares.</w:t>
      </w:r>
    </w:p>
    <w:p w:rsidR="00BB3126" w:rsidRPr="00D37C34" w:rsidRDefault="00BB3126" w:rsidP="00BB3126">
      <w:pPr>
        <w:numPr>
          <w:ilvl w:val="0"/>
          <w:numId w:val="1"/>
        </w:numPr>
        <w:tabs>
          <w:tab w:val="clear" w:pos="567"/>
          <w:tab w:val="clear" w:pos="927"/>
          <w:tab w:val="left" w:pos="1134"/>
          <w:tab w:val="num" w:pos="4188"/>
        </w:tabs>
        <w:spacing w:before="80" w:line="300" w:lineRule="atLeast"/>
        <w:ind w:left="1134" w:hanging="567"/>
      </w:pPr>
      <w:r w:rsidRPr="00D37C34">
        <w:t>The relativities used to distribute the GST have changed, reflecting changes in the assessed fiscal capacities of States. The illustrative 2019</w:t>
      </w:r>
      <w:r w:rsidRPr="00D37C34">
        <w:noBreakHyphen/>
        <w:t>20 distribution is based on the relativities recommended in this report whereas the 2018</w:t>
      </w:r>
      <w:r w:rsidRPr="00D37C34">
        <w:noBreakHyphen/>
        <w:t xml:space="preserve">19 distribution is based on relativities derived in the 2018 Update and </w:t>
      </w:r>
      <w:r w:rsidR="001752AF">
        <w:t>subsequently determined</w:t>
      </w:r>
      <w:r w:rsidRPr="00D37C34">
        <w:t xml:space="preserve"> by the Treasurer on 4 July 2018.</w:t>
      </w:r>
      <w:r w:rsidRPr="00D37C34">
        <w:rPr>
          <w:rStyle w:val="FootnoteReference"/>
        </w:rPr>
        <w:footnoteReference w:id="2"/>
      </w:r>
    </w:p>
    <w:p w:rsidR="00BB3126" w:rsidRPr="007A39FA" w:rsidRDefault="00BB3126" w:rsidP="00BB3126">
      <w:pPr>
        <w:pStyle w:val="11para"/>
      </w:pPr>
      <w:r w:rsidRPr="007A39FA">
        <w:t>The Commission’s work affects only the changes in the relativities which the Commission derives from its assessment of State fiscal capacities.</w:t>
      </w:r>
    </w:p>
    <w:p w:rsidR="00BB3126" w:rsidRPr="00FF0716" w:rsidRDefault="00BB3126" w:rsidP="00BB3126">
      <w:pPr>
        <w:pStyle w:val="Heading4"/>
      </w:pPr>
      <w:bookmarkStart w:id="478" w:name="_Toc505872179"/>
      <w:bookmarkStart w:id="479" w:name="_Toc536519630"/>
      <w:bookmarkStart w:id="480" w:name="_Toc536631340"/>
      <w:bookmarkStart w:id="481" w:name="_Toc536803174"/>
      <w:bookmarkStart w:id="482" w:name="_Toc536803262"/>
      <w:bookmarkStart w:id="483" w:name="_Toc1115142"/>
      <w:r w:rsidRPr="00FF0716">
        <w:t>Why State fiscal capacities change between updates</w:t>
      </w:r>
      <w:bookmarkEnd w:id="466"/>
      <w:bookmarkEnd w:id="467"/>
      <w:bookmarkEnd w:id="468"/>
      <w:bookmarkEnd w:id="469"/>
      <w:bookmarkEnd w:id="470"/>
      <w:bookmarkEnd w:id="471"/>
      <w:bookmarkEnd w:id="472"/>
      <w:bookmarkEnd w:id="473"/>
      <w:bookmarkEnd w:id="474"/>
      <w:bookmarkEnd w:id="475"/>
      <w:bookmarkEnd w:id="476"/>
      <w:bookmarkEnd w:id="478"/>
      <w:bookmarkEnd w:id="479"/>
      <w:bookmarkEnd w:id="480"/>
      <w:bookmarkEnd w:id="481"/>
      <w:bookmarkEnd w:id="482"/>
      <w:bookmarkEnd w:id="483"/>
    </w:p>
    <w:p w:rsidR="00BB3126" w:rsidRPr="00541B1E" w:rsidRDefault="00BB3126" w:rsidP="00BB3126">
      <w:pPr>
        <w:pStyle w:val="11para"/>
      </w:pPr>
      <w:r w:rsidRPr="00F01ED0">
        <w:t xml:space="preserve">The total change in State fiscal capacities can be attributed to changes in Commonwealth payments for specific purposes, as well as changes in the Commission’s assessments of </w:t>
      </w:r>
      <w:r>
        <w:t xml:space="preserve">each State’s </w:t>
      </w:r>
      <w:r w:rsidRPr="00F01ED0">
        <w:t xml:space="preserve">revenue raising capacity and </w:t>
      </w:r>
      <w:r>
        <w:t xml:space="preserve">its financing </w:t>
      </w:r>
      <w:r w:rsidRPr="00F01ED0">
        <w:t xml:space="preserve">requirement to provide </w:t>
      </w:r>
      <w:r w:rsidRPr="00541B1E">
        <w:t>services and infrastructure. These changes occur for the following reasons.</w:t>
      </w:r>
    </w:p>
    <w:p w:rsidR="00BB3126" w:rsidRPr="00541B1E" w:rsidRDefault="00BB3126" w:rsidP="00BB3126">
      <w:pPr>
        <w:pStyle w:val="CGCBulletlist"/>
        <w:numPr>
          <w:ilvl w:val="0"/>
          <w:numId w:val="1"/>
        </w:numPr>
        <w:tabs>
          <w:tab w:val="clear" w:pos="927"/>
        </w:tabs>
        <w:ind w:left="1134" w:hanging="567"/>
      </w:pPr>
      <w:r w:rsidRPr="00541B1E">
        <w:t>They reflect more recent economic and demographic circumstances of the States. The 2019 Update relativities are based on an average of data for 2015</w:t>
      </w:r>
      <w:r w:rsidRPr="00541B1E">
        <w:noBreakHyphen/>
        <w:t>16 to 2017</w:t>
      </w:r>
      <w:r w:rsidRPr="00541B1E">
        <w:noBreakHyphen/>
        <w:t>18, whereas the 2018 Update relativities were based on data for 2014</w:t>
      </w:r>
      <w:r w:rsidRPr="00541B1E">
        <w:noBreakHyphen/>
        <w:t>15 to 2016</w:t>
      </w:r>
      <w:r w:rsidRPr="00541B1E">
        <w:noBreakHyphen/>
        <w:t>17. Differences between the year brought into the three year average (2017</w:t>
      </w:r>
      <w:r w:rsidRPr="00541B1E">
        <w:noBreakHyphen/>
        <w:t>18 for this up</w:t>
      </w:r>
      <w:r>
        <w:t>date) and the year deleted (2014</w:t>
      </w:r>
      <w:r>
        <w:noBreakHyphen/>
        <w:t>15</w:t>
      </w:r>
      <w:r w:rsidRPr="00541B1E">
        <w:t xml:space="preserve">) change the relativities. However, the three year averaging process means changes in circumstances have a gradual effect. </w:t>
      </w:r>
    </w:p>
    <w:p w:rsidR="00BB3126" w:rsidRPr="00541B1E" w:rsidRDefault="00BB3126" w:rsidP="00BB3126">
      <w:pPr>
        <w:pStyle w:val="CGCBulletlist"/>
        <w:numPr>
          <w:ilvl w:val="0"/>
          <w:numId w:val="1"/>
        </w:numPr>
        <w:tabs>
          <w:tab w:val="clear" w:pos="927"/>
        </w:tabs>
        <w:ind w:left="1134" w:hanging="567"/>
      </w:pPr>
      <w:r w:rsidRPr="00541B1E">
        <w:t>Data used in the assessments in the 2018 Update may be revised. Revisions occur because new data become available. Revisions can also occur because data providers identify errors in their data or because of errors made by the Commission in previous inquiries.</w:t>
      </w:r>
    </w:p>
    <w:p w:rsidR="00BB3126" w:rsidRPr="00097ACA" w:rsidRDefault="00BB3126" w:rsidP="00BB3126">
      <w:pPr>
        <w:pStyle w:val="11para"/>
      </w:pPr>
      <w:r w:rsidRPr="00097ACA">
        <w:fldChar w:fldCharType="begin"/>
      </w:r>
      <w:r w:rsidRPr="00097ACA">
        <w:instrText xml:space="preserve"> REF _Ref503883927 \h  \* MERGEFORMAT </w:instrText>
      </w:r>
      <w:r w:rsidRPr="00097ACA">
        <w:fldChar w:fldCharType="separate"/>
      </w:r>
      <w:r w:rsidR="00E82224" w:rsidRPr="00D37C34">
        <w:t>Table 1</w:t>
      </w:r>
      <w:r w:rsidR="00E82224" w:rsidRPr="00D37C34">
        <w:noBreakHyphen/>
      </w:r>
      <w:r w:rsidR="00E82224">
        <w:t>2</w:t>
      </w:r>
      <w:r w:rsidRPr="00097ACA">
        <w:fldChar w:fldCharType="end"/>
      </w:r>
      <w:r w:rsidRPr="00097ACA">
        <w:t xml:space="preserve"> shows that </w:t>
      </w:r>
      <w:r>
        <w:t xml:space="preserve">data revisions and </w:t>
      </w:r>
      <w:r w:rsidRPr="00097ACA">
        <w:t xml:space="preserve">changes in State circumstances have </w:t>
      </w:r>
      <w:r>
        <w:t xml:space="preserve">each resulted in a redistribution of just over $400 million. </w:t>
      </w:r>
      <w:r w:rsidRPr="00097ACA">
        <w:t>The main data revisions and changes in circumstances are discussed below.</w:t>
      </w:r>
      <w:r w:rsidR="00A81FB8">
        <w:t xml:space="preserve"> </w:t>
      </w:r>
    </w:p>
    <w:p w:rsidR="00BB3126" w:rsidRPr="003F2202" w:rsidRDefault="00BB3126" w:rsidP="00BB3126">
      <w:pPr>
        <w:pStyle w:val="11para"/>
      </w:pPr>
      <w:r w:rsidRPr="00D37C34">
        <w:t xml:space="preserve">In addition to revisions and changes in circumstances, </w:t>
      </w:r>
      <w:r w:rsidRPr="00D37C34">
        <w:rPr>
          <w:i/>
        </w:rPr>
        <w:t>s</w:t>
      </w:r>
      <w:r w:rsidRPr="00D37C34">
        <w:t xml:space="preserve">ubject to consultation with Commonwealth and State governments, the assessment </w:t>
      </w:r>
      <w:r>
        <w:t>approach</w:t>
      </w:r>
      <w:r w:rsidRPr="00D37C34">
        <w:t xml:space="preserve"> may be varied if considered necessary to better reflect the current financial arrangements between the </w:t>
      </w:r>
      <w:r w:rsidRPr="003F2202">
        <w:t xml:space="preserve">Commonwealth and State governments, or to overcome problems in the data used previously. In this update, </w:t>
      </w:r>
      <w:r>
        <w:t xml:space="preserve">the </w:t>
      </w:r>
      <w:r w:rsidR="00C51779">
        <w:t>approach to</w:t>
      </w:r>
      <w:r>
        <w:t xml:space="preserve"> assessing </w:t>
      </w:r>
      <w:r w:rsidRPr="000319B3">
        <w:rPr>
          <w:rStyle w:val="CGCParaNoChar"/>
        </w:rPr>
        <w:t>State NDIS contributions has changed to reflect that most States will be funding NDIS under full scheme conditions in 2019-20</w:t>
      </w:r>
      <w:r>
        <w:rPr>
          <w:rStyle w:val="CGCParaNoChar"/>
        </w:rPr>
        <w:t>, the application year for this update</w:t>
      </w:r>
      <w:r w:rsidRPr="000319B3">
        <w:rPr>
          <w:rStyle w:val="CGCParaNoChar"/>
        </w:rPr>
        <w:t>.</w:t>
      </w:r>
      <w:r>
        <w:rPr>
          <w:rStyle w:val="CGCParaNoChar"/>
        </w:rPr>
        <w:t xml:space="preserve"> Details about this are in </w:t>
      </w:r>
      <w:r>
        <w:rPr>
          <w:rStyle w:val="CGCParaNoChar"/>
        </w:rPr>
        <w:lastRenderedPageBreak/>
        <w:t xml:space="preserve">Chapter 2. This approach to assessing NDIS expenses is in line with the Commission’s proposed assessment in the 2015 Review, and follows further consultation with the Commonwealth and States in this update. Change in circumstances in </w:t>
      </w:r>
      <w:r>
        <w:rPr>
          <w:rStyle w:val="CGCParaNoChar"/>
        </w:rPr>
        <w:fldChar w:fldCharType="begin"/>
      </w:r>
      <w:r>
        <w:rPr>
          <w:rStyle w:val="CGCParaNoChar"/>
        </w:rPr>
        <w:instrText xml:space="preserve"> REF _Ref503883927 \h </w:instrText>
      </w:r>
      <w:r>
        <w:rPr>
          <w:rStyle w:val="CGCParaNoChar"/>
        </w:rPr>
      </w:r>
      <w:r>
        <w:rPr>
          <w:rStyle w:val="CGCParaNoChar"/>
        </w:rPr>
        <w:fldChar w:fldCharType="separate"/>
      </w:r>
      <w:r w:rsidR="00E82224" w:rsidRPr="00D37C34">
        <w:t>Table 1</w:t>
      </w:r>
      <w:r w:rsidR="00E82224" w:rsidRPr="00D37C34">
        <w:noBreakHyphen/>
      </w:r>
      <w:r w:rsidR="00E82224">
        <w:rPr>
          <w:noProof/>
        </w:rPr>
        <w:t>2</w:t>
      </w:r>
      <w:r>
        <w:rPr>
          <w:rStyle w:val="CGCParaNoChar"/>
        </w:rPr>
        <w:fldChar w:fldCharType="end"/>
      </w:r>
      <w:r>
        <w:rPr>
          <w:rStyle w:val="CGCParaNoChar"/>
        </w:rPr>
        <w:t xml:space="preserve"> includes the effect of this assessment approach</w:t>
      </w:r>
      <w:r w:rsidRPr="003F2202">
        <w:t>.</w:t>
      </w:r>
    </w:p>
    <w:p w:rsidR="00BB3126" w:rsidRPr="00D37C34" w:rsidRDefault="00BB3126" w:rsidP="00BB3126">
      <w:pPr>
        <w:pStyle w:val="Caption"/>
      </w:pPr>
      <w:bookmarkStart w:id="484" w:name="_Ref503883927"/>
      <w:r w:rsidRPr="00D37C34">
        <w:t>Table 1</w:t>
      </w:r>
      <w:r w:rsidRPr="00D37C34">
        <w:noBreakHyphen/>
      </w:r>
      <w:r>
        <w:rPr>
          <w:noProof/>
        </w:rPr>
        <w:fldChar w:fldCharType="begin"/>
      </w:r>
      <w:r>
        <w:rPr>
          <w:noProof/>
        </w:rPr>
        <w:instrText xml:space="preserve"> SEQ Table \* ARABIC\s 1 </w:instrText>
      </w:r>
      <w:r>
        <w:rPr>
          <w:noProof/>
        </w:rPr>
        <w:fldChar w:fldCharType="separate"/>
      </w:r>
      <w:r w:rsidR="00E82224">
        <w:rPr>
          <w:noProof/>
        </w:rPr>
        <w:t>2</w:t>
      </w:r>
      <w:r>
        <w:rPr>
          <w:noProof/>
        </w:rPr>
        <w:fldChar w:fldCharType="end"/>
      </w:r>
      <w:bookmarkEnd w:id="484"/>
      <w:r w:rsidRPr="00D37C34">
        <w:tab/>
        <w:t>Change in GST distribution by source of change, 2019</w:t>
      </w:r>
      <w:r w:rsidRPr="00D37C34">
        <w:noBreakHyphen/>
        <w:t>20</w:t>
      </w:r>
    </w:p>
    <w:tbl>
      <w:tblPr>
        <w:tblW w:w="8980" w:type="dxa"/>
        <w:tblLayout w:type="fixed"/>
        <w:tblCellMar>
          <w:left w:w="0" w:type="dxa"/>
          <w:right w:w="0" w:type="dxa"/>
        </w:tblCellMar>
        <w:tblLook w:val="04A0" w:firstRow="1" w:lastRow="0" w:firstColumn="1" w:lastColumn="0" w:noHBand="0" w:noVBand="1"/>
      </w:tblPr>
      <w:tblGrid>
        <w:gridCol w:w="2560"/>
        <w:gridCol w:w="620"/>
        <w:gridCol w:w="720"/>
        <w:gridCol w:w="720"/>
        <w:gridCol w:w="780"/>
        <w:gridCol w:w="720"/>
        <w:gridCol w:w="620"/>
        <w:gridCol w:w="620"/>
        <w:gridCol w:w="640"/>
        <w:gridCol w:w="980"/>
      </w:tblGrid>
      <w:tr w:rsidR="00BB3126" w:rsidRPr="00AF1824" w:rsidTr="00C7618F">
        <w:trPr>
          <w:trHeight w:val="375"/>
        </w:trPr>
        <w:tc>
          <w:tcPr>
            <w:tcW w:w="2560" w:type="dxa"/>
            <w:tcBorders>
              <w:top w:val="single" w:sz="4" w:space="0" w:color="auto"/>
              <w:left w:val="nil"/>
              <w:bottom w:val="single" w:sz="4" w:space="0" w:color="auto"/>
              <w:right w:val="nil"/>
            </w:tcBorders>
            <w:shd w:val="clear" w:color="auto" w:fill="auto"/>
            <w:noWrap/>
            <w:vAlign w:val="center"/>
            <w:hideMark/>
          </w:tcPr>
          <w:p w:rsidR="00BB3126" w:rsidRPr="00AF18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bookmarkStart w:id="485" w:name="RANGE!A19:J23"/>
            <w:r w:rsidRPr="00AF1824">
              <w:rPr>
                <w:rFonts w:ascii="Calibri" w:eastAsia="Times New Roman" w:hAnsi="Calibri" w:cs="Calibri"/>
                <w:sz w:val="20"/>
                <w:szCs w:val="20"/>
                <w:lang w:eastAsia="en-AU"/>
              </w:rPr>
              <w:t> </w:t>
            </w:r>
            <w:bookmarkEnd w:id="485"/>
          </w:p>
        </w:tc>
        <w:tc>
          <w:tcPr>
            <w:tcW w:w="620" w:type="dxa"/>
            <w:tcBorders>
              <w:top w:val="single" w:sz="4" w:space="0" w:color="auto"/>
              <w:left w:val="nil"/>
              <w:bottom w:val="single" w:sz="4" w:space="0" w:color="auto"/>
              <w:right w:val="nil"/>
            </w:tcBorders>
            <w:shd w:val="clear" w:color="auto" w:fill="auto"/>
            <w:noWrap/>
            <w:vAlign w:val="center"/>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NSW</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Qld</w:t>
            </w:r>
          </w:p>
        </w:tc>
        <w:tc>
          <w:tcPr>
            <w:tcW w:w="780" w:type="dxa"/>
            <w:tcBorders>
              <w:top w:val="single" w:sz="4" w:space="0" w:color="auto"/>
              <w:left w:val="nil"/>
              <w:bottom w:val="single" w:sz="4" w:space="0" w:color="auto"/>
              <w:right w:val="nil"/>
            </w:tcBorders>
            <w:shd w:val="clear" w:color="auto" w:fill="auto"/>
            <w:noWrap/>
            <w:vAlign w:val="center"/>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SA</w:t>
            </w:r>
          </w:p>
        </w:tc>
        <w:tc>
          <w:tcPr>
            <w:tcW w:w="620" w:type="dxa"/>
            <w:tcBorders>
              <w:top w:val="single" w:sz="4" w:space="0" w:color="auto"/>
              <w:left w:val="nil"/>
              <w:bottom w:val="single" w:sz="4" w:space="0" w:color="auto"/>
              <w:right w:val="nil"/>
            </w:tcBorders>
            <w:shd w:val="clear" w:color="auto" w:fill="auto"/>
            <w:noWrap/>
            <w:vAlign w:val="center"/>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Tas</w:t>
            </w:r>
          </w:p>
        </w:tc>
        <w:tc>
          <w:tcPr>
            <w:tcW w:w="620" w:type="dxa"/>
            <w:tcBorders>
              <w:top w:val="single" w:sz="4" w:space="0" w:color="auto"/>
              <w:left w:val="nil"/>
              <w:bottom w:val="single" w:sz="4" w:space="0" w:color="auto"/>
              <w:right w:val="nil"/>
            </w:tcBorders>
            <w:shd w:val="clear" w:color="auto" w:fill="auto"/>
            <w:noWrap/>
            <w:vAlign w:val="center"/>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ACT</w:t>
            </w:r>
          </w:p>
        </w:tc>
        <w:tc>
          <w:tcPr>
            <w:tcW w:w="640" w:type="dxa"/>
            <w:tcBorders>
              <w:top w:val="single" w:sz="4" w:space="0" w:color="auto"/>
              <w:left w:val="nil"/>
              <w:bottom w:val="single" w:sz="4" w:space="0" w:color="auto"/>
              <w:right w:val="nil"/>
            </w:tcBorders>
            <w:shd w:val="clear" w:color="auto" w:fill="auto"/>
            <w:noWrap/>
            <w:vAlign w:val="center"/>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NT</w:t>
            </w:r>
          </w:p>
        </w:tc>
        <w:tc>
          <w:tcPr>
            <w:tcW w:w="980" w:type="dxa"/>
            <w:tcBorders>
              <w:top w:val="single" w:sz="4" w:space="0" w:color="auto"/>
              <w:left w:val="nil"/>
              <w:bottom w:val="single" w:sz="4" w:space="0" w:color="auto"/>
              <w:right w:val="nil"/>
            </w:tcBorders>
            <w:shd w:val="clear" w:color="auto" w:fill="auto"/>
            <w:noWrap/>
            <w:vAlign w:val="center"/>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Redist (a)</w:t>
            </w:r>
          </w:p>
        </w:tc>
      </w:tr>
      <w:tr w:rsidR="00BB3126" w:rsidRPr="00AF1824" w:rsidTr="00C7618F">
        <w:trPr>
          <w:trHeight w:val="259"/>
        </w:trPr>
        <w:tc>
          <w:tcPr>
            <w:tcW w:w="256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p>
        </w:tc>
        <w:tc>
          <w:tcPr>
            <w:tcW w:w="62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$m</w:t>
            </w:r>
          </w:p>
        </w:tc>
        <w:tc>
          <w:tcPr>
            <w:tcW w:w="72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$m</w:t>
            </w:r>
          </w:p>
        </w:tc>
        <w:tc>
          <w:tcPr>
            <w:tcW w:w="72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$m</w:t>
            </w:r>
          </w:p>
        </w:tc>
        <w:tc>
          <w:tcPr>
            <w:tcW w:w="78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$m</w:t>
            </w:r>
          </w:p>
        </w:tc>
        <w:tc>
          <w:tcPr>
            <w:tcW w:w="72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$m</w:t>
            </w:r>
          </w:p>
        </w:tc>
        <w:tc>
          <w:tcPr>
            <w:tcW w:w="62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$m</w:t>
            </w:r>
          </w:p>
        </w:tc>
        <w:tc>
          <w:tcPr>
            <w:tcW w:w="62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$m</w:t>
            </w:r>
          </w:p>
        </w:tc>
        <w:tc>
          <w:tcPr>
            <w:tcW w:w="64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$m</w:t>
            </w:r>
          </w:p>
        </w:tc>
        <w:tc>
          <w:tcPr>
            <w:tcW w:w="98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$m</w:t>
            </w:r>
          </w:p>
        </w:tc>
      </w:tr>
      <w:tr w:rsidR="00BB3126" w:rsidRPr="00AF1824" w:rsidTr="00C7618F">
        <w:trPr>
          <w:trHeight w:val="315"/>
        </w:trPr>
        <w:tc>
          <w:tcPr>
            <w:tcW w:w="256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 xml:space="preserve">Data revisions </w:t>
            </w:r>
          </w:p>
        </w:tc>
        <w:tc>
          <w:tcPr>
            <w:tcW w:w="62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324</w:t>
            </w:r>
          </w:p>
        </w:tc>
        <w:tc>
          <w:tcPr>
            <w:tcW w:w="72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-134</w:t>
            </w:r>
          </w:p>
        </w:tc>
        <w:tc>
          <w:tcPr>
            <w:tcW w:w="72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-292</w:t>
            </w:r>
          </w:p>
        </w:tc>
        <w:tc>
          <w:tcPr>
            <w:tcW w:w="78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-4</w:t>
            </w:r>
          </w:p>
        </w:tc>
        <w:tc>
          <w:tcPr>
            <w:tcW w:w="72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-8</w:t>
            </w:r>
          </w:p>
        </w:tc>
        <w:tc>
          <w:tcPr>
            <w:tcW w:w="62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1</w:t>
            </w:r>
          </w:p>
        </w:tc>
        <w:tc>
          <w:tcPr>
            <w:tcW w:w="62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39</w:t>
            </w:r>
          </w:p>
        </w:tc>
        <w:tc>
          <w:tcPr>
            <w:tcW w:w="64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75</w:t>
            </w:r>
          </w:p>
        </w:tc>
        <w:tc>
          <w:tcPr>
            <w:tcW w:w="980" w:type="dxa"/>
            <w:tcBorders>
              <w:top w:val="nil"/>
              <w:left w:val="nil"/>
              <w:bottom w:val="nil"/>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438</w:t>
            </w:r>
          </w:p>
        </w:tc>
      </w:tr>
      <w:tr w:rsidR="00BB3126" w:rsidRPr="00AF1824" w:rsidTr="00C7618F">
        <w:trPr>
          <w:trHeight w:val="315"/>
        </w:trPr>
        <w:tc>
          <w:tcPr>
            <w:tcW w:w="2560" w:type="dxa"/>
            <w:tcBorders>
              <w:top w:val="nil"/>
              <w:left w:val="nil"/>
              <w:bottom w:val="nil"/>
              <w:right w:val="nil"/>
            </w:tcBorders>
            <w:shd w:val="clear" w:color="auto" w:fill="auto"/>
            <w:vAlign w:val="bottom"/>
            <w:hideMark/>
          </w:tcPr>
          <w:p w:rsidR="00BB3126" w:rsidRPr="00AF18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Change in circumstances (b)</w:t>
            </w:r>
          </w:p>
        </w:tc>
        <w:tc>
          <w:tcPr>
            <w:tcW w:w="620" w:type="dxa"/>
            <w:tcBorders>
              <w:top w:val="nil"/>
              <w:left w:val="nil"/>
              <w:bottom w:val="nil"/>
              <w:right w:val="nil"/>
            </w:tcBorders>
            <w:shd w:val="clear" w:color="auto" w:fill="auto"/>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7</w:t>
            </w:r>
          </w:p>
        </w:tc>
        <w:tc>
          <w:tcPr>
            <w:tcW w:w="720" w:type="dxa"/>
            <w:tcBorders>
              <w:top w:val="nil"/>
              <w:left w:val="nil"/>
              <w:bottom w:val="nil"/>
              <w:right w:val="nil"/>
            </w:tcBorders>
            <w:shd w:val="clear" w:color="auto" w:fill="auto"/>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62</w:t>
            </w:r>
          </w:p>
        </w:tc>
        <w:tc>
          <w:tcPr>
            <w:tcW w:w="720" w:type="dxa"/>
            <w:tcBorders>
              <w:top w:val="nil"/>
              <w:left w:val="nil"/>
              <w:bottom w:val="nil"/>
              <w:right w:val="nil"/>
            </w:tcBorders>
            <w:shd w:val="clear" w:color="auto" w:fill="auto"/>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-291</w:t>
            </w:r>
          </w:p>
        </w:tc>
        <w:tc>
          <w:tcPr>
            <w:tcW w:w="780" w:type="dxa"/>
            <w:tcBorders>
              <w:top w:val="nil"/>
              <w:left w:val="nil"/>
              <w:bottom w:val="nil"/>
              <w:right w:val="nil"/>
            </w:tcBorders>
            <w:shd w:val="clear" w:color="auto" w:fill="auto"/>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328</w:t>
            </w:r>
          </w:p>
        </w:tc>
        <w:tc>
          <w:tcPr>
            <w:tcW w:w="720" w:type="dxa"/>
            <w:tcBorders>
              <w:top w:val="nil"/>
              <w:left w:val="nil"/>
              <w:bottom w:val="nil"/>
              <w:right w:val="nil"/>
            </w:tcBorders>
            <w:shd w:val="clear" w:color="auto" w:fill="auto"/>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-48</w:t>
            </w:r>
          </w:p>
        </w:tc>
        <w:tc>
          <w:tcPr>
            <w:tcW w:w="620" w:type="dxa"/>
            <w:tcBorders>
              <w:top w:val="nil"/>
              <w:left w:val="nil"/>
              <w:bottom w:val="nil"/>
              <w:right w:val="nil"/>
            </w:tcBorders>
            <w:shd w:val="clear" w:color="auto" w:fill="auto"/>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-17</w:t>
            </w:r>
          </w:p>
        </w:tc>
        <w:tc>
          <w:tcPr>
            <w:tcW w:w="620" w:type="dxa"/>
            <w:tcBorders>
              <w:top w:val="nil"/>
              <w:left w:val="nil"/>
              <w:bottom w:val="nil"/>
              <w:right w:val="nil"/>
            </w:tcBorders>
            <w:shd w:val="clear" w:color="auto" w:fill="auto"/>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27</w:t>
            </w:r>
          </w:p>
        </w:tc>
        <w:tc>
          <w:tcPr>
            <w:tcW w:w="640" w:type="dxa"/>
            <w:tcBorders>
              <w:top w:val="nil"/>
              <w:left w:val="nil"/>
              <w:bottom w:val="nil"/>
              <w:right w:val="nil"/>
            </w:tcBorders>
            <w:shd w:val="clear" w:color="auto" w:fill="auto"/>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-69</w:t>
            </w:r>
          </w:p>
        </w:tc>
        <w:tc>
          <w:tcPr>
            <w:tcW w:w="980" w:type="dxa"/>
            <w:tcBorders>
              <w:top w:val="nil"/>
              <w:left w:val="nil"/>
              <w:bottom w:val="nil"/>
              <w:right w:val="nil"/>
            </w:tcBorders>
            <w:shd w:val="clear" w:color="auto" w:fill="auto"/>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424</w:t>
            </w:r>
          </w:p>
        </w:tc>
      </w:tr>
      <w:tr w:rsidR="00BB3126" w:rsidRPr="00AF1824" w:rsidTr="00C7618F">
        <w:trPr>
          <w:trHeight w:val="315"/>
        </w:trPr>
        <w:tc>
          <w:tcPr>
            <w:tcW w:w="2560" w:type="dxa"/>
            <w:tcBorders>
              <w:top w:val="nil"/>
              <w:left w:val="nil"/>
              <w:bottom w:val="single" w:sz="4" w:space="0" w:color="auto"/>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Total</w:t>
            </w:r>
          </w:p>
        </w:tc>
        <w:tc>
          <w:tcPr>
            <w:tcW w:w="620" w:type="dxa"/>
            <w:tcBorders>
              <w:top w:val="single" w:sz="4" w:space="0" w:color="auto"/>
              <w:left w:val="nil"/>
              <w:bottom w:val="single" w:sz="4" w:space="0" w:color="auto"/>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331</w:t>
            </w:r>
          </w:p>
        </w:tc>
        <w:tc>
          <w:tcPr>
            <w:tcW w:w="720" w:type="dxa"/>
            <w:tcBorders>
              <w:top w:val="single" w:sz="4" w:space="0" w:color="auto"/>
              <w:left w:val="nil"/>
              <w:bottom w:val="single" w:sz="4" w:space="0" w:color="auto"/>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-72</w:t>
            </w:r>
          </w:p>
        </w:tc>
        <w:tc>
          <w:tcPr>
            <w:tcW w:w="720" w:type="dxa"/>
            <w:tcBorders>
              <w:top w:val="single" w:sz="4" w:space="0" w:color="auto"/>
              <w:left w:val="nil"/>
              <w:bottom w:val="single" w:sz="4" w:space="0" w:color="auto"/>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-583</w:t>
            </w:r>
          </w:p>
        </w:tc>
        <w:tc>
          <w:tcPr>
            <w:tcW w:w="780" w:type="dxa"/>
            <w:tcBorders>
              <w:top w:val="single" w:sz="4" w:space="0" w:color="auto"/>
              <w:left w:val="nil"/>
              <w:bottom w:val="single" w:sz="4" w:space="0" w:color="auto"/>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324</w:t>
            </w:r>
          </w:p>
        </w:tc>
        <w:tc>
          <w:tcPr>
            <w:tcW w:w="720" w:type="dxa"/>
            <w:tcBorders>
              <w:top w:val="single" w:sz="4" w:space="0" w:color="auto"/>
              <w:left w:val="nil"/>
              <w:bottom w:val="single" w:sz="4" w:space="0" w:color="auto"/>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-56</w:t>
            </w:r>
          </w:p>
        </w:tc>
        <w:tc>
          <w:tcPr>
            <w:tcW w:w="620" w:type="dxa"/>
            <w:tcBorders>
              <w:top w:val="single" w:sz="4" w:space="0" w:color="auto"/>
              <w:left w:val="nil"/>
              <w:bottom w:val="single" w:sz="4" w:space="0" w:color="auto"/>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-16</w:t>
            </w:r>
          </w:p>
        </w:tc>
        <w:tc>
          <w:tcPr>
            <w:tcW w:w="620" w:type="dxa"/>
            <w:tcBorders>
              <w:top w:val="single" w:sz="4" w:space="0" w:color="auto"/>
              <w:left w:val="nil"/>
              <w:bottom w:val="single" w:sz="4" w:space="0" w:color="auto"/>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66</w:t>
            </w:r>
          </w:p>
        </w:tc>
        <w:tc>
          <w:tcPr>
            <w:tcW w:w="640" w:type="dxa"/>
            <w:tcBorders>
              <w:top w:val="single" w:sz="4" w:space="0" w:color="auto"/>
              <w:left w:val="nil"/>
              <w:bottom w:val="single" w:sz="4" w:space="0" w:color="auto"/>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6</w:t>
            </w:r>
          </w:p>
        </w:tc>
        <w:tc>
          <w:tcPr>
            <w:tcW w:w="980" w:type="dxa"/>
            <w:tcBorders>
              <w:top w:val="single" w:sz="4" w:space="0" w:color="auto"/>
              <w:left w:val="nil"/>
              <w:bottom w:val="single" w:sz="4" w:space="0" w:color="auto"/>
              <w:right w:val="nil"/>
            </w:tcBorders>
            <w:shd w:val="clear" w:color="auto" w:fill="auto"/>
            <w:noWrap/>
            <w:vAlign w:val="bottom"/>
            <w:hideMark/>
          </w:tcPr>
          <w:p w:rsidR="00BB3126" w:rsidRPr="00AF1824"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F1824">
              <w:rPr>
                <w:rFonts w:ascii="Calibri" w:eastAsia="Times New Roman" w:hAnsi="Calibri" w:cs="Calibri"/>
                <w:sz w:val="20"/>
                <w:szCs w:val="20"/>
                <w:lang w:eastAsia="en-AU"/>
              </w:rPr>
              <w:t>727</w:t>
            </w:r>
          </w:p>
        </w:tc>
      </w:tr>
    </w:tbl>
    <w:p w:rsidR="00BB3126" w:rsidRDefault="00BB3126" w:rsidP="00BB3126">
      <w:pPr>
        <w:pStyle w:val="CGCTableFootnote"/>
      </w:pPr>
      <w:r w:rsidRPr="00666378">
        <w:t>(a</w:t>
      </w:r>
      <w:r>
        <w:t>)</w:t>
      </w:r>
      <w:r>
        <w:tab/>
      </w:r>
      <w:r w:rsidR="00722F87" w:rsidRPr="006D3C9D">
        <w:t xml:space="preserve">The redistribution is calculated </w:t>
      </w:r>
      <w:r w:rsidR="00722F87">
        <w:t>as the sum of all the positive numbers in the row</w:t>
      </w:r>
      <w:r w:rsidRPr="00D37C34">
        <w:t>.</w:t>
      </w:r>
    </w:p>
    <w:p w:rsidR="00BB3126" w:rsidRPr="00666378" w:rsidRDefault="00BB3126" w:rsidP="00BB3126">
      <w:pPr>
        <w:pStyle w:val="CGCTableFootnote"/>
      </w:pPr>
      <w:r>
        <w:t>(b)</w:t>
      </w:r>
      <w:r>
        <w:tab/>
      </w:r>
      <w:r w:rsidRPr="00666378">
        <w:t>Change in circumstances includes the effect of changing the method for assessing State NDIS contributions</w:t>
      </w:r>
      <w:r>
        <w:t>.</w:t>
      </w:r>
    </w:p>
    <w:p w:rsidR="00BB3126" w:rsidRPr="00D37C34" w:rsidRDefault="00BB3126" w:rsidP="00BB3126">
      <w:pPr>
        <w:pStyle w:val="CGCTableFootnote"/>
      </w:pPr>
      <w:r w:rsidRPr="00D37C34">
        <w:t>Source:</w:t>
      </w:r>
      <w:r w:rsidRPr="00D37C34">
        <w:tab/>
        <w:t>Commission calculation.</w:t>
      </w:r>
    </w:p>
    <w:p w:rsidR="00BB3126" w:rsidRPr="00D37C34" w:rsidRDefault="00BB3126" w:rsidP="00BB3126">
      <w:pPr>
        <w:pStyle w:val="11para"/>
      </w:pPr>
      <w:r w:rsidRPr="00D37C34">
        <w:t xml:space="preserve">Detailed tables on the changes resulting from each of the Commission’s assessments can be found in the supporting information for this update which is available on the </w:t>
      </w:r>
      <w:hyperlink r:id="rId82" w:history="1">
        <w:r w:rsidRPr="00D37C34">
          <w:rPr>
            <w:rStyle w:val="Hyperlink"/>
          </w:rPr>
          <w:t>Commission’s website</w:t>
        </w:r>
      </w:hyperlink>
      <w:r w:rsidRPr="00D37C34">
        <w:t xml:space="preserve"> (https://</w:t>
      </w:r>
      <w:r w:rsidR="00E769C5">
        <w:t>www.</w:t>
      </w:r>
      <w:r w:rsidRPr="00D37C34">
        <w:t>cgc.gov.au/).</w:t>
      </w:r>
    </w:p>
    <w:p w:rsidR="00BB3126" w:rsidRPr="000D6EB6" w:rsidRDefault="00BB3126" w:rsidP="00BB3126">
      <w:pPr>
        <w:pStyle w:val="Heading3"/>
      </w:pPr>
      <w:bookmarkStart w:id="486" w:name="_Toc441241592"/>
      <w:bookmarkStart w:id="487" w:name="_Toc441499262"/>
      <w:bookmarkStart w:id="488" w:name="_Toc441656028"/>
      <w:bookmarkStart w:id="489" w:name="_Toc442191918"/>
      <w:bookmarkStart w:id="490" w:name="_Toc442192172"/>
      <w:bookmarkStart w:id="491" w:name="_Toc442192237"/>
      <w:bookmarkStart w:id="492" w:name="_Toc442772821"/>
      <w:bookmarkStart w:id="493" w:name="_Toc442773050"/>
      <w:bookmarkStart w:id="494" w:name="_Toc442773220"/>
      <w:bookmarkStart w:id="495" w:name="_Toc442773565"/>
      <w:bookmarkStart w:id="496" w:name="_Toc442883287"/>
      <w:bookmarkStart w:id="497" w:name="_Toc474923755"/>
      <w:bookmarkStart w:id="498" w:name="_Toc505872180"/>
      <w:bookmarkStart w:id="499" w:name="_Toc536519631"/>
      <w:bookmarkStart w:id="500" w:name="_Toc536631341"/>
      <w:bookmarkStart w:id="501" w:name="_Toc536803175"/>
      <w:bookmarkStart w:id="502" w:name="_Toc536803263"/>
      <w:bookmarkStart w:id="503" w:name="_Toc1115143"/>
      <w:r w:rsidRPr="000D6EB6">
        <w:t>Data revisions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rsidR="00BB3126" w:rsidRPr="00D37C34" w:rsidRDefault="00BB3126" w:rsidP="00BB3126">
      <w:pPr>
        <w:pStyle w:val="11para"/>
      </w:pPr>
      <w:r w:rsidRPr="00D37C34">
        <w:t>Data revisions for the three years of the 201</w:t>
      </w:r>
      <w:r>
        <w:t>8</w:t>
      </w:r>
      <w:r w:rsidRPr="00D37C34">
        <w:t> Update changed the redistribution by $4</w:t>
      </w:r>
      <w:r>
        <w:t>38</w:t>
      </w:r>
      <w:r w:rsidRPr="00D37C34">
        <w:t xml:space="preserve"> million in this update. The largest sources of revision are shown in </w:t>
      </w:r>
      <w:r w:rsidRPr="00D37C34">
        <w:fldChar w:fldCharType="begin"/>
      </w:r>
      <w:r w:rsidRPr="00D37C34">
        <w:instrText xml:space="preserve"> REF _Ref504644002 \h  \* MERGEFORMAT </w:instrText>
      </w:r>
      <w:r w:rsidRPr="00D37C34">
        <w:fldChar w:fldCharType="separate"/>
      </w:r>
      <w:r w:rsidR="00E82224" w:rsidRPr="0020347F">
        <w:t>Table 1</w:t>
      </w:r>
      <w:r w:rsidR="00E82224" w:rsidRPr="0020347F">
        <w:noBreakHyphen/>
      </w:r>
      <w:r w:rsidR="00E82224">
        <w:t>3</w:t>
      </w:r>
      <w:r w:rsidRPr="00D37C34">
        <w:fldChar w:fldCharType="end"/>
      </w:r>
      <w:r w:rsidRPr="00D37C34">
        <w:t>. They relate to the following.</w:t>
      </w:r>
    </w:p>
    <w:p w:rsidR="00BB3126" w:rsidRPr="008204F5" w:rsidRDefault="00BB3126" w:rsidP="00BB3126">
      <w:pPr>
        <w:pStyle w:val="CGCBulletlist"/>
        <w:numPr>
          <w:ilvl w:val="0"/>
          <w:numId w:val="1"/>
        </w:numPr>
        <w:tabs>
          <w:tab w:val="clear" w:pos="927"/>
        </w:tabs>
        <w:ind w:left="1134" w:hanging="567"/>
        <w:rPr>
          <w:rStyle w:val="Heading6Char"/>
          <w:rFonts w:eastAsiaTheme="minorHAnsi" w:cstheme="minorBidi"/>
          <w:b w:val="0"/>
          <w:i w:val="0"/>
          <w:iCs w:val="0"/>
          <w:color w:val="auto"/>
          <w:sz w:val="24"/>
        </w:rPr>
      </w:pPr>
      <w:r w:rsidRPr="00711753">
        <w:rPr>
          <w:rStyle w:val="Heading6Char"/>
        </w:rPr>
        <w:t>Natural disaster relief.</w:t>
      </w:r>
      <w:r>
        <w:t xml:space="preserve"> </w:t>
      </w:r>
      <w:r w:rsidRPr="00666378">
        <w:t xml:space="preserve">States have provided revised expenses for all years that exclude local government out of pocket expenses to align with the 2015 Review method. The Commission also made a one-off adjustment to correct for the previous overstatement of </w:t>
      </w:r>
      <w:r>
        <w:t>natural disaster relief</w:t>
      </w:r>
      <w:r w:rsidRPr="00666378">
        <w:t xml:space="preserve"> expenses in </w:t>
      </w:r>
      <w:r>
        <w:t>2015-16 and 2016-17</w:t>
      </w:r>
      <w:r w:rsidRPr="00666378">
        <w:t>. This reduced the GST shares of Queen</w:t>
      </w:r>
      <w:r>
        <w:t xml:space="preserve">sland and, to a lesser extent, </w:t>
      </w:r>
      <w:r w:rsidRPr="00666378">
        <w:t>Western Australia</w:t>
      </w:r>
      <w:r>
        <w:t xml:space="preserve"> due to their above average levels of local government expenses</w:t>
      </w:r>
      <w:r w:rsidRPr="00666378">
        <w:t>, and increased the GST shares of other States</w:t>
      </w:r>
      <w:r>
        <w:t>.</w:t>
      </w:r>
      <w:r>
        <w:rPr>
          <w:rStyle w:val="FootnoteReference"/>
        </w:rPr>
        <w:footnoteReference w:id="3"/>
      </w:r>
    </w:p>
    <w:p w:rsidR="00BB3126" w:rsidRPr="008204F5" w:rsidRDefault="00BB3126" w:rsidP="00BB3126">
      <w:pPr>
        <w:pStyle w:val="CGCBulletlist"/>
        <w:numPr>
          <w:ilvl w:val="0"/>
          <w:numId w:val="1"/>
        </w:numPr>
        <w:tabs>
          <w:tab w:val="clear" w:pos="927"/>
        </w:tabs>
        <w:ind w:left="1134" w:hanging="567"/>
      </w:pPr>
      <w:r w:rsidRPr="008204F5">
        <w:rPr>
          <w:rStyle w:val="Heading6Char"/>
        </w:rPr>
        <w:t>Property sales.</w:t>
      </w:r>
      <w:r>
        <w:t xml:space="preserve"> New South Wales revised down the 2016-17 value of property sales data it had previously provided</w:t>
      </w:r>
      <w:r w:rsidRPr="006455BD">
        <w:t xml:space="preserve">. This reduced </w:t>
      </w:r>
      <w:r>
        <w:t>its revenue</w:t>
      </w:r>
      <w:r w:rsidRPr="006455BD">
        <w:t xml:space="preserve"> </w:t>
      </w:r>
      <w:r>
        <w:t xml:space="preserve">raising </w:t>
      </w:r>
      <w:r w:rsidRPr="006455BD">
        <w:t xml:space="preserve">capacity and increased </w:t>
      </w:r>
      <w:r>
        <w:t>its</w:t>
      </w:r>
      <w:r w:rsidRPr="006455BD">
        <w:t xml:space="preserve"> GST share.</w:t>
      </w:r>
      <w:r>
        <w:t xml:space="preserve"> This change also affected Victoria, the other State assessed to have above average revenue raising capacity from property sales, increasing its relative revenue raising capacity and reducing its GST share.</w:t>
      </w:r>
    </w:p>
    <w:p w:rsidR="00BB3126" w:rsidRDefault="00BB3126" w:rsidP="00BB3126">
      <w:pPr>
        <w:pStyle w:val="CGCBulletlist"/>
        <w:numPr>
          <w:ilvl w:val="0"/>
          <w:numId w:val="1"/>
        </w:numPr>
        <w:tabs>
          <w:tab w:val="clear" w:pos="927"/>
        </w:tabs>
        <w:ind w:left="1134" w:hanging="567"/>
      </w:pPr>
      <w:r w:rsidRPr="003331CD">
        <w:rPr>
          <w:rStyle w:val="Heading6Char"/>
        </w:rPr>
        <w:t>Use of health services.</w:t>
      </w:r>
      <w:r w:rsidRPr="003331CD">
        <w:t xml:space="preserve"> There have been revisions to </w:t>
      </w:r>
      <w:r>
        <w:t xml:space="preserve">the </w:t>
      </w:r>
      <w:r w:rsidRPr="003331CD">
        <w:t xml:space="preserve">Independent Hospital Pricing </w:t>
      </w:r>
      <w:r>
        <w:t>Authority</w:t>
      </w:r>
      <w:r w:rsidRPr="003331CD">
        <w:t xml:space="preserve"> (IHPA) data used to measure the cost weighted use of </w:t>
      </w:r>
      <w:r w:rsidRPr="003331CD">
        <w:lastRenderedPageBreak/>
        <w:t>health services</w:t>
      </w:r>
      <w:r>
        <w:t>. The revisions are mainly</w:t>
      </w:r>
      <w:r w:rsidRPr="003331CD">
        <w:t xml:space="preserve"> due to the revised geography classification based on final 2016 Census data. The revised data show that</w:t>
      </w:r>
      <w:r>
        <w:t>, nationally,</w:t>
      </w:r>
      <w:r w:rsidRPr="003331CD">
        <w:t xml:space="preserve"> per capita spending on the population living in regional and remote areas has declined while spending in major cities has increased. As a result, assessed spending </w:t>
      </w:r>
      <w:r>
        <w:t>of</w:t>
      </w:r>
      <w:r w:rsidRPr="003331CD">
        <w:t xml:space="preserve"> States with a relatively high proportion of people living in regional and remote areas, including Queensland, Tasmania and the Northern Territory, has fallen</w:t>
      </w:r>
      <w:r>
        <w:t xml:space="preserve">; whereas </w:t>
      </w:r>
      <w:r w:rsidRPr="00ED7F4A">
        <w:t xml:space="preserve">the assessed spending </w:t>
      </w:r>
      <w:r>
        <w:t>of</w:t>
      </w:r>
      <w:r w:rsidRPr="00ED7F4A">
        <w:t xml:space="preserve"> States with a relatively high proportion of people living in major cities, including New South Wales, Victoria, Western Australia, South Australia and the ACT, has increased</w:t>
      </w:r>
      <w:r>
        <w:t>.</w:t>
      </w:r>
    </w:p>
    <w:p w:rsidR="00BB3126" w:rsidRPr="003331CD" w:rsidRDefault="00BB3126" w:rsidP="00BB3126">
      <w:pPr>
        <w:pStyle w:val="CGCBulletlist"/>
        <w:numPr>
          <w:ilvl w:val="0"/>
          <w:numId w:val="1"/>
        </w:numPr>
        <w:tabs>
          <w:tab w:val="clear" w:pos="927"/>
        </w:tabs>
        <w:ind w:left="1134" w:hanging="567"/>
      </w:pPr>
      <w:r w:rsidRPr="008204F5">
        <w:rPr>
          <w:rStyle w:val="Heading6Char"/>
        </w:rPr>
        <w:t>Mining production.</w:t>
      </w:r>
      <w:r w:rsidRPr="008204F5">
        <w:t xml:space="preserve"> </w:t>
      </w:r>
      <w:r w:rsidRPr="008F1887">
        <w:t xml:space="preserve">A number of States revised value of production data they had previously provided, </w:t>
      </w:r>
      <w:r w:rsidRPr="00717381">
        <w:t>particularly in relation to coal seam</w:t>
      </w:r>
      <w:r>
        <w:t xml:space="preserve"> gas.</w:t>
      </w:r>
      <w:r w:rsidRPr="008F1887">
        <w:t xml:space="preserve"> The aggregate effect of these revisions was to increase the revenue raising capacity of Victoria, reducing its </w:t>
      </w:r>
      <w:r w:rsidRPr="003331CD">
        <w:t>GST share, while reducing (or having little effect) on the other States’ revenue raising capacity.</w:t>
      </w:r>
    </w:p>
    <w:p w:rsidR="00BB3126" w:rsidRPr="0020347F" w:rsidRDefault="00BB3126" w:rsidP="00BB3126">
      <w:pPr>
        <w:pStyle w:val="CGCTableHeading"/>
      </w:pPr>
      <w:bookmarkStart w:id="504" w:name="_Ref504644002"/>
      <w:r w:rsidRPr="0020347F">
        <w:t>Table 1</w:t>
      </w:r>
      <w:r w:rsidRPr="0020347F">
        <w:noBreakHyphen/>
      </w:r>
      <w:r>
        <w:rPr>
          <w:noProof/>
        </w:rPr>
        <w:fldChar w:fldCharType="begin"/>
      </w:r>
      <w:r>
        <w:rPr>
          <w:noProof/>
        </w:rPr>
        <w:instrText xml:space="preserve"> SEQ Table \* ARABIC \s 1 </w:instrText>
      </w:r>
      <w:r>
        <w:rPr>
          <w:noProof/>
        </w:rPr>
        <w:fldChar w:fldCharType="separate"/>
      </w:r>
      <w:r w:rsidR="00E82224">
        <w:rPr>
          <w:noProof/>
        </w:rPr>
        <w:t>3</w:t>
      </w:r>
      <w:r>
        <w:rPr>
          <w:noProof/>
        </w:rPr>
        <w:fldChar w:fldCharType="end"/>
      </w:r>
      <w:bookmarkEnd w:id="504"/>
      <w:r w:rsidRPr="0020347F">
        <w:tab/>
        <w:t xml:space="preserve">Main effects of data revisions, 2019 Update </w:t>
      </w:r>
    </w:p>
    <w:tbl>
      <w:tblPr>
        <w:tblW w:w="8960" w:type="dxa"/>
        <w:tblLayout w:type="fixed"/>
        <w:tblCellMar>
          <w:left w:w="0" w:type="dxa"/>
          <w:right w:w="0" w:type="dxa"/>
        </w:tblCellMar>
        <w:tblLook w:val="04A0" w:firstRow="1" w:lastRow="0" w:firstColumn="1" w:lastColumn="0" w:noHBand="0" w:noVBand="1"/>
      </w:tblPr>
      <w:tblGrid>
        <w:gridCol w:w="2560"/>
        <w:gridCol w:w="620"/>
        <w:gridCol w:w="720"/>
        <w:gridCol w:w="720"/>
        <w:gridCol w:w="780"/>
        <w:gridCol w:w="720"/>
        <w:gridCol w:w="620"/>
        <w:gridCol w:w="620"/>
        <w:gridCol w:w="780"/>
        <w:gridCol w:w="820"/>
      </w:tblGrid>
      <w:tr w:rsidR="00BB3126" w:rsidRPr="00A851C1" w:rsidTr="00C7618F">
        <w:trPr>
          <w:trHeight w:val="375"/>
        </w:trPr>
        <w:tc>
          <w:tcPr>
            <w:tcW w:w="2560" w:type="dxa"/>
            <w:tcBorders>
              <w:top w:val="single" w:sz="4" w:space="0" w:color="auto"/>
              <w:left w:val="nil"/>
              <w:bottom w:val="nil"/>
              <w:right w:val="nil"/>
            </w:tcBorders>
            <w:shd w:val="clear" w:color="auto" w:fill="auto"/>
            <w:noWrap/>
            <w:vAlign w:val="center"/>
            <w:hideMark/>
          </w:tcPr>
          <w:p w:rsidR="00BB3126" w:rsidRPr="00A851C1"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 </w:t>
            </w:r>
          </w:p>
        </w:tc>
        <w:tc>
          <w:tcPr>
            <w:tcW w:w="620" w:type="dxa"/>
            <w:tcBorders>
              <w:top w:val="single" w:sz="4" w:space="0" w:color="auto"/>
              <w:left w:val="nil"/>
              <w:bottom w:val="single" w:sz="4" w:space="0" w:color="auto"/>
              <w:right w:val="nil"/>
            </w:tcBorders>
            <w:shd w:val="clear" w:color="auto" w:fill="auto"/>
            <w:noWrap/>
            <w:vAlign w:val="center"/>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NSW</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Qld</w:t>
            </w:r>
          </w:p>
        </w:tc>
        <w:tc>
          <w:tcPr>
            <w:tcW w:w="780" w:type="dxa"/>
            <w:tcBorders>
              <w:top w:val="single" w:sz="4" w:space="0" w:color="auto"/>
              <w:left w:val="nil"/>
              <w:bottom w:val="single" w:sz="4" w:space="0" w:color="auto"/>
              <w:right w:val="nil"/>
            </w:tcBorders>
            <w:shd w:val="clear" w:color="auto" w:fill="auto"/>
            <w:noWrap/>
            <w:vAlign w:val="center"/>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SA</w:t>
            </w:r>
          </w:p>
        </w:tc>
        <w:tc>
          <w:tcPr>
            <w:tcW w:w="620" w:type="dxa"/>
            <w:tcBorders>
              <w:top w:val="single" w:sz="4" w:space="0" w:color="auto"/>
              <w:left w:val="nil"/>
              <w:bottom w:val="single" w:sz="4" w:space="0" w:color="auto"/>
              <w:right w:val="nil"/>
            </w:tcBorders>
            <w:shd w:val="clear" w:color="auto" w:fill="auto"/>
            <w:noWrap/>
            <w:vAlign w:val="center"/>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Tas</w:t>
            </w:r>
          </w:p>
        </w:tc>
        <w:tc>
          <w:tcPr>
            <w:tcW w:w="620" w:type="dxa"/>
            <w:tcBorders>
              <w:top w:val="single" w:sz="4" w:space="0" w:color="auto"/>
              <w:left w:val="nil"/>
              <w:bottom w:val="single" w:sz="4" w:space="0" w:color="auto"/>
              <w:right w:val="nil"/>
            </w:tcBorders>
            <w:shd w:val="clear" w:color="auto" w:fill="auto"/>
            <w:noWrap/>
            <w:vAlign w:val="center"/>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ACT</w:t>
            </w:r>
          </w:p>
        </w:tc>
        <w:tc>
          <w:tcPr>
            <w:tcW w:w="780" w:type="dxa"/>
            <w:tcBorders>
              <w:top w:val="single" w:sz="4" w:space="0" w:color="auto"/>
              <w:left w:val="nil"/>
              <w:bottom w:val="single" w:sz="4" w:space="0" w:color="auto"/>
              <w:right w:val="nil"/>
            </w:tcBorders>
            <w:shd w:val="clear" w:color="auto" w:fill="auto"/>
            <w:noWrap/>
            <w:vAlign w:val="center"/>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Redist</w:t>
            </w:r>
          </w:p>
        </w:tc>
      </w:tr>
      <w:tr w:rsidR="00BB3126" w:rsidRPr="00A851C1" w:rsidTr="00C7618F">
        <w:trPr>
          <w:trHeight w:val="259"/>
        </w:trPr>
        <w:tc>
          <w:tcPr>
            <w:tcW w:w="2560" w:type="dxa"/>
            <w:tcBorders>
              <w:top w:val="single" w:sz="4" w:space="0" w:color="auto"/>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 </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$m</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$m</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$m</w:t>
            </w:r>
          </w:p>
        </w:tc>
        <w:tc>
          <w:tcPr>
            <w:tcW w:w="78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$m</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$m</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$m</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$m</w:t>
            </w:r>
          </w:p>
        </w:tc>
        <w:tc>
          <w:tcPr>
            <w:tcW w:w="78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$m</w:t>
            </w:r>
          </w:p>
        </w:tc>
        <w:tc>
          <w:tcPr>
            <w:tcW w:w="8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$m</w:t>
            </w:r>
          </w:p>
        </w:tc>
      </w:tr>
      <w:tr w:rsidR="00BB3126" w:rsidRPr="00A851C1" w:rsidTr="00C7618F">
        <w:trPr>
          <w:trHeight w:val="315"/>
        </w:trPr>
        <w:tc>
          <w:tcPr>
            <w:tcW w:w="256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Natural disaster relief</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104</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143</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-268</w:t>
            </w:r>
          </w:p>
        </w:tc>
        <w:tc>
          <w:tcPr>
            <w:tcW w:w="78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-30</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31</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11</w:t>
            </w:r>
          </w:p>
        </w:tc>
        <w:tc>
          <w:tcPr>
            <w:tcW w:w="78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7</w:t>
            </w:r>
          </w:p>
        </w:tc>
        <w:tc>
          <w:tcPr>
            <w:tcW w:w="8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298</w:t>
            </w:r>
          </w:p>
        </w:tc>
      </w:tr>
      <w:tr w:rsidR="00BB3126" w:rsidRPr="00A851C1" w:rsidTr="00C7618F">
        <w:trPr>
          <w:trHeight w:val="315"/>
        </w:trPr>
        <w:tc>
          <w:tcPr>
            <w:tcW w:w="256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Property sales</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197</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-154</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2</w:t>
            </w:r>
          </w:p>
        </w:tc>
        <w:tc>
          <w:tcPr>
            <w:tcW w:w="78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-22</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-14</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-5</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-4</w:t>
            </w:r>
          </w:p>
        </w:tc>
        <w:tc>
          <w:tcPr>
            <w:tcW w:w="78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w:t>
            </w:r>
          </w:p>
        </w:tc>
        <w:tc>
          <w:tcPr>
            <w:tcW w:w="8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199</w:t>
            </w:r>
          </w:p>
        </w:tc>
      </w:tr>
      <w:tr w:rsidR="00BB3126" w:rsidRPr="00A851C1" w:rsidTr="00C7618F">
        <w:trPr>
          <w:trHeight w:val="315"/>
        </w:trPr>
        <w:tc>
          <w:tcPr>
            <w:tcW w:w="256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Pr>
                <w:rFonts w:ascii="Calibri" w:eastAsia="Times New Roman" w:hAnsi="Calibri" w:cs="Calibri"/>
                <w:sz w:val="20"/>
                <w:szCs w:val="20"/>
                <w:lang w:eastAsia="en-AU"/>
              </w:rPr>
              <w:t>Use of health services</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11</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20</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-8</w:t>
            </w:r>
          </w:p>
        </w:tc>
        <w:tc>
          <w:tcPr>
            <w:tcW w:w="78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14</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12</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-29</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10</w:t>
            </w:r>
          </w:p>
        </w:tc>
        <w:tc>
          <w:tcPr>
            <w:tcW w:w="78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-30</w:t>
            </w:r>
          </w:p>
        </w:tc>
        <w:tc>
          <w:tcPr>
            <w:tcW w:w="8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67</w:t>
            </w:r>
          </w:p>
        </w:tc>
      </w:tr>
      <w:tr w:rsidR="00BB3126" w:rsidRPr="00A851C1" w:rsidTr="00C7618F">
        <w:trPr>
          <w:trHeight w:val="315"/>
        </w:trPr>
        <w:tc>
          <w:tcPr>
            <w:tcW w:w="256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Mining production</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23</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-51</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0</w:t>
            </w:r>
          </w:p>
        </w:tc>
        <w:tc>
          <w:tcPr>
            <w:tcW w:w="78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13</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3</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3</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0</w:t>
            </w:r>
          </w:p>
        </w:tc>
        <w:tc>
          <w:tcPr>
            <w:tcW w:w="78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9</w:t>
            </w:r>
          </w:p>
        </w:tc>
        <w:tc>
          <w:tcPr>
            <w:tcW w:w="8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51</w:t>
            </w:r>
          </w:p>
        </w:tc>
      </w:tr>
      <w:tr w:rsidR="00BB3126" w:rsidRPr="00A851C1" w:rsidTr="00C7618F">
        <w:trPr>
          <w:trHeight w:val="315"/>
        </w:trPr>
        <w:tc>
          <w:tcPr>
            <w:tcW w:w="256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Other causes of change</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-11</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-93</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-18</w:t>
            </w:r>
          </w:p>
        </w:tc>
        <w:tc>
          <w:tcPr>
            <w:tcW w:w="78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22</w:t>
            </w:r>
          </w:p>
        </w:tc>
        <w:tc>
          <w:tcPr>
            <w:tcW w:w="7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-41</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30</w:t>
            </w:r>
          </w:p>
        </w:tc>
        <w:tc>
          <w:tcPr>
            <w:tcW w:w="6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20</w:t>
            </w:r>
          </w:p>
        </w:tc>
        <w:tc>
          <w:tcPr>
            <w:tcW w:w="78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90</w:t>
            </w:r>
          </w:p>
        </w:tc>
        <w:tc>
          <w:tcPr>
            <w:tcW w:w="820" w:type="dxa"/>
            <w:tcBorders>
              <w:top w:val="nil"/>
              <w:left w:val="nil"/>
              <w:bottom w:val="nil"/>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162</w:t>
            </w:r>
          </w:p>
        </w:tc>
      </w:tr>
      <w:tr w:rsidR="00BB3126" w:rsidRPr="00A851C1" w:rsidTr="00C7618F">
        <w:trPr>
          <w:trHeight w:val="315"/>
        </w:trPr>
        <w:tc>
          <w:tcPr>
            <w:tcW w:w="2560" w:type="dxa"/>
            <w:tcBorders>
              <w:top w:val="nil"/>
              <w:left w:val="nil"/>
              <w:bottom w:val="single" w:sz="4" w:space="0" w:color="auto"/>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Total</w:t>
            </w:r>
          </w:p>
        </w:tc>
        <w:tc>
          <w:tcPr>
            <w:tcW w:w="620" w:type="dxa"/>
            <w:tcBorders>
              <w:top w:val="single" w:sz="4" w:space="0" w:color="auto"/>
              <w:left w:val="nil"/>
              <w:bottom w:val="single" w:sz="4" w:space="0" w:color="auto"/>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324</w:t>
            </w:r>
          </w:p>
        </w:tc>
        <w:tc>
          <w:tcPr>
            <w:tcW w:w="720" w:type="dxa"/>
            <w:tcBorders>
              <w:top w:val="single" w:sz="4" w:space="0" w:color="auto"/>
              <w:left w:val="nil"/>
              <w:bottom w:val="single" w:sz="4" w:space="0" w:color="auto"/>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-134</w:t>
            </w:r>
          </w:p>
        </w:tc>
        <w:tc>
          <w:tcPr>
            <w:tcW w:w="720" w:type="dxa"/>
            <w:tcBorders>
              <w:top w:val="single" w:sz="4" w:space="0" w:color="auto"/>
              <w:left w:val="nil"/>
              <w:bottom w:val="single" w:sz="4" w:space="0" w:color="auto"/>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-292</w:t>
            </w:r>
          </w:p>
        </w:tc>
        <w:tc>
          <w:tcPr>
            <w:tcW w:w="780" w:type="dxa"/>
            <w:tcBorders>
              <w:top w:val="single" w:sz="4" w:space="0" w:color="auto"/>
              <w:left w:val="nil"/>
              <w:bottom w:val="single" w:sz="4" w:space="0" w:color="auto"/>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-4</w:t>
            </w:r>
          </w:p>
        </w:tc>
        <w:tc>
          <w:tcPr>
            <w:tcW w:w="720" w:type="dxa"/>
            <w:tcBorders>
              <w:top w:val="single" w:sz="4" w:space="0" w:color="auto"/>
              <w:left w:val="nil"/>
              <w:bottom w:val="single" w:sz="4" w:space="0" w:color="auto"/>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-8</w:t>
            </w:r>
          </w:p>
        </w:tc>
        <w:tc>
          <w:tcPr>
            <w:tcW w:w="620" w:type="dxa"/>
            <w:tcBorders>
              <w:top w:val="single" w:sz="4" w:space="0" w:color="auto"/>
              <w:left w:val="nil"/>
              <w:bottom w:val="single" w:sz="4" w:space="0" w:color="auto"/>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1</w:t>
            </w:r>
          </w:p>
        </w:tc>
        <w:tc>
          <w:tcPr>
            <w:tcW w:w="620" w:type="dxa"/>
            <w:tcBorders>
              <w:top w:val="single" w:sz="4" w:space="0" w:color="auto"/>
              <w:left w:val="nil"/>
              <w:bottom w:val="single" w:sz="4" w:space="0" w:color="auto"/>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39</w:t>
            </w:r>
          </w:p>
        </w:tc>
        <w:tc>
          <w:tcPr>
            <w:tcW w:w="780" w:type="dxa"/>
            <w:tcBorders>
              <w:top w:val="single" w:sz="4" w:space="0" w:color="auto"/>
              <w:left w:val="nil"/>
              <w:bottom w:val="single" w:sz="4" w:space="0" w:color="auto"/>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75</w:t>
            </w:r>
          </w:p>
        </w:tc>
        <w:tc>
          <w:tcPr>
            <w:tcW w:w="820" w:type="dxa"/>
            <w:tcBorders>
              <w:top w:val="single" w:sz="4" w:space="0" w:color="auto"/>
              <w:left w:val="nil"/>
              <w:bottom w:val="single" w:sz="4" w:space="0" w:color="auto"/>
              <w:right w:val="nil"/>
            </w:tcBorders>
            <w:shd w:val="clear" w:color="auto" w:fill="auto"/>
            <w:noWrap/>
            <w:vAlign w:val="bottom"/>
            <w:hideMark/>
          </w:tcPr>
          <w:p w:rsidR="00BB3126" w:rsidRPr="00A851C1"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A851C1">
              <w:rPr>
                <w:rFonts w:ascii="Calibri" w:eastAsia="Times New Roman" w:hAnsi="Calibri" w:cs="Calibri"/>
                <w:sz w:val="20"/>
                <w:szCs w:val="20"/>
                <w:lang w:eastAsia="en-AU"/>
              </w:rPr>
              <w:t>438</w:t>
            </w:r>
          </w:p>
        </w:tc>
      </w:tr>
    </w:tbl>
    <w:p w:rsidR="00BB3126" w:rsidRPr="0020347F" w:rsidRDefault="00BB3126" w:rsidP="00BB3126">
      <w:pPr>
        <w:pStyle w:val="CGCTableFootnote"/>
        <w:keepNext/>
        <w:keepLines/>
      </w:pPr>
      <w:r w:rsidRPr="0020347F">
        <w:t>Source:</w:t>
      </w:r>
      <w:r w:rsidRPr="0020347F">
        <w:tab/>
        <w:t>Commission calculation.</w:t>
      </w:r>
    </w:p>
    <w:p w:rsidR="00BB3126" w:rsidRPr="00B96281" w:rsidRDefault="00BB3126" w:rsidP="00BB3126">
      <w:pPr>
        <w:pStyle w:val="Heading3"/>
      </w:pPr>
      <w:bookmarkStart w:id="505" w:name="_Toc428435404"/>
      <w:bookmarkStart w:id="506" w:name="_Toc433353488"/>
      <w:bookmarkStart w:id="507" w:name="_Toc441241593"/>
      <w:bookmarkStart w:id="508" w:name="_Toc441499263"/>
      <w:bookmarkStart w:id="509" w:name="_Toc441656029"/>
      <w:bookmarkStart w:id="510" w:name="_Toc442191919"/>
      <w:bookmarkStart w:id="511" w:name="_Toc442192173"/>
      <w:bookmarkStart w:id="512" w:name="_Toc442192238"/>
      <w:bookmarkStart w:id="513" w:name="_Toc442772822"/>
      <w:bookmarkStart w:id="514" w:name="_Toc442773051"/>
      <w:bookmarkStart w:id="515" w:name="_Toc442773221"/>
      <w:bookmarkStart w:id="516" w:name="_Toc442773566"/>
      <w:bookmarkStart w:id="517" w:name="_Toc442883288"/>
      <w:bookmarkStart w:id="518" w:name="_Toc474923756"/>
      <w:bookmarkStart w:id="519" w:name="_Toc505872181"/>
      <w:bookmarkStart w:id="520" w:name="_Toc536519632"/>
      <w:bookmarkStart w:id="521" w:name="_Toc536631342"/>
      <w:bookmarkStart w:id="522" w:name="_Toc536803176"/>
      <w:bookmarkStart w:id="523" w:name="_Toc536803264"/>
      <w:bookmarkStart w:id="524" w:name="_Toc1115144"/>
      <w:r w:rsidRPr="00B96281">
        <w:t xml:space="preserve">Changes </w:t>
      </w:r>
      <w:bookmarkEnd w:id="505"/>
      <w:bookmarkEnd w:id="506"/>
      <w:r w:rsidRPr="00B96281">
        <w:t xml:space="preserve">in State circumstances since the </w:t>
      </w:r>
      <w:bookmarkEnd w:id="507"/>
      <w:bookmarkEnd w:id="508"/>
      <w:bookmarkEnd w:id="509"/>
      <w:bookmarkEnd w:id="510"/>
      <w:bookmarkEnd w:id="511"/>
      <w:bookmarkEnd w:id="512"/>
      <w:bookmarkEnd w:id="513"/>
      <w:bookmarkEnd w:id="514"/>
      <w:bookmarkEnd w:id="515"/>
      <w:bookmarkEnd w:id="516"/>
      <w:bookmarkEnd w:id="517"/>
      <w:r w:rsidRPr="00B96281">
        <w:t>2018 Update</w:t>
      </w:r>
      <w:bookmarkEnd w:id="518"/>
      <w:bookmarkEnd w:id="519"/>
      <w:bookmarkEnd w:id="520"/>
      <w:bookmarkEnd w:id="521"/>
      <w:bookmarkEnd w:id="522"/>
      <w:bookmarkEnd w:id="523"/>
      <w:bookmarkEnd w:id="524"/>
    </w:p>
    <w:p w:rsidR="00BB3126" w:rsidRPr="00AF0920" w:rsidRDefault="00BB3126" w:rsidP="00BB3126">
      <w:pPr>
        <w:pStyle w:val="11para"/>
      </w:pPr>
      <w:bookmarkStart w:id="525" w:name="_Toc433353489"/>
      <w:bookmarkStart w:id="526" w:name="_Toc441241595"/>
      <w:bookmarkStart w:id="527" w:name="_Toc441499264"/>
      <w:bookmarkStart w:id="528" w:name="_Toc442191920"/>
      <w:bookmarkStart w:id="529" w:name="_Toc442192174"/>
      <w:bookmarkStart w:id="530" w:name="_Toc442192239"/>
      <w:bookmarkStart w:id="531" w:name="_Toc442772823"/>
      <w:bookmarkStart w:id="532" w:name="_Toc442773052"/>
      <w:bookmarkStart w:id="533" w:name="_Toc442773222"/>
      <w:bookmarkStart w:id="534" w:name="_Toc442883289"/>
      <w:bookmarkStart w:id="535" w:name="_Toc474923757"/>
      <w:r w:rsidRPr="00AF0920">
        <w:t>This section describes the main changes in circumstances since the 2018 Update —that is, the changes which occur when revised 2014</w:t>
      </w:r>
      <w:r w:rsidRPr="00AF0920">
        <w:noBreakHyphen/>
        <w:t>15 data are removed and replaced with 2017</w:t>
      </w:r>
      <w:r w:rsidRPr="00AF0920">
        <w:noBreakHyphen/>
        <w:t>18 data</w:t>
      </w:r>
      <w:r>
        <w:t xml:space="preserve">. </w:t>
      </w:r>
      <w:r w:rsidRPr="00AF0920">
        <w:fldChar w:fldCharType="begin"/>
      </w:r>
      <w:r w:rsidRPr="00AF0920">
        <w:instrText xml:space="preserve"> REF _Ref503953001 \h  \* MERGEFORMAT </w:instrText>
      </w:r>
      <w:r w:rsidRPr="00AF0920">
        <w:fldChar w:fldCharType="separate"/>
      </w:r>
      <w:r w:rsidR="00E82224" w:rsidRPr="00EE211B">
        <w:t>Table 1</w:t>
      </w:r>
      <w:r w:rsidR="00E82224" w:rsidRPr="00EE211B">
        <w:noBreakHyphen/>
      </w:r>
      <w:r w:rsidR="00E82224">
        <w:t>4</w:t>
      </w:r>
      <w:r w:rsidRPr="00AF0920">
        <w:fldChar w:fldCharType="end"/>
      </w:r>
      <w:r w:rsidRPr="00AF0920">
        <w:t xml:space="preserve"> shows the effect of these changes across the different assessment areas.</w:t>
      </w:r>
      <w:r w:rsidRPr="006A5251">
        <w:t xml:space="preserve"> </w:t>
      </w:r>
      <w:r>
        <w:fldChar w:fldCharType="begin"/>
      </w:r>
      <w:r>
        <w:instrText xml:space="preserve"> REF _Ref536800641 \h </w:instrText>
      </w:r>
      <w:r>
        <w:fldChar w:fldCharType="separate"/>
      </w:r>
      <w:r w:rsidR="00E82224">
        <w:t>Box 1-</w:t>
      </w:r>
      <w:r w:rsidR="00E82224">
        <w:rPr>
          <w:noProof/>
        </w:rPr>
        <w:t>1</w:t>
      </w:r>
      <w:r>
        <w:fldChar w:fldCharType="end"/>
      </w:r>
      <w:r>
        <w:t xml:space="preserve"> provides some context by detailing the effect of the </w:t>
      </w:r>
      <w:r w:rsidR="00C51779">
        <w:t>‘</w:t>
      </w:r>
      <w:r>
        <w:t>mining boom</w:t>
      </w:r>
      <w:r w:rsidR="00C51779">
        <w:t>’</w:t>
      </w:r>
      <w:r>
        <w:t xml:space="preserve"> on State economies and population growth</w:t>
      </w:r>
      <w:r w:rsidRPr="00AF0920">
        <w:t>.</w:t>
      </w:r>
    </w:p>
    <w:p w:rsidR="00BB3126" w:rsidRPr="00EE211B" w:rsidRDefault="00BB3126" w:rsidP="00BB3126">
      <w:pPr>
        <w:pStyle w:val="Caption"/>
      </w:pPr>
      <w:bookmarkStart w:id="536" w:name="_Ref503953001"/>
      <w:r w:rsidRPr="00EE211B">
        <w:lastRenderedPageBreak/>
        <w:t>Table 1</w:t>
      </w:r>
      <w:r w:rsidRPr="00EE211B">
        <w:noBreakHyphen/>
      </w:r>
      <w:r>
        <w:rPr>
          <w:noProof/>
        </w:rPr>
        <w:fldChar w:fldCharType="begin"/>
      </w:r>
      <w:r>
        <w:rPr>
          <w:noProof/>
        </w:rPr>
        <w:instrText xml:space="preserve"> SEQ Table \* ARABIC \s 1 </w:instrText>
      </w:r>
      <w:r>
        <w:rPr>
          <w:noProof/>
        </w:rPr>
        <w:fldChar w:fldCharType="separate"/>
      </w:r>
      <w:r w:rsidR="00E82224">
        <w:rPr>
          <w:noProof/>
        </w:rPr>
        <w:t>4</w:t>
      </w:r>
      <w:r>
        <w:rPr>
          <w:noProof/>
        </w:rPr>
        <w:fldChar w:fldCharType="end"/>
      </w:r>
      <w:bookmarkEnd w:id="536"/>
      <w:r w:rsidRPr="00EE211B">
        <w:tab/>
        <w:t>Composition of changes in State circumstances since the 2018 Update</w:t>
      </w:r>
    </w:p>
    <w:tbl>
      <w:tblPr>
        <w:tblW w:w="8960" w:type="dxa"/>
        <w:tblLayout w:type="fixed"/>
        <w:tblCellMar>
          <w:left w:w="0" w:type="dxa"/>
          <w:right w:w="0" w:type="dxa"/>
        </w:tblCellMar>
        <w:tblLook w:val="04A0" w:firstRow="1" w:lastRow="0" w:firstColumn="1" w:lastColumn="0" w:noHBand="0" w:noVBand="1"/>
      </w:tblPr>
      <w:tblGrid>
        <w:gridCol w:w="2560"/>
        <w:gridCol w:w="620"/>
        <w:gridCol w:w="720"/>
        <w:gridCol w:w="720"/>
        <w:gridCol w:w="780"/>
        <w:gridCol w:w="720"/>
        <w:gridCol w:w="620"/>
        <w:gridCol w:w="620"/>
        <w:gridCol w:w="780"/>
        <w:gridCol w:w="820"/>
      </w:tblGrid>
      <w:tr w:rsidR="00BB3126" w:rsidRPr="0052399A" w:rsidTr="00C7618F">
        <w:trPr>
          <w:trHeight w:val="375"/>
        </w:trPr>
        <w:tc>
          <w:tcPr>
            <w:tcW w:w="2560" w:type="dxa"/>
            <w:tcBorders>
              <w:top w:val="single" w:sz="4" w:space="0" w:color="auto"/>
              <w:left w:val="nil"/>
              <w:bottom w:val="nil"/>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 </w:t>
            </w:r>
          </w:p>
        </w:tc>
        <w:tc>
          <w:tcPr>
            <w:tcW w:w="62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NSW</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Qld</w:t>
            </w:r>
          </w:p>
        </w:tc>
        <w:tc>
          <w:tcPr>
            <w:tcW w:w="78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SA</w:t>
            </w:r>
          </w:p>
        </w:tc>
        <w:tc>
          <w:tcPr>
            <w:tcW w:w="62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Tas</w:t>
            </w:r>
          </w:p>
        </w:tc>
        <w:tc>
          <w:tcPr>
            <w:tcW w:w="62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ACT</w:t>
            </w:r>
          </w:p>
        </w:tc>
        <w:tc>
          <w:tcPr>
            <w:tcW w:w="78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Redist</w:t>
            </w:r>
          </w:p>
        </w:tc>
      </w:tr>
      <w:tr w:rsidR="00BB3126" w:rsidRPr="0052399A" w:rsidTr="00C7618F">
        <w:trPr>
          <w:trHeight w:val="259"/>
        </w:trPr>
        <w:tc>
          <w:tcPr>
            <w:tcW w:w="2560" w:type="dxa"/>
            <w:tcBorders>
              <w:top w:val="single" w:sz="4" w:space="0" w:color="auto"/>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 </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8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r>
      <w:tr w:rsidR="00BB3126" w:rsidRPr="0052399A" w:rsidTr="00C7618F">
        <w:trPr>
          <w:trHeight w:val="315"/>
        </w:trPr>
        <w:tc>
          <w:tcPr>
            <w:tcW w:w="25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Expense requirement</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132</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314</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-26</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-421</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37</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32</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26</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-94</w:t>
            </w:r>
          </w:p>
        </w:tc>
        <w:tc>
          <w:tcPr>
            <w:tcW w:w="8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540</w:t>
            </w:r>
          </w:p>
        </w:tc>
      </w:tr>
      <w:tr w:rsidR="00BB3126" w:rsidRPr="0052399A" w:rsidTr="00C7618F">
        <w:trPr>
          <w:trHeight w:val="315"/>
        </w:trPr>
        <w:tc>
          <w:tcPr>
            <w:tcW w:w="25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Investment requirement</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45</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52</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-40</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-93</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37</w:t>
            </w:r>
          </w:p>
        </w:tc>
        <w:tc>
          <w:tcPr>
            <w:tcW w:w="8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140</w:t>
            </w:r>
          </w:p>
        </w:tc>
      </w:tr>
      <w:tr w:rsidR="00BB3126" w:rsidRPr="0052399A" w:rsidTr="00C7618F">
        <w:trPr>
          <w:trHeight w:val="315"/>
        </w:trPr>
        <w:tc>
          <w:tcPr>
            <w:tcW w:w="25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Net borrowing</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0</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9</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-13</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8</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-5</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w:t>
            </w:r>
          </w:p>
        </w:tc>
        <w:tc>
          <w:tcPr>
            <w:tcW w:w="8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21</w:t>
            </w:r>
          </w:p>
        </w:tc>
      </w:tr>
      <w:tr w:rsidR="00BB3126" w:rsidRPr="0052399A" w:rsidTr="00C7618F">
        <w:trPr>
          <w:trHeight w:val="315"/>
        </w:trPr>
        <w:tc>
          <w:tcPr>
            <w:tcW w:w="25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Revenue capacity</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-414</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-404</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-74</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772</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142</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-11</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-11</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w:t>
            </w:r>
          </w:p>
        </w:tc>
        <w:tc>
          <w:tcPr>
            <w:tcW w:w="8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914</w:t>
            </w:r>
          </w:p>
        </w:tc>
      </w:tr>
      <w:tr w:rsidR="00BB3126" w:rsidRPr="0052399A" w:rsidTr="00C7618F">
        <w:trPr>
          <w:trHeight w:val="315"/>
        </w:trPr>
        <w:tc>
          <w:tcPr>
            <w:tcW w:w="25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Commonwealth payments</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244</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92</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-182</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8</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-137</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-25</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11</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-10</w:t>
            </w:r>
          </w:p>
        </w:tc>
        <w:tc>
          <w:tcPr>
            <w:tcW w:w="8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354</w:t>
            </w:r>
          </w:p>
        </w:tc>
      </w:tr>
      <w:tr w:rsidR="00BB3126" w:rsidRPr="0052399A" w:rsidTr="00C7618F">
        <w:trPr>
          <w:trHeight w:val="315"/>
        </w:trPr>
        <w:tc>
          <w:tcPr>
            <w:tcW w:w="2560" w:type="dxa"/>
            <w:tcBorders>
              <w:top w:val="nil"/>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Total</w:t>
            </w:r>
          </w:p>
        </w:tc>
        <w:tc>
          <w:tcPr>
            <w:tcW w:w="62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w:t>
            </w:r>
          </w:p>
        </w:tc>
        <w:tc>
          <w:tcPr>
            <w:tcW w:w="72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62</w:t>
            </w:r>
          </w:p>
        </w:tc>
        <w:tc>
          <w:tcPr>
            <w:tcW w:w="72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-291</w:t>
            </w:r>
          </w:p>
        </w:tc>
        <w:tc>
          <w:tcPr>
            <w:tcW w:w="78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328</w:t>
            </w:r>
          </w:p>
        </w:tc>
        <w:tc>
          <w:tcPr>
            <w:tcW w:w="72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-48</w:t>
            </w:r>
          </w:p>
        </w:tc>
        <w:tc>
          <w:tcPr>
            <w:tcW w:w="62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-17</w:t>
            </w:r>
          </w:p>
        </w:tc>
        <w:tc>
          <w:tcPr>
            <w:tcW w:w="62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27</w:t>
            </w:r>
          </w:p>
        </w:tc>
        <w:tc>
          <w:tcPr>
            <w:tcW w:w="78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-69</w:t>
            </w:r>
          </w:p>
        </w:tc>
        <w:tc>
          <w:tcPr>
            <w:tcW w:w="82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424</w:t>
            </w:r>
          </w:p>
        </w:tc>
      </w:tr>
    </w:tbl>
    <w:p w:rsidR="00BB3126" w:rsidRPr="00D912F5" w:rsidRDefault="00BB3126" w:rsidP="00BB3126">
      <w:pPr>
        <w:pStyle w:val="CGCTableFootnote"/>
      </w:pPr>
      <w:r w:rsidRPr="00D912F5">
        <w:t>Note:</w:t>
      </w:r>
      <w:r w:rsidRPr="00D912F5">
        <w:tab/>
        <w:t>The amounts shown in this table are the changes in the GST distribution from replacing revised 2014</w:t>
      </w:r>
      <w:r w:rsidRPr="00D912F5">
        <w:noBreakHyphen/>
        <w:t>15 data with 2017</w:t>
      </w:r>
      <w:r w:rsidRPr="00D912F5">
        <w:noBreakHyphen/>
        <w:t xml:space="preserve">18 data. They differ from the </w:t>
      </w:r>
      <w:r w:rsidRPr="00E77B5D">
        <w:t xml:space="preserve">amounts shown in </w:t>
      </w:r>
      <w:r>
        <w:fldChar w:fldCharType="begin"/>
      </w:r>
      <w:r>
        <w:instrText xml:space="preserve"> REF _Ref503771375 \h </w:instrText>
      </w:r>
      <w:r>
        <w:fldChar w:fldCharType="separate"/>
      </w:r>
      <w:r w:rsidR="00E82224" w:rsidRPr="00E06D38">
        <w:t>Table </w:t>
      </w:r>
      <w:r w:rsidR="00E82224">
        <w:rPr>
          <w:noProof/>
        </w:rPr>
        <w:t>3</w:t>
      </w:r>
      <w:r>
        <w:fldChar w:fldCharType="end"/>
      </w:r>
      <w:r>
        <w:t xml:space="preserve"> </w:t>
      </w:r>
      <w:r w:rsidRPr="00E77B5D">
        <w:t>in the Overview</w:t>
      </w:r>
      <w:r w:rsidRPr="00D912F5">
        <w:t>, which also include the effects of revising data. Totals may not add due to rounding.</w:t>
      </w:r>
    </w:p>
    <w:p w:rsidR="00BB3126" w:rsidRPr="00D912F5" w:rsidRDefault="00BB3126" w:rsidP="00BB3126">
      <w:pPr>
        <w:pStyle w:val="CGCTableFootnote"/>
      </w:pPr>
      <w:r w:rsidRPr="00D912F5">
        <w:t>Source:</w:t>
      </w:r>
      <w:r w:rsidRPr="00D912F5">
        <w:tab/>
        <w:t>Commission calculation.</w:t>
      </w:r>
    </w:p>
    <w:p w:rsidR="00BB3126" w:rsidRPr="00B3405D" w:rsidRDefault="00BB3126" w:rsidP="00BB3126">
      <w:pPr>
        <w:pStyle w:val="11para"/>
      </w:pPr>
      <w:r w:rsidRPr="00B3405D">
        <w:t xml:space="preserve">The changes shown in </w:t>
      </w:r>
      <w:r w:rsidRPr="00B3405D">
        <w:fldChar w:fldCharType="begin"/>
      </w:r>
      <w:r w:rsidRPr="00B3405D">
        <w:instrText xml:space="preserve"> REF _Ref503953001 \h  \* MERGEFORMAT </w:instrText>
      </w:r>
      <w:r w:rsidRPr="00B3405D">
        <w:fldChar w:fldCharType="separate"/>
      </w:r>
      <w:r w:rsidR="00E82224" w:rsidRPr="00EE211B">
        <w:t>Table 1</w:t>
      </w:r>
      <w:r w:rsidR="00E82224" w:rsidRPr="00EE211B">
        <w:noBreakHyphen/>
      </w:r>
      <w:r w:rsidR="00E82224">
        <w:t>4</w:t>
      </w:r>
      <w:r w:rsidRPr="00B3405D">
        <w:fldChar w:fldCharType="end"/>
      </w:r>
      <w:r w:rsidRPr="00B3405D">
        <w:t xml:space="preserve"> can be further disaggregated. </w:t>
      </w:r>
      <w:r w:rsidRPr="00B3405D">
        <w:fldChar w:fldCharType="begin"/>
      </w:r>
      <w:r w:rsidRPr="00B3405D">
        <w:instrText xml:space="preserve"> REF _Ref503953113 \h  \* MERGEFORMAT </w:instrText>
      </w:r>
      <w:r w:rsidRPr="00B3405D">
        <w:fldChar w:fldCharType="separate"/>
      </w:r>
      <w:r w:rsidR="00E82224" w:rsidRPr="00E71B50">
        <w:t>Table 1</w:t>
      </w:r>
      <w:r w:rsidR="00E82224" w:rsidRPr="00E71B50">
        <w:noBreakHyphen/>
      </w:r>
      <w:r w:rsidR="00E82224">
        <w:t>5</w:t>
      </w:r>
      <w:r w:rsidRPr="00B3405D">
        <w:fldChar w:fldCharType="end"/>
      </w:r>
      <w:r w:rsidRPr="00B3405D">
        <w:t xml:space="preserve"> shows the changes in individual drivers that made the largest contribution to the changes in State circumstances between the 2018 and 2019 Updates.</w:t>
      </w:r>
    </w:p>
    <w:p w:rsidR="00BB3126" w:rsidRPr="00E71B50" w:rsidRDefault="00BB3126" w:rsidP="00BB3126">
      <w:pPr>
        <w:pStyle w:val="Caption"/>
      </w:pPr>
      <w:bookmarkStart w:id="537" w:name="_Ref503953113"/>
      <w:r w:rsidRPr="00E71B50">
        <w:t>Table 1</w:t>
      </w:r>
      <w:r w:rsidRPr="00E71B50">
        <w:noBreakHyphen/>
      </w:r>
      <w:r>
        <w:rPr>
          <w:noProof/>
        </w:rPr>
        <w:fldChar w:fldCharType="begin"/>
      </w:r>
      <w:r>
        <w:rPr>
          <w:noProof/>
        </w:rPr>
        <w:instrText xml:space="preserve"> SEQ Table \* ARABIC \s 1 </w:instrText>
      </w:r>
      <w:r>
        <w:rPr>
          <w:noProof/>
        </w:rPr>
        <w:fldChar w:fldCharType="separate"/>
      </w:r>
      <w:r w:rsidR="00E82224">
        <w:rPr>
          <w:noProof/>
        </w:rPr>
        <w:t>5</w:t>
      </w:r>
      <w:r>
        <w:rPr>
          <w:noProof/>
        </w:rPr>
        <w:fldChar w:fldCharType="end"/>
      </w:r>
      <w:bookmarkEnd w:id="537"/>
      <w:r w:rsidRPr="00E71B50">
        <w:tab/>
        <w:t>Contribution to changes in State circumstances, 2019</w:t>
      </w:r>
      <w:r w:rsidRPr="00E71B50">
        <w:noBreakHyphen/>
        <w:t xml:space="preserve">20 </w:t>
      </w:r>
    </w:p>
    <w:tbl>
      <w:tblPr>
        <w:tblW w:w="8960" w:type="dxa"/>
        <w:tblLayout w:type="fixed"/>
        <w:tblCellMar>
          <w:left w:w="0" w:type="dxa"/>
          <w:right w:w="0" w:type="dxa"/>
        </w:tblCellMar>
        <w:tblLook w:val="04A0" w:firstRow="1" w:lastRow="0" w:firstColumn="1" w:lastColumn="0" w:noHBand="0" w:noVBand="1"/>
      </w:tblPr>
      <w:tblGrid>
        <w:gridCol w:w="2560"/>
        <w:gridCol w:w="620"/>
        <w:gridCol w:w="720"/>
        <w:gridCol w:w="720"/>
        <w:gridCol w:w="780"/>
        <w:gridCol w:w="720"/>
        <w:gridCol w:w="620"/>
        <w:gridCol w:w="620"/>
        <w:gridCol w:w="780"/>
        <w:gridCol w:w="820"/>
      </w:tblGrid>
      <w:tr w:rsidR="00BB3126" w:rsidRPr="0052399A" w:rsidTr="00C7618F">
        <w:trPr>
          <w:trHeight w:val="375"/>
        </w:trPr>
        <w:tc>
          <w:tcPr>
            <w:tcW w:w="2560" w:type="dxa"/>
            <w:tcBorders>
              <w:top w:val="single" w:sz="4" w:space="0" w:color="auto"/>
              <w:left w:val="nil"/>
              <w:bottom w:val="nil"/>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 </w:t>
            </w:r>
          </w:p>
        </w:tc>
        <w:tc>
          <w:tcPr>
            <w:tcW w:w="62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NSW</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Qld</w:t>
            </w:r>
          </w:p>
        </w:tc>
        <w:tc>
          <w:tcPr>
            <w:tcW w:w="78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SA</w:t>
            </w:r>
          </w:p>
        </w:tc>
        <w:tc>
          <w:tcPr>
            <w:tcW w:w="62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Tas</w:t>
            </w:r>
          </w:p>
        </w:tc>
        <w:tc>
          <w:tcPr>
            <w:tcW w:w="62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ACT</w:t>
            </w:r>
          </w:p>
        </w:tc>
        <w:tc>
          <w:tcPr>
            <w:tcW w:w="78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NT</w:t>
            </w:r>
          </w:p>
        </w:tc>
        <w:tc>
          <w:tcPr>
            <w:tcW w:w="82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Redist</w:t>
            </w:r>
          </w:p>
        </w:tc>
      </w:tr>
      <w:tr w:rsidR="00BB3126" w:rsidRPr="0052399A" w:rsidTr="00C7618F">
        <w:trPr>
          <w:trHeight w:val="259"/>
        </w:trPr>
        <w:tc>
          <w:tcPr>
            <w:tcW w:w="2560" w:type="dxa"/>
            <w:tcBorders>
              <w:top w:val="single" w:sz="4" w:space="0" w:color="auto"/>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 </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8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r>
      <w:tr w:rsidR="00BB3126" w:rsidRPr="0052399A" w:rsidTr="00C7618F">
        <w:trPr>
          <w:trHeight w:val="315"/>
        </w:trPr>
        <w:tc>
          <w:tcPr>
            <w:tcW w:w="25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Property sales</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-476</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197</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255</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27</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-11</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-17</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26</w:t>
            </w:r>
          </w:p>
        </w:tc>
        <w:tc>
          <w:tcPr>
            <w:tcW w:w="8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505</w:t>
            </w:r>
          </w:p>
        </w:tc>
      </w:tr>
      <w:tr w:rsidR="00BB3126" w:rsidRPr="0052399A" w:rsidTr="00C7618F">
        <w:trPr>
          <w:trHeight w:val="315"/>
        </w:trPr>
        <w:tc>
          <w:tcPr>
            <w:tcW w:w="25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Mining production</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20</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146</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-435</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204</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70</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5</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12</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-23</w:t>
            </w:r>
          </w:p>
        </w:tc>
        <w:tc>
          <w:tcPr>
            <w:tcW w:w="8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458</w:t>
            </w:r>
          </w:p>
        </w:tc>
      </w:tr>
      <w:tr w:rsidR="00BB3126" w:rsidRPr="0052399A" w:rsidTr="00C7618F">
        <w:trPr>
          <w:trHeight w:val="315"/>
        </w:trPr>
        <w:tc>
          <w:tcPr>
            <w:tcW w:w="25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Wage costs</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16</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214</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76</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-360</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5</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28</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36</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-14</w:t>
            </w:r>
          </w:p>
        </w:tc>
        <w:tc>
          <w:tcPr>
            <w:tcW w:w="8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374</w:t>
            </w:r>
          </w:p>
        </w:tc>
      </w:tr>
      <w:tr w:rsidR="00BB3126" w:rsidRPr="0052399A" w:rsidTr="00C7618F">
        <w:trPr>
          <w:trHeight w:val="315"/>
        </w:trPr>
        <w:tc>
          <w:tcPr>
            <w:tcW w:w="25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Commonwealth payments</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244</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92</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-182</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8</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-137</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-25</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11</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-10</w:t>
            </w:r>
          </w:p>
        </w:tc>
        <w:tc>
          <w:tcPr>
            <w:tcW w:w="8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354</w:t>
            </w:r>
          </w:p>
        </w:tc>
      </w:tr>
      <w:tr w:rsidR="00BB3126" w:rsidRPr="0052399A" w:rsidTr="00C7618F">
        <w:trPr>
          <w:trHeight w:val="315"/>
        </w:trPr>
        <w:tc>
          <w:tcPr>
            <w:tcW w:w="25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Taxable land values</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-284</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8</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103</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125</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33</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6</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w:t>
            </w:r>
          </w:p>
        </w:tc>
        <w:tc>
          <w:tcPr>
            <w:tcW w:w="8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284</w:t>
            </w:r>
          </w:p>
        </w:tc>
      </w:tr>
      <w:tr w:rsidR="00BB3126" w:rsidRPr="0052399A" w:rsidTr="00C7618F">
        <w:trPr>
          <w:trHeight w:val="315"/>
        </w:trPr>
        <w:tc>
          <w:tcPr>
            <w:tcW w:w="25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Taxable payrolls</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-106</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-72</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40</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156</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-8</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-13</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w:t>
            </w:r>
          </w:p>
        </w:tc>
        <w:tc>
          <w:tcPr>
            <w:tcW w:w="8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203</w:t>
            </w:r>
          </w:p>
        </w:tc>
      </w:tr>
      <w:tr w:rsidR="00BB3126" w:rsidRPr="0052399A" w:rsidTr="00C7618F">
        <w:trPr>
          <w:trHeight w:val="315"/>
        </w:trPr>
        <w:tc>
          <w:tcPr>
            <w:tcW w:w="25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Investment growth</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67</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119</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-94</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-18</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-38</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-25</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-12</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w:t>
            </w:r>
          </w:p>
        </w:tc>
        <w:tc>
          <w:tcPr>
            <w:tcW w:w="8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188</w:t>
            </w:r>
          </w:p>
        </w:tc>
      </w:tr>
      <w:tr w:rsidR="00BB3126" w:rsidRPr="0052399A" w:rsidTr="00C7618F">
        <w:trPr>
          <w:trHeight w:val="315"/>
        </w:trPr>
        <w:tc>
          <w:tcPr>
            <w:tcW w:w="25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Other causes of change</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51</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31</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5</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-43</w:t>
            </w:r>
          </w:p>
        </w:tc>
        <w:tc>
          <w:tcPr>
            <w:tcW w:w="7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-14</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12</w:t>
            </w:r>
          </w:p>
        </w:tc>
        <w:tc>
          <w:tcPr>
            <w:tcW w:w="6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w:t>
            </w:r>
          </w:p>
        </w:tc>
        <w:tc>
          <w:tcPr>
            <w:tcW w:w="78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-46</w:t>
            </w:r>
          </w:p>
        </w:tc>
        <w:tc>
          <w:tcPr>
            <w:tcW w:w="8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103</w:t>
            </w:r>
          </w:p>
        </w:tc>
      </w:tr>
      <w:tr w:rsidR="00BB3126" w:rsidRPr="0052399A" w:rsidTr="00C7618F">
        <w:trPr>
          <w:trHeight w:val="315"/>
        </w:trPr>
        <w:tc>
          <w:tcPr>
            <w:tcW w:w="2560" w:type="dxa"/>
            <w:tcBorders>
              <w:top w:val="nil"/>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Total</w:t>
            </w:r>
          </w:p>
        </w:tc>
        <w:tc>
          <w:tcPr>
            <w:tcW w:w="62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w:t>
            </w:r>
          </w:p>
        </w:tc>
        <w:tc>
          <w:tcPr>
            <w:tcW w:w="72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62</w:t>
            </w:r>
          </w:p>
        </w:tc>
        <w:tc>
          <w:tcPr>
            <w:tcW w:w="72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-291</w:t>
            </w:r>
          </w:p>
        </w:tc>
        <w:tc>
          <w:tcPr>
            <w:tcW w:w="78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328</w:t>
            </w:r>
          </w:p>
        </w:tc>
        <w:tc>
          <w:tcPr>
            <w:tcW w:w="72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-48</w:t>
            </w:r>
          </w:p>
        </w:tc>
        <w:tc>
          <w:tcPr>
            <w:tcW w:w="62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-17</w:t>
            </w:r>
          </w:p>
        </w:tc>
        <w:tc>
          <w:tcPr>
            <w:tcW w:w="62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27</w:t>
            </w:r>
          </w:p>
        </w:tc>
        <w:tc>
          <w:tcPr>
            <w:tcW w:w="78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-69</w:t>
            </w:r>
          </w:p>
        </w:tc>
        <w:tc>
          <w:tcPr>
            <w:tcW w:w="820" w:type="dxa"/>
            <w:tcBorders>
              <w:top w:val="single" w:sz="4" w:space="0" w:color="auto"/>
              <w:left w:val="nil"/>
              <w:bottom w:val="single" w:sz="4" w:space="0" w:color="auto"/>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 xml:space="preserve"> 424</w:t>
            </w:r>
          </w:p>
        </w:tc>
      </w:tr>
    </w:tbl>
    <w:p w:rsidR="00BB3126" w:rsidRPr="00C15DA7" w:rsidRDefault="00BB3126" w:rsidP="00BB3126">
      <w:pPr>
        <w:pStyle w:val="CGCTableFootnote"/>
      </w:pPr>
      <w:r w:rsidRPr="00AE4221">
        <w:t>Note:</w:t>
      </w:r>
      <w:r w:rsidRPr="00AE4221">
        <w:tab/>
      </w:r>
      <w:r w:rsidRPr="00C15DA7">
        <w:t>The amounts shown in this table are the changes in the GST distribution from replacing revised 2014</w:t>
      </w:r>
      <w:r w:rsidRPr="00C15DA7">
        <w:noBreakHyphen/>
        <w:t>15 data with 2017</w:t>
      </w:r>
      <w:r w:rsidRPr="00C15DA7">
        <w:noBreakHyphen/>
        <w:t xml:space="preserve">18 data. They differ from the amounts shown in </w:t>
      </w:r>
      <w:r>
        <w:rPr>
          <w:highlight w:val="yellow"/>
        </w:rPr>
        <w:fldChar w:fldCharType="begin"/>
      </w:r>
      <w:r>
        <w:instrText xml:space="preserve"> REF _Ref503771880 \h </w:instrText>
      </w:r>
      <w:r>
        <w:rPr>
          <w:highlight w:val="yellow"/>
        </w:rPr>
      </w:r>
      <w:r>
        <w:rPr>
          <w:highlight w:val="yellow"/>
        </w:rPr>
        <w:fldChar w:fldCharType="separate"/>
      </w:r>
      <w:r w:rsidR="00E82224" w:rsidRPr="00E06D38">
        <w:t xml:space="preserve">Table </w:t>
      </w:r>
      <w:r w:rsidR="00E82224">
        <w:rPr>
          <w:noProof/>
        </w:rPr>
        <w:t>4</w:t>
      </w:r>
      <w:r>
        <w:rPr>
          <w:highlight w:val="yellow"/>
        </w:rPr>
        <w:fldChar w:fldCharType="end"/>
      </w:r>
      <w:r>
        <w:t xml:space="preserve"> </w:t>
      </w:r>
      <w:r w:rsidRPr="00C15DA7">
        <w:t>in the Overview, which include the effect of revising data. Totals may not add due to rounding.</w:t>
      </w:r>
      <w:r w:rsidRPr="00C15DA7">
        <w:tab/>
      </w:r>
    </w:p>
    <w:p w:rsidR="00BB3126" w:rsidRPr="00AE4221" w:rsidRDefault="00BB3126" w:rsidP="00BB3126">
      <w:pPr>
        <w:pStyle w:val="CGCTableFootnote"/>
      </w:pPr>
      <w:r w:rsidRPr="00C15DA7">
        <w:t>Source:</w:t>
      </w:r>
      <w:r w:rsidRPr="00C15DA7">
        <w:tab/>
        <w:t>Commission calculation.</w:t>
      </w:r>
    </w:p>
    <w:p w:rsidR="00BB3126" w:rsidRDefault="00BB3126" w:rsidP="00BB3126">
      <w:pPr>
        <w:pStyle w:val="11para"/>
      </w:pPr>
      <w:bookmarkStart w:id="538" w:name="_Ref260080"/>
      <w:r w:rsidRPr="00E51F21">
        <w:t>The following sections explain the main causes of change in State circumstances.</w:t>
      </w:r>
      <w:bookmarkEnd w:id="538"/>
    </w:p>
    <w:tbl>
      <w:tblPr>
        <w:tblStyle w:val="TableGrid"/>
        <w:tblW w:w="0" w:type="auto"/>
        <w:tblLook w:val="04A0" w:firstRow="1" w:lastRow="0" w:firstColumn="1" w:lastColumn="0" w:noHBand="0" w:noVBand="1"/>
      </w:tblPr>
      <w:tblGrid>
        <w:gridCol w:w="8951"/>
      </w:tblGrid>
      <w:tr w:rsidR="00BB3126" w:rsidTr="00C7618F">
        <w:tc>
          <w:tcPr>
            <w:tcW w:w="8951" w:type="dxa"/>
            <w:tcBorders>
              <w:top w:val="nil"/>
              <w:left w:val="nil"/>
              <w:bottom w:val="nil"/>
              <w:right w:val="nil"/>
            </w:tcBorders>
            <w:shd w:val="clear" w:color="auto" w:fill="D9F3E6"/>
          </w:tcPr>
          <w:p w:rsidR="00BB3126" w:rsidRDefault="00BB3126" w:rsidP="00C7618F">
            <w:pPr>
              <w:pStyle w:val="CGCTableHeading"/>
            </w:pPr>
            <w:bookmarkStart w:id="539" w:name="_Ref536800641"/>
            <w:bookmarkStart w:id="540" w:name="_Toc505872182"/>
            <w:bookmarkStart w:id="541" w:name="_Toc536519633"/>
            <w:r>
              <w:lastRenderedPageBreak/>
              <w:t>Box 1-</w:t>
            </w:r>
            <w:r>
              <w:rPr>
                <w:noProof/>
              </w:rPr>
              <w:fldChar w:fldCharType="begin"/>
            </w:r>
            <w:r>
              <w:rPr>
                <w:noProof/>
              </w:rPr>
              <w:instrText xml:space="preserve"> SEQ Box \* ARABIC </w:instrText>
            </w:r>
            <w:r>
              <w:rPr>
                <w:noProof/>
              </w:rPr>
              <w:fldChar w:fldCharType="separate"/>
            </w:r>
            <w:r w:rsidR="00E82224">
              <w:rPr>
                <w:noProof/>
              </w:rPr>
              <w:t>1</w:t>
            </w:r>
            <w:r>
              <w:rPr>
                <w:noProof/>
              </w:rPr>
              <w:fldChar w:fldCharType="end"/>
            </w:r>
            <w:bookmarkEnd w:id="539"/>
            <w:r w:rsidRPr="00973F8B">
              <w:tab/>
            </w:r>
            <w:bookmarkStart w:id="542" w:name="Box1_1"/>
            <w:bookmarkEnd w:id="542"/>
            <w:r>
              <w:t xml:space="preserve">Economic </w:t>
            </w:r>
            <w:r w:rsidR="002430FD">
              <w:t xml:space="preserve">developments </w:t>
            </w:r>
            <w:r>
              <w:t xml:space="preserve">and population </w:t>
            </w:r>
            <w:r w:rsidR="002430FD">
              <w:t xml:space="preserve">movements </w:t>
            </w:r>
            <w:r>
              <w:t>in Australia</w:t>
            </w:r>
          </w:p>
          <w:p w:rsidR="00BB3126" w:rsidRPr="008A1BE2" w:rsidRDefault="00BB3126" w:rsidP="00C7618F">
            <w:pPr>
              <w:rPr>
                <w:sz w:val="22"/>
              </w:rPr>
            </w:pPr>
            <w:r w:rsidRPr="008A1BE2">
              <w:rPr>
                <w:sz w:val="22"/>
              </w:rPr>
              <w:t xml:space="preserve">Earlier this century Western Australia, and to a lesser extent Queensland, </w:t>
            </w:r>
            <w:r w:rsidR="002430FD">
              <w:rPr>
                <w:sz w:val="22"/>
              </w:rPr>
              <w:t xml:space="preserve">experienced </w:t>
            </w:r>
            <w:r w:rsidR="00984CED">
              <w:rPr>
                <w:sz w:val="22"/>
              </w:rPr>
              <w:t>unprecedented</w:t>
            </w:r>
            <w:r w:rsidR="002430FD">
              <w:rPr>
                <w:sz w:val="22"/>
              </w:rPr>
              <w:t xml:space="preserve"> growth in </w:t>
            </w:r>
            <w:r w:rsidR="00984CED">
              <w:rPr>
                <w:sz w:val="22"/>
              </w:rPr>
              <w:t xml:space="preserve">their </w:t>
            </w:r>
            <w:r w:rsidRPr="008A1BE2">
              <w:rPr>
                <w:sz w:val="22"/>
              </w:rPr>
              <w:t xml:space="preserve">mining </w:t>
            </w:r>
            <w:r w:rsidR="00984CED">
              <w:rPr>
                <w:sz w:val="22"/>
              </w:rPr>
              <w:t>industries</w:t>
            </w:r>
            <w:r w:rsidR="00B8405F">
              <w:rPr>
                <w:sz w:val="22"/>
              </w:rPr>
              <w:t>, leading to a structural change in these States’ fiscal circumstances</w:t>
            </w:r>
            <w:r w:rsidR="00EC16E0">
              <w:rPr>
                <w:sz w:val="22"/>
              </w:rPr>
              <w:t>.</w:t>
            </w:r>
            <w:r w:rsidRPr="008A1BE2">
              <w:rPr>
                <w:sz w:val="22"/>
              </w:rPr>
              <w:t xml:space="preserve"> Strong royalty revenues </w:t>
            </w:r>
            <w:r w:rsidR="00B8405F">
              <w:rPr>
                <w:sz w:val="22"/>
              </w:rPr>
              <w:t xml:space="preserve">associated with this growth </w:t>
            </w:r>
            <w:r w:rsidRPr="008A1BE2">
              <w:rPr>
                <w:sz w:val="22"/>
              </w:rPr>
              <w:t xml:space="preserve">are continuing, especially in Western </w:t>
            </w:r>
            <w:r w:rsidR="00EC16E0" w:rsidRPr="008A1BE2">
              <w:rPr>
                <w:sz w:val="22"/>
              </w:rPr>
              <w:t>Australia, which</w:t>
            </w:r>
            <w:r w:rsidR="00EC16E0">
              <w:rPr>
                <w:sz w:val="22"/>
              </w:rPr>
              <w:t>,</w:t>
            </w:r>
            <w:r w:rsidRPr="008A1BE2">
              <w:rPr>
                <w:sz w:val="22"/>
              </w:rPr>
              <w:t xml:space="preserve"> in addition to its unprecedentedly strong iron ore mining royalties, is also well placed for growth in royalties from gas, lithium and other minerals. </w:t>
            </w:r>
          </w:p>
          <w:p w:rsidR="00BB3126" w:rsidRPr="008A1BE2" w:rsidRDefault="00BB3126" w:rsidP="00C7618F">
            <w:pPr>
              <w:rPr>
                <w:sz w:val="22"/>
              </w:rPr>
            </w:pPr>
            <w:r w:rsidRPr="008A1BE2">
              <w:rPr>
                <w:sz w:val="22"/>
              </w:rPr>
              <w:t xml:space="preserve">During the investment phase of the mining boom, the effects on Western Australia’s GST share due to its increased revenue strength flowing from these royalties </w:t>
            </w:r>
            <w:r>
              <w:rPr>
                <w:sz w:val="22"/>
              </w:rPr>
              <w:t>were</w:t>
            </w:r>
            <w:r w:rsidRPr="008A1BE2">
              <w:rPr>
                <w:sz w:val="22"/>
              </w:rPr>
              <w:t xml:space="preserve"> partially offset by the costs associated with its higher population growth and wage levels compared to the other States. Now that Western Australia </w:t>
            </w:r>
            <w:r w:rsidR="0088179B">
              <w:rPr>
                <w:sz w:val="22"/>
              </w:rPr>
              <w:t>no longer has</w:t>
            </w:r>
            <w:r w:rsidRPr="008A1BE2">
              <w:rPr>
                <w:sz w:val="22"/>
              </w:rPr>
              <w:t xml:space="preserve"> above average population growth and </w:t>
            </w:r>
            <w:r w:rsidR="0088179B">
              <w:rPr>
                <w:sz w:val="22"/>
              </w:rPr>
              <w:t xml:space="preserve">is now experiencing </w:t>
            </w:r>
            <w:r w:rsidR="007A197C">
              <w:rPr>
                <w:sz w:val="22"/>
              </w:rPr>
              <w:t xml:space="preserve">declining relative </w:t>
            </w:r>
            <w:r w:rsidRPr="008A1BE2">
              <w:rPr>
                <w:sz w:val="22"/>
              </w:rPr>
              <w:t xml:space="preserve">wage levels, these offsetting effects are lessening. Population growth and wage levels are two important factors affecting States’ costs and GST shares. </w:t>
            </w:r>
            <w:r>
              <w:rPr>
                <w:sz w:val="22"/>
              </w:rPr>
              <w:t>These</w:t>
            </w:r>
            <w:r w:rsidRPr="008A1BE2">
              <w:rPr>
                <w:sz w:val="22"/>
              </w:rPr>
              <w:t xml:space="preserve"> effects change as the Australian economy evolves. </w:t>
            </w:r>
          </w:p>
          <w:p w:rsidR="00BB3126" w:rsidRPr="008A1BE2" w:rsidRDefault="00BB3126" w:rsidP="00C7618F">
            <w:pPr>
              <w:rPr>
                <w:sz w:val="22"/>
              </w:rPr>
            </w:pPr>
            <w:r w:rsidRPr="008A1BE2">
              <w:rPr>
                <w:sz w:val="22"/>
              </w:rPr>
              <w:t xml:space="preserve">While the construction phase of the mining boom has set in place the capacity for continued high production volumes, differences between the States in population growth and wage costs are lessening, as the </w:t>
            </w:r>
            <w:r w:rsidR="002430FD">
              <w:rPr>
                <w:sz w:val="22"/>
              </w:rPr>
              <w:t>‘</w:t>
            </w:r>
            <w:r w:rsidRPr="008A1BE2">
              <w:rPr>
                <w:sz w:val="22"/>
              </w:rPr>
              <w:t>two speed</w:t>
            </w:r>
            <w:r w:rsidR="002430FD">
              <w:rPr>
                <w:sz w:val="22"/>
              </w:rPr>
              <w:t>’</w:t>
            </w:r>
            <w:r w:rsidRPr="008A1BE2">
              <w:rPr>
                <w:sz w:val="22"/>
              </w:rPr>
              <w:t xml:space="preserve"> economy moves back towards more </w:t>
            </w:r>
            <w:r w:rsidR="002430FD">
              <w:rPr>
                <w:sz w:val="22"/>
              </w:rPr>
              <w:t>even growth</w:t>
            </w:r>
            <w:r w:rsidRPr="008A1BE2">
              <w:rPr>
                <w:sz w:val="22"/>
              </w:rPr>
              <w:t xml:space="preserve">. </w:t>
            </w:r>
          </w:p>
          <w:p w:rsidR="00BB3126" w:rsidRPr="008A1BE2" w:rsidRDefault="00BB3126" w:rsidP="00C7618F">
            <w:pPr>
              <w:rPr>
                <w:sz w:val="22"/>
              </w:rPr>
            </w:pPr>
            <w:r w:rsidRPr="008A1BE2">
              <w:rPr>
                <w:sz w:val="22"/>
              </w:rPr>
              <w:t xml:space="preserve">Western Australia’s relative wage levels peaked in 2014-15. As that year exits the Commission’s </w:t>
            </w:r>
            <w:r w:rsidR="00C51779">
              <w:rPr>
                <w:sz w:val="22"/>
              </w:rPr>
              <w:t xml:space="preserve">three-year </w:t>
            </w:r>
            <w:r w:rsidRPr="008A1BE2">
              <w:rPr>
                <w:sz w:val="22"/>
              </w:rPr>
              <w:t xml:space="preserve">assessment window, there has been a large downward effect on </w:t>
            </w:r>
            <w:r w:rsidR="001F3A9A">
              <w:rPr>
                <w:sz w:val="22"/>
              </w:rPr>
              <w:t>Western Australia’s</w:t>
            </w:r>
            <w:r w:rsidRPr="008A1BE2">
              <w:rPr>
                <w:sz w:val="22"/>
              </w:rPr>
              <w:t xml:space="preserve"> GST share. At the same time, New South Wales and Victorian wage</w:t>
            </w:r>
            <w:r w:rsidR="002430FD">
              <w:rPr>
                <w:sz w:val="22"/>
              </w:rPr>
              <w:t xml:space="preserve"> growth has increased</w:t>
            </w:r>
            <w:r w:rsidRPr="008A1BE2">
              <w:rPr>
                <w:sz w:val="22"/>
              </w:rPr>
              <w:t xml:space="preserve">. </w:t>
            </w:r>
            <w:r w:rsidR="00C51779">
              <w:rPr>
                <w:sz w:val="22"/>
              </w:rPr>
              <w:t xml:space="preserve">At the same time, </w:t>
            </w:r>
            <w:r w:rsidRPr="008A1BE2">
              <w:rPr>
                <w:sz w:val="22"/>
              </w:rPr>
              <w:t xml:space="preserve">Western Australia’s population growth </w:t>
            </w:r>
            <w:r w:rsidR="001000DA">
              <w:rPr>
                <w:sz w:val="22"/>
              </w:rPr>
              <w:t xml:space="preserve">has fallen from levels that were </w:t>
            </w:r>
            <w:r w:rsidR="003D2A99">
              <w:rPr>
                <w:sz w:val="22"/>
              </w:rPr>
              <w:t xml:space="preserve">consistently </w:t>
            </w:r>
            <w:r w:rsidR="001000DA">
              <w:rPr>
                <w:sz w:val="22"/>
              </w:rPr>
              <w:t>w</w:t>
            </w:r>
            <w:r w:rsidR="003D2A99">
              <w:rPr>
                <w:sz w:val="22"/>
              </w:rPr>
              <w:t>ell above average, to bel</w:t>
            </w:r>
            <w:r w:rsidR="001000DA">
              <w:rPr>
                <w:sz w:val="22"/>
              </w:rPr>
              <w:t>o</w:t>
            </w:r>
            <w:r w:rsidR="003D2A99">
              <w:rPr>
                <w:sz w:val="22"/>
              </w:rPr>
              <w:t>w</w:t>
            </w:r>
            <w:r w:rsidR="001000DA">
              <w:rPr>
                <w:sz w:val="22"/>
              </w:rPr>
              <w:t xml:space="preserve"> average</w:t>
            </w:r>
            <w:r w:rsidR="00193A58">
              <w:rPr>
                <w:sz w:val="22"/>
              </w:rPr>
              <w:t>.</w:t>
            </w:r>
            <w:r w:rsidR="001000DA">
              <w:rPr>
                <w:sz w:val="22"/>
              </w:rPr>
              <w:t xml:space="preserve"> </w:t>
            </w:r>
          </w:p>
          <w:p w:rsidR="00BB3126" w:rsidRPr="008A1BE2" w:rsidRDefault="00BB3126" w:rsidP="00C7618F">
            <w:pPr>
              <w:rPr>
                <w:sz w:val="22"/>
              </w:rPr>
            </w:pPr>
            <w:r w:rsidRPr="008A1BE2">
              <w:rPr>
                <w:sz w:val="22"/>
              </w:rPr>
              <w:t xml:space="preserve">The same methodology outlined in the 2015 Review is used in this Update. Changes in GST shares reflect new data, in particular </w:t>
            </w:r>
            <w:r w:rsidR="00B8405F">
              <w:rPr>
                <w:sz w:val="22"/>
              </w:rPr>
              <w:t xml:space="preserve">State data on mining activity and, </w:t>
            </w:r>
            <w:r w:rsidRPr="008A1BE2">
              <w:rPr>
                <w:sz w:val="22"/>
              </w:rPr>
              <w:t>in the case of population growth and wage levels</w:t>
            </w:r>
            <w:r w:rsidR="00B8405F">
              <w:rPr>
                <w:sz w:val="22"/>
              </w:rPr>
              <w:t>, ABS data</w:t>
            </w:r>
            <w:r w:rsidRPr="008A1BE2">
              <w:rPr>
                <w:sz w:val="22"/>
              </w:rPr>
              <w:t xml:space="preserve">. The updated GST shares reflect the inclusion of these new data, which are showing the persisting strength in Western Australia mining revenue capacity and the convergence </w:t>
            </w:r>
            <w:r w:rsidR="004A05D6">
              <w:rPr>
                <w:sz w:val="22"/>
              </w:rPr>
              <w:t xml:space="preserve">or reversal </w:t>
            </w:r>
            <w:r w:rsidRPr="008A1BE2">
              <w:rPr>
                <w:sz w:val="22"/>
              </w:rPr>
              <w:t>of other measures affecting the cost of service delivery</w:t>
            </w:r>
            <w:r w:rsidR="00FC09C7">
              <w:rPr>
                <w:sz w:val="22"/>
              </w:rPr>
              <w:t>,</w:t>
            </w:r>
            <w:r w:rsidRPr="008A1BE2">
              <w:rPr>
                <w:sz w:val="22"/>
              </w:rPr>
              <w:t xml:space="preserve"> to levels similar to the eastern States. </w:t>
            </w:r>
          </w:p>
          <w:p w:rsidR="00BB3126" w:rsidRDefault="00BB3126" w:rsidP="00C51779">
            <w:r w:rsidRPr="008A1BE2">
              <w:rPr>
                <w:sz w:val="22"/>
              </w:rPr>
              <w:fldChar w:fldCharType="begin"/>
            </w:r>
            <w:r w:rsidRPr="008A1BE2">
              <w:rPr>
                <w:sz w:val="22"/>
              </w:rPr>
              <w:instrText xml:space="preserve"> REF _Ref536630975 \h </w:instrText>
            </w:r>
            <w:r>
              <w:rPr>
                <w:sz w:val="22"/>
              </w:rPr>
              <w:instrText xml:space="preserve"> \* MERGEFORMAT </w:instrText>
            </w:r>
            <w:r w:rsidRPr="008A1BE2">
              <w:rPr>
                <w:sz w:val="22"/>
              </w:rPr>
            </w:r>
            <w:r w:rsidRPr="008A1BE2">
              <w:rPr>
                <w:sz w:val="22"/>
              </w:rPr>
              <w:fldChar w:fldCharType="separate"/>
            </w:r>
            <w:r w:rsidR="00E82224" w:rsidRPr="00E82224">
              <w:rPr>
                <w:sz w:val="22"/>
              </w:rPr>
              <w:t>Figure 1-1</w:t>
            </w:r>
            <w:r w:rsidRPr="008A1BE2">
              <w:rPr>
                <w:sz w:val="22"/>
              </w:rPr>
              <w:fldChar w:fldCharType="end"/>
            </w:r>
            <w:r w:rsidRPr="008A1BE2">
              <w:rPr>
                <w:sz w:val="22"/>
              </w:rPr>
              <w:t xml:space="preserve"> shows the continuing strength in Western Australia’s iron ore royalties, along with its </w:t>
            </w:r>
            <w:r w:rsidR="001000DA">
              <w:rPr>
                <w:sz w:val="22"/>
              </w:rPr>
              <w:t xml:space="preserve">changing </w:t>
            </w:r>
            <w:r w:rsidRPr="008A1BE2">
              <w:rPr>
                <w:sz w:val="22"/>
              </w:rPr>
              <w:t>relative wage levels and relative population growth since the commencement of the mining boom in the mid-2000s.</w:t>
            </w:r>
          </w:p>
        </w:tc>
      </w:tr>
      <w:tr w:rsidR="00BB3126" w:rsidTr="00C7618F">
        <w:tc>
          <w:tcPr>
            <w:tcW w:w="8951" w:type="dxa"/>
            <w:tcBorders>
              <w:top w:val="nil"/>
              <w:left w:val="nil"/>
              <w:bottom w:val="nil"/>
              <w:right w:val="nil"/>
            </w:tcBorders>
            <w:shd w:val="clear" w:color="auto" w:fill="D9F3E6"/>
          </w:tcPr>
          <w:p w:rsidR="00BB3126" w:rsidRDefault="00BB3126" w:rsidP="00C7618F">
            <w:pPr>
              <w:pStyle w:val="CGCTableHeading"/>
            </w:pPr>
            <w:bookmarkStart w:id="543" w:name="_Ref536613786"/>
            <w:bookmarkStart w:id="544" w:name="_Ref536630975"/>
            <w:bookmarkStart w:id="545" w:name="_Ref260034"/>
            <w:r>
              <w:lastRenderedPageBreak/>
              <w:t>Figure 1-</w:t>
            </w:r>
            <w:bookmarkEnd w:id="543"/>
            <w:r>
              <w:rPr>
                <w:noProof/>
              </w:rPr>
              <w:fldChar w:fldCharType="begin"/>
            </w:r>
            <w:r>
              <w:rPr>
                <w:noProof/>
              </w:rPr>
              <w:instrText xml:space="preserve"> SEQ Figure \* ARABIC \r1 </w:instrText>
            </w:r>
            <w:r>
              <w:rPr>
                <w:noProof/>
              </w:rPr>
              <w:fldChar w:fldCharType="separate"/>
            </w:r>
            <w:r w:rsidR="00E82224">
              <w:rPr>
                <w:noProof/>
              </w:rPr>
              <w:t>1</w:t>
            </w:r>
            <w:r>
              <w:rPr>
                <w:noProof/>
              </w:rPr>
              <w:fldChar w:fldCharType="end"/>
            </w:r>
            <w:bookmarkEnd w:id="544"/>
            <w:r>
              <w:t xml:space="preserve"> </w:t>
            </w:r>
            <w:r>
              <w:tab/>
              <w:t>Iron ore royalties, relative wage levels and relative population growth, Western Australia, 2005</w:t>
            </w:r>
            <w:r>
              <w:noBreakHyphen/>
              <w:t>06 to 2017-18</w:t>
            </w:r>
            <w:bookmarkEnd w:id="545"/>
          </w:p>
          <w:p w:rsidR="00BB3126" w:rsidRDefault="00BB3126" w:rsidP="00C7618F">
            <w:r w:rsidRPr="00712FAC">
              <w:rPr>
                <w:noProof/>
                <w:lang w:eastAsia="en-AU"/>
              </w:rPr>
              <w:drawing>
                <wp:inline distT="0" distB="0" distL="0" distR="0" wp14:anchorId="534624C0" wp14:editId="44FCB9CF">
                  <wp:extent cx="5529205" cy="3482109"/>
                  <wp:effectExtent l="0" t="0" r="0" b="4445"/>
                  <wp:docPr id="6" name="Picture 6" descr="This figure shows the continuing strength in Western Australia’s iron ore royalties, along with its changing relative wage levels and relative population growth since the commencement of the mining boom in the mid-20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32548" cy="3484214"/>
                          </a:xfrm>
                          <a:prstGeom prst="rect">
                            <a:avLst/>
                          </a:prstGeom>
                          <a:noFill/>
                          <a:ln>
                            <a:noFill/>
                          </a:ln>
                        </pic:spPr>
                      </pic:pic>
                    </a:graphicData>
                  </a:graphic>
                </wp:inline>
              </w:drawing>
            </w:r>
          </w:p>
          <w:p w:rsidR="001000DA" w:rsidRDefault="001000DA" w:rsidP="00C7618F">
            <w:pPr>
              <w:pStyle w:val="CGCTableFootnote"/>
            </w:pPr>
            <w:r>
              <w:t>Note:</w:t>
            </w:r>
            <w:r w:rsidR="00A213C8">
              <w:t xml:space="preserve"> </w:t>
            </w:r>
            <w:r w:rsidR="00A213C8">
              <w:tab/>
            </w:r>
            <w:r>
              <w:t xml:space="preserve">Relative wage levels and </w:t>
            </w:r>
            <w:r w:rsidR="00A213C8">
              <w:t xml:space="preserve">relative </w:t>
            </w:r>
            <w:r>
              <w:t>population growth refer to the percentage point difference in assessed wage and population growth between W</w:t>
            </w:r>
            <w:r w:rsidR="004A05D6">
              <w:t>estern Australia</w:t>
            </w:r>
            <w:r>
              <w:t xml:space="preserve"> and the national average. </w:t>
            </w:r>
          </w:p>
          <w:p w:rsidR="00BB3126" w:rsidRDefault="00BB3126" w:rsidP="00C7618F">
            <w:pPr>
              <w:pStyle w:val="CGCTableFootnote"/>
            </w:pPr>
            <w:r>
              <w:t>Source:</w:t>
            </w:r>
            <w:r>
              <w:tab/>
            </w:r>
            <w:r w:rsidRPr="007617E2">
              <w:t>ABS Cat. No. 3101.0, Au</w:t>
            </w:r>
            <w:r>
              <w:t>stralian Demographic Statistics;</w:t>
            </w:r>
            <w:r w:rsidRPr="007617E2">
              <w:t xml:space="preserve"> </w:t>
            </w:r>
            <w:r w:rsidR="001000DA">
              <w:t xml:space="preserve">Commission calculation using </w:t>
            </w:r>
            <w:r w:rsidR="00D37F21">
              <w:t xml:space="preserve">ABS </w:t>
            </w:r>
            <w:r>
              <w:t xml:space="preserve">CoES data and State </w:t>
            </w:r>
            <w:r w:rsidRPr="007617E2">
              <w:t xml:space="preserve">provided </w:t>
            </w:r>
            <w:r w:rsidR="001000DA">
              <w:t xml:space="preserve">revenue </w:t>
            </w:r>
            <w:r w:rsidRPr="007617E2">
              <w:t>data</w:t>
            </w:r>
            <w:r>
              <w:t>.</w:t>
            </w:r>
          </w:p>
        </w:tc>
      </w:tr>
    </w:tbl>
    <w:p w:rsidR="00BB3126" w:rsidRPr="001322EC" w:rsidRDefault="00BB3126" w:rsidP="00BB3126">
      <w:pPr>
        <w:pStyle w:val="Heading4"/>
      </w:pPr>
      <w:bookmarkStart w:id="546" w:name="_Toc536631343"/>
      <w:bookmarkStart w:id="547" w:name="_Toc536803177"/>
      <w:bookmarkStart w:id="548" w:name="_Toc536803265"/>
      <w:bookmarkStart w:id="549" w:name="_Toc1115145"/>
      <w:r w:rsidRPr="001322EC">
        <w:t>Revenue</w:t>
      </w:r>
      <w:bookmarkEnd w:id="525"/>
      <w:bookmarkEnd w:id="526"/>
      <w:bookmarkEnd w:id="527"/>
      <w:bookmarkEnd w:id="528"/>
      <w:bookmarkEnd w:id="529"/>
      <w:bookmarkEnd w:id="530"/>
      <w:bookmarkEnd w:id="531"/>
      <w:bookmarkEnd w:id="532"/>
      <w:bookmarkEnd w:id="533"/>
      <w:bookmarkEnd w:id="534"/>
      <w:bookmarkEnd w:id="535"/>
      <w:bookmarkEnd w:id="540"/>
      <w:bookmarkEnd w:id="541"/>
      <w:bookmarkEnd w:id="546"/>
      <w:bookmarkEnd w:id="547"/>
      <w:bookmarkEnd w:id="548"/>
      <w:bookmarkEnd w:id="549"/>
    </w:p>
    <w:p w:rsidR="00BB3126" w:rsidRDefault="00BB3126" w:rsidP="00BB3126">
      <w:pPr>
        <w:pStyle w:val="Heading5"/>
      </w:pPr>
      <w:bookmarkStart w:id="550" w:name="_Toc536803178"/>
      <w:bookmarkStart w:id="551" w:name="_Toc536803266"/>
      <w:r>
        <w:t>Property sales</w:t>
      </w:r>
      <w:bookmarkEnd w:id="550"/>
      <w:bookmarkEnd w:id="551"/>
    </w:p>
    <w:p w:rsidR="00BB3126" w:rsidRDefault="00BB3126" w:rsidP="00BB3126">
      <w:pPr>
        <w:pStyle w:val="11para"/>
      </w:pPr>
      <w:r w:rsidRPr="002A48E0">
        <w:t xml:space="preserve">Stamp duties </w:t>
      </w:r>
      <w:r>
        <w:t>raised from</w:t>
      </w:r>
      <w:r w:rsidRPr="002A48E0">
        <w:t xml:space="preserve"> the transfer of property are volatile. Cycles in property markets can lead to substantial changes </w:t>
      </w:r>
      <w:r>
        <w:t>across years and States</w:t>
      </w:r>
      <w:r w:rsidRPr="002A48E0">
        <w:t xml:space="preserve">, which can have marked </w:t>
      </w:r>
      <w:r>
        <w:t>effects</w:t>
      </w:r>
      <w:r w:rsidRPr="002A48E0">
        <w:t xml:space="preserve"> on </w:t>
      </w:r>
      <w:r>
        <w:t>assessed</w:t>
      </w:r>
      <w:r w:rsidRPr="002A48E0">
        <w:t xml:space="preserve"> revenue capacities. </w:t>
      </w:r>
    </w:p>
    <w:p w:rsidR="00BB3126" w:rsidRDefault="00BB3126" w:rsidP="00BB3126">
      <w:pPr>
        <w:pStyle w:val="11para"/>
      </w:pPr>
      <w:r w:rsidRPr="002A48E0">
        <w:t xml:space="preserve">Between </w:t>
      </w:r>
      <w:r>
        <w:t>2014-15</w:t>
      </w:r>
      <w:r w:rsidRPr="002A48E0">
        <w:t xml:space="preserve"> and </w:t>
      </w:r>
      <w:r>
        <w:t>2017-18</w:t>
      </w:r>
      <w:r w:rsidRPr="002A48E0">
        <w:t xml:space="preserve">, </w:t>
      </w:r>
      <w:r>
        <w:t xml:space="preserve">the value of property transferred </w:t>
      </w:r>
      <w:r w:rsidR="00C51779">
        <w:t xml:space="preserve">nationally </w:t>
      </w:r>
      <w:r>
        <w:t>grew by 17%. Victoria, Tasmania and the ACT</w:t>
      </w:r>
      <w:r w:rsidRPr="002A48E0">
        <w:t xml:space="preserve"> experienced </w:t>
      </w:r>
      <w:r>
        <w:t>above average growth, New South Wales experienced average growth and four States experienced below average growth — Queensland (5%), Western Australia (-26%), South Australia (7%) and the Northern Territory (-43%). A</w:t>
      </w:r>
      <w:r w:rsidRPr="002A48E0">
        <w:t>s a result, $</w:t>
      </w:r>
      <w:r>
        <w:t>505 </w:t>
      </w:r>
      <w:r w:rsidRPr="002A48E0">
        <w:t xml:space="preserve">million </w:t>
      </w:r>
      <w:r>
        <w:t xml:space="preserve">has been redistributed to these States, primarily from Victoria. </w:t>
      </w:r>
      <w:r>
        <w:fldChar w:fldCharType="begin"/>
      </w:r>
      <w:r>
        <w:instrText xml:space="preserve"> REF _Ref536719739 \h </w:instrText>
      </w:r>
      <w:r>
        <w:fldChar w:fldCharType="separate"/>
      </w:r>
      <w:r w:rsidR="00E82224">
        <w:t>Figure 1</w:t>
      </w:r>
      <w:r w:rsidR="00E82224">
        <w:noBreakHyphen/>
      </w:r>
      <w:r w:rsidR="00E82224">
        <w:rPr>
          <w:noProof/>
        </w:rPr>
        <w:t>2</w:t>
      </w:r>
      <w:r>
        <w:fldChar w:fldCharType="end"/>
      </w:r>
      <w:r>
        <w:t xml:space="preserve"> shows the change in States’ per capita value of property transferred between 2014-15 and 2017-18.</w:t>
      </w:r>
    </w:p>
    <w:p w:rsidR="00BB3126" w:rsidRDefault="00BB3126" w:rsidP="00BB3126">
      <w:pPr>
        <w:pStyle w:val="Caption"/>
      </w:pPr>
      <w:bookmarkStart w:id="552" w:name="_Ref536175488"/>
      <w:bookmarkStart w:id="553" w:name="_Ref536719739"/>
      <w:r>
        <w:lastRenderedPageBreak/>
        <w:t>Figure 1</w:t>
      </w:r>
      <w:r>
        <w:noBreakHyphen/>
      </w:r>
      <w:bookmarkEnd w:id="552"/>
      <w:r>
        <w:rPr>
          <w:noProof/>
        </w:rPr>
        <w:fldChar w:fldCharType="begin"/>
      </w:r>
      <w:r>
        <w:rPr>
          <w:noProof/>
        </w:rPr>
        <w:instrText xml:space="preserve"> SEQ Figure \* ARABIC </w:instrText>
      </w:r>
      <w:r>
        <w:rPr>
          <w:noProof/>
        </w:rPr>
        <w:fldChar w:fldCharType="separate"/>
      </w:r>
      <w:r w:rsidR="00E82224">
        <w:rPr>
          <w:noProof/>
        </w:rPr>
        <w:t>2</w:t>
      </w:r>
      <w:r>
        <w:rPr>
          <w:noProof/>
        </w:rPr>
        <w:fldChar w:fldCharType="end"/>
      </w:r>
      <w:bookmarkEnd w:id="553"/>
      <w:r>
        <w:tab/>
      </w:r>
      <w:r w:rsidR="005252A8">
        <w:t xml:space="preserve">Value </w:t>
      </w:r>
      <w:r w:rsidR="004620E7">
        <w:t>of p</w:t>
      </w:r>
      <w:r>
        <w:t xml:space="preserve">roperty transfers </w:t>
      </w:r>
      <w:r w:rsidR="005252A8">
        <w:t xml:space="preserve">per capita </w:t>
      </w:r>
      <w:r>
        <w:t>by State,</w:t>
      </w:r>
      <w:r w:rsidRPr="002A48E0">
        <w:t xml:space="preserve"> </w:t>
      </w:r>
      <w:r>
        <w:t>2014-15</w:t>
      </w:r>
      <w:r w:rsidRPr="002A48E0">
        <w:t xml:space="preserve"> </w:t>
      </w:r>
      <w:r>
        <w:t>and</w:t>
      </w:r>
      <w:r w:rsidRPr="002A48E0">
        <w:t xml:space="preserve"> </w:t>
      </w:r>
      <w:r>
        <w:t>2017-18</w:t>
      </w:r>
    </w:p>
    <w:p w:rsidR="00BB3126" w:rsidRPr="00025824" w:rsidRDefault="00BB3126" w:rsidP="00BB3126">
      <w:r w:rsidRPr="00E4479D">
        <w:rPr>
          <w:noProof/>
          <w:lang w:eastAsia="en-AU"/>
        </w:rPr>
        <w:drawing>
          <wp:inline distT="0" distB="0" distL="0" distR="0" wp14:anchorId="2E710ECB" wp14:editId="42515E5C">
            <wp:extent cx="5652770" cy="3565525"/>
            <wp:effectExtent l="0" t="0" r="5080" b="0"/>
            <wp:docPr id="4" name="Picture 4" descr="This figure shows the change in States’ per capita value of property transferred between 2014-15 and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52770" cy="3565525"/>
                    </a:xfrm>
                    <a:prstGeom prst="rect">
                      <a:avLst/>
                    </a:prstGeom>
                    <a:noFill/>
                    <a:ln>
                      <a:noFill/>
                    </a:ln>
                  </pic:spPr>
                </pic:pic>
              </a:graphicData>
            </a:graphic>
          </wp:inline>
        </w:drawing>
      </w:r>
    </w:p>
    <w:p w:rsidR="00A03892" w:rsidRDefault="00BB3126" w:rsidP="00BB3126">
      <w:pPr>
        <w:pStyle w:val="CGCTableFootnote"/>
      </w:pPr>
      <w:r>
        <w:t>Note:</w:t>
      </w:r>
      <w:r>
        <w:tab/>
      </w:r>
      <w:r w:rsidR="00A03892">
        <w:t xml:space="preserve">Total value of taxable property transfers in a State divided by the </w:t>
      </w:r>
      <w:r w:rsidR="00EA6754">
        <w:t xml:space="preserve">resident </w:t>
      </w:r>
      <w:r w:rsidR="00A03892">
        <w:t>population in that State.</w:t>
      </w:r>
    </w:p>
    <w:p w:rsidR="00BB3126" w:rsidRDefault="00A03892" w:rsidP="00BB3126">
      <w:pPr>
        <w:pStyle w:val="CGCTableFootnote"/>
      </w:pPr>
      <w:r>
        <w:tab/>
      </w:r>
      <w:r w:rsidR="00BB3126" w:rsidRPr="002A48E0">
        <w:t>Data are adjusted to account for differences between States in the scope of conveyances.</w:t>
      </w:r>
    </w:p>
    <w:p w:rsidR="00BB3126" w:rsidRPr="008C4F13" w:rsidRDefault="00BB3126" w:rsidP="00BB3126">
      <w:pPr>
        <w:pStyle w:val="CGCTableFootnote"/>
      </w:pPr>
      <w:r>
        <w:t>Source:</w:t>
      </w:r>
      <w:r>
        <w:tab/>
        <w:t>State data returns</w:t>
      </w:r>
      <w:r w:rsidRPr="002A48E0">
        <w:t>.</w:t>
      </w:r>
    </w:p>
    <w:p w:rsidR="00BB3126" w:rsidRDefault="00BB3126" w:rsidP="00BB3126">
      <w:pPr>
        <w:pStyle w:val="Heading5"/>
      </w:pPr>
      <w:bookmarkStart w:id="554" w:name="_Toc536803179"/>
      <w:bookmarkStart w:id="555" w:name="_Toc536803267"/>
      <w:r>
        <w:t>Mining production</w:t>
      </w:r>
      <w:bookmarkEnd w:id="554"/>
      <w:bookmarkEnd w:id="555"/>
    </w:p>
    <w:p w:rsidR="00BB3126" w:rsidRPr="00F0390C" w:rsidRDefault="00BB3126" w:rsidP="00BB3126">
      <w:pPr>
        <w:pStyle w:val="11para"/>
      </w:pPr>
      <w:r>
        <w:t>T</w:t>
      </w:r>
      <w:r w:rsidRPr="002A48E0">
        <w:t xml:space="preserve">he uneven distribution </w:t>
      </w:r>
      <w:r w:rsidR="005252A8" w:rsidRPr="002A48E0">
        <w:t xml:space="preserve">between States </w:t>
      </w:r>
      <w:r w:rsidRPr="002A48E0">
        <w:t xml:space="preserve">of </w:t>
      </w:r>
      <w:r>
        <w:t>resource endowments</w:t>
      </w:r>
      <w:r w:rsidR="005252A8">
        <w:t xml:space="preserve"> </w:t>
      </w:r>
      <w:r>
        <w:t xml:space="preserve">and </w:t>
      </w:r>
      <w:r w:rsidRPr="002A48E0">
        <w:t>mining activity</w:t>
      </w:r>
      <w:r w:rsidR="005252A8">
        <w:t xml:space="preserve">, together with commodity price </w:t>
      </w:r>
      <w:r w:rsidR="00A03892">
        <w:t>changes</w:t>
      </w:r>
      <w:r w:rsidR="002E627F">
        <w:t>,</w:t>
      </w:r>
      <w:r w:rsidR="00A03892">
        <w:t xml:space="preserve"> </w:t>
      </w:r>
      <w:r>
        <w:t xml:space="preserve">can produce </w:t>
      </w:r>
      <w:r w:rsidRPr="002A48E0">
        <w:t>large movements in the value of mining production from year to year</w:t>
      </w:r>
      <w:r>
        <w:t>. Thus</w:t>
      </w:r>
      <w:r w:rsidRPr="002A48E0">
        <w:t xml:space="preserve">, the mining revenue assessment </w:t>
      </w:r>
      <w:r>
        <w:t>can give rise to</w:t>
      </w:r>
      <w:r w:rsidRPr="002A48E0">
        <w:t xml:space="preserve"> </w:t>
      </w:r>
      <w:r>
        <w:t>significant</w:t>
      </w:r>
      <w:r w:rsidRPr="002A48E0">
        <w:t xml:space="preserve"> redistributions in GST revenue. Compared </w:t>
      </w:r>
      <w:r>
        <w:t>with</w:t>
      </w:r>
      <w:r w:rsidRPr="002A48E0">
        <w:t xml:space="preserve"> the </w:t>
      </w:r>
      <w:r>
        <w:t>2018 Update</w:t>
      </w:r>
      <w:r w:rsidRPr="002A48E0">
        <w:t xml:space="preserve">, </w:t>
      </w:r>
      <w:r>
        <w:t xml:space="preserve">$435 million was redistributed from </w:t>
      </w:r>
      <w:r w:rsidRPr="00F0390C">
        <w:t xml:space="preserve">Queensland and $204 million to Western Australia following changes in </w:t>
      </w:r>
      <w:r>
        <w:t>the value of mining production</w:t>
      </w:r>
      <w:r w:rsidRPr="00F0390C">
        <w:t>.</w:t>
      </w:r>
    </w:p>
    <w:p w:rsidR="00BB3126" w:rsidRPr="00F0390C" w:rsidRDefault="00BB3126" w:rsidP="00BB3126">
      <w:pPr>
        <w:pStyle w:val="11para"/>
      </w:pPr>
      <w:r w:rsidRPr="00F0390C">
        <w:fldChar w:fldCharType="begin"/>
      </w:r>
      <w:r w:rsidRPr="00F0390C">
        <w:instrText xml:space="preserve"> REF _Ref536175502 \h  \* MERGEFORMAT </w:instrText>
      </w:r>
      <w:r w:rsidRPr="00F0390C">
        <w:fldChar w:fldCharType="separate"/>
      </w:r>
      <w:r w:rsidR="00E82224">
        <w:t>Figure 1</w:t>
      </w:r>
      <w:r w:rsidR="00E82224">
        <w:noBreakHyphen/>
        <w:t>3</w:t>
      </w:r>
      <w:r w:rsidRPr="00F0390C">
        <w:fldChar w:fldCharType="end"/>
      </w:r>
      <w:r w:rsidRPr="00F0390C">
        <w:t xml:space="preserve"> shows the increase in the value of iron ore, coal and other minerals production between 2014</w:t>
      </w:r>
      <w:r w:rsidRPr="00A10E81">
        <w:noBreakHyphen/>
      </w:r>
      <w:r w:rsidRPr="00F0390C">
        <w:t>15 and 2017</w:t>
      </w:r>
      <w:r w:rsidRPr="00F0390C">
        <w:noBreakHyphen/>
        <w:t>18. It shows the biggest increase was for coal, which largely explains the increase in Queensland’s mining revenue capacity. In addition, Western Australia’s share of North West Shelf royalties declined between 2014</w:t>
      </w:r>
      <w:r w:rsidRPr="00F0390C">
        <w:noBreakHyphen/>
        <w:t>15 and 2017</w:t>
      </w:r>
      <w:r w:rsidRPr="00F0390C">
        <w:noBreakHyphen/>
        <w:t>18, reducing its assessed mining revenue. The net effect of both changes was to increase Queensland’s fiscal capacity and reduce Western Australia’s. In turn, this reduced Queensland’s share of GST and increased Western Australia’s share.</w:t>
      </w:r>
    </w:p>
    <w:p w:rsidR="00BB3126" w:rsidRDefault="00BB3126" w:rsidP="00BB3126">
      <w:pPr>
        <w:pStyle w:val="Caption"/>
      </w:pPr>
      <w:bookmarkStart w:id="556" w:name="_Ref536175502"/>
      <w:r>
        <w:lastRenderedPageBreak/>
        <w:t>Figure 1</w:t>
      </w:r>
      <w:r>
        <w:noBreakHyphen/>
      </w:r>
      <w:r>
        <w:rPr>
          <w:noProof/>
        </w:rPr>
        <w:fldChar w:fldCharType="begin"/>
      </w:r>
      <w:r>
        <w:rPr>
          <w:noProof/>
        </w:rPr>
        <w:instrText xml:space="preserve"> SEQ Figure \* ARABIC \s 1 </w:instrText>
      </w:r>
      <w:r>
        <w:rPr>
          <w:noProof/>
        </w:rPr>
        <w:fldChar w:fldCharType="separate"/>
      </w:r>
      <w:r w:rsidR="00E82224">
        <w:rPr>
          <w:noProof/>
        </w:rPr>
        <w:t>3</w:t>
      </w:r>
      <w:r>
        <w:rPr>
          <w:noProof/>
        </w:rPr>
        <w:fldChar w:fldCharType="end"/>
      </w:r>
      <w:bookmarkEnd w:id="556"/>
      <w:r>
        <w:tab/>
      </w:r>
      <w:r w:rsidRPr="002A48E0">
        <w:t>Mining value of production</w:t>
      </w:r>
      <w:r w:rsidR="004620E7">
        <w:t>,</w:t>
      </w:r>
      <w:r w:rsidR="00466208">
        <w:t xml:space="preserve"> </w:t>
      </w:r>
      <w:r w:rsidR="004620E7">
        <w:t>dollars</w:t>
      </w:r>
      <w:r w:rsidR="00466208">
        <w:t xml:space="preserve"> billion</w:t>
      </w:r>
      <w:r w:rsidRPr="002A48E0">
        <w:t xml:space="preserve">, selected minerals, </w:t>
      </w:r>
      <w:r>
        <w:t>2014-15</w:t>
      </w:r>
      <w:r w:rsidRPr="002A48E0">
        <w:t xml:space="preserve"> and </w:t>
      </w:r>
      <w:r>
        <w:t>2017-18</w:t>
      </w:r>
    </w:p>
    <w:p w:rsidR="00BB3126" w:rsidRPr="00025824" w:rsidRDefault="00BB3126" w:rsidP="00BB3126">
      <w:r w:rsidRPr="00E4479D">
        <w:rPr>
          <w:noProof/>
          <w:lang w:eastAsia="en-AU"/>
        </w:rPr>
        <w:drawing>
          <wp:inline distT="0" distB="0" distL="0" distR="0" wp14:anchorId="469DB661" wp14:editId="2B6A819A">
            <wp:extent cx="5652770" cy="3565525"/>
            <wp:effectExtent l="0" t="0" r="5080" b="0"/>
            <wp:docPr id="10" name="Picture 10" descr="This figure shows the increase in the value of iron ore, coal and other minerals production between 2014-15 and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52770" cy="3565525"/>
                    </a:xfrm>
                    <a:prstGeom prst="rect">
                      <a:avLst/>
                    </a:prstGeom>
                    <a:noFill/>
                    <a:ln>
                      <a:noFill/>
                    </a:ln>
                  </pic:spPr>
                </pic:pic>
              </a:graphicData>
            </a:graphic>
          </wp:inline>
        </w:drawing>
      </w:r>
    </w:p>
    <w:p w:rsidR="00BB3126" w:rsidRDefault="00BB3126" w:rsidP="00BB3126">
      <w:pPr>
        <w:pStyle w:val="CGCTableFootnote"/>
      </w:pPr>
      <w:r>
        <w:t>Source:</w:t>
      </w:r>
      <w:r>
        <w:tab/>
        <w:t>State data returns.</w:t>
      </w:r>
    </w:p>
    <w:p w:rsidR="00BB3126" w:rsidRDefault="00BB3126" w:rsidP="00BB3126">
      <w:pPr>
        <w:pStyle w:val="11para"/>
      </w:pPr>
      <w:r>
        <w:rPr>
          <w:rStyle w:val="Heading6Char"/>
        </w:rPr>
        <w:t>C</w:t>
      </w:r>
      <w:r w:rsidRPr="006122FF">
        <w:rPr>
          <w:rStyle w:val="Heading6Char"/>
        </w:rPr>
        <w:t>oal.</w:t>
      </w:r>
      <w:r>
        <w:t xml:space="preserve"> </w:t>
      </w:r>
      <w:r w:rsidRPr="002A48E0">
        <w:t xml:space="preserve">Between </w:t>
      </w:r>
      <w:r>
        <w:t>2014-15</w:t>
      </w:r>
      <w:r w:rsidRPr="006512D3">
        <w:t xml:space="preserve"> and </w:t>
      </w:r>
      <w:r>
        <w:t>2017-18</w:t>
      </w:r>
      <w:r w:rsidRPr="002A48E0">
        <w:t xml:space="preserve"> the value of </w:t>
      </w:r>
      <w:r>
        <w:t>coal</w:t>
      </w:r>
      <w:r w:rsidRPr="002A48E0">
        <w:t xml:space="preserve"> production in Australia </w:t>
      </w:r>
      <w:r>
        <w:t>increased</w:t>
      </w:r>
      <w:r w:rsidRPr="002A48E0">
        <w:t xml:space="preserve"> by </w:t>
      </w:r>
      <w:r>
        <w:t>64</w:t>
      </w:r>
      <w:r w:rsidRPr="002A48E0">
        <w:t>% to $</w:t>
      </w:r>
      <w:r>
        <w:t>67</w:t>
      </w:r>
      <w:r w:rsidRPr="002A48E0">
        <w:t xml:space="preserve"> billion. As </w:t>
      </w:r>
      <w:r>
        <w:t>Queensland</w:t>
      </w:r>
      <w:r w:rsidRPr="002A48E0">
        <w:t xml:space="preserve"> accounts for </w:t>
      </w:r>
      <w:r>
        <w:t>more than 60</w:t>
      </w:r>
      <w:r w:rsidRPr="002A48E0">
        <w:t xml:space="preserve">% of the value of Australia’s </w:t>
      </w:r>
      <w:r>
        <w:t>coal</w:t>
      </w:r>
      <w:r w:rsidRPr="002A48E0">
        <w:t xml:space="preserve"> production, </w:t>
      </w:r>
      <w:r w:rsidR="005252A8">
        <w:t xml:space="preserve">this </w:t>
      </w:r>
      <w:r>
        <w:t>increase</w:t>
      </w:r>
      <w:r w:rsidRPr="002A48E0">
        <w:t xml:space="preserve"> affected its fiscal capacity </w:t>
      </w:r>
      <w:r>
        <w:t xml:space="preserve">the </w:t>
      </w:r>
      <w:r w:rsidRPr="002A48E0">
        <w:t>most</w:t>
      </w:r>
      <w:r>
        <w:t>.</w:t>
      </w:r>
    </w:p>
    <w:p w:rsidR="00BB3126" w:rsidRDefault="00BB3126" w:rsidP="00BB3126">
      <w:pPr>
        <w:pStyle w:val="11para"/>
      </w:pPr>
      <w:r w:rsidRPr="006122FF">
        <w:rPr>
          <w:rStyle w:val="Heading6Char"/>
        </w:rPr>
        <w:t>Iron ore.</w:t>
      </w:r>
      <w:r>
        <w:t xml:space="preserve"> </w:t>
      </w:r>
      <w:r w:rsidRPr="002A48E0">
        <w:t xml:space="preserve">Between </w:t>
      </w:r>
      <w:r>
        <w:t>2014-15</w:t>
      </w:r>
      <w:r w:rsidRPr="006512D3">
        <w:t xml:space="preserve"> and </w:t>
      </w:r>
      <w:r>
        <w:t>2017-18</w:t>
      </w:r>
      <w:r w:rsidRPr="002A48E0">
        <w:t xml:space="preserve"> the value of iron ore production in Australia </w:t>
      </w:r>
      <w:r>
        <w:t>grew</w:t>
      </w:r>
      <w:r w:rsidRPr="002A48E0">
        <w:t xml:space="preserve"> by 1</w:t>
      </w:r>
      <w:r>
        <w:t>2</w:t>
      </w:r>
      <w:r w:rsidRPr="002A48E0">
        <w:t>% to $</w:t>
      </w:r>
      <w:r>
        <w:t>63</w:t>
      </w:r>
      <w:r w:rsidRPr="002A48E0">
        <w:t xml:space="preserve"> billion. As Western Australia accounts for around 9</w:t>
      </w:r>
      <w:r>
        <w:t>8</w:t>
      </w:r>
      <w:r w:rsidRPr="002A48E0">
        <w:t>% of the value of Australia’s iron ore production, th</w:t>
      </w:r>
      <w:r>
        <w:t>e</w:t>
      </w:r>
      <w:r w:rsidRPr="002A48E0">
        <w:t xml:space="preserve"> </w:t>
      </w:r>
      <w:r>
        <w:t>increase</w:t>
      </w:r>
      <w:r w:rsidRPr="002A48E0">
        <w:t xml:space="preserve"> affected its fiscal capacity </w:t>
      </w:r>
      <w:r>
        <w:t xml:space="preserve">the </w:t>
      </w:r>
      <w:r w:rsidRPr="002A48E0">
        <w:t>most</w:t>
      </w:r>
      <w:r>
        <w:t>.</w:t>
      </w:r>
    </w:p>
    <w:p w:rsidR="00BB3126" w:rsidRDefault="00BB3126" w:rsidP="00BB3126">
      <w:pPr>
        <w:pStyle w:val="11para"/>
      </w:pPr>
      <w:r>
        <w:rPr>
          <w:rStyle w:val="Heading6Char"/>
        </w:rPr>
        <w:t>North West Shelf royalties</w:t>
      </w:r>
      <w:r w:rsidRPr="006122FF">
        <w:rPr>
          <w:rStyle w:val="Heading6Char"/>
        </w:rPr>
        <w:t>.</w:t>
      </w:r>
      <w:r>
        <w:t xml:space="preserve"> </w:t>
      </w:r>
      <w:r w:rsidRPr="002A48E0">
        <w:t xml:space="preserve">Between </w:t>
      </w:r>
      <w:r>
        <w:t>2014-15</w:t>
      </w:r>
      <w:r w:rsidRPr="006512D3">
        <w:t xml:space="preserve"> and </w:t>
      </w:r>
      <w:r>
        <w:t>2017-18,</w:t>
      </w:r>
      <w:r w:rsidRPr="002A48E0">
        <w:t xml:space="preserve"> </w:t>
      </w:r>
      <w:r>
        <w:t>North West Shelf royalties declined 28%. These royalties are paid only to Western Australia, so the decline reduced its revenue capacity and increased its GST share.</w:t>
      </w:r>
    </w:p>
    <w:p w:rsidR="00BB3126" w:rsidRPr="004C4B69" w:rsidRDefault="00BB3126" w:rsidP="00BB3126">
      <w:pPr>
        <w:pStyle w:val="Heading5"/>
      </w:pPr>
      <w:bookmarkStart w:id="557" w:name="_Toc536803180"/>
      <w:bookmarkStart w:id="558" w:name="_Toc536803268"/>
      <w:r w:rsidRPr="004C4B69">
        <w:t>Taxable land values</w:t>
      </w:r>
      <w:bookmarkEnd w:id="557"/>
      <w:bookmarkEnd w:id="558"/>
    </w:p>
    <w:p w:rsidR="00BB3126" w:rsidRPr="004C4B69" w:rsidRDefault="00BB3126" w:rsidP="00BB3126">
      <w:pPr>
        <w:pStyle w:val="11para"/>
      </w:pPr>
      <w:r w:rsidRPr="004C4B69">
        <w:t>Property market cycles can lead to year on year changes in State land values. These cycles have changed State land tax capacities in this update.</w:t>
      </w:r>
    </w:p>
    <w:p w:rsidR="00BB3126" w:rsidRDefault="00BB3126" w:rsidP="00BB3126">
      <w:pPr>
        <w:pStyle w:val="11para"/>
      </w:pPr>
      <w:r w:rsidRPr="004C4B69">
        <w:t xml:space="preserve">Between </w:t>
      </w:r>
      <w:r>
        <w:t>2014</w:t>
      </w:r>
      <w:r>
        <w:noBreakHyphen/>
        <w:t>15</w:t>
      </w:r>
      <w:r w:rsidRPr="004C4B69">
        <w:t xml:space="preserve"> and </w:t>
      </w:r>
      <w:r>
        <w:t>2017</w:t>
      </w:r>
      <w:r>
        <w:noBreakHyphen/>
        <w:t>18</w:t>
      </w:r>
      <w:r w:rsidRPr="004C4B69">
        <w:t xml:space="preserve">, </w:t>
      </w:r>
      <w:r>
        <w:t>most</w:t>
      </w:r>
      <w:r w:rsidRPr="004C4B69">
        <w:t xml:space="preserve"> States experienced growth in the value of their taxable land. Only New South Wales (</w:t>
      </w:r>
      <w:r>
        <w:t>72</w:t>
      </w:r>
      <w:r w:rsidRPr="004C4B69">
        <w:t>%) experienced growth in excess of the average (3</w:t>
      </w:r>
      <w:r>
        <w:t>9</w:t>
      </w:r>
      <w:r w:rsidRPr="004C4B69">
        <w:t xml:space="preserve">%). As a result, </w:t>
      </w:r>
      <w:r>
        <w:t xml:space="preserve">its </w:t>
      </w:r>
      <w:r w:rsidRPr="004C4B69">
        <w:t xml:space="preserve">fiscal capacity </w:t>
      </w:r>
      <w:r>
        <w:t>rose</w:t>
      </w:r>
      <w:r w:rsidRPr="004C4B69">
        <w:t xml:space="preserve"> relative to other States and its GST </w:t>
      </w:r>
      <w:r>
        <w:t>fell</w:t>
      </w:r>
      <w:r w:rsidRPr="004C4B69">
        <w:t xml:space="preserve"> by $2</w:t>
      </w:r>
      <w:r>
        <w:t>84</w:t>
      </w:r>
      <w:r w:rsidRPr="004C4B69">
        <w:t xml:space="preserve"> million.</w:t>
      </w:r>
    </w:p>
    <w:p w:rsidR="00BB3126" w:rsidRPr="004C4B69" w:rsidRDefault="00BB3126" w:rsidP="00BB3126">
      <w:pPr>
        <w:pStyle w:val="11para"/>
      </w:pPr>
      <w:r>
        <w:fldChar w:fldCharType="begin"/>
      </w:r>
      <w:r>
        <w:instrText xml:space="preserve"> REF _Ref536175518 \h </w:instrText>
      </w:r>
      <w:r>
        <w:fldChar w:fldCharType="separate"/>
      </w:r>
      <w:r w:rsidR="00E82224" w:rsidRPr="004C4B69">
        <w:t>Figure 1</w:t>
      </w:r>
      <w:r w:rsidR="00E82224" w:rsidRPr="004C4B69">
        <w:noBreakHyphen/>
      </w:r>
      <w:r w:rsidR="00E82224">
        <w:rPr>
          <w:noProof/>
        </w:rPr>
        <w:t>4</w:t>
      </w:r>
      <w:r>
        <w:fldChar w:fldCharType="end"/>
      </w:r>
      <w:r>
        <w:t xml:space="preserve"> </w:t>
      </w:r>
      <w:r w:rsidRPr="004C4B69">
        <w:t xml:space="preserve">shows the change in States’ per capita </w:t>
      </w:r>
      <w:r>
        <w:t xml:space="preserve">taxable </w:t>
      </w:r>
      <w:r w:rsidRPr="004C4B69">
        <w:t xml:space="preserve">land values between </w:t>
      </w:r>
      <w:r>
        <w:t>2014</w:t>
      </w:r>
      <w:r>
        <w:noBreakHyphen/>
        <w:t>15</w:t>
      </w:r>
      <w:r w:rsidRPr="004C4B69">
        <w:t xml:space="preserve"> and </w:t>
      </w:r>
      <w:r>
        <w:t>2017</w:t>
      </w:r>
      <w:r>
        <w:noBreakHyphen/>
        <w:t>18</w:t>
      </w:r>
      <w:r w:rsidRPr="004C4B69">
        <w:t>.</w:t>
      </w:r>
    </w:p>
    <w:p w:rsidR="00BB3126" w:rsidRDefault="00BB3126" w:rsidP="00BB3126">
      <w:pPr>
        <w:pStyle w:val="Caption"/>
      </w:pPr>
      <w:bookmarkStart w:id="559" w:name="_Ref536175518"/>
      <w:r w:rsidRPr="004C4B69">
        <w:lastRenderedPageBreak/>
        <w:t>Figure 1</w:t>
      </w:r>
      <w:r w:rsidRPr="004C4B69">
        <w:noBreakHyphen/>
      </w:r>
      <w:r>
        <w:rPr>
          <w:noProof/>
        </w:rPr>
        <w:fldChar w:fldCharType="begin"/>
      </w:r>
      <w:r>
        <w:rPr>
          <w:noProof/>
        </w:rPr>
        <w:instrText xml:space="preserve"> SEQ Figure \* ARABIC \s 1 </w:instrText>
      </w:r>
      <w:r>
        <w:rPr>
          <w:noProof/>
        </w:rPr>
        <w:fldChar w:fldCharType="separate"/>
      </w:r>
      <w:r w:rsidR="00E82224">
        <w:rPr>
          <w:noProof/>
        </w:rPr>
        <w:t>4</w:t>
      </w:r>
      <w:r>
        <w:rPr>
          <w:noProof/>
        </w:rPr>
        <w:fldChar w:fldCharType="end"/>
      </w:r>
      <w:bookmarkEnd w:id="559"/>
      <w:r w:rsidRPr="004C4B69">
        <w:tab/>
        <w:t xml:space="preserve">Total taxable land values </w:t>
      </w:r>
      <w:r w:rsidR="00466208">
        <w:t xml:space="preserve">per capita </w:t>
      </w:r>
      <w:r w:rsidRPr="004C4B69">
        <w:t xml:space="preserve">by State, </w:t>
      </w:r>
      <w:r>
        <w:t>2014-15</w:t>
      </w:r>
      <w:r w:rsidRPr="004C4B69">
        <w:t xml:space="preserve"> and </w:t>
      </w:r>
      <w:r>
        <w:t>2017-18</w:t>
      </w:r>
    </w:p>
    <w:p w:rsidR="00BB3126" w:rsidRDefault="00BB3126" w:rsidP="00BB3126">
      <w:r w:rsidRPr="007D0E34">
        <w:rPr>
          <w:noProof/>
          <w:lang w:eastAsia="en-AU"/>
        </w:rPr>
        <w:drawing>
          <wp:inline distT="0" distB="0" distL="0" distR="0" wp14:anchorId="2FFACD09" wp14:editId="43988ED0">
            <wp:extent cx="5652770" cy="3565525"/>
            <wp:effectExtent l="0" t="0" r="5080" b="0"/>
            <wp:docPr id="3" name="Picture 3" descr="This figure shows the change in States’ per capita taxable land values between 2014-15 and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52770" cy="3565525"/>
                    </a:xfrm>
                    <a:prstGeom prst="rect">
                      <a:avLst/>
                    </a:prstGeom>
                    <a:noFill/>
                    <a:ln>
                      <a:noFill/>
                    </a:ln>
                  </pic:spPr>
                </pic:pic>
              </a:graphicData>
            </a:graphic>
          </wp:inline>
        </w:drawing>
      </w:r>
    </w:p>
    <w:p w:rsidR="005252A8" w:rsidRDefault="005252A8" w:rsidP="00BB3126">
      <w:pPr>
        <w:pStyle w:val="CGCTableFootnote"/>
      </w:pPr>
      <w:r>
        <w:t>Note</w:t>
      </w:r>
      <w:r>
        <w:tab/>
      </w:r>
      <w:r w:rsidR="00B1789D">
        <w:t>Total value of taxable land in a State divided by the</w:t>
      </w:r>
      <w:r w:rsidR="00EA6754">
        <w:t xml:space="preserve"> resident</w:t>
      </w:r>
      <w:r w:rsidR="00B1789D">
        <w:t xml:space="preserve"> population in that State.</w:t>
      </w:r>
    </w:p>
    <w:p w:rsidR="00BB3126" w:rsidRDefault="00BB3126" w:rsidP="00BB3126">
      <w:pPr>
        <w:pStyle w:val="CGCTableFootnote"/>
      </w:pPr>
      <w:r>
        <w:t>Source:</w:t>
      </w:r>
      <w:r>
        <w:tab/>
        <w:t>State data returns.</w:t>
      </w:r>
    </w:p>
    <w:p w:rsidR="00BB3126" w:rsidRDefault="00BB3126" w:rsidP="00BB3126">
      <w:pPr>
        <w:pStyle w:val="Heading5"/>
      </w:pPr>
      <w:bookmarkStart w:id="560" w:name="_Toc536803181"/>
      <w:bookmarkStart w:id="561" w:name="_Toc536803269"/>
      <w:r>
        <w:t>Taxable payrolls</w:t>
      </w:r>
      <w:bookmarkEnd w:id="560"/>
      <w:bookmarkEnd w:id="561"/>
    </w:p>
    <w:p w:rsidR="00BB3126" w:rsidRDefault="00BB3126" w:rsidP="00BB3126">
      <w:pPr>
        <w:pStyle w:val="11para"/>
      </w:pPr>
      <w:r>
        <w:t xml:space="preserve">Changes in States’ capacities to raise payroll tax redistributed $203 million in GST revenue. The redistribution was driven by differences across States in the rate of growth of taxable payrolls between 2014-15 and 2017-18. These differences are shown in </w:t>
      </w:r>
      <w:r>
        <w:fldChar w:fldCharType="begin"/>
      </w:r>
      <w:r>
        <w:instrText xml:space="preserve"> REF _Ref536003640 \h  \* MERGEFORMAT </w:instrText>
      </w:r>
      <w:r>
        <w:fldChar w:fldCharType="separate"/>
      </w:r>
      <w:r w:rsidR="00E82224">
        <w:t>Figure 1-5</w:t>
      </w:r>
      <w:r>
        <w:fldChar w:fldCharType="end"/>
      </w:r>
      <w:r>
        <w:t>.</w:t>
      </w:r>
    </w:p>
    <w:p w:rsidR="00BB3126" w:rsidRDefault="00BB3126" w:rsidP="00BB3126">
      <w:pPr>
        <w:pStyle w:val="11para"/>
      </w:pPr>
      <w:r>
        <w:t xml:space="preserve">The Commission uses ABS Compensation of Employees (CoE) data to measure States’ payroll tax bases. National average growth in taxable CoE </w:t>
      </w:r>
      <w:r w:rsidR="005252A8">
        <w:t xml:space="preserve">per capita </w:t>
      </w:r>
      <w:r>
        <w:t>between 2014</w:t>
      </w:r>
      <w:r w:rsidR="00A03892">
        <w:noBreakHyphen/>
      </w:r>
      <w:r>
        <w:t>15 and 2017-18 was 3%. New South Wales, Victoria, Tasmania, the ACT and</w:t>
      </w:r>
      <w:r w:rsidR="006D6DCB">
        <w:t xml:space="preserve"> the</w:t>
      </w:r>
      <w:r>
        <w:t xml:space="preserve"> Northern Territory had above average growth in CoE over the period, increasing their capacities to raise payroll tax and reducing their GST shares.</w:t>
      </w:r>
    </w:p>
    <w:p w:rsidR="00BB3126" w:rsidRDefault="002F1ECF" w:rsidP="00BB3126">
      <w:pPr>
        <w:pStyle w:val="11para"/>
      </w:pPr>
      <w:r>
        <w:t>The Commission’s measure of t</w:t>
      </w:r>
      <w:r w:rsidR="00BB3126">
        <w:t>axable CoE per capita remained essentially unchanged between 2014-15 and 2017</w:t>
      </w:r>
      <w:r w:rsidR="00BB3126">
        <w:noBreakHyphen/>
        <w:t>18 in Queensland and South Australia, while falling in Western Australia, resulting in a reduction in these States’ ability to raise payroll tax and an increase in their GST shares. Western Australia’s per capita taxable CoE for 2017-18 was 7.6% lower than in 2014-15. Western Australia still has the highest taxable CoE of any State, but the gap between Western Australia and other States has substantially reduced since 2014-15.</w:t>
      </w:r>
    </w:p>
    <w:p w:rsidR="00BB3126" w:rsidRDefault="00BB3126" w:rsidP="00BB3126">
      <w:pPr>
        <w:pStyle w:val="Caption"/>
      </w:pPr>
      <w:bookmarkStart w:id="562" w:name="_Ref536003640"/>
      <w:r>
        <w:lastRenderedPageBreak/>
        <w:t>Figure 1-</w:t>
      </w:r>
      <w:r>
        <w:rPr>
          <w:noProof/>
        </w:rPr>
        <w:fldChar w:fldCharType="begin"/>
      </w:r>
      <w:r>
        <w:rPr>
          <w:noProof/>
        </w:rPr>
        <w:instrText xml:space="preserve"> SEQ Figure \* ARABIC </w:instrText>
      </w:r>
      <w:r>
        <w:rPr>
          <w:noProof/>
        </w:rPr>
        <w:fldChar w:fldCharType="separate"/>
      </w:r>
      <w:r w:rsidR="00E82224">
        <w:rPr>
          <w:noProof/>
        </w:rPr>
        <w:t>5</w:t>
      </w:r>
      <w:r>
        <w:rPr>
          <w:noProof/>
        </w:rPr>
        <w:fldChar w:fldCharType="end"/>
      </w:r>
      <w:bookmarkEnd w:id="562"/>
      <w:r>
        <w:t xml:space="preserve"> </w:t>
      </w:r>
      <w:r>
        <w:tab/>
        <w:t>Compensation of employees per capita</w:t>
      </w:r>
      <w:r w:rsidR="00B1789D">
        <w:t xml:space="preserve"> by State</w:t>
      </w:r>
      <w:r>
        <w:t>, 2014-15 and 2017-18</w:t>
      </w:r>
    </w:p>
    <w:p w:rsidR="00BB3126" w:rsidRDefault="00BB3126" w:rsidP="00BB3126">
      <w:r w:rsidRPr="00F9148C">
        <w:rPr>
          <w:noProof/>
          <w:lang w:eastAsia="en-AU"/>
        </w:rPr>
        <w:drawing>
          <wp:inline distT="0" distB="0" distL="0" distR="0" wp14:anchorId="4EAB9269" wp14:editId="271C9F9C">
            <wp:extent cx="5671185" cy="3556000"/>
            <wp:effectExtent l="0" t="0" r="5715" b="6350"/>
            <wp:docPr id="13" name="Picture 13" descr="This figure shows the differences across States in the rate of growth of taxable payrolls between 2014-15 and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71185" cy="3556000"/>
                    </a:xfrm>
                    <a:prstGeom prst="rect">
                      <a:avLst/>
                    </a:prstGeom>
                    <a:noFill/>
                    <a:ln>
                      <a:noFill/>
                    </a:ln>
                  </pic:spPr>
                </pic:pic>
              </a:graphicData>
            </a:graphic>
          </wp:inline>
        </w:drawing>
      </w:r>
    </w:p>
    <w:p w:rsidR="00BB3126" w:rsidRPr="00896187" w:rsidRDefault="00BB3126" w:rsidP="00BB3126">
      <w:pPr>
        <w:pStyle w:val="CGCTableFootnote"/>
      </w:pPr>
      <w:r>
        <w:t>Source:</w:t>
      </w:r>
      <w:r>
        <w:tab/>
        <w:t>Commission calculation</w:t>
      </w:r>
      <w:r w:rsidR="00970148">
        <w:t xml:space="preserve"> based on ABS data</w:t>
      </w:r>
      <w:r>
        <w:t>.</w:t>
      </w:r>
    </w:p>
    <w:p w:rsidR="00BB3126" w:rsidRDefault="00BB3126" w:rsidP="00BB3126">
      <w:pPr>
        <w:pStyle w:val="Heading4"/>
      </w:pPr>
      <w:bookmarkStart w:id="563" w:name="_Toc474923762"/>
      <w:bookmarkStart w:id="564" w:name="_Toc505872183"/>
      <w:bookmarkStart w:id="565" w:name="_Toc536519634"/>
      <w:bookmarkStart w:id="566" w:name="_Toc536631344"/>
      <w:bookmarkStart w:id="567" w:name="_Toc536803182"/>
      <w:bookmarkStart w:id="568" w:name="_Toc536803270"/>
      <w:bookmarkStart w:id="569" w:name="_Toc1115146"/>
      <w:r w:rsidRPr="001322EC">
        <w:t>Commonwealth payments</w:t>
      </w:r>
      <w:bookmarkEnd w:id="563"/>
      <w:bookmarkEnd w:id="564"/>
      <w:bookmarkEnd w:id="565"/>
      <w:bookmarkEnd w:id="566"/>
      <w:bookmarkEnd w:id="567"/>
      <w:bookmarkEnd w:id="568"/>
      <w:bookmarkEnd w:id="569"/>
    </w:p>
    <w:p w:rsidR="00BB3126" w:rsidRPr="00C00AF2" w:rsidRDefault="00BB3126" w:rsidP="00BB3126">
      <w:pPr>
        <w:pStyle w:val="11para"/>
      </w:pPr>
      <w:r w:rsidRPr="00C00AF2">
        <w:t xml:space="preserve">As well as the GST, the Commonwealth makes other payments to the States for specific purposes (PSPs). Equalising the fiscal capacity of the States to provide services requires the Commission to take account of the total expenditure </w:t>
      </w:r>
      <w:r>
        <w:t xml:space="preserve">and investment </w:t>
      </w:r>
      <w:r w:rsidRPr="00C00AF2">
        <w:t xml:space="preserve">each State would incur to provide the average level of services and the revenue they have available to </w:t>
      </w:r>
      <w:r w:rsidRPr="007F2C89">
        <w:t>finance it. This includes the revenue they can collect from their own tax bases under average policies and, consistent with the terms of reference, the revenue they receive through PSPs.</w:t>
      </w:r>
      <w:r w:rsidRPr="007F2C89">
        <w:rPr>
          <w:rStyle w:val="FootnoteReference"/>
        </w:rPr>
        <w:footnoteReference w:id="4"/>
      </w:r>
      <w:r w:rsidRPr="007F2C89">
        <w:t xml:space="preserve"> To the extent that a State receives above average per capita amounts of</w:t>
      </w:r>
      <w:r w:rsidRPr="00C00AF2">
        <w:t xml:space="preserve"> PSPs, less GST is required to equalise its fiscal capacity. Conversely, if a State receives below average amounts of PSPs, it requires more GST.</w:t>
      </w:r>
    </w:p>
    <w:p w:rsidR="00BB3126" w:rsidRPr="00C00AF2" w:rsidRDefault="00BB3126" w:rsidP="00BB3126">
      <w:pPr>
        <w:pStyle w:val="11para"/>
      </w:pPr>
      <w:r w:rsidRPr="00C00AF2">
        <w:t>Between 201</w:t>
      </w:r>
      <w:r>
        <w:t>4</w:t>
      </w:r>
      <w:r w:rsidRPr="00C00AF2">
        <w:noBreakHyphen/>
        <w:t>1</w:t>
      </w:r>
      <w:r>
        <w:t>5</w:t>
      </w:r>
      <w:r w:rsidRPr="00C00AF2">
        <w:t xml:space="preserve"> and 201</w:t>
      </w:r>
      <w:r>
        <w:t>7</w:t>
      </w:r>
      <w:r w:rsidRPr="00C00AF2">
        <w:noBreakHyphen/>
        <w:t>1</w:t>
      </w:r>
      <w:r>
        <w:t>8</w:t>
      </w:r>
      <w:r w:rsidRPr="00C00AF2">
        <w:t>, there were changes in the amounts paid and the interstate distribution of some PSPs, particularly payments for road and rail</w:t>
      </w:r>
      <w:r>
        <w:t xml:space="preserve"> infrastructure, National health r</w:t>
      </w:r>
      <w:r w:rsidRPr="00C00AF2">
        <w:t xml:space="preserve">eform and </w:t>
      </w:r>
      <w:r>
        <w:t>Quality schools</w:t>
      </w:r>
      <w:r w:rsidRPr="00C00AF2">
        <w:t xml:space="preserve"> government education, which </w:t>
      </w:r>
      <w:r>
        <w:t xml:space="preserve">have </w:t>
      </w:r>
      <w:r w:rsidRPr="00C00AF2">
        <w:t xml:space="preserve">had </w:t>
      </w:r>
      <w:r>
        <w:t>flow on effects</w:t>
      </w:r>
      <w:r w:rsidRPr="00C00AF2">
        <w:t xml:space="preserve"> for the GST distribution.</w:t>
      </w:r>
    </w:p>
    <w:p w:rsidR="00BB3126" w:rsidRPr="005A41D1" w:rsidRDefault="00BB3126" w:rsidP="00BB3126">
      <w:pPr>
        <w:pStyle w:val="11para"/>
      </w:pPr>
      <w:r w:rsidRPr="005A41D1">
        <w:t>The main payments causing changes in the GST distribution in this update are shown in</w:t>
      </w:r>
      <w:r>
        <w:t xml:space="preserve"> </w:t>
      </w:r>
      <w:r>
        <w:fldChar w:fldCharType="begin"/>
      </w:r>
      <w:r>
        <w:instrText xml:space="preserve"> REF _Ref536175564 \h </w:instrText>
      </w:r>
      <w:r>
        <w:fldChar w:fldCharType="separate"/>
      </w:r>
      <w:r w:rsidR="00E82224" w:rsidRPr="005A41D1">
        <w:t>Table 1</w:t>
      </w:r>
      <w:r w:rsidR="00E82224" w:rsidRPr="005A41D1">
        <w:noBreakHyphen/>
      </w:r>
      <w:r w:rsidR="00E82224">
        <w:rPr>
          <w:noProof/>
        </w:rPr>
        <w:t>6</w:t>
      </w:r>
      <w:r>
        <w:fldChar w:fldCharType="end"/>
      </w:r>
      <w:r w:rsidRPr="005A41D1">
        <w:t>.</w:t>
      </w:r>
    </w:p>
    <w:p w:rsidR="00BB3126" w:rsidRPr="005A41D1" w:rsidRDefault="00BB3126" w:rsidP="00BB3126">
      <w:pPr>
        <w:pStyle w:val="Caption"/>
      </w:pPr>
      <w:bookmarkStart w:id="570" w:name="_Ref536175564"/>
      <w:r w:rsidRPr="005A41D1">
        <w:lastRenderedPageBreak/>
        <w:t>Table 1</w:t>
      </w:r>
      <w:r w:rsidRPr="005A41D1">
        <w:noBreakHyphen/>
      </w:r>
      <w:r>
        <w:rPr>
          <w:noProof/>
        </w:rPr>
        <w:fldChar w:fldCharType="begin"/>
      </w:r>
      <w:r>
        <w:rPr>
          <w:noProof/>
        </w:rPr>
        <w:instrText xml:space="preserve"> SEQ Table \* ARABIC \s 1 </w:instrText>
      </w:r>
      <w:r>
        <w:rPr>
          <w:noProof/>
        </w:rPr>
        <w:fldChar w:fldCharType="separate"/>
      </w:r>
      <w:r w:rsidR="00E82224">
        <w:rPr>
          <w:noProof/>
        </w:rPr>
        <w:t>6</w:t>
      </w:r>
      <w:r>
        <w:rPr>
          <w:noProof/>
        </w:rPr>
        <w:fldChar w:fldCharType="end"/>
      </w:r>
      <w:bookmarkEnd w:id="570"/>
      <w:r w:rsidRPr="005A41D1">
        <w:tab/>
        <w:t>Changes in GST distribution due to changes in Commonwealth payments, 201</w:t>
      </w:r>
      <w:r>
        <w:t>9</w:t>
      </w:r>
      <w:r w:rsidRPr="005A41D1">
        <w:t> Update</w:t>
      </w:r>
    </w:p>
    <w:tbl>
      <w:tblPr>
        <w:tblW w:w="9000" w:type="dxa"/>
        <w:tblLayout w:type="fixed"/>
        <w:tblCellMar>
          <w:left w:w="0" w:type="dxa"/>
          <w:right w:w="0" w:type="dxa"/>
        </w:tblCellMar>
        <w:tblLook w:val="04A0" w:firstRow="1" w:lastRow="0" w:firstColumn="1" w:lastColumn="0" w:noHBand="0" w:noVBand="1"/>
      </w:tblPr>
      <w:tblGrid>
        <w:gridCol w:w="2800"/>
        <w:gridCol w:w="680"/>
        <w:gridCol w:w="680"/>
        <w:gridCol w:w="680"/>
        <w:gridCol w:w="680"/>
        <w:gridCol w:w="680"/>
        <w:gridCol w:w="680"/>
        <w:gridCol w:w="680"/>
        <w:gridCol w:w="680"/>
        <w:gridCol w:w="760"/>
      </w:tblGrid>
      <w:tr w:rsidR="00BB3126" w:rsidRPr="00F44385" w:rsidTr="00C7618F">
        <w:trPr>
          <w:trHeight w:val="375"/>
        </w:trPr>
        <w:tc>
          <w:tcPr>
            <w:tcW w:w="2800" w:type="dxa"/>
            <w:tcBorders>
              <w:top w:val="single" w:sz="4" w:space="0" w:color="auto"/>
              <w:left w:val="nil"/>
              <w:bottom w:val="single" w:sz="4" w:space="0" w:color="auto"/>
              <w:right w:val="nil"/>
            </w:tcBorders>
            <w:shd w:val="clear" w:color="auto" w:fill="auto"/>
            <w:noWrap/>
            <w:vAlign w:val="center"/>
            <w:hideMark/>
          </w:tcPr>
          <w:p w:rsidR="00BB3126" w:rsidRPr="00F4438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 </w:t>
            </w:r>
          </w:p>
        </w:tc>
        <w:tc>
          <w:tcPr>
            <w:tcW w:w="680" w:type="dxa"/>
            <w:tcBorders>
              <w:top w:val="single" w:sz="4" w:space="0" w:color="auto"/>
              <w:left w:val="nil"/>
              <w:bottom w:val="single" w:sz="4" w:space="0" w:color="auto"/>
              <w:right w:val="nil"/>
            </w:tcBorders>
            <w:shd w:val="clear" w:color="auto" w:fill="auto"/>
            <w:noWrap/>
            <w:vAlign w:val="center"/>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NSW</w:t>
            </w:r>
          </w:p>
        </w:tc>
        <w:tc>
          <w:tcPr>
            <w:tcW w:w="680" w:type="dxa"/>
            <w:tcBorders>
              <w:top w:val="single" w:sz="4" w:space="0" w:color="auto"/>
              <w:left w:val="nil"/>
              <w:bottom w:val="single" w:sz="4" w:space="0" w:color="auto"/>
              <w:right w:val="nil"/>
            </w:tcBorders>
            <w:shd w:val="clear" w:color="auto" w:fill="auto"/>
            <w:noWrap/>
            <w:vAlign w:val="center"/>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Vic</w:t>
            </w:r>
          </w:p>
        </w:tc>
        <w:tc>
          <w:tcPr>
            <w:tcW w:w="680" w:type="dxa"/>
            <w:tcBorders>
              <w:top w:val="single" w:sz="4" w:space="0" w:color="auto"/>
              <w:left w:val="nil"/>
              <w:bottom w:val="single" w:sz="4" w:space="0" w:color="auto"/>
              <w:right w:val="nil"/>
            </w:tcBorders>
            <w:shd w:val="clear" w:color="auto" w:fill="auto"/>
            <w:noWrap/>
            <w:vAlign w:val="center"/>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Qld</w:t>
            </w:r>
          </w:p>
        </w:tc>
        <w:tc>
          <w:tcPr>
            <w:tcW w:w="680" w:type="dxa"/>
            <w:tcBorders>
              <w:top w:val="single" w:sz="4" w:space="0" w:color="auto"/>
              <w:left w:val="nil"/>
              <w:bottom w:val="single" w:sz="4" w:space="0" w:color="auto"/>
              <w:right w:val="nil"/>
            </w:tcBorders>
            <w:shd w:val="clear" w:color="auto" w:fill="auto"/>
            <w:noWrap/>
            <w:vAlign w:val="center"/>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WA</w:t>
            </w:r>
          </w:p>
        </w:tc>
        <w:tc>
          <w:tcPr>
            <w:tcW w:w="680" w:type="dxa"/>
            <w:tcBorders>
              <w:top w:val="single" w:sz="4" w:space="0" w:color="auto"/>
              <w:left w:val="nil"/>
              <w:bottom w:val="single" w:sz="4" w:space="0" w:color="auto"/>
              <w:right w:val="nil"/>
            </w:tcBorders>
            <w:shd w:val="clear" w:color="auto" w:fill="auto"/>
            <w:noWrap/>
            <w:vAlign w:val="center"/>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SA</w:t>
            </w:r>
          </w:p>
        </w:tc>
        <w:tc>
          <w:tcPr>
            <w:tcW w:w="680" w:type="dxa"/>
            <w:tcBorders>
              <w:top w:val="single" w:sz="4" w:space="0" w:color="auto"/>
              <w:left w:val="nil"/>
              <w:bottom w:val="single" w:sz="4" w:space="0" w:color="auto"/>
              <w:right w:val="nil"/>
            </w:tcBorders>
            <w:shd w:val="clear" w:color="auto" w:fill="auto"/>
            <w:noWrap/>
            <w:vAlign w:val="center"/>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Tas</w:t>
            </w:r>
          </w:p>
        </w:tc>
        <w:tc>
          <w:tcPr>
            <w:tcW w:w="680" w:type="dxa"/>
            <w:tcBorders>
              <w:top w:val="single" w:sz="4" w:space="0" w:color="auto"/>
              <w:left w:val="nil"/>
              <w:bottom w:val="single" w:sz="4" w:space="0" w:color="auto"/>
              <w:right w:val="nil"/>
            </w:tcBorders>
            <w:shd w:val="clear" w:color="auto" w:fill="auto"/>
            <w:noWrap/>
            <w:vAlign w:val="center"/>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ACT</w:t>
            </w:r>
          </w:p>
        </w:tc>
        <w:tc>
          <w:tcPr>
            <w:tcW w:w="680" w:type="dxa"/>
            <w:tcBorders>
              <w:top w:val="single" w:sz="4" w:space="0" w:color="auto"/>
              <w:left w:val="nil"/>
              <w:bottom w:val="single" w:sz="4" w:space="0" w:color="auto"/>
              <w:right w:val="nil"/>
            </w:tcBorders>
            <w:shd w:val="clear" w:color="auto" w:fill="auto"/>
            <w:noWrap/>
            <w:vAlign w:val="center"/>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NT</w:t>
            </w:r>
          </w:p>
        </w:tc>
        <w:tc>
          <w:tcPr>
            <w:tcW w:w="760" w:type="dxa"/>
            <w:tcBorders>
              <w:top w:val="single" w:sz="4" w:space="0" w:color="auto"/>
              <w:left w:val="nil"/>
              <w:bottom w:val="single" w:sz="4" w:space="0" w:color="auto"/>
              <w:right w:val="nil"/>
            </w:tcBorders>
            <w:shd w:val="clear" w:color="auto" w:fill="auto"/>
            <w:noWrap/>
            <w:vAlign w:val="center"/>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Redist</w:t>
            </w:r>
          </w:p>
        </w:tc>
      </w:tr>
      <w:tr w:rsidR="00BB3126" w:rsidRPr="00F44385" w:rsidTr="00C7618F">
        <w:trPr>
          <w:trHeight w:val="255"/>
        </w:trPr>
        <w:tc>
          <w:tcPr>
            <w:tcW w:w="280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$m</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$m</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$m</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$m</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$m</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$m</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$m</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$m</w:t>
            </w:r>
          </w:p>
        </w:tc>
        <w:tc>
          <w:tcPr>
            <w:tcW w:w="76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$m</w:t>
            </w:r>
          </w:p>
        </w:tc>
      </w:tr>
      <w:tr w:rsidR="00BB3126" w:rsidRPr="00F44385" w:rsidTr="00C7618F">
        <w:trPr>
          <w:trHeight w:val="315"/>
        </w:trPr>
        <w:tc>
          <w:tcPr>
            <w:tcW w:w="280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National health reform funding</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102</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20</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-123</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4</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19</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-2</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2</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-24</w:t>
            </w:r>
          </w:p>
        </w:tc>
        <w:tc>
          <w:tcPr>
            <w:tcW w:w="76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148</w:t>
            </w:r>
          </w:p>
        </w:tc>
      </w:tr>
      <w:tr w:rsidR="00BB3126" w:rsidRPr="00F44385" w:rsidTr="00C7618F">
        <w:trPr>
          <w:trHeight w:val="315"/>
        </w:trPr>
        <w:tc>
          <w:tcPr>
            <w:tcW w:w="280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Road infrastructure</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55</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-49</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40</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-47</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-10</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9</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3</w:t>
            </w:r>
          </w:p>
        </w:tc>
        <w:tc>
          <w:tcPr>
            <w:tcW w:w="76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107</w:t>
            </w:r>
          </w:p>
        </w:tc>
      </w:tr>
      <w:tr w:rsidR="00BB3126" w:rsidRPr="00F44385" w:rsidTr="00C7618F">
        <w:trPr>
          <w:trHeight w:val="315"/>
        </w:trPr>
        <w:tc>
          <w:tcPr>
            <w:tcW w:w="280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Rail infrastructure</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19</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3</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67</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-10</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-71</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-4</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-2</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w:t>
            </w:r>
          </w:p>
        </w:tc>
        <w:tc>
          <w:tcPr>
            <w:tcW w:w="76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88</w:t>
            </w:r>
          </w:p>
        </w:tc>
      </w:tr>
      <w:tr w:rsidR="00BB3126" w:rsidRPr="00F44385" w:rsidTr="00C7618F">
        <w:trPr>
          <w:trHeight w:val="315"/>
        </w:trPr>
        <w:tc>
          <w:tcPr>
            <w:tcW w:w="280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Quality schools - government</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-24</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43</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-36</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7</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11</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4</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4</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-11</w:t>
            </w:r>
          </w:p>
        </w:tc>
        <w:tc>
          <w:tcPr>
            <w:tcW w:w="76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71</w:t>
            </w:r>
          </w:p>
        </w:tc>
      </w:tr>
      <w:tr w:rsidR="00BB3126" w:rsidRPr="00F44385" w:rsidTr="00C7618F">
        <w:trPr>
          <w:trHeight w:val="315"/>
        </w:trPr>
        <w:tc>
          <w:tcPr>
            <w:tcW w:w="280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Health infrastructure</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45</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-13</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-9</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-7</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-6</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-10</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-4</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4</w:t>
            </w:r>
          </w:p>
        </w:tc>
        <w:tc>
          <w:tcPr>
            <w:tcW w:w="76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49</w:t>
            </w:r>
          </w:p>
        </w:tc>
      </w:tr>
      <w:tr w:rsidR="00BB3126" w:rsidRPr="00F44385" w:rsidTr="00C7618F">
        <w:trPr>
          <w:trHeight w:val="555"/>
        </w:trPr>
        <w:tc>
          <w:tcPr>
            <w:tcW w:w="2800" w:type="dxa"/>
            <w:tcBorders>
              <w:top w:val="nil"/>
              <w:left w:val="nil"/>
              <w:bottom w:val="nil"/>
              <w:right w:val="nil"/>
            </w:tcBorders>
            <w:shd w:val="clear" w:color="auto" w:fill="auto"/>
            <w:vAlign w:val="bottom"/>
            <w:hideMark/>
          </w:tcPr>
          <w:p w:rsidR="00BB3126" w:rsidRPr="00F4438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Infrastructure growth package - new investment</w:t>
            </w:r>
          </w:p>
        </w:tc>
        <w:tc>
          <w:tcPr>
            <w:tcW w:w="680" w:type="dxa"/>
            <w:tcBorders>
              <w:top w:val="nil"/>
              <w:left w:val="nil"/>
              <w:bottom w:val="nil"/>
              <w:right w:val="nil"/>
            </w:tcBorders>
            <w:shd w:val="clear" w:color="auto" w:fill="auto"/>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22</w:t>
            </w:r>
          </w:p>
        </w:tc>
        <w:tc>
          <w:tcPr>
            <w:tcW w:w="680" w:type="dxa"/>
            <w:tcBorders>
              <w:top w:val="nil"/>
              <w:left w:val="nil"/>
              <w:bottom w:val="nil"/>
              <w:right w:val="nil"/>
            </w:tcBorders>
            <w:shd w:val="clear" w:color="auto" w:fill="auto"/>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16</w:t>
            </w:r>
          </w:p>
        </w:tc>
        <w:tc>
          <w:tcPr>
            <w:tcW w:w="680" w:type="dxa"/>
            <w:tcBorders>
              <w:top w:val="nil"/>
              <w:left w:val="nil"/>
              <w:bottom w:val="nil"/>
              <w:right w:val="nil"/>
            </w:tcBorders>
            <w:shd w:val="clear" w:color="auto" w:fill="auto"/>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-32</w:t>
            </w:r>
          </w:p>
        </w:tc>
        <w:tc>
          <w:tcPr>
            <w:tcW w:w="680" w:type="dxa"/>
            <w:tcBorders>
              <w:top w:val="nil"/>
              <w:left w:val="nil"/>
              <w:bottom w:val="nil"/>
              <w:right w:val="nil"/>
            </w:tcBorders>
            <w:shd w:val="clear" w:color="auto" w:fill="auto"/>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7</w:t>
            </w:r>
          </w:p>
        </w:tc>
        <w:tc>
          <w:tcPr>
            <w:tcW w:w="680" w:type="dxa"/>
            <w:tcBorders>
              <w:top w:val="nil"/>
              <w:left w:val="nil"/>
              <w:bottom w:val="nil"/>
              <w:right w:val="nil"/>
            </w:tcBorders>
            <w:shd w:val="clear" w:color="auto" w:fill="auto"/>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-17</w:t>
            </w:r>
          </w:p>
        </w:tc>
        <w:tc>
          <w:tcPr>
            <w:tcW w:w="680" w:type="dxa"/>
            <w:tcBorders>
              <w:top w:val="nil"/>
              <w:left w:val="nil"/>
              <w:bottom w:val="nil"/>
              <w:right w:val="nil"/>
            </w:tcBorders>
            <w:shd w:val="clear" w:color="auto" w:fill="auto"/>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w:t>
            </w:r>
          </w:p>
        </w:tc>
        <w:tc>
          <w:tcPr>
            <w:tcW w:w="680" w:type="dxa"/>
            <w:tcBorders>
              <w:top w:val="nil"/>
              <w:left w:val="nil"/>
              <w:bottom w:val="nil"/>
              <w:right w:val="nil"/>
            </w:tcBorders>
            <w:shd w:val="clear" w:color="auto" w:fill="auto"/>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w:t>
            </w:r>
          </w:p>
        </w:tc>
        <w:tc>
          <w:tcPr>
            <w:tcW w:w="680" w:type="dxa"/>
            <w:tcBorders>
              <w:top w:val="nil"/>
              <w:left w:val="nil"/>
              <w:bottom w:val="nil"/>
              <w:right w:val="nil"/>
            </w:tcBorders>
            <w:shd w:val="clear" w:color="auto" w:fill="auto"/>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2</w:t>
            </w:r>
          </w:p>
        </w:tc>
        <w:tc>
          <w:tcPr>
            <w:tcW w:w="760" w:type="dxa"/>
            <w:tcBorders>
              <w:top w:val="nil"/>
              <w:left w:val="nil"/>
              <w:bottom w:val="nil"/>
              <w:right w:val="nil"/>
            </w:tcBorders>
            <w:shd w:val="clear" w:color="auto" w:fill="auto"/>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49</w:t>
            </w:r>
          </w:p>
        </w:tc>
      </w:tr>
      <w:tr w:rsidR="00BB3126" w:rsidRPr="00F44385" w:rsidTr="00C7618F">
        <w:trPr>
          <w:trHeight w:val="555"/>
        </w:trPr>
        <w:tc>
          <w:tcPr>
            <w:tcW w:w="2800" w:type="dxa"/>
            <w:tcBorders>
              <w:top w:val="nil"/>
              <w:left w:val="nil"/>
              <w:bottom w:val="nil"/>
              <w:right w:val="nil"/>
            </w:tcBorders>
            <w:shd w:val="clear" w:color="auto" w:fill="auto"/>
            <w:vAlign w:val="bottom"/>
            <w:hideMark/>
          </w:tcPr>
          <w:p w:rsidR="00BB3126" w:rsidRPr="00F4438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Infrastructure investment program - Maintenance</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6</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11</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13</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-33</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-11</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-2</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0</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16</w:t>
            </w:r>
          </w:p>
        </w:tc>
        <w:tc>
          <w:tcPr>
            <w:tcW w:w="76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46</w:t>
            </w:r>
          </w:p>
        </w:tc>
      </w:tr>
      <w:tr w:rsidR="00BB3126" w:rsidRPr="00F44385" w:rsidTr="00C7618F">
        <w:trPr>
          <w:trHeight w:val="555"/>
        </w:trPr>
        <w:tc>
          <w:tcPr>
            <w:tcW w:w="2800" w:type="dxa"/>
            <w:tcBorders>
              <w:top w:val="nil"/>
              <w:left w:val="nil"/>
              <w:bottom w:val="nil"/>
              <w:right w:val="nil"/>
            </w:tcBorders>
            <w:shd w:val="clear" w:color="auto" w:fill="auto"/>
            <w:vAlign w:val="bottom"/>
            <w:hideMark/>
          </w:tcPr>
          <w:p w:rsidR="00BB3126" w:rsidRPr="00F4438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Sustainable rural water use and infrastructure program</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3</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34</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-8</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-6</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-8</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-3</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-13</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0</w:t>
            </w:r>
          </w:p>
        </w:tc>
        <w:tc>
          <w:tcPr>
            <w:tcW w:w="76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37</w:t>
            </w:r>
          </w:p>
        </w:tc>
      </w:tr>
      <w:tr w:rsidR="00BB3126" w:rsidRPr="00F44385" w:rsidTr="00C7618F">
        <w:trPr>
          <w:trHeight w:val="315"/>
        </w:trPr>
        <w:tc>
          <w:tcPr>
            <w:tcW w:w="280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Remote Indigenous housing</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20</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-5</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-3</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4</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0</w:t>
            </w:r>
          </w:p>
        </w:tc>
        <w:tc>
          <w:tcPr>
            <w:tcW w:w="68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-17</w:t>
            </w:r>
          </w:p>
        </w:tc>
        <w:tc>
          <w:tcPr>
            <w:tcW w:w="76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25</w:t>
            </w:r>
          </w:p>
        </w:tc>
      </w:tr>
      <w:tr w:rsidR="00BB3126" w:rsidRPr="00F44385" w:rsidTr="00C7618F">
        <w:trPr>
          <w:trHeight w:val="315"/>
        </w:trPr>
        <w:tc>
          <w:tcPr>
            <w:tcW w:w="2800" w:type="dxa"/>
            <w:tcBorders>
              <w:top w:val="nil"/>
              <w:left w:val="nil"/>
              <w:bottom w:val="nil"/>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Other</w:t>
            </w:r>
          </w:p>
        </w:tc>
        <w:tc>
          <w:tcPr>
            <w:tcW w:w="68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-4</w:t>
            </w:r>
          </w:p>
        </w:tc>
        <w:tc>
          <w:tcPr>
            <w:tcW w:w="68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-22</w:t>
            </w:r>
          </w:p>
        </w:tc>
        <w:tc>
          <w:tcPr>
            <w:tcW w:w="68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0</w:t>
            </w:r>
          </w:p>
        </w:tc>
        <w:tc>
          <w:tcPr>
            <w:tcW w:w="68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8</w:t>
            </w:r>
          </w:p>
        </w:tc>
        <w:tc>
          <w:tcPr>
            <w:tcW w:w="68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-12</w:t>
            </w:r>
          </w:p>
        </w:tc>
        <w:tc>
          <w:tcPr>
            <w:tcW w:w="68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w:t>
            </w:r>
          </w:p>
        </w:tc>
        <w:tc>
          <w:tcPr>
            <w:tcW w:w="68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12</w:t>
            </w:r>
          </w:p>
        </w:tc>
        <w:tc>
          <w:tcPr>
            <w:tcW w:w="68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18</w:t>
            </w:r>
          </w:p>
        </w:tc>
        <w:tc>
          <w:tcPr>
            <w:tcW w:w="76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38</w:t>
            </w:r>
          </w:p>
        </w:tc>
      </w:tr>
      <w:tr w:rsidR="00BB3126" w:rsidRPr="00F44385" w:rsidTr="00C7618F">
        <w:trPr>
          <w:trHeight w:val="315"/>
        </w:trPr>
        <w:tc>
          <w:tcPr>
            <w:tcW w:w="280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Total</w:t>
            </w:r>
          </w:p>
        </w:tc>
        <w:tc>
          <w:tcPr>
            <w:tcW w:w="68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244</w:t>
            </w:r>
          </w:p>
        </w:tc>
        <w:tc>
          <w:tcPr>
            <w:tcW w:w="68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92</w:t>
            </w:r>
          </w:p>
        </w:tc>
        <w:tc>
          <w:tcPr>
            <w:tcW w:w="68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-182</w:t>
            </w:r>
          </w:p>
        </w:tc>
        <w:tc>
          <w:tcPr>
            <w:tcW w:w="68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8</w:t>
            </w:r>
          </w:p>
        </w:tc>
        <w:tc>
          <w:tcPr>
            <w:tcW w:w="68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-137</w:t>
            </w:r>
          </w:p>
        </w:tc>
        <w:tc>
          <w:tcPr>
            <w:tcW w:w="68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-25</w:t>
            </w:r>
          </w:p>
        </w:tc>
        <w:tc>
          <w:tcPr>
            <w:tcW w:w="68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11</w:t>
            </w:r>
          </w:p>
        </w:tc>
        <w:tc>
          <w:tcPr>
            <w:tcW w:w="68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-10</w:t>
            </w:r>
          </w:p>
        </w:tc>
        <w:tc>
          <w:tcPr>
            <w:tcW w:w="760" w:type="dxa"/>
            <w:tcBorders>
              <w:top w:val="nil"/>
              <w:left w:val="nil"/>
              <w:bottom w:val="single" w:sz="4" w:space="0" w:color="auto"/>
              <w:right w:val="nil"/>
            </w:tcBorders>
            <w:shd w:val="clear" w:color="auto" w:fill="auto"/>
            <w:noWrap/>
            <w:vAlign w:val="bottom"/>
            <w:hideMark/>
          </w:tcPr>
          <w:p w:rsidR="00BB3126" w:rsidRPr="00F44385"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F44385">
              <w:rPr>
                <w:rFonts w:ascii="Calibri" w:eastAsia="Times New Roman" w:hAnsi="Calibri" w:cs="Calibri"/>
                <w:sz w:val="20"/>
                <w:szCs w:val="20"/>
                <w:lang w:eastAsia="en-AU"/>
              </w:rPr>
              <w:t>354</w:t>
            </w:r>
          </w:p>
        </w:tc>
      </w:tr>
    </w:tbl>
    <w:p w:rsidR="00BB3126" w:rsidRPr="005A41D1" w:rsidRDefault="00BB3126" w:rsidP="00BB3126">
      <w:pPr>
        <w:pStyle w:val="CGCTableFootnote"/>
      </w:pPr>
      <w:r w:rsidRPr="005A41D1">
        <w:t>Source:</w:t>
      </w:r>
      <w:r w:rsidRPr="005A41D1">
        <w:tab/>
        <w:t>Commission calculation.</w:t>
      </w:r>
    </w:p>
    <w:p w:rsidR="00BB3126" w:rsidRPr="005A41D1" w:rsidRDefault="00BB3126" w:rsidP="00BB3126">
      <w:pPr>
        <w:pStyle w:val="11para"/>
      </w:pPr>
      <w:r w:rsidRPr="005A41D1">
        <w:t xml:space="preserve">More information on the changes arising from the assessment of individual Commonwealth payments is in the supporting information for this update available on the </w:t>
      </w:r>
      <w:hyperlink r:id="rId88" w:history="1">
        <w:r w:rsidRPr="005A41D1">
          <w:rPr>
            <w:rStyle w:val="Hyperlink"/>
          </w:rPr>
          <w:t>Commission’s website</w:t>
        </w:r>
      </w:hyperlink>
      <w:r w:rsidRPr="005A41D1">
        <w:t xml:space="preserve"> (https://</w:t>
      </w:r>
      <w:r w:rsidR="00E769C5">
        <w:t>www.</w:t>
      </w:r>
      <w:r w:rsidRPr="005A41D1">
        <w:t>cgc.gov.au/).</w:t>
      </w:r>
    </w:p>
    <w:p w:rsidR="00BB3126" w:rsidRPr="0040550D" w:rsidRDefault="00BB3126" w:rsidP="00BB3126">
      <w:pPr>
        <w:pStyle w:val="Heading4"/>
      </w:pPr>
      <w:bookmarkStart w:id="571" w:name="_Toc441499266"/>
      <w:bookmarkStart w:id="572" w:name="_Toc442191922"/>
      <w:bookmarkStart w:id="573" w:name="_Toc442192176"/>
      <w:bookmarkStart w:id="574" w:name="_Toc442192241"/>
      <w:bookmarkStart w:id="575" w:name="_Toc442772825"/>
      <w:bookmarkStart w:id="576" w:name="_Toc442773054"/>
      <w:bookmarkStart w:id="577" w:name="_Toc442773224"/>
      <w:bookmarkStart w:id="578" w:name="_Toc442883291"/>
      <w:bookmarkStart w:id="579" w:name="_Toc474923763"/>
      <w:bookmarkStart w:id="580" w:name="_Toc505872184"/>
      <w:bookmarkStart w:id="581" w:name="_Toc536519635"/>
      <w:bookmarkStart w:id="582" w:name="_Toc536631345"/>
      <w:bookmarkStart w:id="583" w:name="_Toc536803183"/>
      <w:bookmarkStart w:id="584" w:name="_Toc536803271"/>
      <w:bookmarkStart w:id="585" w:name="_Toc1115147"/>
      <w:r w:rsidRPr="0040550D">
        <w:t>Expen</w:t>
      </w:r>
      <w:bookmarkEnd w:id="571"/>
      <w:bookmarkEnd w:id="572"/>
      <w:bookmarkEnd w:id="573"/>
      <w:bookmarkEnd w:id="574"/>
      <w:bookmarkEnd w:id="575"/>
      <w:bookmarkEnd w:id="576"/>
      <w:bookmarkEnd w:id="577"/>
      <w:bookmarkEnd w:id="578"/>
      <w:r w:rsidRPr="0040550D">
        <w:t>diture</w:t>
      </w:r>
      <w:bookmarkEnd w:id="579"/>
      <w:bookmarkEnd w:id="580"/>
      <w:bookmarkEnd w:id="581"/>
      <w:bookmarkEnd w:id="582"/>
      <w:bookmarkEnd w:id="583"/>
      <w:bookmarkEnd w:id="584"/>
      <w:bookmarkEnd w:id="585"/>
    </w:p>
    <w:p w:rsidR="00BB3126" w:rsidRPr="002A48E0" w:rsidRDefault="00BB3126" w:rsidP="00BB3126">
      <w:pPr>
        <w:pStyle w:val="Heading5"/>
      </w:pPr>
      <w:bookmarkStart w:id="586" w:name="_Toc474923765"/>
      <w:bookmarkStart w:id="587" w:name="_Toc536803184"/>
      <w:bookmarkStart w:id="588" w:name="_Toc536803272"/>
      <w:r w:rsidRPr="002A48E0">
        <w:t>Wage costs</w:t>
      </w:r>
      <w:bookmarkEnd w:id="586"/>
      <w:bookmarkEnd w:id="587"/>
      <w:bookmarkEnd w:id="588"/>
    </w:p>
    <w:p w:rsidR="00BB3126" w:rsidRPr="00EE6AD2" w:rsidRDefault="00122877" w:rsidP="00BB3126">
      <w:pPr>
        <w:pStyle w:val="11para"/>
      </w:pPr>
      <w:r>
        <w:t>Variations</w:t>
      </w:r>
      <w:r w:rsidR="00BB3126" w:rsidRPr="002A48E0">
        <w:t xml:space="preserve"> in wage levels outside the control of States drive differences between States in the cost of delivering </w:t>
      </w:r>
      <w:r w:rsidR="00BB3126">
        <w:t>the</w:t>
      </w:r>
      <w:r w:rsidR="00BB3126" w:rsidRPr="002A48E0">
        <w:t xml:space="preserve"> average level of services. </w:t>
      </w:r>
      <w:r w:rsidR="00BB3126">
        <w:t xml:space="preserve">One of the main drivers of the redistribution in this update was the substantial reduction in the 2017-18 </w:t>
      </w:r>
      <w:r w:rsidR="00466208">
        <w:t xml:space="preserve">relative </w:t>
      </w:r>
      <w:r w:rsidR="00BB3126">
        <w:t xml:space="preserve">wage </w:t>
      </w:r>
      <w:r w:rsidR="00466208">
        <w:t xml:space="preserve">levels </w:t>
      </w:r>
      <w:r w:rsidR="00BB3126">
        <w:t xml:space="preserve">for Western </w:t>
      </w:r>
      <w:r w:rsidR="00BB3126" w:rsidRPr="00EE6AD2">
        <w:t xml:space="preserve">Australia flowing from the latest ABS </w:t>
      </w:r>
      <w:r w:rsidR="00BB3126">
        <w:t>CoES</w:t>
      </w:r>
      <w:r w:rsidR="00BB3126" w:rsidRPr="00EE6AD2">
        <w:t xml:space="preserve"> data. In this update, 2014 CoES data have </w:t>
      </w:r>
      <w:r w:rsidR="00BB3126">
        <w:t xml:space="preserve">been </w:t>
      </w:r>
      <w:r w:rsidR="00BB3126" w:rsidRPr="00EE6AD2">
        <w:t xml:space="preserve">replaced </w:t>
      </w:r>
      <w:r w:rsidR="00BB3126">
        <w:t xml:space="preserve">by </w:t>
      </w:r>
      <w:r w:rsidR="00BB3126" w:rsidRPr="00EE6AD2">
        <w:t xml:space="preserve">2017 data. The CoES shows that relative wage </w:t>
      </w:r>
      <w:r w:rsidR="00BB3126">
        <w:t>levels</w:t>
      </w:r>
      <w:r w:rsidR="00BB3126" w:rsidRPr="00EE6AD2">
        <w:t xml:space="preserve"> </w:t>
      </w:r>
      <w:r w:rsidR="00BB3126" w:rsidRPr="000F608E">
        <w:t xml:space="preserve">peaked in Western Australia in 2014-15 and fell below average in 2017-18, reducing its GST distribution by $360 million. This reduced the total amount redistributed to Western Australia by this assessment from $738 million to $375 million (see </w:t>
      </w:r>
      <w:r w:rsidR="00BB3126" w:rsidRPr="000F608E">
        <w:fldChar w:fldCharType="begin"/>
      </w:r>
      <w:r w:rsidR="00BB3126" w:rsidRPr="000F608E">
        <w:instrText xml:space="preserve"> REF _Ref505683546 \h  \* MERGEFORMAT </w:instrText>
      </w:r>
      <w:r w:rsidR="00BB3126" w:rsidRPr="000F608E">
        <w:fldChar w:fldCharType="separate"/>
      </w:r>
      <w:r w:rsidR="00E82224" w:rsidRPr="00C96469">
        <w:t>Table 1</w:t>
      </w:r>
      <w:r w:rsidR="00E82224" w:rsidRPr="00C96469">
        <w:noBreakHyphen/>
      </w:r>
      <w:r w:rsidR="00E82224">
        <w:t>8</w:t>
      </w:r>
      <w:r w:rsidR="00BB3126" w:rsidRPr="000F608E">
        <w:fldChar w:fldCharType="end"/>
      </w:r>
      <w:r w:rsidR="00BB3126" w:rsidRPr="000F608E">
        <w:t xml:space="preserve">). </w:t>
      </w:r>
      <w:r w:rsidR="00D16091">
        <w:t>Relative w</w:t>
      </w:r>
      <w:r w:rsidR="00D16091" w:rsidRPr="000F608E">
        <w:t>age</w:t>
      </w:r>
      <w:r w:rsidR="00D16091" w:rsidRPr="00EE6AD2">
        <w:t xml:space="preserve"> </w:t>
      </w:r>
      <w:r w:rsidR="00BB3126">
        <w:t>levels</w:t>
      </w:r>
      <w:r w:rsidR="00BB3126" w:rsidRPr="00EE6AD2">
        <w:t xml:space="preserve"> also </w:t>
      </w:r>
      <w:r w:rsidR="00BB3126">
        <w:t xml:space="preserve">fell </w:t>
      </w:r>
      <w:r w:rsidR="00BB3126" w:rsidRPr="00EE6AD2">
        <w:t xml:space="preserve">over this period </w:t>
      </w:r>
      <w:r w:rsidR="00BB3126">
        <w:t>in</w:t>
      </w:r>
      <w:r w:rsidR="00BB3126" w:rsidRPr="00EE6AD2">
        <w:t xml:space="preserve"> the Northern Territory.</w:t>
      </w:r>
    </w:p>
    <w:p w:rsidR="00BB3126" w:rsidRDefault="00BB3126" w:rsidP="00BB3126">
      <w:pPr>
        <w:pStyle w:val="11para"/>
      </w:pPr>
      <w:r w:rsidRPr="00EE6AD2">
        <w:t xml:space="preserve">Wage </w:t>
      </w:r>
      <w:r>
        <w:t>levels</w:t>
      </w:r>
      <w:r w:rsidRPr="00EE6AD2">
        <w:t xml:space="preserve"> have increased faster than average in New South Wales, Victoria, Queensland, South Australia, Tasmania and</w:t>
      </w:r>
      <w:r w:rsidRPr="002A48E0">
        <w:t xml:space="preserve"> the ACT over the years </w:t>
      </w:r>
      <w:r>
        <w:t>2014-15</w:t>
      </w:r>
      <w:r w:rsidRPr="002A48E0">
        <w:t xml:space="preserve"> to </w:t>
      </w:r>
      <w:r>
        <w:t>2017</w:t>
      </w:r>
      <w:r>
        <w:noBreakHyphen/>
        <w:t>18</w:t>
      </w:r>
      <w:r w:rsidRPr="002A48E0">
        <w:t xml:space="preserve">, </w:t>
      </w:r>
      <w:r>
        <w:t xml:space="preserve">increasing the </w:t>
      </w:r>
      <w:r w:rsidRPr="002A48E0">
        <w:t xml:space="preserve">GST </w:t>
      </w:r>
      <w:r>
        <w:t>required by these States</w:t>
      </w:r>
      <w:r w:rsidRPr="002A48E0">
        <w:t xml:space="preserve"> to fund average service provision. </w:t>
      </w:r>
      <w:r>
        <w:t>The change is notable for Victoria, which has moved from having below average wage levels in 2014</w:t>
      </w:r>
      <w:r>
        <w:noBreakHyphen/>
        <w:t>15 to having above average wage levels in 2017</w:t>
      </w:r>
      <w:r>
        <w:noBreakHyphen/>
        <w:t>18.</w:t>
      </w:r>
    </w:p>
    <w:p w:rsidR="00BB3126" w:rsidRDefault="00BB3126" w:rsidP="00BB3126">
      <w:pPr>
        <w:pStyle w:val="11para"/>
      </w:pPr>
      <w:r w:rsidRPr="002A48E0">
        <w:fldChar w:fldCharType="begin"/>
      </w:r>
      <w:r w:rsidRPr="002A48E0">
        <w:instrText xml:space="preserve"> REF _Ref472953560 \h </w:instrText>
      </w:r>
      <w:r>
        <w:instrText xml:space="preserve"> \* MERGEFORMAT </w:instrText>
      </w:r>
      <w:r w:rsidRPr="002A48E0">
        <w:fldChar w:fldCharType="separate"/>
      </w:r>
      <w:r w:rsidR="00E82224" w:rsidRPr="002A48E0">
        <w:t>Figure 1-</w:t>
      </w:r>
      <w:r w:rsidR="00E82224">
        <w:t>6</w:t>
      </w:r>
      <w:r w:rsidRPr="002A48E0">
        <w:fldChar w:fldCharType="end"/>
      </w:r>
      <w:r w:rsidRPr="002A48E0">
        <w:t xml:space="preserve"> shows the change in relative wage </w:t>
      </w:r>
      <w:r>
        <w:t>levels</w:t>
      </w:r>
      <w:r w:rsidRPr="002A48E0">
        <w:t xml:space="preserve"> between </w:t>
      </w:r>
      <w:r>
        <w:t>2014-15</w:t>
      </w:r>
      <w:r w:rsidRPr="002A48E0">
        <w:t xml:space="preserve"> and </w:t>
      </w:r>
      <w:r>
        <w:t>2017-18</w:t>
      </w:r>
      <w:r w:rsidRPr="002A48E0">
        <w:t xml:space="preserve">. </w:t>
      </w:r>
    </w:p>
    <w:p w:rsidR="00BB3126" w:rsidRPr="002A48E0" w:rsidRDefault="00BB3126" w:rsidP="00BB3126">
      <w:pPr>
        <w:pStyle w:val="CGCTableHeading"/>
      </w:pPr>
      <w:bookmarkStart w:id="589" w:name="_Ref472953560"/>
      <w:r w:rsidRPr="002A48E0">
        <w:lastRenderedPageBreak/>
        <w:t>Figure 1-</w:t>
      </w:r>
      <w:r>
        <w:rPr>
          <w:noProof/>
        </w:rPr>
        <w:fldChar w:fldCharType="begin"/>
      </w:r>
      <w:r>
        <w:rPr>
          <w:noProof/>
        </w:rPr>
        <w:instrText xml:space="preserve"> SEQ Figure \* ARABIC </w:instrText>
      </w:r>
      <w:r>
        <w:rPr>
          <w:noProof/>
        </w:rPr>
        <w:fldChar w:fldCharType="separate"/>
      </w:r>
      <w:r w:rsidR="00E82224">
        <w:rPr>
          <w:noProof/>
        </w:rPr>
        <w:t>6</w:t>
      </w:r>
      <w:r>
        <w:rPr>
          <w:noProof/>
        </w:rPr>
        <w:fldChar w:fldCharType="end"/>
      </w:r>
      <w:bookmarkEnd w:id="589"/>
      <w:r w:rsidRPr="002A48E0">
        <w:tab/>
        <w:t xml:space="preserve">Change in wage cost differentials between </w:t>
      </w:r>
      <w:r>
        <w:t>2014-15</w:t>
      </w:r>
      <w:r w:rsidRPr="002A48E0">
        <w:t xml:space="preserve"> and </w:t>
      </w:r>
      <w:r>
        <w:t>2017-18</w:t>
      </w:r>
    </w:p>
    <w:p w:rsidR="00BB3126" w:rsidRPr="002A48E0" w:rsidRDefault="00BB3126" w:rsidP="00BB3126">
      <w:pPr>
        <w:rPr>
          <w:rStyle w:val="CGCTableFootnoteChar"/>
        </w:rPr>
      </w:pPr>
      <w:r w:rsidRPr="00A57DC9">
        <w:rPr>
          <w:rStyle w:val="CGCTableFootnoteChar"/>
          <w:noProof/>
          <w:sz w:val="24"/>
          <w:szCs w:val="22"/>
          <w:lang w:eastAsia="en-AU"/>
        </w:rPr>
        <w:drawing>
          <wp:inline distT="0" distB="0" distL="0" distR="0" wp14:anchorId="1023F8DE" wp14:editId="4F0F2447">
            <wp:extent cx="5661660" cy="3565525"/>
            <wp:effectExtent l="0" t="0" r="0" b="0"/>
            <wp:docPr id="5" name="Picture 5" descr="This figure shows the change in relative wage levels between 2014-15 and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61660" cy="3565525"/>
                    </a:xfrm>
                    <a:prstGeom prst="rect">
                      <a:avLst/>
                    </a:prstGeom>
                    <a:noFill/>
                    <a:ln>
                      <a:noFill/>
                    </a:ln>
                  </pic:spPr>
                </pic:pic>
              </a:graphicData>
            </a:graphic>
          </wp:inline>
        </w:drawing>
      </w:r>
    </w:p>
    <w:p w:rsidR="00BB3126" w:rsidRPr="002A48E0" w:rsidRDefault="00BB3126" w:rsidP="00BB3126">
      <w:pPr>
        <w:pStyle w:val="CGCTableFootnote"/>
      </w:pPr>
      <w:r w:rsidRPr="002A48E0">
        <w:t>Source:</w:t>
      </w:r>
      <w:r w:rsidRPr="002A48E0">
        <w:tab/>
      </w:r>
      <w:r w:rsidR="007F0A7C">
        <w:t xml:space="preserve">Commission calculation based on </w:t>
      </w:r>
      <w:r w:rsidRPr="002A48E0">
        <w:t>Characteristics of E</w:t>
      </w:r>
      <w:r>
        <w:t>mployment Survey (CoES) results.</w:t>
      </w:r>
    </w:p>
    <w:p w:rsidR="00BB3126" w:rsidRPr="00C15DA7" w:rsidRDefault="00BB3126" w:rsidP="00BB3126">
      <w:pPr>
        <w:pStyle w:val="Heading5"/>
      </w:pPr>
      <w:bookmarkStart w:id="590" w:name="_Toc536803185"/>
      <w:bookmarkStart w:id="591" w:name="_Toc536803273"/>
      <w:r>
        <w:t>Investment growth</w:t>
      </w:r>
      <w:bookmarkEnd w:id="590"/>
      <w:bookmarkEnd w:id="591"/>
    </w:p>
    <w:p w:rsidR="00BB3126" w:rsidRDefault="00BB3126" w:rsidP="00BB3126">
      <w:pPr>
        <w:pStyle w:val="11para"/>
      </w:pPr>
      <w:r>
        <w:t xml:space="preserve">Investment growth has </w:t>
      </w:r>
      <w:r w:rsidR="00466208">
        <w:t xml:space="preserve">increased the relative significance of investment spending in the assessment of State fiscal capacities. This has </w:t>
      </w:r>
      <w:r>
        <w:t xml:space="preserve">resulted in </w:t>
      </w:r>
      <w:r w:rsidR="00C87121">
        <w:t xml:space="preserve">a further </w:t>
      </w:r>
      <w:r>
        <w:t xml:space="preserve">redistribution of $188 million in this update. </w:t>
      </w:r>
      <w:r w:rsidR="002F1ECF">
        <w:t xml:space="preserve">Notably, total </w:t>
      </w:r>
      <w:r>
        <w:t>u</w:t>
      </w:r>
      <w:r w:rsidRPr="005476F2">
        <w:t xml:space="preserve">rban transport investment was 232% higher in 2017-18 compared with 2014-15, increasing </w:t>
      </w:r>
      <w:r>
        <w:t xml:space="preserve">the </w:t>
      </w:r>
      <w:r w:rsidRPr="005476F2">
        <w:t xml:space="preserve">GST shares </w:t>
      </w:r>
      <w:r>
        <w:t>of</w:t>
      </w:r>
      <w:r w:rsidRPr="005476F2">
        <w:t xml:space="preserve"> New South Wales and Victoria. </w:t>
      </w:r>
    </w:p>
    <w:p w:rsidR="00BB3126" w:rsidRPr="006D19CF" w:rsidRDefault="00BB3126" w:rsidP="00BB3126">
      <w:pPr>
        <w:pStyle w:val="Heading3"/>
      </w:pPr>
      <w:bookmarkStart w:id="592" w:name="_Toc474923767"/>
      <w:bookmarkStart w:id="593" w:name="_Toc505872185"/>
      <w:bookmarkStart w:id="594" w:name="_Toc536519636"/>
      <w:bookmarkStart w:id="595" w:name="_Toc536631346"/>
      <w:bookmarkStart w:id="596" w:name="_Toc536803186"/>
      <w:bookmarkStart w:id="597" w:name="_Toc536803274"/>
      <w:bookmarkStart w:id="598" w:name="_Toc1115148"/>
      <w:r w:rsidRPr="006D19CF">
        <w:t>Why State fiscal capacities differ</w:t>
      </w:r>
      <w:bookmarkEnd w:id="592"/>
      <w:bookmarkEnd w:id="593"/>
      <w:bookmarkEnd w:id="594"/>
      <w:bookmarkEnd w:id="595"/>
      <w:bookmarkEnd w:id="596"/>
      <w:bookmarkEnd w:id="597"/>
      <w:bookmarkEnd w:id="598"/>
    </w:p>
    <w:p w:rsidR="00BB3126" w:rsidRPr="00321157" w:rsidRDefault="00BB3126" w:rsidP="00BB3126">
      <w:pPr>
        <w:pStyle w:val="11para"/>
      </w:pPr>
      <w:r w:rsidRPr="00356051">
        <w:t xml:space="preserve">Differences </w:t>
      </w:r>
      <w:r>
        <w:t>between</w:t>
      </w:r>
      <w:r w:rsidRPr="00356051">
        <w:t xml:space="preserve"> the States in economic, social and demographic characteristics affect their expenditures and revenues, and contribute to differences in GST distributions. </w:t>
      </w:r>
      <w:r w:rsidRPr="00356051">
        <w:fldChar w:fldCharType="begin"/>
      </w:r>
      <w:r w:rsidRPr="00356051">
        <w:instrText xml:space="preserve"> REF _Ref503960835 \h  \* MERGEFORMAT </w:instrText>
      </w:r>
      <w:r w:rsidRPr="00356051">
        <w:fldChar w:fldCharType="separate"/>
      </w:r>
      <w:r w:rsidR="00E82224" w:rsidRPr="00321157">
        <w:t>Table 1</w:t>
      </w:r>
      <w:r w:rsidR="00E82224" w:rsidRPr="00321157">
        <w:noBreakHyphen/>
      </w:r>
      <w:r w:rsidR="00E82224">
        <w:t>7</w:t>
      </w:r>
      <w:r w:rsidRPr="00356051">
        <w:fldChar w:fldCharType="end"/>
      </w:r>
      <w:r w:rsidRPr="00356051">
        <w:t xml:space="preserve"> shows how these differences contribute to differences in the </w:t>
      </w:r>
      <w:r w:rsidRPr="00321157">
        <w:t>recommended GST distribution.</w:t>
      </w:r>
    </w:p>
    <w:p w:rsidR="00BB3126" w:rsidRPr="00321157" w:rsidRDefault="00BB3126" w:rsidP="00BB3126">
      <w:pPr>
        <w:pStyle w:val="Caption"/>
      </w:pPr>
      <w:bookmarkStart w:id="599" w:name="_Ref503960835"/>
      <w:r w:rsidRPr="00321157">
        <w:lastRenderedPageBreak/>
        <w:t>Table 1</w:t>
      </w:r>
      <w:r w:rsidRPr="00321157">
        <w:noBreakHyphen/>
      </w:r>
      <w:r>
        <w:rPr>
          <w:noProof/>
        </w:rPr>
        <w:fldChar w:fldCharType="begin"/>
      </w:r>
      <w:r>
        <w:rPr>
          <w:noProof/>
        </w:rPr>
        <w:instrText xml:space="preserve"> SEQ Table \* ARABIC \s 1 </w:instrText>
      </w:r>
      <w:r>
        <w:rPr>
          <w:noProof/>
        </w:rPr>
        <w:fldChar w:fldCharType="separate"/>
      </w:r>
      <w:r w:rsidR="00E82224">
        <w:rPr>
          <w:noProof/>
        </w:rPr>
        <w:t>7</w:t>
      </w:r>
      <w:r>
        <w:rPr>
          <w:noProof/>
        </w:rPr>
        <w:fldChar w:fldCharType="end"/>
      </w:r>
      <w:bookmarkEnd w:id="599"/>
      <w:r w:rsidRPr="00321157">
        <w:tab/>
        <w:t>Difference from an equal per capita distribution of GST, 2019</w:t>
      </w:r>
      <w:r w:rsidRPr="00321157">
        <w:noBreakHyphen/>
        <w:t>20</w:t>
      </w:r>
    </w:p>
    <w:tbl>
      <w:tblPr>
        <w:tblW w:w="8960" w:type="dxa"/>
        <w:tblLayout w:type="fixed"/>
        <w:tblCellMar>
          <w:left w:w="0" w:type="dxa"/>
          <w:right w:w="0" w:type="dxa"/>
        </w:tblCellMar>
        <w:tblLook w:val="04A0" w:firstRow="1" w:lastRow="0" w:firstColumn="1" w:lastColumn="0" w:noHBand="0" w:noVBand="1"/>
      </w:tblPr>
      <w:tblGrid>
        <w:gridCol w:w="3020"/>
        <w:gridCol w:w="660"/>
        <w:gridCol w:w="660"/>
        <w:gridCol w:w="660"/>
        <w:gridCol w:w="660"/>
        <w:gridCol w:w="660"/>
        <w:gridCol w:w="660"/>
        <w:gridCol w:w="660"/>
        <w:gridCol w:w="660"/>
        <w:gridCol w:w="660"/>
      </w:tblGrid>
      <w:tr w:rsidR="00BB3126" w:rsidRPr="0052399A" w:rsidTr="00C7618F">
        <w:trPr>
          <w:trHeight w:val="379"/>
        </w:trPr>
        <w:tc>
          <w:tcPr>
            <w:tcW w:w="302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bookmarkStart w:id="600" w:name="RANGE!A32:J39"/>
            <w:r w:rsidRPr="0052399A">
              <w:rPr>
                <w:rFonts w:ascii="Calibri" w:eastAsia="Times New Roman" w:hAnsi="Calibri" w:cs="Calibri"/>
                <w:sz w:val="20"/>
                <w:szCs w:val="20"/>
                <w:lang w:eastAsia="en-AU"/>
              </w:rPr>
              <w:t> </w:t>
            </w:r>
            <w:bookmarkEnd w:id="600"/>
          </w:p>
        </w:tc>
        <w:tc>
          <w:tcPr>
            <w:tcW w:w="66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NSW</w:t>
            </w:r>
          </w:p>
        </w:tc>
        <w:tc>
          <w:tcPr>
            <w:tcW w:w="66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Vic</w:t>
            </w:r>
          </w:p>
        </w:tc>
        <w:tc>
          <w:tcPr>
            <w:tcW w:w="66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Qld</w:t>
            </w:r>
          </w:p>
        </w:tc>
        <w:tc>
          <w:tcPr>
            <w:tcW w:w="66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WA</w:t>
            </w:r>
          </w:p>
        </w:tc>
        <w:tc>
          <w:tcPr>
            <w:tcW w:w="66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SA</w:t>
            </w:r>
          </w:p>
        </w:tc>
        <w:tc>
          <w:tcPr>
            <w:tcW w:w="66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Tas</w:t>
            </w:r>
          </w:p>
        </w:tc>
        <w:tc>
          <w:tcPr>
            <w:tcW w:w="66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ACT</w:t>
            </w:r>
          </w:p>
        </w:tc>
        <w:tc>
          <w:tcPr>
            <w:tcW w:w="66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NT</w:t>
            </w:r>
          </w:p>
        </w:tc>
        <w:tc>
          <w:tcPr>
            <w:tcW w:w="660" w:type="dxa"/>
            <w:tcBorders>
              <w:top w:val="single" w:sz="4" w:space="0" w:color="auto"/>
              <w:left w:val="nil"/>
              <w:bottom w:val="single" w:sz="4" w:space="0" w:color="auto"/>
              <w:right w:val="nil"/>
            </w:tcBorders>
            <w:shd w:val="clear" w:color="auto" w:fill="auto"/>
            <w:noWrap/>
            <w:vAlign w:val="center"/>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Redist</w:t>
            </w:r>
          </w:p>
        </w:tc>
      </w:tr>
      <w:tr w:rsidR="00BB3126" w:rsidRPr="0052399A" w:rsidTr="00C7618F">
        <w:trPr>
          <w:trHeight w:val="259"/>
        </w:trPr>
        <w:tc>
          <w:tcPr>
            <w:tcW w:w="302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$m</w:t>
            </w:r>
          </w:p>
        </w:tc>
      </w:tr>
      <w:tr w:rsidR="00BB3126" w:rsidRPr="0052399A" w:rsidTr="00C7618F">
        <w:trPr>
          <w:trHeight w:val="315"/>
        </w:trPr>
        <w:tc>
          <w:tcPr>
            <w:tcW w:w="302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Expense requirement</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-2 278</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-4 791</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1 406</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1 994</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548</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587</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-139</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2 672</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7 208</w:t>
            </w:r>
          </w:p>
        </w:tc>
      </w:tr>
      <w:tr w:rsidR="00BB3126" w:rsidRPr="0052399A" w:rsidTr="00C7618F">
        <w:trPr>
          <w:trHeight w:val="315"/>
        </w:trPr>
        <w:tc>
          <w:tcPr>
            <w:tcW w:w="302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Investment requirement</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379</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1 303</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-455</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-529</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-442</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-164</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-13</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-79</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1 682</w:t>
            </w:r>
          </w:p>
        </w:tc>
      </w:tr>
      <w:tr w:rsidR="00BB3126" w:rsidRPr="0052399A" w:rsidTr="00C7618F">
        <w:trPr>
          <w:trHeight w:val="315"/>
        </w:trPr>
        <w:tc>
          <w:tcPr>
            <w:tcW w:w="302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Net borrowing</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-176</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20</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77</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53</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17</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-6</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9</w:t>
            </w:r>
          </w:p>
        </w:tc>
        <w:tc>
          <w:tcPr>
            <w:tcW w:w="660" w:type="dxa"/>
            <w:tcBorders>
              <w:top w:val="nil"/>
              <w:left w:val="nil"/>
              <w:bottom w:val="nil"/>
              <w:right w:val="nil"/>
            </w:tcBorders>
            <w:shd w:val="clear" w:color="auto" w:fill="auto"/>
            <w:noWrap/>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183</w:t>
            </w:r>
          </w:p>
        </w:tc>
      </w:tr>
      <w:tr w:rsidR="00BB3126" w:rsidRPr="0052399A" w:rsidTr="00C7618F">
        <w:trPr>
          <w:trHeight w:val="315"/>
        </w:trPr>
        <w:tc>
          <w:tcPr>
            <w:tcW w:w="302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Revenue raising capacity</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-1 206</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2 432</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510</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-4 972</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2 122</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731</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335</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48</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6 178</w:t>
            </w:r>
          </w:p>
        </w:tc>
      </w:tr>
      <w:tr w:rsidR="00BB3126" w:rsidRPr="0052399A" w:rsidTr="00C7618F">
        <w:trPr>
          <w:trHeight w:val="315"/>
        </w:trPr>
        <w:tc>
          <w:tcPr>
            <w:tcW w:w="302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Commonwealth payments (a)</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263</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953</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-714</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12</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-67</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-86</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100</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-460</w:t>
            </w:r>
          </w:p>
        </w:tc>
        <w:tc>
          <w:tcPr>
            <w:tcW w:w="660" w:type="dxa"/>
            <w:tcBorders>
              <w:top w:val="nil"/>
              <w:left w:val="nil"/>
              <w:bottom w:val="nil"/>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1 327</w:t>
            </w:r>
          </w:p>
        </w:tc>
      </w:tr>
      <w:tr w:rsidR="00BB3126" w:rsidRPr="0052399A" w:rsidTr="00C7618F">
        <w:trPr>
          <w:trHeight w:val="315"/>
        </w:trPr>
        <w:tc>
          <w:tcPr>
            <w:tcW w:w="3020" w:type="dxa"/>
            <w:tcBorders>
              <w:top w:val="nil"/>
              <w:left w:val="nil"/>
              <w:bottom w:val="single" w:sz="4" w:space="0" w:color="auto"/>
              <w:right w:val="nil"/>
            </w:tcBorders>
            <w:shd w:val="clear" w:color="auto" w:fill="auto"/>
            <w:vAlign w:val="bottom"/>
            <w:hideMark/>
          </w:tcPr>
          <w:p w:rsidR="00BB3126" w:rsidRPr="0052399A"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Total difference from EPC</w:t>
            </w:r>
          </w:p>
        </w:tc>
        <w:tc>
          <w:tcPr>
            <w:tcW w:w="660" w:type="dxa"/>
            <w:tcBorders>
              <w:top w:val="single" w:sz="4" w:space="0" w:color="auto"/>
              <w:left w:val="nil"/>
              <w:bottom w:val="single" w:sz="4" w:space="0" w:color="auto"/>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-2 836</w:t>
            </w:r>
          </w:p>
        </w:tc>
        <w:tc>
          <w:tcPr>
            <w:tcW w:w="660" w:type="dxa"/>
            <w:tcBorders>
              <w:top w:val="single" w:sz="4" w:space="0" w:color="auto"/>
              <w:left w:val="nil"/>
              <w:bottom w:val="single" w:sz="4" w:space="0" w:color="auto"/>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-279</w:t>
            </w:r>
          </w:p>
        </w:tc>
        <w:tc>
          <w:tcPr>
            <w:tcW w:w="660" w:type="dxa"/>
            <w:tcBorders>
              <w:top w:val="single" w:sz="4" w:space="0" w:color="auto"/>
              <w:left w:val="nil"/>
              <w:bottom w:val="single" w:sz="4" w:space="0" w:color="auto"/>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767</w:t>
            </w:r>
          </w:p>
        </w:tc>
        <w:tc>
          <w:tcPr>
            <w:tcW w:w="660" w:type="dxa"/>
            <w:tcBorders>
              <w:top w:val="single" w:sz="4" w:space="0" w:color="auto"/>
              <w:left w:val="nil"/>
              <w:bottom w:val="single" w:sz="4" w:space="0" w:color="auto"/>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-3 419</w:t>
            </w:r>
          </w:p>
        </w:tc>
        <w:tc>
          <w:tcPr>
            <w:tcW w:w="660" w:type="dxa"/>
            <w:tcBorders>
              <w:top w:val="single" w:sz="4" w:space="0" w:color="auto"/>
              <w:left w:val="nil"/>
              <w:bottom w:val="single" w:sz="4" w:space="0" w:color="auto"/>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2 215</w:t>
            </w:r>
          </w:p>
        </w:tc>
        <w:tc>
          <w:tcPr>
            <w:tcW w:w="660" w:type="dxa"/>
            <w:tcBorders>
              <w:top w:val="single" w:sz="4" w:space="0" w:color="auto"/>
              <w:left w:val="nil"/>
              <w:bottom w:val="single" w:sz="4" w:space="0" w:color="auto"/>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1 084</w:t>
            </w:r>
          </w:p>
        </w:tc>
        <w:tc>
          <w:tcPr>
            <w:tcW w:w="660" w:type="dxa"/>
            <w:tcBorders>
              <w:top w:val="single" w:sz="4" w:space="0" w:color="auto"/>
              <w:left w:val="nil"/>
              <w:bottom w:val="single" w:sz="4" w:space="0" w:color="auto"/>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278</w:t>
            </w:r>
          </w:p>
        </w:tc>
        <w:tc>
          <w:tcPr>
            <w:tcW w:w="660" w:type="dxa"/>
            <w:tcBorders>
              <w:top w:val="single" w:sz="4" w:space="0" w:color="auto"/>
              <w:left w:val="nil"/>
              <w:bottom w:val="single" w:sz="4" w:space="0" w:color="auto"/>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2 191</w:t>
            </w:r>
          </w:p>
        </w:tc>
        <w:tc>
          <w:tcPr>
            <w:tcW w:w="660" w:type="dxa"/>
            <w:tcBorders>
              <w:top w:val="single" w:sz="4" w:space="0" w:color="auto"/>
              <w:left w:val="nil"/>
              <w:bottom w:val="single" w:sz="4" w:space="0" w:color="auto"/>
              <w:right w:val="nil"/>
            </w:tcBorders>
            <w:shd w:val="clear" w:color="auto" w:fill="auto"/>
            <w:vAlign w:val="bottom"/>
            <w:hideMark/>
          </w:tcPr>
          <w:p w:rsidR="00BB3126" w:rsidRPr="0052399A"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52399A">
              <w:rPr>
                <w:rFonts w:ascii="Calibri" w:eastAsia="Times New Roman" w:hAnsi="Calibri" w:cs="Calibri"/>
                <w:sz w:val="20"/>
                <w:szCs w:val="20"/>
                <w:lang w:eastAsia="en-AU"/>
              </w:rPr>
              <w:t>6 534</w:t>
            </w:r>
          </w:p>
        </w:tc>
      </w:tr>
    </w:tbl>
    <w:p w:rsidR="00BB3126" w:rsidRPr="00321157" w:rsidRDefault="00BB3126" w:rsidP="00BB3126">
      <w:pPr>
        <w:pStyle w:val="CGCTableFootnote"/>
      </w:pPr>
      <w:r w:rsidRPr="00321157">
        <w:t>(a)</w:t>
      </w:r>
      <w:r w:rsidRPr="00321157">
        <w:tab/>
        <w:t>Includes the impact on the revenue side only. The impact on the expense side is incorporated in the expense requirement line.</w:t>
      </w:r>
    </w:p>
    <w:p w:rsidR="00BB3126" w:rsidRPr="00321157" w:rsidRDefault="00BB3126" w:rsidP="00BB3126">
      <w:pPr>
        <w:pStyle w:val="CGCTableFootnote"/>
      </w:pPr>
      <w:r w:rsidRPr="00321157">
        <w:t>Source:</w:t>
      </w:r>
      <w:r w:rsidRPr="00321157">
        <w:tab/>
        <w:t>Commission calculation.</w:t>
      </w:r>
    </w:p>
    <w:p w:rsidR="00BB3126" w:rsidRPr="003C72EF" w:rsidRDefault="00BB3126" w:rsidP="00BB3126">
      <w:pPr>
        <w:pStyle w:val="11para"/>
      </w:pPr>
      <w:r w:rsidRPr="00AF6FCD">
        <w:t xml:space="preserve">Western Australia’s above average revenue raising capacity drives its fiscal strength, despite its higher than average costs of providing services. Its fiscal </w:t>
      </w:r>
      <w:r w:rsidRPr="001C6EB1">
        <w:t xml:space="preserve">strength </w:t>
      </w:r>
      <w:r>
        <w:t>means that it needs</w:t>
      </w:r>
      <w:r w:rsidRPr="001C6EB1">
        <w:t xml:space="preserve"> considerably less than its population share of GST</w:t>
      </w:r>
      <w:r>
        <w:t xml:space="preserve"> to provide an average standard of services</w:t>
      </w:r>
      <w:r w:rsidRPr="001C6EB1">
        <w:t xml:space="preserve">. The below average cost of providing services in New South Wales and Victoria is the main reason for their fiscal </w:t>
      </w:r>
      <w:r w:rsidRPr="00321157">
        <w:t xml:space="preserve">strength, although this is mitigated </w:t>
      </w:r>
      <w:r w:rsidR="00122877">
        <w:t>partially</w:t>
      </w:r>
      <w:r w:rsidRPr="00321157">
        <w:t xml:space="preserve"> for </w:t>
      </w:r>
      <w:r w:rsidRPr="003C72EF">
        <w:t xml:space="preserve">Victoria by its below average strength in revenue raising. The relatively low fiscal capacities of South Australia, Tasmania and the ACT </w:t>
      </w:r>
      <w:r w:rsidR="00122877">
        <w:t>arise</w:t>
      </w:r>
      <w:r w:rsidRPr="003C72EF">
        <w:t xml:space="preserve"> mostly from below average capacities to raise revenue, while Queensland and the Northern Territory face high costs of providing services.</w:t>
      </w:r>
    </w:p>
    <w:p w:rsidR="00BB3126" w:rsidRPr="007E1C87" w:rsidRDefault="00BB3126" w:rsidP="00BB3126">
      <w:pPr>
        <w:pStyle w:val="11para"/>
      </w:pPr>
      <w:r w:rsidRPr="003C72EF">
        <w:fldChar w:fldCharType="begin"/>
      </w:r>
      <w:r w:rsidRPr="003C72EF">
        <w:instrText xml:space="preserve"> REF _Ref504227500 \h  \* MERGEFORMAT </w:instrText>
      </w:r>
      <w:r w:rsidRPr="003C72EF">
        <w:fldChar w:fldCharType="separate"/>
      </w:r>
      <w:r w:rsidR="00E82224" w:rsidRPr="00321157">
        <w:t>Figure 1</w:t>
      </w:r>
      <w:r w:rsidR="00E82224" w:rsidRPr="00321157">
        <w:noBreakHyphen/>
      </w:r>
      <w:r w:rsidR="00E82224">
        <w:t>7</w:t>
      </w:r>
      <w:r w:rsidRPr="003C72EF">
        <w:fldChar w:fldCharType="end"/>
      </w:r>
      <w:r w:rsidRPr="003C72EF">
        <w:t xml:space="preserve"> shows this from a slightly different perspective</w:t>
      </w:r>
      <w:r w:rsidRPr="007E1C87">
        <w:t>. In the figure, the per capita GST requirement for each State is shown as the difference between a State’s total assessed expenditure (expenses and investment) and the sum of its assessed own source revenue, net borrowing and Commo</w:t>
      </w:r>
      <w:r>
        <w:t xml:space="preserve">nwealth payments. While Western </w:t>
      </w:r>
      <w:r w:rsidRPr="007E1C87">
        <w:t xml:space="preserve">Australia has the third highest assessed expenditure (expenses plus </w:t>
      </w:r>
      <w:r>
        <w:t>investment</w:t>
      </w:r>
      <w:r w:rsidRPr="007E1C87">
        <w:t xml:space="preserve">) per capita, </w:t>
      </w:r>
      <w:r>
        <w:t>a large proportion of this expenditure is</w:t>
      </w:r>
      <w:r w:rsidRPr="007E1C87">
        <w:t xml:space="preserve"> covered by its very high capacity to raise revenue. This leaves a relatively small requirement for GST revenue to give it the capacity to deliver an average standard of service.</w:t>
      </w:r>
    </w:p>
    <w:p w:rsidR="00BB3126" w:rsidRPr="00321157" w:rsidRDefault="00BB3126" w:rsidP="00BB3126">
      <w:pPr>
        <w:pStyle w:val="11para"/>
      </w:pPr>
      <w:r w:rsidRPr="0045052D">
        <w:t xml:space="preserve">The Northern Territory has such a high cost of delivering services that even with its significantly higher than population share of Commonwealth payments and only </w:t>
      </w:r>
      <w:r w:rsidRPr="00321157">
        <w:t xml:space="preserve">slightly below average capacity to raise revenue, it still requires a </w:t>
      </w:r>
      <w:r>
        <w:t>relatively</w:t>
      </w:r>
      <w:r w:rsidRPr="00321157">
        <w:t xml:space="preserve"> large share of the GST to have the capacity to deliver an average standard of service.</w:t>
      </w:r>
    </w:p>
    <w:p w:rsidR="00BB3126" w:rsidRPr="00321157" w:rsidRDefault="00BB3126" w:rsidP="00BB3126">
      <w:pPr>
        <w:pStyle w:val="Caption"/>
      </w:pPr>
      <w:bookmarkStart w:id="601" w:name="_Ref504227500"/>
      <w:r w:rsidRPr="00321157">
        <w:lastRenderedPageBreak/>
        <w:t>Figure 1</w:t>
      </w:r>
      <w:r w:rsidRPr="00321157">
        <w:noBreakHyphen/>
      </w:r>
      <w:r>
        <w:rPr>
          <w:noProof/>
        </w:rPr>
        <w:fldChar w:fldCharType="begin"/>
      </w:r>
      <w:r>
        <w:rPr>
          <w:noProof/>
        </w:rPr>
        <w:instrText xml:space="preserve"> SEQ Figure \* ARABIC \s 1 </w:instrText>
      </w:r>
      <w:r>
        <w:rPr>
          <w:noProof/>
        </w:rPr>
        <w:fldChar w:fldCharType="separate"/>
      </w:r>
      <w:r w:rsidR="00E82224">
        <w:rPr>
          <w:noProof/>
        </w:rPr>
        <w:t>7</w:t>
      </w:r>
      <w:r>
        <w:rPr>
          <w:noProof/>
        </w:rPr>
        <w:fldChar w:fldCharType="end"/>
      </w:r>
      <w:bookmarkEnd w:id="601"/>
      <w:r w:rsidRPr="00321157">
        <w:tab/>
        <w:t>Illustrative assessed budgets per capita, 2019</w:t>
      </w:r>
      <w:r w:rsidRPr="00321157">
        <w:noBreakHyphen/>
        <w:t>20</w:t>
      </w:r>
    </w:p>
    <w:p w:rsidR="00BB3126" w:rsidRPr="00321157" w:rsidRDefault="00BB3126" w:rsidP="00BB3126">
      <w:r w:rsidRPr="006C7B4E">
        <w:rPr>
          <w:noProof/>
          <w:lang w:eastAsia="en-AU"/>
        </w:rPr>
        <w:drawing>
          <wp:inline distT="0" distB="0" distL="0" distR="0" wp14:anchorId="12EFAA83" wp14:editId="0F6D1A97">
            <wp:extent cx="5652770" cy="3565525"/>
            <wp:effectExtent l="0" t="0" r="5080" b="0"/>
            <wp:docPr id="2" name="Picture 2" descr="This figure shows the per capita GST requirement for each State as the difference between a State’s total assessed expenditure (expenses and investment) and the sum of its assessed own source revenue, net borrowing and Commonwealth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652770" cy="3565525"/>
                    </a:xfrm>
                    <a:prstGeom prst="rect">
                      <a:avLst/>
                    </a:prstGeom>
                    <a:noFill/>
                    <a:ln>
                      <a:noFill/>
                    </a:ln>
                  </pic:spPr>
                </pic:pic>
              </a:graphicData>
            </a:graphic>
          </wp:inline>
        </w:drawing>
      </w:r>
    </w:p>
    <w:p w:rsidR="00BB3126" w:rsidRPr="00321157" w:rsidRDefault="00BB3126" w:rsidP="00BB3126">
      <w:pPr>
        <w:pStyle w:val="CGCTableFootnote"/>
        <w:keepNext/>
      </w:pPr>
      <w:r w:rsidRPr="00321157">
        <w:t>(a)</w:t>
      </w:r>
      <w:r w:rsidRPr="00321157">
        <w:tab/>
        <w:t>Includes expenses and investment.</w:t>
      </w:r>
    </w:p>
    <w:p w:rsidR="00BB3126" w:rsidRPr="00321157" w:rsidRDefault="00BB3126" w:rsidP="00BB3126">
      <w:pPr>
        <w:pStyle w:val="CGCTableFootnote"/>
      </w:pPr>
      <w:r w:rsidRPr="00321157">
        <w:t>Source:</w:t>
      </w:r>
      <w:r w:rsidRPr="00321157">
        <w:tab/>
        <w:t>Commission calculation.</w:t>
      </w:r>
    </w:p>
    <w:p w:rsidR="00BB3126" w:rsidRPr="00C96469" w:rsidRDefault="00BB3126" w:rsidP="00BB3126">
      <w:pPr>
        <w:pStyle w:val="11para"/>
      </w:pPr>
      <w:r w:rsidRPr="000675E3">
        <w:t xml:space="preserve">The </w:t>
      </w:r>
      <w:r w:rsidRPr="00C96469">
        <w:t xml:space="preserve">main economic and demographic factors causing differences in State fiscal capacities are shown in </w:t>
      </w:r>
      <w:r w:rsidRPr="00C96469">
        <w:fldChar w:fldCharType="begin"/>
      </w:r>
      <w:r w:rsidRPr="00C96469">
        <w:instrText xml:space="preserve"> REF _Ref505683546 \h  \* MERGEFORMAT </w:instrText>
      </w:r>
      <w:r w:rsidRPr="00C96469">
        <w:fldChar w:fldCharType="separate"/>
      </w:r>
      <w:r w:rsidR="00E82224" w:rsidRPr="00C96469">
        <w:t>Table 1</w:t>
      </w:r>
      <w:r w:rsidR="00E82224" w:rsidRPr="00C96469">
        <w:noBreakHyphen/>
      </w:r>
      <w:r w:rsidR="00E82224">
        <w:t>8</w:t>
      </w:r>
      <w:r w:rsidRPr="00C96469">
        <w:fldChar w:fldCharType="end"/>
      </w:r>
      <w:r w:rsidRPr="00C96469">
        <w:t xml:space="preserve">. It shows, for example, that Victoria needs an additional $3 045 million in GST above an EPC share to recognise its below average capacity to raise revenue from mining, while Western Australia </w:t>
      </w:r>
      <w:r>
        <w:t xml:space="preserve">needs </w:t>
      </w:r>
      <w:r w:rsidRPr="00C96469">
        <w:t xml:space="preserve">$4 894 million </w:t>
      </w:r>
      <w:r>
        <w:t xml:space="preserve">in GST </w:t>
      </w:r>
      <w:r w:rsidRPr="00C96469">
        <w:t xml:space="preserve">less than its EPC share </w:t>
      </w:r>
      <w:r w:rsidR="00122877">
        <w:t xml:space="preserve">largely </w:t>
      </w:r>
      <w:r w:rsidRPr="00C96469">
        <w:t>because of its high capacity to raise mining revenue.</w:t>
      </w:r>
    </w:p>
    <w:p w:rsidR="00BB3126" w:rsidRPr="00593D29" w:rsidRDefault="00BB3126" w:rsidP="00BB3126">
      <w:pPr>
        <w:pStyle w:val="11para"/>
      </w:pPr>
      <w:r w:rsidRPr="00593D29">
        <w:t xml:space="preserve">In this update, the Commission again observes significant differences in the innate fiscal capacities of States, which warrant a distribution of GST revenue that differs significantly from one based on State population shares. Further information on why State fiscal capacities differ is provided in Chapter 3, Volume 1 of </w:t>
      </w:r>
      <w:r w:rsidRPr="00E06D38">
        <w:rPr>
          <w:i/>
        </w:rPr>
        <w:t>Report on GST Revenue Sharing Relativities, 2015 Review</w:t>
      </w:r>
      <w:r w:rsidR="00122877">
        <w:t xml:space="preserve">, which is </w:t>
      </w:r>
      <w:r w:rsidR="00122877" w:rsidRPr="005A41D1">
        <w:t xml:space="preserve">available on the </w:t>
      </w:r>
      <w:hyperlink r:id="rId91" w:history="1">
        <w:r w:rsidR="00122877" w:rsidRPr="005A41D1">
          <w:rPr>
            <w:rStyle w:val="Hyperlink"/>
          </w:rPr>
          <w:t>Commission’s website</w:t>
        </w:r>
      </w:hyperlink>
      <w:r w:rsidR="00122877" w:rsidRPr="005A41D1">
        <w:t xml:space="preserve"> (https://</w:t>
      </w:r>
      <w:r w:rsidR="00122877">
        <w:t>www.</w:t>
      </w:r>
      <w:r w:rsidR="00122877" w:rsidRPr="005A41D1">
        <w:t>cgc.gov.au/).</w:t>
      </w:r>
    </w:p>
    <w:p w:rsidR="00BB3126" w:rsidRPr="00C96469" w:rsidRDefault="00BB3126" w:rsidP="00BB3126">
      <w:pPr>
        <w:pStyle w:val="Caption"/>
      </w:pPr>
      <w:bookmarkStart w:id="602" w:name="_Ref505683546"/>
      <w:bookmarkStart w:id="603" w:name="_Ref536780588"/>
      <w:r w:rsidRPr="00C96469">
        <w:lastRenderedPageBreak/>
        <w:t>Table 1</w:t>
      </w:r>
      <w:r w:rsidRPr="00C96469">
        <w:noBreakHyphen/>
      </w:r>
      <w:r>
        <w:rPr>
          <w:noProof/>
        </w:rPr>
        <w:fldChar w:fldCharType="begin"/>
      </w:r>
      <w:r>
        <w:rPr>
          <w:noProof/>
        </w:rPr>
        <w:instrText xml:space="preserve"> SEQ Table \* ARABIC \s 1 </w:instrText>
      </w:r>
      <w:r>
        <w:rPr>
          <w:noProof/>
        </w:rPr>
        <w:fldChar w:fldCharType="separate"/>
      </w:r>
      <w:r w:rsidR="00E82224">
        <w:rPr>
          <w:noProof/>
        </w:rPr>
        <w:t>8</w:t>
      </w:r>
      <w:r>
        <w:rPr>
          <w:noProof/>
        </w:rPr>
        <w:fldChar w:fldCharType="end"/>
      </w:r>
      <w:bookmarkEnd w:id="602"/>
      <w:r w:rsidRPr="00C96469">
        <w:tab/>
        <w:t>Drivers of difference from an equal per capita distribution of GST, 2019</w:t>
      </w:r>
      <w:r w:rsidRPr="00C96469">
        <w:noBreakHyphen/>
        <w:t>20</w:t>
      </w:r>
      <w:bookmarkEnd w:id="603"/>
    </w:p>
    <w:tbl>
      <w:tblPr>
        <w:tblW w:w="8940" w:type="dxa"/>
        <w:tblLayout w:type="fixed"/>
        <w:tblCellMar>
          <w:left w:w="0" w:type="dxa"/>
          <w:right w:w="0" w:type="dxa"/>
        </w:tblCellMar>
        <w:tblLook w:val="04A0" w:firstRow="1" w:lastRow="0" w:firstColumn="1" w:lastColumn="0" w:noHBand="0" w:noVBand="1"/>
      </w:tblPr>
      <w:tblGrid>
        <w:gridCol w:w="3220"/>
        <w:gridCol w:w="640"/>
        <w:gridCol w:w="640"/>
        <w:gridCol w:w="640"/>
        <w:gridCol w:w="640"/>
        <w:gridCol w:w="640"/>
        <w:gridCol w:w="620"/>
        <w:gridCol w:w="620"/>
        <w:gridCol w:w="620"/>
        <w:gridCol w:w="660"/>
      </w:tblGrid>
      <w:tr w:rsidR="00546398" w:rsidRPr="00546398" w:rsidTr="00546398">
        <w:trPr>
          <w:trHeight w:val="379"/>
        </w:trPr>
        <w:tc>
          <w:tcPr>
            <w:tcW w:w="3220" w:type="dxa"/>
            <w:tcBorders>
              <w:top w:val="single" w:sz="4" w:space="0" w:color="auto"/>
              <w:left w:val="nil"/>
              <w:bottom w:val="single" w:sz="4" w:space="0" w:color="auto"/>
              <w:right w:val="nil"/>
            </w:tcBorders>
            <w:shd w:val="clear" w:color="auto" w:fill="auto"/>
            <w:noWrap/>
            <w:vAlign w:val="center"/>
            <w:hideMark/>
          </w:tcPr>
          <w:p w:rsidR="00546398" w:rsidRPr="00546398" w:rsidRDefault="00546398" w:rsidP="00546398">
            <w:pPr>
              <w:keepNext/>
              <w:keepLines/>
              <w:tabs>
                <w:tab w:val="clear" w:pos="567"/>
              </w:tabs>
              <w:spacing w:after="0" w:line="240" w:lineRule="auto"/>
              <w:ind w:left="193" w:hanging="142"/>
              <w:jc w:val="right"/>
              <w:rPr>
                <w:rFonts w:ascii="Calibri" w:eastAsia="Times New Roman" w:hAnsi="Calibri" w:cs="Calibri"/>
                <w:sz w:val="20"/>
                <w:szCs w:val="20"/>
                <w:lang w:eastAsia="en-AU"/>
              </w:rPr>
            </w:pPr>
            <w:bookmarkStart w:id="604" w:name="RANGE!A9:J35"/>
            <w:r w:rsidRPr="00546398">
              <w:rPr>
                <w:rFonts w:ascii="Calibri" w:eastAsia="Times New Roman" w:hAnsi="Calibri" w:cs="Calibri"/>
                <w:sz w:val="20"/>
                <w:szCs w:val="20"/>
                <w:lang w:eastAsia="en-AU"/>
              </w:rPr>
              <w:t> </w:t>
            </w:r>
            <w:bookmarkEnd w:id="604"/>
          </w:p>
        </w:tc>
        <w:tc>
          <w:tcPr>
            <w:tcW w:w="640" w:type="dxa"/>
            <w:tcBorders>
              <w:top w:val="single" w:sz="4" w:space="0" w:color="auto"/>
              <w:left w:val="nil"/>
              <w:bottom w:val="single" w:sz="4" w:space="0" w:color="auto"/>
              <w:right w:val="nil"/>
            </w:tcBorders>
            <w:shd w:val="clear" w:color="auto" w:fill="auto"/>
            <w:noWrap/>
            <w:vAlign w:val="center"/>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NSW</w:t>
            </w:r>
          </w:p>
        </w:tc>
        <w:tc>
          <w:tcPr>
            <w:tcW w:w="640" w:type="dxa"/>
            <w:tcBorders>
              <w:top w:val="single" w:sz="4" w:space="0" w:color="auto"/>
              <w:left w:val="nil"/>
              <w:bottom w:val="single" w:sz="4" w:space="0" w:color="auto"/>
              <w:right w:val="nil"/>
            </w:tcBorders>
            <w:shd w:val="clear" w:color="auto" w:fill="auto"/>
            <w:noWrap/>
            <w:vAlign w:val="center"/>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Vic</w:t>
            </w:r>
          </w:p>
        </w:tc>
        <w:tc>
          <w:tcPr>
            <w:tcW w:w="640" w:type="dxa"/>
            <w:tcBorders>
              <w:top w:val="single" w:sz="4" w:space="0" w:color="auto"/>
              <w:left w:val="nil"/>
              <w:bottom w:val="single" w:sz="4" w:space="0" w:color="auto"/>
              <w:right w:val="nil"/>
            </w:tcBorders>
            <w:shd w:val="clear" w:color="auto" w:fill="auto"/>
            <w:noWrap/>
            <w:vAlign w:val="center"/>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Qld</w:t>
            </w:r>
          </w:p>
        </w:tc>
        <w:tc>
          <w:tcPr>
            <w:tcW w:w="640" w:type="dxa"/>
            <w:tcBorders>
              <w:top w:val="single" w:sz="4" w:space="0" w:color="auto"/>
              <w:left w:val="nil"/>
              <w:bottom w:val="single" w:sz="4" w:space="0" w:color="auto"/>
              <w:right w:val="nil"/>
            </w:tcBorders>
            <w:shd w:val="clear" w:color="auto" w:fill="auto"/>
            <w:noWrap/>
            <w:vAlign w:val="center"/>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WA</w:t>
            </w:r>
          </w:p>
        </w:tc>
        <w:tc>
          <w:tcPr>
            <w:tcW w:w="640" w:type="dxa"/>
            <w:tcBorders>
              <w:top w:val="single" w:sz="4" w:space="0" w:color="auto"/>
              <w:left w:val="nil"/>
              <w:bottom w:val="single" w:sz="4" w:space="0" w:color="auto"/>
              <w:right w:val="nil"/>
            </w:tcBorders>
            <w:shd w:val="clear" w:color="auto" w:fill="auto"/>
            <w:noWrap/>
            <w:vAlign w:val="center"/>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SA</w:t>
            </w:r>
          </w:p>
        </w:tc>
        <w:tc>
          <w:tcPr>
            <w:tcW w:w="620" w:type="dxa"/>
            <w:tcBorders>
              <w:top w:val="single" w:sz="4" w:space="0" w:color="auto"/>
              <w:left w:val="nil"/>
              <w:bottom w:val="single" w:sz="4" w:space="0" w:color="auto"/>
              <w:right w:val="nil"/>
            </w:tcBorders>
            <w:shd w:val="clear" w:color="auto" w:fill="auto"/>
            <w:noWrap/>
            <w:vAlign w:val="center"/>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Tas</w:t>
            </w:r>
          </w:p>
        </w:tc>
        <w:tc>
          <w:tcPr>
            <w:tcW w:w="620" w:type="dxa"/>
            <w:tcBorders>
              <w:top w:val="single" w:sz="4" w:space="0" w:color="auto"/>
              <w:left w:val="nil"/>
              <w:bottom w:val="single" w:sz="4" w:space="0" w:color="auto"/>
              <w:right w:val="nil"/>
            </w:tcBorders>
            <w:shd w:val="clear" w:color="auto" w:fill="auto"/>
            <w:noWrap/>
            <w:vAlign w:val="center"/>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ACT</w:t>
            </w:r>
          </w:p>
        </w:tc>
        <w:tc>
          <w:tcPr>
            <w:tcW w:w="620" w:type="dxa"/>
            <w:tcBorders>
              <w:top w:val="single" w:sz="4" w:space="0" w:color="auto"/>
              <w:left w:val="nil"/>
              <w:bottom w:val="single" w:sz="4" w:space="0" w:color="auto"/>
              <w:right w:val="nil"/>
            </w:tcBorders>
            <w:shd w:val="clear" w:color="auto" w:fill="auto"/>
            <w:noWrap/>
            <w:vAlign w:val="center"/>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NT</w:t>
            </w:r>
          </w:p>
        </w:tc>
        <w:tc>
          <w:tcPr>
            <w:tcW w:w="660" w:type="dxa"/>
            <w:tcBorders>
              <w:top w:val="single" w:sz="4" w:space="0" w:color="auto"/>
              <w:left w:val="nil"/>
              <w:bottom w:val="single" w:sz="4" w:space="0" w:color="auto"/>
              <w:right w:val="nil"/>
            </w:tcBorders>
            <w:shd w:val="clear" w:color="auto" w:fill="auto"/>
            <w:noWrap/>
            <w:vAlign w:val="center"/>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Redist</w:t>
            </w:r>
          </w:p>
        </w:tc>
      </w:tr>
      <w:tr w:rsidR="00546398" w:rsidRPr="00546398" w:rsidTr="00546398">
        <w:trPr>
          <w:trHeight w:val="259"/>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jc w:val="right"/>
              <w:rPr>
                <w:rFonts w:ascii="Calibri" w:eastAsia="Times New Roman" w:hAnsi="Calibri" w:cs="Calibri"/>
                <w:sz w:val="20"/>
                <w:szCs w:val="20"/>
                <w:lang w:eastAsia="en-AU"/>
              </w:rPr>
            </w:pP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$m</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$m</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$m</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$m</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$m</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$m</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$m</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$m</w:t>
            </w:r>
          </w:p>
        </w:tc>
        <w:tc>
          <w:tcPr>
            <w:tcW w:w="66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$m</w:t>
            </w:r>
          </w:p>
        </w:tc>
      </w:tr>
      <w:tr w:rsidR="00546398" w:rsidRPr="00546398" w:rsidTr="00546398">
        <w:trPr>
          <w:trHeight w:val="315"/>
        </w:trPr>
        <w:tc>
          <w:tcPr>
            <w:tcW w:w="32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b/>
                <w:bCs/>
                <w:sz w:val="20"/>
                <w:szCs w:val="20"/>
                <w:lang w:eastAsia="en-AU"/>
              </w:rPr>
            </w:pPr>
            <w:r w:rsidRPr="00546398">
              <w:rPr>
                <w:rFonts w:ascii="Calibri" w:eastAsia="Times New Roman" w:hAnsi="Calibri" w:cs="Calibri"/>
                <w:b/>
                <w:bCs/>
                <w:sz w:val="20"/>
                <w:szCs w:val="20"/>
                <w:lang w:eastAsia="en-AU"/>
              </w:rPr>
              <w:t>Revenue raising capacity</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rPr>
                <w:rFonts w:ascii="Calibri" w:eastAsia="Times New Roman" w:hAnsi="Calibri" w:cs="Calibri"/>
                <w:b/>
                <w:bCs/>
                <w:sz w:val="20"/>
                <w:szCs w:val="20"/>
                <w:lang w:eastAsia="en-AU"/>
              </w:rPr>
            </w:pP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6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Mining production</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2 091</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3 045</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-1 144</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-4 894</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572</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191</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209</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-71</w:t>
            </w:r>
          </w:p>
        </w:tc>
        <w:tc>
          <w:tcPr>
            <w:tcW w:w="66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6 108</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Property sales</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-2 044</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-878</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669</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1 057</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803</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235</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20</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138</w:t>
            </w:r>
          </w:p>
        </w:tc>
        <w:tc>
          <w:tcPr>
            <w:tcW w:w="66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2 922</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Taxable payrolls</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-669</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378</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540</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-874</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483</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199</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-51</w:t>
            </w:r>
          </w:p>
        </w:tc>
        <w:tc>
          <w:tcPr>
            <w:tcW w:w="66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1 599</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Taxable land values</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-742</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-233</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513</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-52</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308</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106</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74</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27</w:t>
            </w:r>
          </w:p>
        </w:tc>
        <w:tc>
          <w:tcPr>
            <w:tcW w:w="66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1 028</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Other revenue</w:t>
            </w:r>
          </w:p>
        </w:tc>
        <w:tc>
          <w:tcPr>
            <w:tcW w:w="64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157</w:t>
            </w:r>
          </w:p>
        </w:tc>
        <w:tc>
          <w:tcPr>
            <w:tcW w:w="64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121</w:t>
            </w:r>
          </w:p>
        </w:tc>
        <w:tc>
          <w:tcPr>
            <w:tcW w:w="64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-69</w:t>
            </w:r>
          </w:p>
        </w:tc>
        <w:tc>
          <w:tcPr>
            <w:tcW w:w="64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-209</w:t>
            </w:r>
          </w:p>
        </w:tc>
        <w:tc>
          <w:tcPr>
            <w:tcW w:w="64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-43</w:t>
            </w:r>
          </w:p>
        </w:tc>
        <w:tc>
          <w:tcPr>
            <w:tcW w:w="62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0</w:t>
            </w:r>
          </w:p>
        </w:tc>
        <w:tc>
          <w:tcPr>
            <w:tcW w:w="62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37</w:t>
            </w:r>
          </w:p>
        </w:tc>
        <w:tc>
          <w:tcPr>
            <w:tcW w:w="62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w:t>
            </w:r>
          </w:p>
        </w:tc>
        <w:tc>
          <w:tcPr>
            <w:tcW w:w="66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321</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i/>
                <w:iCs/>
                <w:sz w:val="20"/>
                <w:szCs w:val="20"/>
                <w:lang w:eastAsia="en-AU"/>
              </w:rPr>
            </w:pPr>
            <w:r w:rsidRPr="00546398">
              <w:rPr>
                <w:rFonts w:ascii="Calibri" w:eastAsia="Times New Roman" w:hAnsi="Calibri" w:cs="Calibri"/>
                <w:i/>
                <w:iCs/>
                <w:sz w:val="20"/>
                <w:szCs w:val="20"/>
                <w:lang w:eastAsia="en-AU"/>
              </w:rPr>
              <w:t>Total revenue</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-1 206</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2 432</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510</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-4 972</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2 122</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731</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335</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48</w:t>
            </w:r>
          </w:p>
        </w:tc>
        <w:tc>
          <w:tcPr>
            <w:tcW w:w="66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6 178</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b/>
                <w:bCs/>
                <w:sz w:val="20"/>
                <w:szCs w:val="20"/>
                <w:lang w:eastAsia="en-AU"/>
              </w:rPr>
            </w:pPr>
            <w:r w:rsidRPr="00546398">
              <w:rPr>
                <w:rFonts w:ascii="Calibri" w:eastAsia="Times New Roman" w:hAnsi="Calibri" w:cs="Calibri"/>
                <w:b/>
                <w:bCs/>
                <w:sz w:val="20"/>
                <w:szCs w:val="20"/>
                <w:lang w:eastAsia="en-AU"/>
              </w:rPr>
              <w:t>Expenditure requirements</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rPr>
                <w:rFonts w:ascii="Calibri" w:eastAsia="Times New Roman" w:hAnsi="Calibri" w:cs="Calibri"/>
                <w:b/>
                <w:bCs/>
                <w:sz w:val="20"/>
                <w:szCs w:val="20"/>
                <w:lang w:eastAsia="en-AU"/>
              </w:rPr>
            </w:pP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6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r>
      <w:tr w:rsidR="00546398" w:rsidRPr="00546398" w:rsidTr="00546398">
        <w:trPr>
          <w:trHeight w:val="315"/>
        </w:trPr>
        <w:tc>
          <w:tcPr>
            <w:tcW w:w="32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Socio-demographic characteristics</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rPr>
                <w:rFonts w:ascii="Calibri" w:eastAsia="Times New Roman" w:hAnsi="Calibri" w:cs="Calibri"/>
                <w:sz w:val="20"/>
                <w:szCs w:val="20"/>
                <w:lang w:eastAsia="en-AU"/>
              </w:rPr>
            </w:pP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c>
          <w:tcPr>
            <w:tcW w:w="66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Times New Roman" w:eastAsia="Times New Roman" w:hAnsi="Times New Roman" w:cs="Times New Roman"/>
                <w:sz w:val="20"/>
                <w:szCs w:val="20"/>
                <w:lang w:eastAsia="en-AU"/>
              </w:rPr>
            </w:pP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Remoteness and regional costs</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-1 207</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-1 009</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732</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413</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86</w:t>
            </w: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395</w:t>
            </w: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-146</w:t>
            </w: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736</w:t>
            </w:r>
          </w:p>
        </w:tc>
        <w:tc>
          <w:tcPr>
            <w:tcW w:w="66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2 362</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Indigenous status</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32</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-1 721</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762</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215</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-128</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120</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-70</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790</w:t>
            </w:r>
          </w:p>
        </w:tc>
        <w:tc>
          <w:tcPr>
            <w:tcW w:w="66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1 919</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Socio-economic status</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84</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-129</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117</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-187</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441</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59</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-249</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-135</w:t>
            </w:r>
          </w:p>
        </w:tc>
        <w:tc>
          <w:tcPr>
            <w:tcW w:w="66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700</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Other SDC (a)</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-68</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-733</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361</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144</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156</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24</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14</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102</w:t>
            </w:r>
          </w:p>
        </w:tc>
        <w:tc>
          <w:tcPr>
            <w:tcW w:w="66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801</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firstLineChars="100" w:firstLine="200"/>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Total</w:t>
            </w:r>
          </w:p>
        </w:tc>
        <w:tc>
          <w:tcPr>
            <w:tcW w:w="640" w:type="dxa"/>
            <w:tcBorders>
              <w:top w:val="single" w:sz="4" w:space="0" w:color="auto"/>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-1 159</w:t>
            </w:r>
          </w:p>
        </w:tc>
        <w:tc>
          <w:tcPr>
            <w:tcW w:w="640" w:type="dxa"/>
            <w:tcBorders>
              <w:top w:val="single" w:sz="4" w:space="0" w:color="auto"/>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-3 592</w:t>
            </w:r>
          </w:p>
        </w:tc>
        <w:tc>
          <w:tcPr>
            <w:tcW w:w="640" w:type="dxa"/>
            <w:tcBorders>
              <w:top w:val="single" w:sz="4" w:space="0" w:color="auto"/>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1 971</w:t>
            </w:r>
          </w:p>
        </w:tc>
        <w:tc>
          <w:tcPr>
            <w:tcW w:w="640" w:type="dxa"/>
            <w:tcBorders>
              <w:top w:val="single" w:sz="4" w:space="0" w:color="auto"/>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585</w:t>
            </w:r>
          </w:p>
        </w:tc>
        <w:tc>
          <w:tcPr>
            <w:tcW w:w="640" w:type="dxa"/>
            <w:tcBorders>
              <w:top w:val="single" w:sz="4" w:space="0" w:color="auto"/>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555</w:t>
            </w:r>
          </w:p>
        </w:tc>
        <w:tc>
          <w:tcPr>
            <w:tcW w:w="620" w:type="dxa"/>
            <w:tcBorders>
              <w:top w:val="single" w:sz="4" w:space="0" w:color="auto"/>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598</w:t>
            </w:r>
          </w:p>
        </w:tc>
        <w:tc>
          <w:tcPr>
            <w:tcW w:w="620" w:type="dxa"/>
            <w:tcBorders>
              <w:top w:val="single" w:sz="4" w:space="0" w:color="auto"/>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-451</w:t>
            </w:r>
          </w:p>
        </w:tc>
        <w:tc>
          <w:tcPr>
            <w:tcW w:w="620" w:type="dxa"/>
            <w:tcBorders>
              <w:top w:val="single" w:sz="4" w:space="0" w:color="auto"/>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1 493</w:t>
            </w:r>
          </w:p>
        </w:tc>
        <w:tc>
          <w:tcPr>
            <w:tcW w:w="660" w:type="dxa"/>
            <w:tcBorders>
              <w:top w:val="single" w:sz="4" w:space="0" w:color="auto"/>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5 202</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Urban centre size (b)</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510</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1219</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-832</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-107</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-270</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-296</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-84</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-140</w:t>
            </w:r>
          </w:p>
        </w:tc>
        <w:tc>
          <w:tcPr>
            <w:tcW w:w="66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1 729</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Administrative scale</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-479</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-326</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-182</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52</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135</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253</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260</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286</w:t>
            </w:r>
          </w:p>
        </w:tc>
        <w:tc>
          <w:tcPr>
            <w:tcW w:w="66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986</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Wage costs</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183</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-195</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-160</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375</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-245</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-166</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141</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68</w:t>
            </w:r>
          </w:p>
        </w:tc>
        <w:tc>
          <w:tcPr>
            <w:tcW w:w="66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767</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Population growth</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-86</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659</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-26</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-322</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-228</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-67</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-14</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85</w:t>
            </w:r>
          </w:p>
        </w:tc>
        <w:tc>
          <w:tcPr>
            <w:tcW w:w="66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744</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Small communities</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-247</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-231</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87</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137</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46</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19</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-15</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205</w:t>
            </w:r>
          </w:p>
        </w:tc>
        <w:tc>
          <w:tcPr>
            <w:tcW w:w="66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494</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Economic activity</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-157</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-144</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83</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156</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71</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17</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-52</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26</w:t>
            </w:r>
          </w:p>
        </w:tc>
        <w:tc>
          <w:tcPr>
            <w:tcW w:w="66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353</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Non-State sector</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-163</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-85</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-72</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233</w:t>
            </w:r>
          </w:p>
        </w:tc>
        <w:tc>
          <w:tcPr>
            <w:tcW w:w="64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8</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64</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44</w:t>
            </w:r>
          </w:p>
        </w:tc>
        <w:tc>
          <w:tcPr>
            <w:tcW w:w="6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-29</w:t>
            </w:r>
          </w:p>
        </w:tc>
        <w:tc>
          <w:tcPr>
            <w:tcW w:w="66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350</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Other expenses</w:t>
            </w:r>
          </w:p>
        </w:tc>
        <w:tc>
          <w:tcPr>
            <w:tcW w:w="64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-297</w:t>
            </w:r>
          </w:p>
        </w:tc>
        <w:tc>
          <w:tcPr>
            <w:tcW w:w="64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-968</w:t>
            </w:r>
          </w:p>
        </w:tc>
        <w:tc>
          <w:tcPr>
            <w:tcW w:w="64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102</w:t>
            </w:r>
          </w:p>
        </w:tc>
        <w:tc>
          <w:tcPr>
            <w:tcW w:w="64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432</w:t>
            </w:r>
          </w:p>
        </w:tc>
        <w:tc>
          <w:tcPr>
            <w:tcW w:w="64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87</w:t>
            </w:r>
          </w:p>
        </w:tc>
        <w:tc>
          <w:tcPr>
            <w:tcW w:w="62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18</w:t>
            </w:r>
          </w:p>
        </w:tc>
        <w:tc>
          <w:tcPr>
            <w:tcW w:w="62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16</w:t>
            </w:r>
          </w:p>
        </w:tc>
        <w:tc>
          <w:tcPr>
            <w:tcW w:w="62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609</w:t>
            </w:r>
          </w:p>
        </w:tc>
        <w:tc>
          <w:tcPr>
            <w:tcW w:w="66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1264</w:t>
            </w:r>
          </w:p>
        </w:tc>
      </w:tr>
      <w:tr w:rsidR="00546398" w:rsidRPr="00546398" w:rsidTr="00546398">
        <w:trPr>
          <w:trHeight w:val="315"/>
        </w:trPr>
        <w:tc>
          <w:tcPr>
            <w:tcW w:w="32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i/>
                <w:iCs/>
                <w:sz w:val="20"/>
                <w:szCs w:val="20"/>
                <w:lang w:eastAsia="en-AU"/>
              </w:rPr>
            </w:pPr>
            <w:r w:rsidRPr="00546398">
              <w:rPr>
                <w:rFonts w:ascii="Calibri" w:eastAsia="Times New Roman" w:hAnsi="Calibri" w:cs="Calibri"/>
                <w:i/>
                <w:iCs/>
                <w:sz w:val="20"/>
                <w:szCs w:val="20"/>
                <w:lang w:eastAsia="en-AU"/>
              </w:rPr>
              <w:t>Total expense and investment (c)</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-1 893</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-3 664</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971</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1 541</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159</w:t>
            </w: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440</w:t>
            </w: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-157</w:t>
            </w: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2 603</w:t>
            </w:r>
          </w:p>
        </w:tc>
        <w:tc>
          <w:tcPr>
            <w:tcW w:w="66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5 714</w:t>
            </w:r>
          </w:p>
        </w:tc>
      </w:tr>
      <w:tr w:rsidR="00546398" w:rsidRPr="00546398" w:rsidTr="00546398">
        <w:trPr>
          <w:trHeight w:val="315"/>
        </w:trPr>
        <w:tc>
          <w:tcPr>
            <w:tcW w:w="3220" w:type="dxa"/>
            <w:tcBorders>
              <w:top w:val="nil"/>
              <w:left w:val="nil"/>
              <w:bottom w:val="nil"/>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b/>
                <w:bCs/>
                <w:i/>
                <w:iCs/>
                <w:sz w:val="20"/>
                <w:szCs w:val="20"/>
                <w:lang w:eastAsia="en-AU"/>
              </w:rPr>
            </w:pPr>
            <w:r w:rsidRPr="00546398">
              <w:rPr>
                <w:rFonts w:ascii="Calibri" w:eastAsia="Times New Roman" w:hAnsi="Calibri" w:cs="Calibri"/>
                <w:b/>
                <w:bCs/>
                <w:i/>
                <w:iCs/>
                <w:sz w:val="20"/>
                <w:szCs w:val="20"/>
                <w:lang w:eastAsia="en-AU"/>
              </w:rPr>
              <w:t>Commonwealth payments</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263</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953</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-714</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12</w:t>
            </w:r>
          </w:p>
        </w:tc>
        <w:tc>
          <w:tcPr>
            <w:tcW w:w="64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-67</w:t>
            </w: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-86</w:t>
            </w: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100</w:t>
            </w:r>
          </w:p>
        </w:tc>
        <w:tc>
          <w:tcPr>
            <w:tcW w:w="62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-460</w:t>
            </w:r>
          </w:p>
        </w:tc>
        <w:tc>
          <w:tcPr>
            <w:tcW w:w="660" w:type="dxa"/>
            <w:tcBorders>
              <w:top w:val="nil"/>
              <w:left w:val="nil"/>
              <w:bottom w:val="nil"/>
              <w:right w:val="nil"/>
            </w:tcBorders>
            <w:shd w:val="clear" w:color="auto" w:fill="auto"/>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1 327</w:t>
            </w:r>
          </w:p>
        </w:tc>
      </w:tr>
      <w:tr w:rsidR="00546398" w:rsidRPr="00546398" w:rsidTr="00546398">
        <w:trPr>
          <w:trHeight w:val="315"/>
        </w:trPr>
        <w:tc>
          <w:tcPr>
            <w:tcW w:w="3220" w:type="dxa"/>
            <w:tcBorders>
              <w:top w:val="nil"/>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ind w:left="193" w:hanging="142"/>
              <w:rPr>
                <w:rFonts w:ascii="Calibri" w:eastAsia="Times New Roman" w:hAnsi="Calibri" w:cs="Calibri"/>
                <w:b/>
                <w:bCs/>
                <w:sz w:val="20"/>
                <w:szCs w:val="20"/>
                <w:lang w:eastAsia="en-AU"/>
              </w:rPr>
            </w:pPr>
            <w:r w:rsidRPr="00546398">
              <w:rPr>
                <w:rFonts w:ascii="Calibri" w:eastAsia="Times New Roman" w:hAnsi="Calibri" w:cs="Calibri"/>
                <w:b/>
                <w:bCs/>
                <w:sz w:val="20"/>
                <w:szCs w:val="20"/>
                <w:lang w:eastAsia="en-AU"/>
              </w:rPr>
              <w:t>TOTAL</w:t>
            </w:r>
          </w:p>
        </w:tc>
        <w:tc>
          <w:tcPr>
            <w:tcW w:w="640" w:type="dxa"/>
            <w:tcBorders>
              <w:top w:val="single" w:sz="4" w:space="0" w:color="auto"/>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-2 836</w:t>
            </w:r>
          </w:p>
        </w:tc>
        <w:tc>
          <w:tcPr>
            <w:tcW w:w="640" w:type="dxa"/>
            <w:tcBorders>
              <w:top w:val="single" w:sz="4" w:space="0" w:color="auto"/>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-279</w:t>
            </w:r>
          </w:p>
        </w:tc>
        <w:tc>
          <w:tcPr>
            <w:tcW w:w="640" w:type="dxa"/>
            <w:tcBorders>
              <w:top w:val="single" w:sz="4" w:space="0" w:color="auto"/>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767</w:t>
            </w:r>
          </w:p>
        </w:tc>
        <w:tc>
          <w:tcPr>
            <w:tcW w:w="640" w:type="dxa"/>
            <w:tcBorders>
              <w:top w:val="single" w:sz="4" w:space="0" w:color="auto"/>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-3 419</w:t>
            </w:r>
          </w:p>
        </w:tc>
        <w:tc>
          <w:tcPr>
            <w:tcW w:w="640" w:type="dxa"/>
            <w:tcBorders>
              <w:top w:val="single" w:sz="4" w:space="0" w:color="auto"/>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2 215</w:t>
            </w:r>
          </w:p>
        </w:tc>
        <w:tc>
          <w:tcPr>
            <w:tcW w:w="620" w:type="dxa"/>
            <w:tcBorders>
              <w:top w:val="single" w:sz="4" w:space="0" w:color="auto"/>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1 084</w:t>
            </w:r>
          </w:p>
        </w:tc>
        <w:tc>
          <w:tcPr>
            <w:tcW w:w="620" w:type="dxa"/>
            <w:tcBorders>
              <w:top w:val="single" w:sz="4" w:space="0" w:color="auto"/>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278</w:t>
            </w:r>
          </w:p>
        </w:tc>
        <w:tc>
          <w:tcPr>
            <w:tcW w:w="620" w:type="dxa"/>
            <w:tcBorders>
              <w:top w:val="single" w:sz="4" w:space="0" w:color="auto"/>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2 191</w:t>
            </w:r>
          </w:p>
        </w:tc>
        <w:tc>
          <w:tcPr>
            <w:tcW w:w="660" w:type="dxa"/>
            <w:tcBorders>
              <w:top w:val="single" w:sz="4" w:space="0" w:color="auto"/>
              <w:left w:val="nil"/>
              <w:bottom w:val="single" w:sz="4" w:space="0" w:color="auto"/>
              <w:right w:val="nil"/>
            </w:tcBorders>
            <w:shd w:val="clear" w:color="auto" w:fill="auto"/>
            <w:noWrap/>
            <w:vAlign w:val="bottom"/>
            <w:hideMark/>
          </w:tcPr>
          <w:p w:rsidR="00546398" w:rsidRPr="00546398" w:rsidRDefault="00546398" w:rsidP="00546398">
            <w:pPr>
              <w:keepNext/>
              <w:keepLines/>
              <w:tabs>
                <w:tab w:val="clear" w:pos="567"/>
              </w:tabs>
              <w:spacing w:after="0" w:line="240" w:lineRule="auto"/>
              <w:jc w:val="right"/>
              <w:rPr>
                <w:rFonts w:ascii="Calibri" w:eastAsia="Times New Roman" w:hAnsi="Calibri" w:cs="Calibri"/>
                <w:sz w:val="20"/>
                <w:szCs w:val="20"/>
                <w:lang w:eastAsia="en-AU"/>
              </w:rPr>
            </w:pPr>
            <w:r w:rsidRPr="00546398">
              <w:rPr>
                <w:rFonts w:ascii="Calibri" w:eastAsia="Times New Roman" w:hAnsi="Calibri" w:cs="Calibri"/>
                <w:sz w:val="20"/>
                <w:szCs w:val="20"/>
                <w:lang w:eastAsia="en-AU"/>
              </w:rPr>
              <w:t>6 534</w:t>
            </w:r>
          </w:p>
        </w:tc>
      </w:tr>
    </w:tbl>
    <w:p w:rsidR="00BB3126" w:rsidRPr="00A9599A" w:rsidRDefault="00BB3126" w:rsidP="00BB3126">
      <w:pPr>
        <w:pStyle w:val="CGCTableFootnote"/>
      </w:pPr>
      <w:r w:rsidRPr="00A9599A">
        <w:t>Note:</w:t>
      </w:r>
      <w:r w:rsidRPr="00A9599A">
        <w:tab/>
        <w:t xml:space="preserve">For explanations of what each effect includes see the supporting information to this report located on the </w:t>
      </w:r>
      <w:hyperlink r:id="rId92" w:history="1">
        <w:r w:rsidRPr="00A9599A">
          <w:rPr>
            <w:rStyle w:val="Hyperlink"/>
          </w:rPr>
          <w:t>Commission’s website</w:t>
        </w:r>
      </w:hyperlink>
      <w:r w:rsidRPr="00A9599A">
        <w:rPr>
          <w:rStyle w:val="CGCTableStubChar"/>
          <w:szCs w:val="24"/>
        </w:rPr>
        <w:t xml:space="preserve"> (</w:t>
      </w:r>
      <w:r w:rsidRPr="00A9599A">
        <w:t>https://</w:t>
      </w:r>
      <w:r w:rsidR="00E769C5">
        <w:t>www.</w:t>
      </w:r>
      <w:r w:rsidRPr="00A9599A">
        <w:t>cgc.gov.au/)</w:t>
      </w:r>
      <w:r w:rsidRPr="00A9599A">
        <w:rPr>
          <w:rStyle w:val="CGCTableStubChar"/>
          <w:szCs w:val="24"/>
        </w:rPr>
        <w:t>.</w:t>
      </w:r>
    </w:p>
    <w:p w:rsidR="00BB3126" w:rsidRPr="00A9599A" w:rsidRDefault="00BB3126" w:rsidP="00BB3126">
      <w:pPr>
        <w:pStyle w:val="CGCTableFootnote"/>
      </w:pPr>
      <w:r w:rsidRPr="00A9599A">
        <w:t>(a)</w:t>
      </w:r>
      <w:r w:rsidRPr="00A9599A">
        <w:tab/>
      </w:r>
      <w:r w:rsidR="00366211" w:rsidRPr="00366211">
        <w:t>Other SDC refers to other socio-demographic composition, it includes</w:t>
      </w:r>
      <w:r w:rsidR="00366211">
        <w:t xml:space="preserve"> </w:t>
      </w:r>
      <w:r w:rsidR="00366211" w:rsidRPr="00366211">
        <w:t>effects of age, people with disabilities and household size, as well as the full effect of SDC in Commonwealth funded government schools, where the individual elements of SDC cannot be separately identified</w:t>
      </w:r>
      <w:r w:rsidR="00366211">
        <w:t xml:space="preserve">. </w:t>
      </w:r>
    </w:p>
    <w:p w:rsidR="00BB3126" w:rsidRDefault="00BB3126" w:rsidP="00BB3126">
      <w:pPr>
        <w:pStyle w:val="CGCTableFootnote"/>
      </w:pPr>
      <w:r w:rsidRPr="00A9599A">
        <w:t>(b)</w:t>
      </w:r>
      <w:r w:rsidRPr="00A9599A">
        <w:tab/>
      </w:r>
      <w:r w:rsidR="00366211" w:rsidRPr="00366211">
        <w:t>This includes the effect of urban centre size on both investment needs and recurrent expenditure. It differs from the concept in the State tables (</w:t>
      </w:r>
      <w:r w:rsidR="00366211" w:rsidRPr="00366211">
        <w:fldChar w:fldCharType="begin"/>
      </w:r>
      <w:r w:rsidR="00366211" w:rsidRPr="00366211">
        <w:instrText xml:space="preserve"> REF _Ref1114209 \h  \* MERGEFORMAT </w:instrText>
      </w:r>
      <w:r w:rsidR="00366211" w:rsidRPr="00366211">
        <w:fldChar w:fldCharType="separate"/>
      </w:r>
      <w:r w:rsidR="00E82224" w:rsidRPr="00E82224">
        <w:t>Table 5</w:t>
      </w:r>
      <w:r w:rsidR="00366211" w:rsidRPr="00366211">
        <w:fldChar w:fldCharType="end"/>
      </w:r>
      <w:r w:rsidR="00366211" w:rsidRPr="00366211">
        <w:t xml:space="preserve"> to </w:t>
      </w:r>
      <w:r w:rsidR="00366211" w:rsidRPr="00366211">
        <w:fldChar w:fldCharType="begin"/>
      </w:r>
      <w:r w:rsidR="00366211" w:rsidRPr="00366211">
        <w:instrText xml:space="preserve"> REF _Ref1114250 \h </w:instrText>
      </w:r>
      <w:r w:rsidR="00366211">
        <w:instrText xml:space="preserve"> \* MERGEFORMAT </w:instrText>
      </w:r>
      <w:r w:rsidR="00366211" w:rsidRPr="00366211">
        <w:fldChar w:fldCharType="separate"/>
      </w:r>
      <w:r w:rsidR="00E82224" w:rsidRPr="00E82224">
        <w:t>Table 23</w:t>
      </w:r>
      <w:r w:rsidR="00366211" w:rsidRPr="00366211">
        <w:fldChar w:fldCharType="end"/>
      </w:r>
      <w:r w:rsidR="00366211" w:rsidRPr="00366211">
        <w:t>), which include only</w:t>
      </w:r>
      <w:r w:rsidR="00366211">
        <w:t xml:space="preserve"> investment growth in transport</w:t>
      </w:r>
      <w:r w:rsidRPr="00A9599A">
        <w:t>.</w:t>
      </w:r>
    </w:p>
    <w:p w:rsidR="00366211" w:rsidRPr="00366211" w:rsidRDefault="00366211" w:rsidP="00366211">
      <w:pPr>
        <w:pStyle w:val="CGCTableFootnote"/>
      </w:pPr>
      <w:r>
        <w:t>(c)</w:t>
      </w:r>
      <w:r>
        <w:tab/>
        <w:t>This includes the effect of net borrowing.</w:t>
      </w:r>
    </w:p>
    <w:p w:rsidR="00BB3126" w:rsidRPr="00A9599A" w:rsidRDefault="00BB3126" w:rsidP="00BB3126">
      <w:pPr>
        <w:pStyle w:val="CGCTableFootnote"/>
      </w:pPr>
      <w:r w:rsidRPr="00A9599A">
        <w:t>Source:</w:t>
      </w:r>
      <w:r w:rsidRPr="00A9599A">
        <w:tab/>
        <w:t>Commission calculation.</w:t>
      </w:r>
    </w:p>
    <w:p w:rsidR="00BB3126" w:rsidRPr="00ED6F6C" w:rsidRDefault="00BB3126" w:rsidP="00BB3126">
      <w:pPr>
        <w:pStyle w:val="Heading3"/>
      </w:pPr>
      <w:bookmarkStart w:id="605" w:name="_Toc442191925"/>
      <w:bookmarkStart w:id="606" w:name="_Toc442192179"/>
      <w:bookmarkStart w:id="607" w:name="_Toc442192244"/>
      <w:bookmarkStart w:id="608" w:name="_Toc442772828"/>
      <w:bookmarkStart w:id="609" w:name="_Toc442773057"/>
      <w:bookmarkStart w:id="610" w:name="_Toc442773227"/>
      <w:bookmarkStart w:id="611" w:name="_Toc442773568"/>
      <w:bookmarkStart w:id="612" w:name="_Toc442883294"/>
      <w:bookmarkStart w:id="613" w:name="_Toc474923768"/>
      <w:bookmarkStart w:id="614" w:name="_Toc505872186"/>
      <w:bookmarkStart w:id="615" w:name="_Toc536519637"/>
      <w:bookmarkStart w:id="616" w:name="_Toc536631347"/>
      <w:bookmarkStart w:id="617" w:name="_Toc536803187"/>
      <w:bookmarkStart w:id="618" w:name="_Toc536803275"/>
      <w:bookmarkStart w:id="619" w:name="_Toc1115149"/>
      <w:r w:rsidRPr="00ED6F6C">
        <w:t>Size of the equalisation task</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rsidR="00BB3126" w:rsidRPr="00ED6F6C" w:rsidRDefault="00BB3126" w:rsidP="00BB3126">
      <w:pPr>
        <w:pStyle w:val="11para"/>
      </w:pPr>
      <w:r w:rsidRPr="00ED6F6C">
        <w:t>States have different fiscal capacities at the beginning of the equalisation process. The distribution of GST revenue both increases and equalises those capacities</w:t>
      </w:r>
      <w:r>
        <w:t xml:space="preserve"> for all States</w:t>
      </w:r>
      <w:r w:rsidRPr="00ED6F6C">
        <w:t xml:space="preserve">. The size of the equalisation task is determined by the variation in their initial fiscal capacities. As they diverge, more GST is required to achieve equalisation. </w:t>
      </w:r>
    </w:p>
    <w:p w:rsidR="00BB3126" w:rsidRPr="00ED6F6C" w:rsidRDefault="00BB3126" w:rsidP="00BB3126">
      <w:pPr>
        <w:pStyle w:val="11para"/>
      </w:pPr>
      <w:r w:rsidRPr="00ED6F6C">
        <w:lastRenderedPageBreak/>
        <w:t xml:space="preserve">The process of distributing GST revenue can be thought of in </w:t>
      </w:r>
      <w:r>
        <w:t>two different</w:t>
      </w:r>
      <w:r w:rsidRPr="00ED6F6C">
        <w:t xml:space="preserve"> ways.</w:t>
      </w:r>
    </w:p>
    <w:p w:rsidR="00BB3126" w:rsidRPr="00ED6F6C" w:rsidRDefault="00BB3126" w:rsidP="00BB3126">
      <w:pPr>
        <w:pStyle w:val="CGCBulletlist"/>
        <w:numPr>
          <w:ilvl w:val="0"/>
          <w:numId w:val="1"/>
        </w:numPr>
        <w:tabs>
          <w:tab w:val="clear" w:pos="927"/>
        </w:tabs>
        <w:ind w:left="1134" w:hanging="567"/>
      </w:pPr>
      <w:r w:rsidRPr="00ED6F6C">
        <w:t xml:space="preserve">GST revenue is first distributed on a population basis, raising the fiscal capacity of all States equally. Then there is a redistribution to achieve equalisation – from States with above average capacity to those with below average capacity. The size of this redistribution is one measure of the equalisation task. </w:t>
      </w:r>
    </w:p>
    <w:p w:rsidR="00BB3126" w:rsidRPr="00ED6F6C" w:rsidRDefault="00BB3126" w:rsidP="00BB3126">
      <w:pPr>
        <w:pStyle w:val="CGCBulletlist"/>
        <w:numPr>
          <w:ilvl w:val="0"/>
          <w:numId w:val="1"/>
        </w:numPr>
        <w:tabs>
          <w:tab w:val="clear" w:pos="927"/>
        </w:tabs>
        <w:ind w:left="1134" w:hanging="567"/>
      </w:pPr>
      <w:r w:rsidRPr="00ED6F6C">
        <w:t xml:space="preserve">GST revenue is first distributed to bring the initial fiscal capacities of all States to that of the strongest. The remaining GST is then distributed equally among all States. The GST required to achieve the first step is an alternative measure of the equalisation task. </w:t>
      </w:r>
    </w:p>
    <w:p w:rsidR="00BB3126" w:rsidRPr="00ED6F6C" w:rsidRDefault="00BB3126" w:rsidP="00BB3126">
      <w:pPr>
        <w:pStyle w:val="11para"/>
      </w:pPr>
      <w:r w:rsidRPr="00ED6F6C">
        <w:t>These two measures, which can be expressed in dollars or as a proportion of GST revenue, highlight different aspects of the equalisation task. The first identifies the aggregate transfer from an EPC distribution for States with above average fiscal capacities to States with below average fiscal capacities. The second identifies the difference between the strongest State and the average of the others.</w:t>
      </w:r>
    </w:p>
    <w:p w:rsidR="00BB3126" w:rsidRPr="00ED6F6C" w:rsidRDefault="00676E09" w:rsidP="00BB3126">
      <w:pPr>
        <w:pStyle w:val="11para"/>
      </w:pPr>
      <w:r>
        <w:t>However, n</w:t>
      </w:r>
      <w:r w:rsidR="00BB3126" w:rsidRPr="00ED6F6C">
        <w:t>ote that these are conceptual illustrations of equalisation only and do not reflect what the Commission does in practice. For example, to take the second approach described above, the Commission’s objective is not in fact to ‘level up’ seven States to the fiscal capacity of the fiscally strongest State; rather, it seeks to ensure that every State, including the fiscally strongest, has the same capacity to provide the average standard of State services.</w:t>
      </w:r>
    </w:p>
    <w:p w:rsidR="00BB3126" w:rsidRPr="007D0E34" w:rsidRDefault="00BB3126" w:rsidP="00BB3126">
      <w:pPr>
        <w:pStyle w:val="11para"/>
      </w:pPr>
      <w:r w:rsidRPr="007D0E34">
        <w:t xml:space="preserve">In relation to the first measure, </w:t>
      </w:r>
      <w:r w:rsidRPr="007D0E34">
        <w:fldChar w:fldCharType="begin"/>
      </w:r>
      <w:r w:rsidRPr="007D0E34">
        <w:instrText xml:space="preserve"> REF _Ref504227889 \h  \* MERGEFORMAT </w:instrText>
      </w:r>
      <w:r w:rsidRPr="007D0E34">
        <w:fldChar w:fldCharType="separate"/>
      </w:r>
      <w:r w:rsidR="00E82224" w:rsidRPr="004143EB">
        <w:t>Figure 1</w:t>
      </w:r>
      <w:r w:rsidR="00E82224" w:rsidRPr="004143EB">
        <w:noBreakHyphen/>
      </w:r>
      <w:r w:rsidR="00E82224">
        <w:t>8</w:t>
      </w:r>
      <w:r w:rsidRPr="007D0E34">
        <w:fldChar w:fldCharType="end"/>
      </w:r>
      <w:r w:rsidRPr="007D0E34">
        <w:t xml:space="preserve"> shows that the proportion of GST redistributed to the States with below average fiscal capacities increased between 2010</w:t>
      </w:r>
      <w:r w:rsidRPr="007D0E34">
        <w:noBreakHyphen/>
        <w:t>11 and 2016</w:t>
      </w:r>
      <w:r w:rsidRPr="007D0E34">
        <w:noBreakHyphen/>
        <w:t>17, mainly due to the deterioration in Queensland’s assessed fiscal capacity. Since that time, the proportion has decreased. In this update, 9.5% of the GST pool is redistributed to the four less populous States and Queensland to achieve fiscal equalisation, down from 10.4% in last year’s update</w:t>
      </w:r>
      <w:r>
        <w:t>, reflecting the improvement in Queensland’s assessed fiscal capacity</w:t>
      </w:r>
      <w:r w:rsidRPr="007D0E34">
        <w:t xml:space="preserve">. </w:t>
      </w:r>
    </w:p>
    <w:p w:rsidR="00BB3126" w:rsidRPr="00617995" w:rsidRDefault="00BB3126" w:rsidP="00BB3126">
      <w:pPr>
        <w:pStyle w:val="11para"/>
      </w:pPr>
      <w:r w:rsidRPr="00617995">
        <w:t>In this update, the redistribution in 2019</w:t>
      </w:r>
      <w:r w:rsidRPr="00617995">
        <w:noBreakHyphen/>
        <w:t>20 to the four less populous States accounts for 88</w:t>
      </w:r>
      <w:r>
        <w:t>% of the $6.5</w:t>
      </w:r>
      <w:r w:rsidRPr="002F29B3">
        <w:t xml:space="preserve"> billion GST redistribution shown</w:t>
      </w:r>
      <w:r w:rsidRPr="00617995">
        <w:t xml:space="preserve"> in </w:t>
      </w:r>
      <w:r w:rsidRPr="00617995">
        <w:fldChar w:fldCharType="begin"/>
      </w:r>
      <w:r w:rsidRPr="00617995">
        <w:instrText xml:space="preserve"> REF _Ref504227889 \h  \* MERGEFORMAT </w:instrText>
      </w:r>
      <w:r w:rsidRPr="00617995">
        <w:fldChar w:fldCharType="separate"/>
      </w:r>
      <w:r w:rsidR="00E82224" w:rsidRPr="004143EB">
        <w:t>Figure 1</w:t>
      </w:r>
      <w:r w:rsidR="00E82224" w:rsidRPr="004143EB">
        <w:noBreakHyphen/>
      </w:r>
      <w:r w:rsidR="00E82224">
        <w:t>8</w:t>
      </w:r>
      <w:r w:rsidRPr="00617995">
        <w:fldChar w:fldCharType="end"/>
      </w:r>
      <w:r w:rsidRPr="00617995">
        <w:t xml:space="preserve">. These States have about 11.6% of Australia’s population and receive </w:t>
      </w:r>
      <w:r>
        <w:t>19.9</w:t>
      </w:r>
      <w:r w:rsidRPr="00617995">
        <w:t>% of the GST, which is similar to the long</w:t>
      </w:r>
      <w:r w:rsidRPr="00617995">
        <w:noBreakHyphen/>
        <w:t>term average proportion of 20.4%. Redistribution to these States is mostly the result of weaker revenue bases and higher service delivery costs.</w:t>
      </w:r>
    </w:p>
    <w:p w:rsidR="00BB3126" w:rsidRPr="00C163F6" w:rsidRDefault="00BB3126" w:rsidP="00BB3126">
      <w:pPr>
        <w:pStyle w:val="11para"/>
      </w:pPr>
      <w:r w:rsidRPr="00C163F6">
        <w:fldChar w:fldCharType="begin"/>
      </w:r>
      <w:r w:rsidRPr="00C163F6">
        <w:instrText xml:space="preserve"> REF _Ref505859346 \h  \* MERGEFORMAT </w:instrText>
      </w:r>
      <w:r w:rsidRPr="00C163F6">
        <w:fldChar w:fldCharType="separate"/>
      </w:r>
      <w:r w:rsidR="00E82224" w:rsidRPr="004143EB">
        <w:t>Figure 1</w:t>
      </w:r>
      <w:r w:rsidR="00E82224" w:rsidRPr="004143EB">
        <w:noBreakHyphen/>
      </w:r>
      <w:r w:rsidR="00E82224">
        <w:t>9</w:t>
      </w:r>
      <w:r w:rsidRPr="00C163F6">
        <w:fldChar w:fldCharType="end"/>
      </w:r>
      <w:r w:rsidRPr="00C163F6">
        <w:t xml:space="preserve"> shows the contribution of States with above average fiscal capacities to the GST redistribution. Western Australia’s assessed fiscal capacity fell in this update for the fourth year in a row, following an increase in all but one of the </w:t>
      </w:r>
      <w:r>
        <w:t>nine</w:t>
      </w:r>
      <w:r w:rsidRPr="00C163F6">
        <w:t xml:space="preserve"> preceding </w:t>
      </w:r>
      <w:r>
        <w:t>years</w:t>
      </w:r>
      <w:r w:rsidRPr="00C163F6">
        <w:t>. New South Wales’ assessed fiscal capacity has also fallen</w:t>
      </w:r>
      <w:r>
        <w:t xml:space="preserve"> in this update. T</w:t>
      </w:r>
      <w:r w:rsidRPr="00C163F6">
        <w:t xml:space="preserve">his follows an increase in its assessed fiscal capacity in the previous four years. </w:t>
      </w:r>
      <w:r>
        <w:t xml:space="preserve">In contrast, Victoria’s </w:t>
      </w:r>
      <w:r w:rsidRPr="00C163F6">
        <w:t xml:space="preserve">assessed fiscal capacity has </w:t>
      </w:r>
      <w:r>
        <w:t>increased</w:t>
      </w:r>
      <w:r w:rsidRPr="00C163F6">
        <w:t xml:space="preserve"> in this update</w:t>
      </w:r>
      <w:r>
        <w:t>, albeit marginally</w:t>
      </w:r>
      <w:r w:rsidRPr="00C163F6">
        <w:t xml:space="preserve">, </w:t>
      </w:r>
      <w:r>
        <w:t>following a decrease</w:t>
      </w:r>
      <w:r w:rsidRPr="00C163F6">
        <w:t xml:space="preserve"> in the previous four years.</w:t>
      </w:r>
    </w:p>
    <w:p w:rsidR="00BB3126" w:rsidRPr="004143EB" w:rsidRDefault="00BB3126" w:rsidP="00BB3126">
      <w:pPr>
        <w:pStyle w:val="CGCTableHeading"/>
      </w:pPr>
      <w:bookmarkStart w:id="620" w:name="_Ref504227889"/>
      <w:r w:rsidRPr="004143EB">
        <w:lastRenderedPageBreak/>
        <w:t>Figure 1</w:t>
      </w:r>
      <w:r w:rsidRPr="004143EB">
        <w:noBreakHyphen/>
      </w:r>
      <w:r>
        <w:rPr>
          <w:noProof/>
        </w:rPr>
        <w:fldChar w:fldCharType="begin"/>
      </w:r>
      <w:r>
        <w:rPr>
          <w:noProof/>
        </w:rPr>
        <w:instrText xml:space="preserve"> SEQ Figure \* ARABIC \s 1 </w:instrText>
      </w:r>
      <w:r>
        <w:rPr>
          <w:noProof/>
        </w:rPr>
        <w:fldChar w:fldCharType="separate"/>
      </w:r>
      <w:r w:rsidR="00E82224">
        <w:rPr>
          <w:noProof/>
        </w:rPr>
        <w:t>8</w:t>
      </w:r>
      <w:r>
        <w:rPr>
          <w:noProof/>
        </w:rPr>
        <w:fldChar w:fldCharType="end"/>
      </w:r>
      <w:bookmarkEnd w:id="620"/>
      <w:r w:rsidRPr="004143EB">
        <w:tab/>
        <w:t>Proportion of the GST redistributed to States with below average fiscal capacities, 2000</w:t>
      </w:r>
      <w:r w:rsidRPr="004143EB">
        <w:noBreakHyphen/>
        <w:t>01 to 2019</w:t>
      </w:r>
      <w:r w:rsidRPr="004143EB">
        <w:noBreakHyphen/>
        <w:t>20</w:t>
      </w:r>
    </w:p>
    <w:p w:rsidR="00BB3126" w:rsidRPr="004143EB" w:rsidRDefault="00BB3126" w:rsidP="00BB3126">
      <w:r w:rsidRPr="00796544">
        <w:rPr>
          <w:noProof/>
          <w:lang w:eastAsia="en-AU"/>
        </w:rPr>
        <w:drawing>
          <wp:inline distT="0" distB="0" distL="0" distR="0" wp14:anchorId="67A1D2C4" wp14:editId="461FA715">
            <wp:extent cx="5648960" cy="3564890"/>
            <wp:effectExtent l="0" t="0" r="8890" b="0"/>
            <wp:docPr id="7" name="Picture 7" descr="This figure shows the proportion of the GST redistributed to States with below average fiscal capacities between 2000-01 and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48960" cy="3564890"/>
                    </a:xfrm>
                    <a:prstGeom prst="rect">
                      <a:avLst/>
                    </a:prstGeom>
                    <a:noFill/>
                    <a:ln>
                      <a:noFill/>
                    </a:ln>
                  </pic:spPr>
                </pic:pic>
              </a:graphicData>
            </a:graphic>
          </wp:inline>
        </w:drawing>
      </w:r>
    </w:p>
    <w:p w:rsidR="00BB3126" w:rsidRPr="004143EB" w:rsidRDefault="00BB3126" w:rsidP="00BB3126">
      <w:pPr>
        <w:pStyle w:val="CGCTableFootnote"/>
      </w:pPr>
      <w:r w:rsidRPr="004143EB">
        <w:t>Source:</w:t>
      </w:r>
      <w:r w:rsidRPr="004143EB">
        <w:tab/>
        <w:t>Commission calculation.</w:t>
      </w:r>
    </w:p>
    <w:p w:rsidR="00BB3126" w:rsidRPr="004143EB" w:rsidRDefault="00BB3126" w:rsidP="00BB3126">
      <w:pPr>
        <w:pStyle w:val="CGCTableHeading"/>
      </w:pPr>
      <w:bookmarkStart w:id="621" w:name="_Ref505859346"/>
      <w:r w:rsidRPr="004143EB">
        <w:t>Figure 1</w:t>
      </w:r>
      <w:r w:rsidRPr="004143EB">
        <w:noBreakHyphen/>
      </w:r>
      <w:r>
        <w:rPr>
          <w:noProof/>
        </w:rPr>
        <w:fldChar w:fldCharType="begin"/>
      </w:r>
      <w:r>
        <w:rPr>
          <w:noProof/>
        </w:rPr>
        <w:instrText xml:space="preserve"> SEQ Figure \* ARABIC \s 1 </w:instrText>
      </w:r>
      <w:r>
        <w:rPr>
          <w:noProof/>
        </w:rPr>
        <w:fldChar w:fldCharType="separate"/>
      </w:r>
      <w:r w:rsidR="00E82224">
        <w:rPr>
          <w:noProof/>
        </w:rPr>
        <w:t>9</w:t>
      </w:r>
      <w:r>
        <w:rPr>
          <w:noProof/>
        </w:rPr>
        <w:fldChar w:fldCharType="end"/>
      </w:r>
      <w:bookmarkEnd w:id="621"/>
      <w:r w:rsidRPr="004143EB">
        <w:tab/>
        <w:t>Proportion of the GST redistributed from States with above average fiscal capacities, 2000</w:t>
      </w:r>
      <w:r w:rsidRPr="004143EB">
        <w:noBreakHyphen/>
        <w:t>01 to 2019</w:t>
      </w:r>
      <w:r w:rsidRPr="004143EB">
        <w:noBreakHyphen/>
        <w:t>20</w:t>
      </w:r>
    </w:p>
    <w:p w:rsidR="00BB3126" w:rsidRPr="004143EB" w:rsidRDefault="00BB3126" w:rsidP="00BB3126">
      <w:r w:rsidRPr="00796544">
        <w:rPr>
          <w:noProof/>
          <w:lang w:eastAsia="en-AU"/>
        </w:rPr>
        <w:drawing>
          <wp:inline distT="0" distB="0" distL="0" distR="0" wp14:anchorId="4759B076" wp14:editId="56D384EB">
            <wp:extent cx="5648960" cy="3564890"/>
            <wp:effectExtent l="0" t="0" r="8890" b="0"/>
            <wp:docPr id="1" name="Picture 1" descr="This figure shows the proportion of the GST redistributed to States with above average fiscal capacities between 2000-01 and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48960" cy="3564890"/>
                    </a:xfrm>
                    <a:prstGeom prst="rect">
                      <a:avLst/>
                    </a:prstGeom>
                    <a:noFill/>
                    <a:ln>
                      <a:noFill/>
                    </a:ln>
                  </pic:spPr>
                </pic:pic>
              </a:graphicData>
            </a:graphic>
          </wp:inline>
        </w:drawing>
      </w:r>
    </w:p>
    <w:p w:rsidR="00BB3126" w:rsidRPr="004143EB" w:rsidRDefault="00BB3126" w:rsidP="00BB3126">
      <w:pPr>
        <w:pStyle w:val="CGCTableFootnote"/>
      </w:pPr>
      <w:r w:rsidRPr="004143EB">
        <w:t xml:space="preserve">Source: </w:t>
      </w:r>
      <w:r w:rsidRPr="004143EB">
        <w:tab/>
        <w:t>Commission calculation.</w:t>
      </w:r>
    </w:p>
    <w:p w:rsidR="00BB3126" w:rsidRPr="00350CF7" w:rsidRDefault="00BB3126" w:rsidP="00BB3126">
      <w:pPr>
        <w:pStyle w:val="11para"/>
      </w:pPr>
      <w:r>
        <w:lastRenderedPageBreak/>
        <w:t>The</w:t>
      </w:r>
      <w:r w:rsidRPr="00350CF7">
        <w:t xml:space="preserve"> second measure of the equalisation task reveals a different aspect of the equalisation task. </w:t>
      </w:r>
      <w:r w:rsidRPr="00350CF7">
        <w:fldChar w:fldCharType="begin"/>
      </w:r>
      <w:r w:rsidRPr="00350CF7">
        <w:instrText xml:space="preserve"> REF _Ref504228111 \h  \* MERGEFORMAT </w:instrText>
      </w:r>
      <w:r w:rsidRPr="00350CF7">
        <w:fldChar w:fldCharType="separate"/>
      </w:r>
      <w:r w:rsidR="00E82224" w:rsidRPr="00C96469">
        <w:t>Table 1</w:t>
      </w:r>
      <w:r w:rsidR="00E82224" w:rsidRPr="00C96469">
        <w:noBreakHyphen/>
      </w:r>
      <w:r w:rsidR="00E82224">
        <w:t>9</w:t>
      </w:r>
      <w:r w:rsidRPr="00350CF7">
        <w:fldChar w:fldCharType="end"/>
      </w:r>
      <w:r w:rsidRPr="00350CF7">
        <w:t xml:space="preserve"> shows the size of the equalisation requirement in 201</w:t>
      </w:r>
      <w:r>
        <w:t>9</w:t>
      </w:r>
      <w:r w:rsidRPr="00350CF7">
        <w:noBreakHyphen/>
      </w:r>
      <w:r>
        <w:t>20</w:t>
      </w:r>
      <w:r w:rsidRPr="00350CF7">
        <w:t>. All States</w:t>
      </w:r>
      <w:r>
        <w:t>,</w:t>
      </w:r>
      <w:r w:rsidRPr="00350CF7">
        <w:t xml:space="preserve"> except Western Australia</w:t>
      </w:r>
      <w:r>
        <w:t>,</w:t>
      </w:r>
      <w:r w:rsidRPr="00350CF7">
        <w:t xml:space="preserve"> require different per capita amounts of GST to achieve the same fiscal capacity as Western Australia, the State with the strongest fiscal capacity. The remainder of the GST revenue is shared equally </w:t>
      </w:r>
      <w:r>
        <w:t>between</w:t>
      </w:r>
      <w:r w:rsidRPr="00350CF7">
        <w:t xml:space="preserve"> all States, including Western Australia</w:t>
      </w:r>
      <w:r>
        <w:t>, so that all States have the capacity to provide the same (average) level of service</w:t>
      </w:r>
      <w:r w:rsidRPr="00350CF7">
        <w:t>. In 2019</w:t>
      </w:r>
      <w:r w:rsidRPr="00350CF7">
        <w:noBreakHyphen/>
        <w:t xml:space="preserve">20, about 48% of the GST revenue </w:t>
      </w:r>
      <w:r>
        <w:t>will be</w:t>
      </w:r>
      <w:r w:rsidRPr="00350CF7">
        <w:t xml:space="preserve"> needed for all States to achieve the </w:t>
      </w:r>
      <w:r>
        <w:t>same fiscal capacity as Western </w:t>
      </w:r>
      <w:r w:rsidRPr="00350CF7">
        <w:t>Australia.</w:t>
      </w:r>
    </w:p>
    <w:p w:rsidR="00BB3126" w:rsidRPr="00C96469" w:rsidRDefault="00BB3126" w:rsidP="00BB3126">
      <w:pPr>
        <w:pStyle w:val="Caption"/>
      </w:pPr>
      <w:bookmarkStart w:id="622" w:name="_Ref504228111"/>
      <w:r w:rsidRPr="00C96469">
        <w:t>Table 1</w:t>
      </w:r>
      <w:r w:rsidRPr="00C96469">
        <w:noBreakHyphen/>
      </w:r>
      <w:r>
        <w:rPr>
          <w:noProof/>
        </w:rPr>
        <w:fldChar w:fldCharType="begin"/>
      </w:r>
      <w:r>
        <w:rPr>
          <w:noProof/>
        </w:rPr>
        <w:instrText xml:space="preserve"> SEQ Table \* ARABIC \s 1 </w:instrText>
      </w:r>
      <w:r>
        <w:rPr>
          <w:noProof/>
        </w:rPr>
        <w:fldChar w:fldCharType="separate"/>
      </w:r>
      <w:r w:rsidR="00E82224">
        <w:rPr>
          <w:noProof/>
        </w:rPr>
        <w:t>9</w:t>
      </w:r>
      <w:r>
        <w:rPr>
          <w:noProof/>
        </w:rPr>
        <w:fldChar w:fldCharType="end"/>
      </w:r>
      <w:bookmarkEnd w:id="622"/>
      <w:r w:rsidRPr="00C96469">
        <w:tab/>
        <w:t>Illustrative distribution of GST, 2019</w:t>
      </w:r>
      <w:r w:rsidRPr="00C96469">
        <w:noBreakHyphen/>
        <w:t>20</w:t>
      </w:r>
    </w:p>
    <w:tbl>
      <w:tblPr>
        <w:tblW w:w="8940" w:type="dxa"/>
        <w:tblLayout w:type="fixed"/>
        <w:tblCellMar>
          <w:left w:w="0" w:type="dxa"/>
          <w:right w:w="0" w:type="dxa"/>
        </w:tblCellMar>
        <w:tblLook w:val="04A0" w:firstRow="1" w:lastRow="0" w:firstColumn="1" w:lastColumn="0" w:noHBand="0" w:noVBand="1"/>
      </w:tblPr>
      <w:tblGrid>
        <w:gridCol w:w="2380"/>
        <w:gridCol w:w="720"/>
        <w:gridCol w:w="720"/>
        <w:gridCol w:w="720"/>
        <w:gridCol w:w="720"/>
        <w:gridCol w:w="720"/>
        <w:gridCol w:w="720"/>
        <w:gridCol w:w="720"/>
        <w:gridCol w:w="800"/>
        <w:gridCol w:w="720"/>
      </w:tblGrid>
      <w:tr w:rsidR="00BB3126" w:rsidRPr="006C7B4E" w:rsidTr="00C7618F">
        <w:trPr>
          <w:trHeight w:val="375"/>
        </w:trPr>
        <w:tc>
          <w:tcPr>
            <w:tcW w:w="2380" w:type="dxa"/>
            <w:tcBorders>
              <w:top w:val="single" w:sz="4" w:space="0" w:color="auto"/>
              <w:left w:val="nil"/>
              <w:bottom w:val="single" w:sz="4" w:space="0" w:color="auto"/>
              <w:right w:val="nil"/>
            </w:tcBorders>
            <w:shd w:val="clear" w:color="auto" w:fill="auto"/>
            <w:noWrap/>
            <w:vAlign w:val="center"/>
            <w:hideMark/>
          </w:tcPr>
          <w:p w:rsidR="00BB3126" w:rsidRPr="006C7B4E"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 </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NSW</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Vic</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Qld</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WA</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SA</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Tas</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ACT</w:t>
            </w:r>
          </w:p>
        </w:tc>
        <w:tc>
          <w:tcPr>
            <w:tcW w:w="800" w:type="dxa"/>
            <w:tcBorders>
              <w:top w:val="single" w:sz="4" w:space="0" w:color="auto"/>
              <w:left w:val="nil"/>
              <w:bottom w:val="single" w:sz="4" w:space="0" w:color="auto"/>
              <w:right w:val="nil"/>
            </w:tcBorders>
            <w:shd w:val="clear" w:color="auto" w:fill="auto"/>
            <w:noWrap/>
            <w:vAlign w:val="center"/>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NT</w:t>
            </w:r>
          </w:p>
        </w:tc>
        <w:tc>
          <w:tcPr>
            <w:tcW w:w="720" w:type="dxa"/>
            <w:tcBorders>
              <w:top w:val="single" w:sz="4" w:space="0" w:color="auto"/>
              <w:left w:val="nil"/>
              <w:bottom w:val="single" w:sz="4" w:space="0" w:color="auto"/>
              <w:right w:val="nil"/>
            </w:tcBorders>
            <w:shd w:val="clear" w:color="auto" w:fill="auto"/>
            <w:noWrap/>
            <w:vAlign w:val="center"/>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Ave</w:t>
            </w:r>
          </w:p>
        </w:tc>
      </w:tr>
      <w:tr w:rsidR="00BB3126" w:rsidRPr="006C7B4E" w:rsidTr="00C7618F">
        <w:trPr>
          <w:trHeight w:val="259"/>
        </w:trPr>
        <w:tc>
          <w:tcPr>
            <w:tcW w:w="238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p>
        </w:tc>
        <w:tc>
          <w:tcPr>
            <w:tcW w:w="72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$pc</w:t>
            </w:r>
          </w:p>
        </w:tc>
        <w:tc>
          <w:tcPr>
            <w:tcW w:w="72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$pc</w:t>
            </w:r>
          </w:p>
        </w:tc>
        <w:tc>
          <w:tcPr>
            <w:tcW w:w="72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$pc</w:t>
            </w:r>
          </w:p>
        </w:tc>
        <w:tc>
          <w:tcPr>
            <w:tcW w:w="72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$pc</w:t>
            </w:r>
          </w:p>
        </w:tc>
        <w:tc>
          <w:tcPr>
            <w:tcW w:w="72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$pc</w:t>
            </w:r>
          </w:p>
        </w:tc>
        <w:tc>
          <w:tcPr>
            <w:tcW w:w="72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$pc</w:t>
            </w:r>
          </w:p>
        </w:tc>
        <w:tc>
          <w:tcPr>
            <w:tcW w:w="72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$pc</w:t>
            </w:r>
          </w:p>
        </w:tc>
        <w:tc>
          <w:tcPr>
            <w:tcW w:w="80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$pc</w:t>
            </w:r>
          </w:p>
        </w:tc>
        <w:tc>
          <w:tcPr>
            <w:tcW w:w="72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$pc</w:t>
            </w:r>
          </w:p>
        </w:tc>
      </w:tr>
      <w:tr w:rsidR="00BB3126" w:rsidRPr="006C7B4E" w:rsidTr="00C7618F">
        <w:trPr>
          <w:trHeight w:val="315"/>
        </w:trPr>
        <w:tc>
          <w:tcPr>
            <w:tcW w:w="238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Equal per capita</w:t>
            </w:r>
          </w:p>
        </w:tc>
        <w:tc>
          <w:tcPr>
            <w:tcW w:w="72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1 397</w:t>
            </w:r>
          </w:p>
        </w:tc>
        <w:tc>
          <w:tcPr>
            <w:tcW w:w="72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1 397</w:t>
            </w:r>
          </w:p>
        </w:tc>
        <w:tc>
          <w:tcPr>
            <w:tcW w:w="72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1 397</w:t>
            </w:r>
          </w:p>
        </w:tc>
        <w:tc>
          <w:tcPr>
            <w:tcW w:w="72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1 397</w:t>
            </w:r>
          </w:p>
        </w:tc>
        <w:tc>
          <w:tcPr>
            <w:tcW w:w="72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1 397</w:t>
            </w:r>
          </w:p>
        </w:tc>
        <w:tc>
          <w:tcPr>
            <w:tcW w:w="72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1 397</w:t>
            </w:r>
          </w:p>
        </w:tc>
        <w:tc>
          <w:tcPr>
            <w:tcW w:w="72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1 397</w:t>
            </w:r>
          </w:p>
        </w:tc>
        <w:tc>
          <w:tcPr>
            <w:tcW w:w="80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1 397</w:t>
            </w:r>
          </w:p>
        </w:tc>
        <w:tc>
          <w:tcPr>
            <w:tcW w:w="720" w:type="dxa"/>
            <w:tcBorders>
              <w:top w:val="nil"/>
              <w:left w:val="nil"/>
              <w:bottom w:val="nil"/>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1 397</w:t>
            </w:r>
          </w:p>
        </w:tc>
      </w:tr>
      <w:tr w:rsidR="00BB3126" w:rsidRPr="006C7B4E" w:rsidTr="00C7618F">
        <w:trPr>
          <w:trHeight w:val="315"/>
        </w:trPr>
        <w:tc>
          <w:tcPr>
            <w:tcW w:w="2380" w:type="dxa"/>
            <w:tcBorders>
              <w:top w:val="nil"/>
              <w:left w:val="nil"/>
              <w:bottom w:val="nil"/>
              <w:right w:val="nil"/>
            </w:tcBorders>
            <w:shd w:val="clear" w:color="auto" w:fill="auto"/>
            <w:vAlign w:val="bottom"/>
            <w:hideMark/>
          </w:tcPr>
          <w:p w:rsidR="00BB3126" w:rsidRPr="006C7B4E"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Equalisation requirement</w:t>
            </w:r>
          </w:p>
        </w:tc>
        <w:tc>
          <w:tcPr>
            <w:tcW w:w="720" w:type="dxa"/>
            <w:tcBorders>
              <w:top w:val="nil"/>
              <w:left w:val="nil"/>
              <w:bottom w:val="nil"/>
              <w:right w:val="nil"/>
            </w:tcBorders>
            <w:shd w:val="clear" w:color="auto" w:fill="auto"/>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948</w:t>
            </w:r>
          </w:p>
        </w:tc>
        <w:tc>
          <w:tcPr>
            <w:tcW w:w="720" w:type="dxa"/>
            <w:tcBorders>
              <w:top w:val="nil"/>
              <w:left w:val="nil"/>
              <w:bottom w:val="nil"/>
              <w:right w:val="nil"/>
            </w:tcBorders>
            <w:shd w:val="clear" w:color="auto" w:fill="auto"/>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1 251</w:t>
            </w:r>
          </w:p>
        </w:tc>
        <w:tc>
          <w:tcPr>
            <w:tcW w:w="720" w:type="dxa"/>
            <w:tcBorders>
              <w:top w:val="nil"/>
              <w:left w:val="nil"/>
              <w:bottom w:val="nil"/>
              <w:right w:val="nil"/>
            </w:tcBorders>
            <w:shd w:val="clear" w:color="auto" w:fill="auto"/>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1 442</w:t>
            </w:r>
          </w:p>
        </w:tc>
        <w:tc>
          <w:tcPr>
            <w:tcW w:w="720" w:type="dxa"/>
            <w:tcBorders>
              <w:top w:val="nil"/>
              <w:left w:val="nil"/>
              <w:bottom w:val="nil"/>
              <w:right w:val="nil"/>
            </w:tcBorders>
            <w:shd w:val="clear" w:color="auto" w:fill="auto"/>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0</w:t>
            </w:r>
          </w:p>
        </w:tc>
        <w:tc>
          <w:tcPr>
            <w:tcW w:w="720" w:type="dxa"/>
            <w:tcBorders>
              <w:top w:val="nil"/>
              <w:left w:val="nil"/>
              <w:bottom w:val="nil"/>
              <w:right w:val="nil"/>
            </w:tcBorders>
            <w:shd w:val="clear" w:color="auto" w:fill="auto"/>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2 552</w:t>
            </w:r>
          </w:p>
        </w:tc>
        <w:tc>
          <w:tcPr>
            <w:tcW w:w="720" w:type="dxa"/>
            <w:tcBorders>
              <w:top w:val="nil"/>
              <w:left w:val="nil"/>
              <w:bottom w:val="nil"/>
              <w:right w:val="nil"/>
            </w:tcBorders>
            <w:shd w:val="clear" w:color="auto" w:fill="auto"/>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3 334</w:t>
            </w:r>
          </w:p>
        </w:tc>
        <w:tc>
          <w:tcPr>
            <w:tcW w:w="720" w:type="dxa"/>
            <w:tcBorders>
              <w:top w:val="nil"/>
              <w:left w:val="nil"/>
              <w:bottom w:val="nil"/>
              <w:right w:val="nil"/>
            </w:tcBorders>
            <w:shd w:val="clear" w:color="auto" w:fill="auto"/>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1 938</w:t>
            </w:r>
          </w:p>
        </w:tc>
        <w:tc>
          <w:tcPr>
            <w:tcW w:w="800" w:type="dxa"/>
            <w:tcBorders>
              <w:top w:val="nil"/>
              <w:left w:val="nil"/>
              <w:bottom w:val="nil"/>
              <w:right w:val="nil"/>
            </w:tcBorders>
            <w:shd w:val="clear" w:color="auto" w:fill="auto"/>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10 101</w:t>
            </w:r>
          </w:p>
        </w:tc>
        <w:tc>
          <w:tcPr>
            <w:tcW w:w="720" w:type="dxa"/>
            <w:tcBorders>
              <w:top w:val="nil"/>
              <w:left w:val="nil"/>
              <w:bottom w:val="nil"/>
              <w:right w:val="nil"/>
            </w:tcBorders>
            <w:shd w:val="clear" w:color="auto" w:fill="auto"/>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1 293</w:t>
            </w:r>
          </w:p>
        </w:tc>
      </w:tr>
      <w:tr w:rsidR="00BB3126" w:rsidRPr="006C7B4E" w:rsidTr="00C7618F">
        <w:trPr>
          <w:trHeight w:val="315"/>
        </w:trPr>
        <w:tc>
          <w:tcPr>
            <w:tcW w:w="2380" w:type="dxa"/>
            <w:tcBorders>
              <w:top w:val="nil"/>
              <w:left w:val="nil"/>
              <w:bottom w:val="single" w:sz="4" w:space="0" w:color="auto"/>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Per capita allocation</w:t>
            </w:r>
          </w:p>
        </w:tc>
        <w:tc>
          <w:tcPr>
            <w:tcW w:w="720" w:type="dxa"/>
            <w:tcBorders>
              <w:top w:val="nil"/>
              <w:left w:val="nil"/>
              <w:bottom w:val="single" w:sz="4" w:space="0" w:color="auto"/>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2 344</w:t>
            </w:r>
          </w:p>
        </w:tc>
        <w:tc>
          <w:tcPr>
            <w:tcW w:w="720" w:type="dxa"/>
            <w:tcBorders>
              <w:top w:val="nil"/>
              <w:left w:val="nil"/>
              <w:bottom w:val="single" w:sz="4" w:space="0" w:color="auto"/>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2 648</w:t>
            </w:r>
          </w:p>
        </w:tc>
        <w:tc>
          <w:tcPr>
            <w:tcW w:w="720" w:type="dxa"/>
            <w:tcBorders>
              <w:top w:val="nil"/>
              <w:left w:val="nil"/>
              <w:bottom w:val="single" w:sz="4" w:space="0" w:color="auto"/>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2 839</w:t>
            </w:r>
          </w:p>
        </w:tc>
        <w:tc>
          <w:tcPr>
            <w:tcW w:w="720" w:type="dxa"/>
            <w:tcBorders>
              <w:top w:val="nil"/>
              <w:left w:val="nil"/>
              <w:bottom w:val="single" w:sz="4" w:space="0" w:color="auto"/>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1 397</w:t>
            </w:r>
          </w:p>
        </w:tc>
        <w:tc>
          <w:tcPr>
            <w:tcW w:w="720" w:type="dxa"/>
            <w:tcBorders>
              <w:top w:val="nil"/>
              <w:left w:val="nil"/>
              <w:bottom w:val="single" w:sz="4" w:space="0" w:color="auto"/>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3 949</w:t>
            </w:r>
          </w:p>
        </w:tc>
        <w:tc>
          <w:tcPr>
            <w:tcW w:w="720" w:type="dxa"/>
            <w:tcBorders>
              <w:top w:val="nil"/>
              <w:left w:val="nil"/>
              <w:bottom w:val="single" w:sz="4" w:space="0" w:color="auto"/>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4 731</w:t>
            </w:r>
          </w:p>
        </w:tc>
        <w:tc>
          <w:tcPr>
            <w:tcW w:w="720" w:type="dxa"/>
            <w:tcBorders>
              <w:top w:val="nil"/>
              <w:left w:val="nil"/>
              <w:bottom w:val="single" w:sz="4" w:space="0" w:color="auto"/>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3 335</w:t>
            </w:r>
          </w:p>
        </w:tc>
        <w:tc>
          <w:tcPr>
            <w:tcW w:w="800" w:type="dxa"/>
            <w:tcBorders>
              <w:top w:val="nil"/>
              <w:left w:val="nil"/>
              <w:bottom w:val="single" w:sz="4" w:space="0" w:color="auto"/>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11 498</w:t>
            </w:r>
          </w:p>
        </w:tc>
        <w:tc>
          <w:tcPr>
            <w:tcW w:w="720" w:type="dxa"/>
            <w:tcBorders>
              <w:top w:val="nil"/>
              <w:left w:val="nil"/>
              <w:bottom w:val="single" w:sz="4" w:space="0" w:color="auto"/>
              <w:right w:val="nil"/>
            </w:tcBorders>
            <w:shd w:val="clear" w:color="auto" w:fill="auto"/>
            <w:noWrap/>
            <w:vAlign w:val="bottom"/>
            <w:hideMark/>
          </w:tcPr>
          <w:p w:rsidR="00BB3126" w:rsidRPr="006C7B4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6C7B4E">
              <w:rPr>
                <w:rFonts w:ascii="Calibri" w:eastAsia="Times New Roman" w:hAnsi="Calibri" w:cs="Calibri"/>
                <w:sz w:val="20"/>
                <w:szCs w:val="20"/>
                <w:lang w:eastAsia="en-AU"/>
              </w:rPr>
              <w:t>2 690</w:t>
            </w:r>
          </w:p>
        </w:tc>
      </w:tr>
    </w:tbl>
    <w:p w:rsidR="00BB3126" w:rsidRPr="00C96469" w:rsidRDefault="00BB3126" w:rsidP="00BB3126">
      <w:pPr>
        <w:pStyle w:val="CGCDataCaption"/>
      </w:pPr>
      <w:r w:rsidRPr="00C96469">
        <w:t>Source:</w:t>
      </w:r>
      <w:r w:rsidRPr="00C96469">
        <w:tab/>
        <w:t>Commission calculation.</w:t>
      </w:r>
    </w:p>
    <w:p w:rsidR="00BB3126" w:rsidRPr="002F29B3" w:rsidRDefault="00BB3126" w:rsidP="00BB3126">
      <w:pPr>
        <w:pStyle w:val="11para"/>
      </w:pPr>
      <w:r w:rsidRPr="002F29B3">
        <w:t>This measure of the size of the equalisation task increased rapidly prior to 2017</w:t>
      </w:r>
      <w:r w:rsidRPr="002F29B3">
        <w:noBreakHyphen/>
        <w:t>18. From 2000</w:t>
      </w:r>
      <w:r w:rsidRPr="002F29B3">
        <w:noBreakHyphen/>
        <w:t>01 to 2007</w:t>
      </w:r>
      <w:r w:rsidRPr="002F29B3">
        <w:noBreakHyphen/>
        <w:t xml:space="preserve">08, it fluctuated between 14% and 17% of GST revenue, </w:t>
      </w:r>
      <w:r>
        <w:t>as</w:t>
      </w:r>
      <w:r w:rsidRPr="002F29B3">
        <w:t xml:space="preserve"> first Victoria and then New South Wales became the fiscally strongest State. In 2008</w:t>
      </w:r>
      <w:r w:rsidRPr="002F29B3">
        <w:noBreakHyphen/>
        <w:t>09, Western Australia became the fiscally strongest State. As Western Australia’s fiscal capacity became progressively stronger, this measure of the size of the equalisation task increased from 14% of the pool in 2008</w:t>
      </w:r>
      <w:r w:rsidRPr="002F29B3">
        <w:noBreakHyphen/>
        <w:t>09 to 70% in 2016</w:t>
      </w:r>
      <w:r w:rsidRPr="002F29B3">
        <w:noBreakHyphen/>
        <w:t xml:space="preserve">17. With the recent decline in Western Australia’s fiscal capacity, it </w:t>
      </w:r>
      <w:r w:rsidRPr="00C643BD">
        <w:t>fell to 53% in 2018</w:t>
      </w:r>
      <w:r w:rsidRPr="00C643BD">
        <w:noBreakHyphen/>
      </w:r>
      <w:r w:rsidRPr="002F29B3">
        <w:t>1</w:t>
      </w:r>
      <w:r>
        <w:t>9</w:t>
      </w:r>
      <w:r w:rsidRPr="002F29B3">
        <w:t xml:space="preserve"> and 48% in 2019</w:t>
      </w:r>
      <w:r w:rsidRPr="002F29B3">
        <w:noBreakHyphen/>
        <w:t>20. Where the fiscally strongest State has a relatively small population, it will necessarily mean a large share of the pool is required to achieve equalisation (and vice versa). Population differences between the fiscally strongest and other States affect the size of the equalisation task.</w:t>
      </w:r>
    </w:p>
    <w:p w:rsidR="00BB3126" w:rsidRPr="002F29B3" w:rsidRDefault="00BB3126" w:rsidP="00BB3126">
      <w:pPr>
        <w:pStyle w:val="11para"/>
      </w:pPr>
      <w:r w:rsidRPr="002F29B3">
        <w:t>Neither measure perfectly captures the totality of how the equalisation task has evolved over time. Taken together they show:</w:t>
      </w:r>
    </w:p>
    <w:p w:rsidR="00BB3126" w:rsidRPr="002F29B3" w:rsidRDefault="00BB3126" w:rsidP="00BB3126">
      <w:pPr>
        <w:pStyle w:val="CGCBulletlist"/>
        <w:numPr>
          <w:ilvl w:val="0"/>
          <w:numId w:val="1"/>
        </w:numPr>
        <w:tabs>
          <w:tab w:val="clear" w:pos="927"/>
        </w:tabs>
        <w:ind w:left="1134" w:hanging="567"/>
      </w:pPr>
      <w:r w:rsidRPr="002F29B3">
        <w:t xml:space="preserve">the equalisation task </w:t>
      </w:r>
      <w:r w:rsidR="00DD5E89">
        <w:t xml:space="preserve">required for </w:t>
      </w:r>
      <w:r w:rsidRPr="002F29B3">
        <w:t>the less populous States together has been greater in recent years but fell in the three most recent updates</w:t>
      </w:r>
    </w:p>
    <w:p w:rsidR="00BB3126" w:rsidRPr="002F29B3" w:rsidRDefault="00BB3126" w:rsidP="00BB3126">
      <w:pPr>
        <w:pStyle w:val="CGCBulletlist"/>
        <w:numPr>
          <w:ilvl w:val="0"/>
          <w:numId w:val="1"/>
        </w:numPr>
        <w:tabs>
          <w:tab w:val="clear" w:pos="927"/>
        </w:tabs>
        <w:ind w:left="1134" w:hanging="567"/>
      </w:pPr>
      <w:r w:rsidRPr="002F29B3">
        <w:t>because Queensland’s fiscal capacity fluctuates around the average, it sometimes adds to, and sometimes moderates, the equalisation task</w:t>
      </w:r>
    </w:p>
    <w:p w:rsidR="00BB3126" w:rsidRPr="002F29B3" w:rsidRDefault="00BB3126" w:rsidP="00BB3126">
      <w:pPr>
        <w:pStyle w:val="CGCBulletlist"/>
        <w:numPr>
          <w:ilvl w:val="0"/>
          <w:numId w:val="1"/>
        </w:numPr>
        <w:tabs>
          <w:tab w:val="clear" w:pos="927"/>
        </w:tabs>
        <w:ind w:left="1134" w:hanging="567"/>
      </w:pPr>
      <w:r w:rsidRPr="002F29B3">
        <w:t xml:space="preserve">the task of ‘catching up’ with Western Australia grew significantly prior to </w:t>
      </w:r>
      <w:r>
        <w:t>2017</w:t>
      </w:r>
      <w:r>
        <w:noBreakHyphen/>
        <w:t>18</w:t>
      </w:r>
      <w:r w:rsidRPr="002F29B3">
        <w:t xml:space="preserve"> (reflecting the unprecedented increase in that State’s own-source revenues, largely driven by the global commodities boom), but has since </w:t>
      </w:r>
      <w:r w:rsidR="00122877">
        <w:t>eased</w:t>
      </w:r>
      <w:r w:rsidRPr="002F29B3">
        <w:t>.</w:t>
      </w:r>
    </w:p>
    <w:p w:rsidR="00BB3126" w:rsidRDefault="00BB3126" w:rsidP="00BB3126">
      <w:pPr>
        <w:pStyle w:val="11para"/>
        <w:sectPr w:rsidR="00BB3126" w:rsidSect="00C7618F">
          <w:headerReference w:type="even" r:id="rId95"/>
          <w:headerReference w:type="default" r:id="rId96"/>
          <w:footerReference w:type="default" r:id="rId97"/>
          <w:headerReference w:type="first" r:id="rId98"/>
          <w:footerReference w:type="first" r:id="rId99"/>
          <w:pgSz w:w="11899" w:h="16838" w:code="9"/>
          <w:pgMar w:top="1701" w:right="1474" w:bottom="1135" w:left="1474" w:header="709" w:footer="709" w:gutter="0"/>
          <w:cols w:space="708"/>
          <w:titlePg/>
          <w:docGrid w:linePitch="299"/>
        </w:sectPr>
      </w:pPr>
      <w:r w:rsidRPr="002F29B3">
        <w:t>A time series of per capita relativities since the introduction of the GST in 2000</w:t>
      </w:r>
      <w:r w:rsidRPr="002F29B3">
        <w:noBreakHyphen/>
        <w:t xml:space="preserve">01 is available in the supporting information for this update on the </w:t>
      </w:r>
      <w:hyperlink r:id="rId100" w:history="1">
        <w:r w:rsidRPr="002F29B3">
          <w:rPr>
            <w:rStyle w:val="Hyperlink"/>
          </w:rPr>
          <w:t>Commission’s website</w:t>
        </w:r>
      </w:hyperlink>
      <w:r w:rsidRPr="002F29B3">
        <w:t xml:space="preserve"> (https://</w:t>
      </w:r>
      <w:r w:rsidR="00E769C5">
        <w:t>www.</w:t>
      </w:r>
      <w:r w:rsidRPr="002F29B3">
        <w:t>cgc.gov.au/). An overview of Commonwealth-State financial relations in Australia, including a discussion of horizontal and vertical fiscal imbalances, is also available on the Commission’s website.</w:t>
      </w:r>
    </w:p>
    <w:p w:rsidR="00BB3126" w:rsidRDefault="00BB3126" w:rsidP="00BB3126">
      <w:pPr>
        <w:pStyle w:val="Heading1"/>
      </w:pPr>
      <w:bookmarkStart w:id="623" w:name="_Toc536803188"/>
      <w:bookmarkStart w:id="624" w:name="_Toc536803276"/>
      <w:bookmarkStart w:id="625" w:name="_Toc1115150"/>
      <w:bookmarkStart w:id="626" w:name="_Ref473105323"/>
      <w:bookmarkStart w:id="627" w:name="_Toc474923799"/>
      <w:r>
        <w:lastRenderedPageBreak/>
        <w:t>CHAPTER 2</w:t>
      </w:r>
      <w:bookmarkEnd w:id="623"/>
      <w:bookmarkEnd w:id="624"/>
      <w:bookmarkEnd w:id="625"/>
    </w:p>
    <w:p w:rsidR="00BB3126" w:rsidRDefault="00BB3126" w:rsidP="00BB3126">
      <w:pPr>
        <w:pStyle w:val="Heading2"/>
      </w:pPr>
      <w:bookmarkStart w:id="628" w:name="_Toc536519638"/>
      <w:bookmarkStart w:id="629" w:name="_Ref536525627"/>
      <w:bookmarkStart w:id="630" w:name="_Toc536631348"/>
      <w:bookmarkStart w:id="631" w:name="_Toc536803189"/>
      <w:bookmarkStart w:id="632" w:name="_Toc536803277"/>
      <w:bookmarkStart w:id="633" w:name="_Toc536803608"/>
      <w:bookmarkStart w:id="634" w:name="_Toc174393"/>
      <w:bookmarkStart w:id="635" w:name="_Toc1115151"/>
      <w:r>
        <w:t>New Issues in this update</w:t>
      </w:r>
      <w:bookmarkEnd w:id="628"/>
      <w:bookmarkEnd w:id="629"/>
      <w:bookmarkEnd w:id="630"/>
      <w:bookmarkEnd w:id="631"/>
      <w:bookmarkEnd w:id="632"/>
      <w:bookmarkEnd w:id="633"/>
      <w:bookmarkEnd w:id="634"/>
      <w:bookmarkEnd w:id="635"/>
    </w:p>
    <w:p w:rsidR="00BB3126" w:rsidRPr="00CE0A0A" w:rsidRDefault="00BB3126" w:rsidP="00BB3126">
      <w:pPr>
        <w:pStyle w:val="21para"/>
      </w:pPr>
      <w:r w:rsidRPr="00CE0A0A">
        <w:t>In each update, the Commission identifies a range of new issues that might affect the GST distribution. New issues can be grouped into the following types:</w:t>
      </w:r>
    </w:p>
    <w:p w:rsidR="00BB3126" w:rsidRPr="00CE0A0A" w:rsidRDefault="00BB3126" w:rsidP="00BB3126">
      <w:pPr>
        <w:numPr>
          <w:ilvl w:val="0"/>
          <w:numId w:val="1"/>
        </w:numPr>
        <w:tabs>
          <w:tab w:val="clear" w:pos="567"/>
          <w:tab w:val="clear" w:pos="927"/>
          <w:tab w:val="left" w:pos="1134"/>
        </w:tabs>
        <w:spacing w:before="80" w:line="300" w:lineRule="atLeast"/>
        <w:ind w:left="1134" w:hanging="567"/>
        <w:rPr>
          <w:szCs w:val="20"/>
        </w:rPr>
      </w:pPr>
      <w:r w:rsidRPr="00CE0A0A">
        <w:rPr>
          <w:szCs w:val="20"/>
        </w:rPr>
        <w:t>data issues, concerning how the latest available data, or changes to data availability, are incorporated into assessments</w:t>
      </w:r>
    </w:p>
    <w:p w:rsidR="00BB3126" w:rsidRPr="00CE0A0A" w:rsidRDefault="00BB3126" w:rsidP="00BB3126">
      <w:pPr>
        <w:numPr>
          <w:ilvl w:val="0"/>
          <w:numId w:val="1"/>
        </w:numPr>
        <w:tabs>
          <w:tab w:val="clear" w:pos="567"/>
          <w:tab w:val="clear" w:pos="927"/>
          <w:tab w:val="left" w:pos="1134"/>
        </w:tabs>
        <w:spacing w:before="80" w:line="300" w:lineRule="atLeast"/>
        <w:ind w:left="1134" w:hanging="567"/>
        <w:rPr>
          <w:szCs w:val="20"/>
        </w:rPr>
      </w:pPr>
      <w:r w:rsidRPr="00CE0A0A">
        <w:rPr>
          <w:szCs w:val="20"/>
        </w:rPr>
        <w:t>assessment issues, relating to how changed circumstances are incorporated into assessments</w:t>
      </w:r>
    </w:p>
    <w:p w:rsidR="00BB3126" w:rsidRPr="00CE0A0A" w:rsidRDefault="00BB3126" w:rsidP="00BB3126">
      <w:pPr>
        <w:numPr>
          <w:ilvl w:val="0"/>
          <w:numId w:val="1"/>
        </w:numPr>
        <w:tabs>
          <w:tab w:val="clear" w:pos="567"/>
          <w:tab w:val="clear" w:pos="927"/>
          <w:tab w:val="left" w:pos="1134"/>
        </w:tabs>
        <w:spacing w:before="80" w:line="300" w:lineRule="atLeast"/>
        <w:ind w:left="1134" w:hanging="567"/>
        <w:rPr>
          <w:szCs w:val="20"/>
        </w:rPr>
      </w:pPr>
      <w:r w:rsidRPr="00CE0A0A">
        <w:rPr>
          <w:szCs w:val="20"/>
        </w:rPr>
        <w:t xml:space="preserve">treatment of Commonwealth payments, including new payments and </w:t>
      </w:r>
      <w:r>
        <w:rPr>
          <w:szCs w:val="20"/>
        </w:rPr>
        <w:t xml:space="preserve">major changes in </w:t>
      </w:r>
      <w:r w:rsidRPr="00CE0A0A">
        <w:rPr>
          <w:szCs w:val="20"/>
        </w:rPr>
        <w:t>payment arrangements</w:t>
      </w:r>
    </w:p>
    <w:p w:rsidR="00BB3126" w:rsidRPr="00CE0A0A" w:rsidRDefault="00BB3126" w:rsidP="00BB3126">
      <w:pPr>
        <w:numPr>
          <w:ilvl w:val="0"/>
          <w:numId w:val="1"/>
        </w:numPr>
        <w:tabs>
          <w:tab w:val="clear" w:pos="567"/>
          <w:tab w:val="clear" w:pos="927"/>
          <w:tab w:val="left" w:pos="1134"/>
        </w:tabs>
        <w:spacing w:before="80" w:line="300" w:lineRule="atLeast"/>
        <w:ind w:left="1134" w:hanging="567"/>
        <w:rPr>
          <w:szCs w:val="20"/>
        </w:rPr>
      </w:pPr>
      <w:r w:rsidRPr="00CE0A0A">
        <w:rPr>
          <w:szCs w:val="20"/>
        </w:rPr>
        <w:t>other issues.</w:t>
      </w:r>
    </w:p>
    <w:p w:rsidR="00BB3126" w:rsidRPr="00CE0A0A" w:rsidRDefault="00BB3126" w:rsidP="00BB3126">
      <w:pPr>
        <w:pStyle w:val="21para"/>
      </w:pPr>
      <w:r w:rsidRPr="00CE0A0A">
        <w:t>Before deciding how new issues should be resolved, the Commission consults the States</w:t>
      </w:r>
      <w:r>
        <w:t>.</w:t>
      </w:r>
      <w:r w:rsidRPr="00CE0A0A">
        <w:rPr>
          <w:vertAlign w:val="superscript"/>
        </w:rPr>
        <w:footnoteReference w:id="5"/>
      </w:r>
      <w:r w:rsidRPr="00CE0A0A">
        <w:t xml:space="preserve"> The issues that arose in this update and the Commission’s decisions on them are explained in this chapter. </w:t>
      </w:r>
      <w:r>
        <w:t>The d</w:t>
      </w:r>
      <w:r w:rsidRPr="00CE0A0A">
        <w:t xml:space="preserve">iscussion paper and State submissions can be viewed on the </w:t>
      </w:r>
      <w:hyperlink r:id="rId101" w:history="1">
        <w:r w:rsidRPr="00CE0A0A">
          <w:rPr>
            <w:color w:val="0000FF"/>
            <w:u w:val="single"/>
          </w:rPr>
          <w:t>Commission’s website</w:t>
        </w:r>
      </w:hyperlink>
      <w:r w:rsidRPr="00CE0A0A">
        <w:t xml:space="preserve"> (</w:t>
      </w:r>
      <w:r w:rsidR="00E769C5" w:rsidRPr="002F29B3">
        <w:t>https://</w:t>
      </w:r>
      <w:r w:rsidR="00E769C5">
        <w:t>www.</w:t>
      </w:r>
      <w:r w:rsidR="00E769C5" w:rsidRPr="002F29B3">
        <w:t>cgc.gov.au/</w:t>
      </w:r>
      <w:r w:rsidRPr="00CE0A0A">
        <w:t>).</w:t>
      </w:r>
    </w:p>
    <w:p w:rsidR="00BB3126" w:rsidRDefault="00BB3126" w:rsidP="00BB3126">
      <w:pPr>
        <w:pStyle w:val="Heading3"/>
      </w:pPr>
      <w:bookmarkStart w:id="636" w:name="_Toc536519639"/>
      <w:bookmarkStart w:id="637" w:name="_Toc536631349"/>
      <w:bookmarkStart w:id="638" w:name="_Toc536803190"/>
      <w:bookmarkStart w:id="639" w:name="_Toc536803278"/>
      <w:bookmarkStart w:id="640" w:name="_Toc1115152"/>
      <w:r>
        <w:t xml:space="preserve">Data </w:t>
      </w:r>
      <w:bookmarkEnd w:id="636"/>
      <w:r>
        <w:t>issues</w:t>
      </w:r>
      <w:bookmarkEnd w:id="637"/>
      <w:bookmarkEnd w:id="638"/>
      <w:bookmarkEnd w:id="639"/>
      <w:bookmarkEnd w:id="640"/>
    </w:p>
    <w:p w:rsidR="00BB3126" w:rsidRDefault="00FF07EF" w:rsidP="00BB3126">
      <w:pPr>
        <w:pStyle w:val="Heading4"/>
      </w:pPr>
      <w:bookmarkStart w:id="641" w:name="_Toc536519640"/>
      <w:bookmarkStart w:id="642" w:name="_Toc536631350"/>
      <w:bookmarkStart w:id="643" w:name="_Toc536803191"/>
      <w:bookmarkStart w:id="644" w:name="_Toc536803279"/>
      <w:bookmarkStart w:id="645" w:name="_Toc1115153"/>
      <w:r>
        <w:t>I</w:t>
      </w:r>
      <w:r w:rsidR="00BB3126">
        <w:t>ncorporating 2016 Census data</w:t>
      </w:r>
      <w:bookmarkEnd w:id="641"/>
      <w:bookmarkEnd w:id="642"/>
      <w:bookmarkEnd w:id="643"/>
      <w:bookmarkEnd w:id="644"/>
      <w:bookmarkEnd w:id="645"/>
    </w:p>
    <w:p w:rsidR="00BB3126" w:rsidRDefault="00BB3126" w:rsidP="00BB3126">
      <w:pPr>
        <w:pStyle w:val="21para"/>
      </w:pPr>
      <w:r>
        <w:t>Final 2016 Census data from the ABS, including sub</w:t>
      </w:r>
      <w:r>
        <w:noBreakHyphen/>
        <w:t xml:space="preserve">State estimates of the Indigenous population, became available in 2018. All States supported using these data for all category assessments. </w:t>
      </w:r>
    </w:p>
    <w:p w:rsidR="00BB3126" w:rsidRDefault="00BB3126" w:rsidP="00BB3126">
      <w:pPr>
        <w:pStyle w:val="21para"/>
      </w:pPr>
      <w:r>
        <w:t xml:space="preserve">The Commission has used final </w:t>
      </w:r>
      <w:r w:rsidRPr="00C8688C">
        <w:t xml:space="preserve">2016 Census based data for </w:t>
      </w:r>
      <w:r>
        <w:t>the 2019 Update.</w:t>
      </w:r>
      <w:r>
        <w:rPr>
          <w:rStyle w:val="FootnoteReference"/>
        </w:rPr>
        <w:footnoteReference w:id="6"/>
      </w:r>
      <w:r>
        <w:t xml:space="preserve"> This is consistent with the requirement of the Commission’s terms of reference (ToR) ‘where possible, [to] use the latest available data’. </w:t>
      </w:r>
    </w:p>
    <w:p w:rsidR="007A197C" w:rsidRDefault="007A197C" w:rsidP="007A197C">
      <w:pPr>
        <w:pStyle w:val="Heading4"/>
      </w:pPr>
      <w:bookmarkStart w:id="646" w:name="_Toc1115154"/>
      <w:r>
        <w:lastRenderedPageBreak/>
        <w:t>Health data</w:t>
      </w:r>
      <w:bookmarkEnd w:id="646"/>
    </w:p>
    <w:p w:rsidR="00BB3126" w:rsidRDefault="00BB3126" w:rsidP="00BB3126">
      <w:pPr>
        <w:pStyle w:val="21para"/>
      </w:pPr>
      <w:r w:rsidRPr="00A62F17">
        <w:t xml:space="preserve">This update includes revised data from </w:t>
      </w:r>
      <w:r>
        <w:t>IHPA</w:t>
      </w:r>
      <w:r w:rsidRPr="00A62F17">
        <w:t xml:space="preserve"> for 2014-15 to 2016-17 in the Health assessment. I</w:t>
      </w:r>
      <w:r>
        <w:t xml:space="preserve">HPA </w:t>
      </w:r>
      <w:r w:rsidR="009D7DBC">
        <w:t>data for 2017-18 were not available for the update</w:t>
      </w:r>
      <w:r w:rsidRPr="00A62F17">
        <w:t xml:space="preserve">. Therefore, the Commission has used 2016-17 IHPA </w:t>
      </w:r>
      <w:r>
        <w:t xml:space="preserve">data </w:t>
      </w:r>
      <w:r w:rsidRPr="00A62F17">
        <w:t>for the 2017-18 assessment year, which is the latest available data</w:t>
      </w:r>
      <w:r>
        <w:t>.</w:t>
      </w:r>
    </w:p>
    <w:p w:rsidR="00BB3126" w:rsidRDefault="00BB3126" w:rsidP="00BB3126">
      <w:pPr>
        <w:pStyle w:val="Heading3"/>
      </w:pPr>
      <w:bookmarkStart w:id="647" w:name="_Toc536519641"/>
      <w:bookmarkStart w:id="648" w:name="_Toc536631351"/>
      <w:bookmarkStart w:id="649" w:name="_Toc536803192"/>
      <w:bookmarkStart w:id="650" w:name="_Toc536803280"/>
      <w:bookmarkStart w:id="651" w:name="_Toc1115155"/>
      <w:r>
        <w:t xml:space="preserve">Assessment </w:t>
      </w:r>
      <w:bookmarkEnd w:id="647"/>
      <w:r>
        <w:t>issues</w:t>
      </w:r>
      <w:bookmarkEnd w:id="648"/>
      <w:bookmarkEnd w:id="649"/>
      <w:bookmarkEnd w:id="650"/>
      <w:bookmarkEnd w:id="651"/>
    </w:p>
    <w:p w:rsidR="00BB3126" w:rsidRDefault="00BB3126" w:rsidP="00BB3126">
      <w:pPr>
        <w:pStyle w:val="Heading4"/>
      </w:pPr>
      <w:bookmarkStart w:id="652" w:name="_Toc536519642"/>
      <w:bookmarkStart w:id="653" w:name="_Toc536631352"/>
      <w:bookmarkStart w:id="654" w:name="_Toc536803193"/>
      <w:bookmarkStart w:id="655" w:name="_Toc536803281"/>
      <w:bookmarkStart w:id="656" w:name="_Toc1115156"/>
      <w:bookmarkStart w:id="657" w:name="_Toc531948616"/>
      <w:bookmarkStart w:id="658" w:name="_Toc531949247"/>
      <w:bookmarkStart w:id="659" w:name="_Toc532227206"/>
      <w:bookmarkStart w:id="660" w:name="_Toc532388123"/>
      <w:bookmarkStart w:id="661" w:name="_Toc532469237"/>
      <w:r>
        <w:t>Mining revenue assessment</w:t>
      </w:r>
      <w:bookmarkEnd w:id="652"/>
      <w:bookmarkEnd w:id="653"/>
      <w:bookmarkEnd w:id="654"/>
      <w:bookmarkEnd w:id="655"/>
      <w:bookmarkEnd w:id="656"/>
    </w:p>
    <w:p w:rsidR="00BB3126" w:rsidRPr="00C845D9" w:rsidRDefault="00BB3126" w:rsidP="00BB3126">
      <w:pPr>
        <w:pStyle w:val="Heading5"/>
      </w:pPr>
      <w:bookmarkStart w:id="662" w:name="_Toc536803194"/>
      <w:bookmarkStart w:id="663" w:name="_Toc536803282"/>
      <w:r w:rsidRPr="00C845D9">
        <w:t>Treatment of lithium royalties</w:t>
      </w:r>
      <w:bookmarkEnd w:id="657"/>
      <w:bookmarkEnd w:id="658"/>
      <w:bookmarkEnd w:id="659"/>
      <w:bookmarkEnd w:id="660"/>
      <w:bookmarkEnd w:id="661"/>
      <w:bookmarkEnd w:id="662"/>
      <w:bookmarkEnd w:id="663"/>
    </w:p>
    <w:p w:rsidR="00BB3126" w:rsidRPr="00C845D9" w:rsidRDefault="00BB3126" w:rsidP="00BB3126">
      <w:pPr>
        <w:pStyle w:val="21para"/>
      </w:pPr>
      <w:r w:rsidRPr="00762630">
        <w:rPr>
          <w:rStyle w:val="Heading6Char"/>
        </w:rPr>
        <w:t>Background.</w:t>
      </w:r>
      <w:r>
        <w:t xml:space="preserve"> </w:t>
      </w:r>
      <w:r w:rsidRPr="00C845D9">
        <w:t>In the 2015 Review, the Commission decided to assess mining capacity using a mineral by mineral assessment. In its report the Commission said:</w:t>
      </w:r>
    </w:p>
    <w:p w:rsidR="00BB3126" w:rsidRPr="00C845D9" w:rsidRDefault="00BB3126" w:rsidP="00BB3126">
      <w:pPr>
        <w:tabs>
          <w:tab w:val="clear" w:pos="567"/>
        </w:tabs>
        <w:spacing w:before="120" w:after="120" w:line="240" w:lineRule="auto"/>
        <w:ind w:left="1134" w:right="1134"/>
        <w:rPr>
          <w:sz w:val="22"/>
          <w:szCs w:val="24"/>
        </w:rPr>
      </w:pPr>
      <w:r w:rsidRPr="00C845D9">
        <w:rPr>
          <w:sz w:val="22"/>
          <w:szCs w:val="24"/>
        </w:rPr>
        <w:t>Our intention is to keep this structure until the next review. However, if there is a major change in circumstances, such that another mineral becomes material or one of the material minerals becomes immaterial, the Commission will exercise its judgment on whether</w:t>
      </w:r>
      <w:r w:rsidR="00EE14CC">
        <w:rPr>
          <w:sz w:val="22"/>
          <w:szCs w:val="24"/>
        </w:rPr>
        <w:t xml:space="preserve"> HFE</w:t>
      </w:r>
      <w:r w:rsidRPr="00C845D9">
        <w:rPr>
          <w:sz w:val="22"/>
          <w:szCs w:val="24"/>
        </w:rPr>
        <w:t xml:space="preserve"> would be improved by changing the structure of the assessment.</w:t>
      </w:r>
      <w:r w:rsidRPr="00C845D9">
        <w:rPr>
          <w:sz w:val="22"/>
          <w:szCs w:val="24"/>
          <w:vertAlign w:val="superscript"/>
        </w:rPr>
        <w:footnoteReference w:id="7"/>
      </w:r>
    </w:p>
    <w:p w:rsidR="00BB3126" w:rsidRDefault="00BB3126" w:rsidP="00BB3126">
      <w:pPr>
        <w:pStyle w:val="21para"/>
      </w:pPr>
      <w:r w:rsidRPr="00C845D9">
        <w:t>In its 2018-19 Budget Papers</w:t>
      </w:r>
      <w:r w:rsidRPr="00C845D9">
        <w:rPr>
          <w:vertAlign w:val="superscript"/>
        </w:rPr>
        <w:footnoteReference w:id="8"/>
      </w:r>
      <w:r w:rsidRPr="00C845D9">
        <w:t>, Western Australia forecasts its lithium royalties to exceed $100 millio</w:t>
      </w:r>
      <w:r w:rsidR="00337109">
        <w:t>n by 2018-19, by which time this</w:t>
      </w:r>
      <w:r w:rsidRPr="00C845D9">
        <w:t xml:space="preserve"> would exceed its nickel royalties</w:t>
      </w:r>
      <w:r>
        <w:t xml:space="preserve"> for two consecutive years (</w:t>
      </w:r>
      <w:r w:rsidRPr="00292019">
        <w:t xml:space="preserve">see </w:t>
      </w:r>
      <w:r w:rsidRPr="00292019">
        <w:fldChar w:fldCharType="begin"/>
      </w:r>
      <w:r w:rsidRPr="00292019">
        <w:instrText xml:space="preserve"> REF _Ref536616618 \h  \* MERGEFORMAT </w:instrText>
      </w:r>
      <w:r w:rsidRPr="00292019">
        <w:fldChar w:fldCharType="separate"/>
      </w:r>
      <w:r w:rsidR="00E82224" w:rsidRPr="00E82224">
        <w:rPr>
          <w:szCs w:val="20"/>
        </w:rPr>
        <w:t>Table 2-1</w:t>
      </w:r>
      <w:r w:rsidRPr="00292019">
        <w:fldChar w:fldCharType="end"/>
      </w:r>
      <w:r w:rsidRPr="00292019">
        <w:t>). Currently</w:t>
      </w:r>
      <w:r w:rsidRPr="00C845D9">
        <w:t>, nickel royalties are separately assessed, but</w:t>
      </w:r>
      <w:r w:rsidR="00337109">
        <w:t xml:space="preserve"> lithium royalties are not. These</w:t>
      </w:r>
      <w:r w:rsidRPr="00C845D9">
        <w:t xml:space="preserve"> are assessed as part of the Other minerals component</w:t>
      </w:r>
      <w:r>
        <w:t xml:space="preserve"> of Mining revenue</w:t>
      </w:r>
      <w:r w:rsidRPr="00C845D9">
        <w:t>.</w:t>
      </w:r>
    </w:p>
    <w:p w:rsidR="00BB3126" w:rsidRPr="00C845D9" w:rsidRDefault="00BB3126" w:rsidP="00BB3126">
      <w:pPr>
        <w:pStyle w:val="21para"/>
      </w:pPr>
      <w:r>
        <w:t>As lithium has not been separately assessed, States have not been providing data on lithium royalties and value of production. However, b</w:t>
      </w:r>
      <w:r w:rsidRPr="00C845D9">
        <w:t xml:space="preserve">ased on </w:t>
      </w:r>
      <w:r>
        <w:t>Western Australia’s</w:t>
      </w:r>
      <w:r w:rsidRPr="00C845D9">
        <w:t xml:space="preserve"> </w:t>
      </w:r>
      <w:r>
        <w:t>budget estimates (and a Commission estimate for 2015</w:t>
      </w:r>
      <w:r>
        <w:noBreakHyphen/>
        <w:t>16)</w:t>
      </w:r>
      <w:r w:rsidRPr="00C845D9">
        <w:t xml:space="preserve">, </w:t>
      </w:r>
      <w:r>
        <w:t xml:space="preserve">a </w:t>
      </w:r>
      <w:r w:rsidRPr="00C845D9">
        <w:t>separate assessment of lithium royalties would not be material in the 2019 Update.</w:t>
      </w:r>
      <w:r>
        <w:t xml:space="preserve"> Data provided by States on nickel royalties and production for the 2019 Update also indicate that a separate assessment of nickel royalties would not be material in this inquiry.</w:t>
      </w:r>
    </w:p>
    <w:p w:rsidR="00BB3126" w:rsidRPr="00C845D9" w:rsidRDefault="00BB3126" w:rsidP="00BB3126">
      <w:pPr>
        <w:keepNext/>
        <w:keepLines/>
        <w:tabs>
          <w:tab w:val="clear" w:pos="567"/>
          <w:tab w:val="left" w:pos="1420"/>
        </w:tabs>
        <w:spacing w:before="240" w:after="120" w:line="240" w:lineRule="auto"/>
        <w:ind w:left="1418" w:hanging="1418"/>
        <w:rPr>
          <w:b/>
          <w:szCs w:val="20"/>
        </w:rPr>
      </w:pPr>
      <w:bookmarkStart w:id="664" w:name="_Ref533540690"/>
      <w:bookmarkStart w:id="665" w:name="_Ref536616618"/>
      <w:r w:rsidRPr="00C845D9">
        <w:rPr>
          <w:b/>
          <w:szCs w:val="20"/>
        </w:rPr>
        <w:lastRenderedPageBreak/>
        <w:t xml:space="preserve">Table </w:t>
      </w:r>
      <w:r>
        <w:rPr>
          <w:b/>
          <w:szCs w:val="20"/>
        </w:rPr>
        <w:t>2-</w:t>
      </w:r>
      <w:bookmarkEnd w:id="664"/>
      <w:r>
        <w:rPr>
          <w:b/>
          <w:noProof/>
          <w:szCs w:val="20"/>
        </w:rPr>
        <w:fldChar w:fldCharType="begin"/>
      </w:r>
      <w:r>
        <w:rPr>
          <w:b/>
          <w:noProof/>
          <w:szCs w:val="20"/>
        </w:rPr>
        <w:instrText xml:space="preserve"> SEQ Table \* ARABIC \r1 </w:instrText>
      </w:r>
      <w:r>
        <w:rPr>
          <w:b/>
          <w:noProof/>
          <w:szCs w:val="20"/>
        </w:rPr>
        <w:fldChar w:fldCharType="separate"/>
      </w:r>
      <w:r w:rsidR="00E82224">
        <w:rPr>
          <w:b/>
          <w:noProof/>
          <w:szCs w:val="20"/>
        </w:rPr>
        <w:t>1</w:t>
      </w:r>
      <w:r>
        <w:rPr>
          <w:b/>
          <w:noProof/>
          <w:szCs w:val="20"/>
        </w:rPr>
        <w:fldChar w:fldCharType="end"/>
      </w:r>
      <w:bookmarkEnd w:id="665"/>
      <w:r w:rsidRPr="00C845D9">
        <w:rPr>
          <w:b/>
          <w:szCs w:val="20"/>
        </w:rPr>
        <w:tab/>
        <w:t>Western Australian nickel and lithium royalties</w:t>
      </w:r>
      <w:r w:rsidR="007B15C1">
        <w:rPr>
          <w:b/>
          <w:szCs w:val="20"/>
        </w:rPr>
        <w:t>, 2015-16 to 2021-22</w:t>
      </w:r>
    </w:p>
    <w:tbl>
      <w:tblPr>
        <w:tblW w:w="8920" w:type="dxa"/>
        <w:tblLayout w:type="fixed"/>
        <w:tblCellMar>
          <w:left w:w="0" w:type="dxa"/>
          <w:right w:w="0" w:type="dxa"/>
        </w:tblCellMar>
        <w:tblLook w:val="04A0" w:firstRow="1" w:lastRow="0" w:firstColumn="1" w:lastColumn="0" w:noHBand="0" w:noVBand="1"/>
      </w:tblPr>
      <w:tblGrid>
        <w:gridCol w:w="1060"/>
        <w:gridCol w:w="1120"/>
        <w:gridCol w:w="1120"/>
        <w:gridCol w:w="1120"/>
        <w:gridCol w:w="1120"/>
        <w:gridCol w:w="1120"/>
        <w:gridCol w:w="1120"/>
        <w:gridCol w:w="1140"/>
      </w:tblGrid>
      <w:tr w:rsidR="00BB3126" w:rsidRPr="000D6ECE" w:rsidTr="00C7618F">
        <w:trPr>
          <w:trHeight w:val="375"/>
        </w:trPr>
        <w:tc>
          <w:tcPr>
            <w:tcW w:w="1060" w:type="dxa"/>
            <w:tcBorders>
              <w:top w:val="single" w:sz="4" w:space="0" w:color="auto"/>
              <w:left w:val="nil"/>
              <w:bottom w:val="single" w:sz="4" w:space="0" w:color="auto"/>
              <w:right w:val="nil"/>
            </w:tcBorders>
            <w:shd w:val="clear" w:color="auto" w:fill="auto"/>
            <w:noWrap/>
            <w:vAlign w:val="center"/>
            <w:hideMark/>
          </w:tcPr>
          <w:p w:rsidR="00BB3126" w:rsidRPr="000D6ECE"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bookmarkStart w:id="666" w:name="RANGE!A18:H21"/>
            <w:r w:rsidRPr="000D6ECE">
              <w:rPr>
                <w:rFonts w:ascii="Calibri" w:eastAsia="Times New Roman" w:hAnsi="Calibri" w:cs="Calibri"/>
                <w:sz w:val="20"/>
                <w:szCs w:val="20"/>
                <w:lang w:eastAsia="en-AU"/>
              </w:rPr>
              <w:t> </w:t>
            </w:r>
            <w:bookmarkEnd w:id="666"/>
          </w:p>
        </w:tc>
        <w:tc>
          <w:tcPr>
            <w:tcW w:w="1120" w:type="dxa"/>
            <w:tcBorders>
              <w:top w:val="single" w:sz="4" w:space="0" w:color="auto"/>
              <w:left w:val="nil"/>
              <w:bottom w:val="single" w:sz="4" w:space="0" w:color="auto"/>
              <w:right w:val="nil"/>
            </w:tcBorders>
            <w:shd w:val="clear" w:color="auto" w:fill="auto"/>
            <w:noWrap/>
            <w:vAlign w:val="center"/>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2015-16</w:t>
            </w:r>
          </w:p>
        </w:tc>
        <w:tc>
          <w:tcPr>
            <w:tcW w:w="1120" w:type="dxa"/>
            <w:tcBorders>
              <w:top w:val="single" w:sz="4" w:space="0" w:color="auto"/>
              <w:left w:val="nil"/>
              <w:bottom w:val="single" w:sz="4" w:space="0" w:color="auto"/>
              <w:right w:val="nil"/>
            </w:tcBorders>
            <w:shd w:val="clear" w:color="auto" w:fill="auto"/>
            <w:noWrap/>
            <w:vAlign w:val="center"/>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2016-17</w:t>
            </w:r>
          </w:p>
        </w:tc>
        <w:tc>
          <w:tcPr>
            <w:tcW w:w="1120" w:type="dxa"/>
            <w:tcBorders>
              <w:top w:val="single" w:sz="4" w:space="0" w:color="auto"/>
              <w:left w:val="nil"/>
              <w:bottom w:val="single" w:sz="4" w:space="0" w:color="auto"/>
              <w:right w:val="nil"/>
            </w:tcBorders>
            <w:shd w:val="clear" w:color="auto" w:fill="auto"/>
            <w:noWrap/>
            <w:vAlign w:val="center"/>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2017-18</w:t>
            </w:r>
          </w:p>
        </w:tc>
        <w:tc>
          <w:tcPr>
            <w:tcW w:w="1120" w:type="dxa"/>
            <w:tcBorders>
              <w:top w:val="single" w:sz="4" w:space="0" w:color="auto"/>
              <w:left w:val="nil"/>
              <w:bottom w:val="single" w:sz="4" w:space="0" w:color="auto"/>
              <w:right w:val="nil"/>
            </w:tcBorders>
            <w:shd w:val="clear" w:color="auto" w:fill="auto"/>
            <w:noWrap/>
            <w:vAlign w:val="center"/>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2018-19</w:t>
            </w:r>
          </w:p>
        </w:tc>
        <w:tc>
          <w:tcPr>
            <w:tcW w:w="1120" w:type="dxa"/>
            <w:tcBorders>
              <w:top w:val="single" w:sz="4" w:space="0" w:color="auto"/>
              <w:left w:val="nil"/>
              <w:bottom w:val="single" w:sz="4" w:space="0" w:color="auto"/>
              <w:right w:val="nil"/>
            </w:tcBorders>
            <w:shd w:val="clear" w:color="auto" w:fill="auto"/>
            <w:noWrap/>
            <w:vAlign w:val="center"/>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2019-20</w:t>
            </w:r>
          </w:p>
        </w:tc>
        <w:tc>
          <w:tcPr>
            <w:tcW w:w="1120" w:type="dxa"/>
            <w:tcBorders>
              <w:top w:val="single" w:sz="4" w:space="0" w:color="auto"/>
              <w:left w:val="nil"/>
              <w:bottom w:val="single" w:sz="4" w:space="0" w:color="auto"/>
              <w:right w:val="nil"/>
            </w:tcBorders>
            <w:shd w:val="clear" w:color="auto" w:fill="auto"/>
            <w:noWrap/>
            <w:vAlign w:val="center"/>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2020-21</w:t>
            </w:r>
          </w:p>
        </w:tc>
        <w:tc>
          <w:tcPr>
            <w:tcW w:w="1140" w:type="dxa"/>
            <w:tcBorders>
              <w:top w:val="single" w:sz="4" w:space="0" w:color="auto"/>
              <w:left w:val="nil"/>
              <w:bottom w:val="single" w:sz="4" w:space="0" w:color="auto"/>
              <w:right w:val="nil"/>
            </w:tcBorders>
            <w:shd w:val="clear" w:color="auto" w:fill="auto"/>
            <w:noWrap/>
            <w:vAlign w:val="center"/>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2021-22</w:t>
            </w:r>
          </w:p>
        </w:tc>
      </w:tr>
      <w:tr w:rsidR="00BB3126" w:rsidRPr="000D6ECE" w:rsidTr="00C7618F">
        <w:trPr>
          <w:trHeight w:val="259"/>
        </w:trPr>
        <w:tc>
          <w:tcPr>
            <w:tcW w:w="1060" w:type="dxa"/>
            <w:tcBorders>
              <w:top w:val="nil"/>
              <w:left w:val="nil"/>
              <w:bottom w:val="nil"/>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ind w:left="193" w:hanging="142"/>
              <w:jc w:val="right"/>
              <w:rPr>
                <w:rFonts w:ascii="Calibri" w:eastAsia="Times New Roman" w:hAnsi="Calibri" w:cs="Calibri"/>
                <w:sz w:val="20"/>
                <w:szCs w:val="20"/>
                <w:lang w:eastAsia="en-AU"/>
              </w:rPr>
            </w:pPr>
          </w:p>
        </w:tc>
        <w:tc>
          <w:tcPr>
            <w:tcW w:w="1120" w:type="dxa"/>
            <w:tcBorders>
              <w:top w:val="nil"/>
              <w:left w:val="nil"/>
              <w:bottom w:val="nil"/>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$m</w:t>
            </w:r>
          </w:p>
        </w:tc>
        <w:tc>
          <w:tcPr>
            <w:tcW w:w="1120" w:type="dxa"/>
            <w:tcBorders>
              <w:top w:val="nil"/>
              <w:left w:val="nil"/>
              <w:bottom w:val="nil"/>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$m</w:t>
            </w:r>
          </w:p>
        </w:tc>
        <w:tc>
          <w:tcPr>
            <w:tcW w:w="1120" w:type="dxa"/>
            <w:tcBorders>
              <w:top w:val="nil"/>
              <w:left w:val="nil"/>
              <w:bottom w:val="nil"/>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$m</w:t>
            </w:r>
          </w:p>
        </w:tc>
        <w:tc>
          <w:tcPr>
            <w:tcW w:w="1120" w:type="dxa"/>
            <w:tcBorders>
              <w:top w:val="nil"/>
              <w:left w:val="nil"/>
              <w:bottom w:val="nil"/>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$m</w:t>
            </w:r>
          </w:p>
        </w:tc>
        <w:tc>
          <w:tcPr>
            <w:tcW w:w="1120" w:type="dxa"/>
            <w:tcBorders>
              <w:top w:val="nil"/>
              <w:left w:val="nil"/>
              <w:bottom w:val="nil"/>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$m</w:t>
            </w:r>
          </w:p>
        </w:tc>
        <w:tc>
          <w:tcPr>
            <w:tcW w:w="1120" w:type="dxa"/>
            <w:tcBorders>
              <w:top w:val="nil"/>
              <w:left w:val="nil"/>
              <w:bottom w:val="nil"/>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$m</w:t>
            </w:r>
          </w:p>
        </w:tc>
        <w:tc>
          <w:tcPr>
            <w:tcW w:w="1140" w:type="dxa"/>
            <w:tcBorders>
              <w:top w:val="nil"/>
              <w:left w:val="nil"/>
              <w:bottom w:val="nil"/>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$m</w:t>
            </w:r>
          </w:p>
        </w:tc>
      </w:tr>
      <w:tr w:rsidR="00BB3126" w:rsidRPr="000D6ECE" w:rsidTr="00C7618F">
        <w:trPr>
          <w:trHeight w:val="315"/>
        </w:trPr>
        <w:tc>
          <w:tcPr>
            <w:tcW w:w="1060" w:type="dxa"/>
            <w:tcBorders>
              <w:top w:val="nil"/>
              <w:left w:val="nil"/>
              <w:bottom w:val="nil"/>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Nickel</w:t>
            </w:r>
          </w:p>
        </w:tc>
        <w:tc>
          <w:tcPr>
            <w:tcW w:w="1120" w:type="dxa"/>
            <w:tcBorders>
              <w:top w:val="nil"/>
              <w:left w:val="nil"/>
              <w:bottom w:val="nil"/>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 xml:space="preserve">  46</w:t>
            </w:r>
          </w:p>
        </w:tc>
        <w:tc>
          <w:tcPr>
            <w:tcW w:w="1120" w:type="dxa"/>
            <w:tcBorders>
              <w:top w:val="nil"/>
              <w:left w:val="nil"/>
              <w:bottom w:val="nil"/>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 xml:space="preserve">  43</w:t>
            </w:r>
          </w:p>
        </w:tc>
        <w:tc>
          <w:tcPr>
            <w:tcW w:w="1120" w:type="dxa"/>
            <w:tcBorders>
              <w:top w:val="nil"/>
              <w:left w:val="nil"/>
              <w:bottom w:val="nil"/>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 xml:space="preserve">  65</w:t>
            </w:r>
          </w:p>
        </w:tc>
        <w:tc>
          <w:tcPr>
            <w:tcW w:w="1120" w:type="dxa"/>
            <w:tcBorders>
              <w:top w:val="nil"/>
              <w:left w:val="nil"/>
              <w:bottom w:val="nil"/>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 xml:space="preserve">  71</w:t>
            </w:r>
          </w:p>
        </w:tc>
        <w:tc>
          <w:tcPr>
            <w:tcW w:w="1120" w:type="dxa"/>
            <w:tcBorders>
              <w:top w:val="nil"/>
              <w:left w:val="nil"/>
              <w:bottom w:val="nil"/>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 xml:space="preserve">  71</w:t>
            </w:r>
          </w:p>
        </w:tc>
        <w:tc>
          <w:tcPr>
            <w:tcW w:w="1120" w:type="dxa"/>
            <w:tcBorders>
              <w:top w:val="nil"/>
              <w:left w:val="nil"/>
              <w:bottom w:val="nil"/>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 xml:space="preserve">  70</w:t>
            </w:r>
          </w:p>
        </w:tc>
        <w:tc>
          <w:tcPr>
            <w:tcW w:w="1140" w:type="dxa"/>
            <w:tcBorders>
              <w:top w:val="nil"/>
              <w:left w:val="nil"/>
              <w:bottom w:val="nil"/>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 xml:space="preserve">  63</w:t>
            </w:r>
          </w:p>
        </w:tc>
      </w:tr>
      <w:tr w:rsidR="00BB3126" w:rsidRPr="000D6ECE" w:rsidTr="00C7618F">
        <w:trPr>
          <w:trHeight w:val="315"/>
        </w:trPr>
        <w:tc>
          <w:tcPr>
            <w:tcW w:w="1060" w:type="dxa"/>
            <w:tcBorders>
              <w:top w:val="nil"/>
              <w:left w:val="nil"/>
              <w:bottom w:val="single" w:sz="4" w:space="0" w:color="auto"/>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ind w:left="193" w:hanging="142"/>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Lithium</w:t>
            </w:r>
          </w:p>
        </w:tc>
        <w:tc>
          <w:tcPr>
            <w:tcW w:w="1120" w:type="dxa"/>
            <w:tcBorders>
              <w:top w:val="nil"/>
              <w:left w:val="nil"/>
              <w:bottom w:val="single" w:sz="4" w:space="0" w:color="auto"/>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 xml:space="preserve">  6</w:t>
            </w:r>
          </w:p>
        </w:tc>
        <w:tc>
          <w:tcPr>
            <w:tcW w:w="1120" w:type="dxa"/>
            <w:tcBorders>
              <w:top w:val="nil"/>
              <w:left w:val="nil"/>
              <w:bottom w:val="single" w:sz="4" w:space="0" w:color="auto"/>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 xml:space="preserve">  24</w:t>
            </w:r>
          </w:p>
        </w:tc>
        <w:tc>
          <w:tcPr>
            <w:tcW w:w="1120" w:type="dxa"/>
            <w:tcBorders>
              <w:top w:val="nil"/>
              <w:left w:val="nil"/>
              <w:bottom w:val="single" w:sz="4" w:space="0" w:color="auto"/>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 xml:space="preserve">  89</w:t>
            </w:r>
          </w:p>
        </w:tc>
        <w:tc>
          <w:tcPr>
            <w:tcW w:w="1120" w:type="dxa"/>
            <w:tcBorders>
              <w:top w:val="nil"/>
              <w:left w:val="nil"/>
              <w:bottom w:val="single" w:sz="4" w:space="0" w:color="auto"/>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 xml:space="preserve">  131</w:t>
            </w:r>
          </w:p>
        </w:tc>
        <w:tc>
          <w:tcPr>
            <w:tcW w:w="1120" w:type="dxa"/>
            <w:tcBorders>
              <w:top w:val="nil"/>
              <w:left w:val="nil"/>
              <w:bottom w:val="single" w:sz="4" w:space="0" w:color="auto"/>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 xml:space="preserve">  131</w:t>
            </w:r>
          </w:p>
        </w:tc>
        <w:tc>
          <w:tcPr>
            <w:tcW w:w="1120" w:type="dxa"/>
            <w:tcBorders>
              <w:top w:val="nil"/>
              <w:left w:val="nil"/>
              <w:bottom w:val="single" w:sz="4" w:space="0" w:color="auto"/>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 xml:space="preserve">  109</w:t>
            </w:r>
          </w:p>
        </w:tc>
        <w:tc>
          <w:tcPr>
            <w:tcW w:w="1140" w:type="dxa"/>
            <w:tcBorders>
              <w:top w:val="nil"/>
              <w:left w:val="nil"/>
              <w:bottom w:val="single" w:sz="4" w:space="0" w:color="auto"/>
              <w:right w:val="nil"/>
            </w:tcBorders>
            <w:shd w:val="clear" w:color="auto" w:fill="auto"/>
            <w:noWrap/>
            <w:vAlign w:val="bottom"/>
            <w:hideMark/>
          </w:tcPr>
          <w:p w:rsidR="00BB3126" w:rsidRPr="000D6ECE" w:rsidRDefault="00BB3126" w:rsidP="00C7618F">
            <w:pPr>
              <w:keepNext/>
              <w:keepLines/>
              <w:tabs>
                <w:tab w:val="clear" w:pos="567"/>
              </w:tabs>
              <w:spacing w:after="0" w:line="240" w:lineRule="auto"/>
              <w:jc w:val="right"/>
              <w:rPr>
                <w:rFonts w:ascii="Calibri" w:eastAsia="Times New Roman" w:hAnsi="Calibri" w:cs="Calibri"/>
                <w:sz w:val="20"/>
                <w:szCs w:val="20"/>
                <w:lang w:eastAsia="en-AU"/>
              </w:rPr>
            </w:pPr>
            <w:r w:rsidRPr="000D6ECE">
              <w:rPr>
                <w:rFonts w:ascii="Calibri" w:eastAsia="Times New Roman" w:hAnsi="Calibri" w:cs="Calibri"/>
                <w:sz w:val="20"/>
                <w:szCs w:val="20"/>
                <w:lang w:eastAsia="en-AU"/>
              </w:rPr>
              <w:t xml:space="preserve">  117</w:t>
            </w:r>
          </w:p>
        </w:tc>
      </w:tr>
    </w:tbl>
    <w:p w:rsidR="00BB3126" w:rsidRPr="00C845D9" w:rsidRDefault="00BB3126" w:rsidP="006D6DCB">
      <w:pPr>
        <w:keepLines/>
        <w:tabs>
          <w:tab w:val="clear" w:pos="567"/>
          <w:tab w:val="left" w:pos="851"/>
        </w:tabs>
        <w:spacing w:after="0" w:line="240" w:lineRule="auto"/>
        <w:ind w:left="851" w:hanging="851"/>
        <w:rPr>
          <w:sz w:val="20"/>
          <w:szCs w:val="24"/>
        </w:rPr>
      </w:pPr>
      <w:r w:rsidRPr="00C845D9">
        <w:rPr>
          <w:sz w:val="20"/>
          <w:szCs w:val="24"/>
        </w:rPr>
        <w:t>Source:</w:t>
      </w:r>
      <w:r w:rsidRPr="00C845D9">
        <w:rPr>
          <w:sz w:val="20"/>
          <w:szCs w:val="24"/>
        </w:rPr>
        <w:tab/>
      </w:r>
      <w:r>
        <w:rPr>
          <w:sz w:val="20"/>
          <w:szCs w:val="24"/>
        </w:rPr>
        <w:t xml:space="preserve">2015-16 nickel royalties were obtained from </w:t>
      </w:r>
      <w:r w:rsidRPr="0025041C">
        <w:rPr>
          <w:i/>
          <w:sz w:val="20"/>
          <w:szCs w:val="24"/>
        </w:rPr>
        <w:t>Western Australia, State Budget 201</w:t>
      </w:r>
      <w:r>
        <w:rPr>
          <w:i/>
          <w:sz w:val="20"/>
          <w:szCs w:val="24"/>
        </w:rPr>
        <w:t>7-18</w:t>
      </w:r>
      <w:r w:rsidRPr="0025041C">
        <w:rPr>
          <w:i/>
          <w:sz w:val="20"/>
          <w:szCs w:val="24"/>
        </w:rPr>
        <w:t>, Budget Paper No 3, Economic and Fiscal Outlook</w:t>
      </w:r>
      <w:r w:rsidRPr="0070464B">
        <w:rPr>
          <w:sz w:val="20"/>
          <w:szCs w:val="24"/>
        </w:rPr>
        <w:t>, page 95</w:t>
      </w:r>
      <w:r>
        <w:rPr>
          <w:sz w:val="20"/>
          <w:szCs w:val="24"/>
        </w:rPr>
        <w:t xml:space="preserve">. 2015-16 lithium royalties were estimated by the Commission. All other data were obtained from </w:t>
      </w:r>
      <w:r w:rsidRPr="0025041C">
        <w:rPr>
          <w:i/>
          <w:sz w:val="20"/>
          <w:szCs w:val="24"/>
        </w:rPr>
        <w:t>Western Australia, State Budget 2018-19, Budget Paper No 3, Economic and Fiscal Outlook</w:t>
      </w:r>
      <w:r w:rsidRPr="0070464B">
        <w:rPr>
          <w:sz w:val="20"/>
          <w:szCs w:val="24"/>
        </w:rPr>
        <w:t xml:space="preserve">, page </w:t>
      </w:r>
      <w:r>
        <w:rPr>
          <w:sz w:val="20"/>
          <w:szCs w:val="24"/>
        </w:rPr>
        <w:t>8</w:t>
      </w:r>
      <w:r w:rsidRPr="0070464B">
        <w:rPr>
          <w:sz w:val="20"/>
          <w:szCs w:val="24"/>
        </w:rPr>
        <w:t>5</w:t>
      </w:r>
      <w:r w:rsidRPr="00C845D9">
        <w:rPr>
          <w:sz w:val="20"/>
          <w:szCs w:val="24"/>
        </w:rPr>
        <w:t>.</w:t>
      </w:r>
    </w:p>
    <w:p w:rsidR="00BB3126" w:rsidRDefault="00BB3126" w:rsidP="00BB3126">
      <w:pPr>
        <w:pStyle w:val="21para"/>
      </w:pPr>
      <w:r w:rsidRPr="00FE254E">
        <w:rPr>
          <w:rStyle w:val="Heading6Char"/>
        </w:rPr>
        <w:t>State views.</w:t>
      </w:r>
      <w:r w:rsidRPr="00FE254E">
        <w:rPr>
          <w:rFonts w:eastAsiaTheme="majorEastAsia" w:cstheme="majorBidi"/>
          <w:b/>
          <w:i/>
          <w:color w:val="2C8558"/>
          <w:sz w:val="28"/>
        </w:rPr>
        <w:t xml:space="preserve"> </w:t>
      </w:r>
      <w:r>
        <w:t>Al</w:t>
      </w:r>
      <w:r w:rsidRPr="00FE254E">
        <w:t xml:space="preserve">l States </w:t>
      </w:r>
      <w:r>
        <w:t>agreed the Commission should not make a separate assessment of lithium royalties because it is not material to do so in this update.</w:t>
      </w:r>
    </w:p>
    <w:p w:rsidR="00BB3126" w:rsidRPr="00C845D9" w:rsidRDefault="00BB3126" w:rsidP="00BB3126">
      <w:pPr>
        <w:pStyle w:val="21para"/>
      </w:pPr>
      <w:r w:rsidRPr="00C845D9">
        <w:t>Western Australia said any</w:t>
      </w:r>
      <w:r>
        <w:t xml:space="preserve"> further disaggregation of the M</w:t>
      </w:r>
      <w:r w:rsidRPr="00C845D9">
        <w:t xml:space="preserve">ining </w:t>
      </w:r>
      <w:r>
        <w:t xml:space="preserve">revenue </w:t>
      </w:r>
      <w:r w:rsidRPr="00C845D9">
        <w:t>assessment would be undesirable as it would increase the policy sensitivity of th</w:t>
      </w:r>
      <w:r>
        <w:t>at</w:t>
      </w:r>
      <w:r w:rsidRPr="00C845D9">
        <w:t xml:space="preserve"> assessment. </w:t>
      </w:r>
      <w:r>
        <w:t>T</w:t>
      </w:r>
      <w:r w:rsidRPr="00C845D9">
        <w:t xml:space="preserve">he ACT said </w:t>
      </w:r>
      <w:r>
        <w:t xml:space="preserve">that </w:t>
      </w:r>
      <w:r w:rsidRPr="00C845D9">
        <w:t>separately assessing lithium</w:t>
      </w:r>
      <w:r>
        <w:t xml:space="preserve"> royalties</w:t>
      </w:r>
      <w:r w:rsidRPr="00C845D9">
        <w:t xml:space="preserve"> in the 2019 Update would represent a method change.</w:t>
      </w:r>
    </w:p>
    <w:p w:rsidR="00BB3126" w:rsidRPr="002E5CF2" w:rsidRDefault="00BB3126" w:rsidP="00BB3126">
      <w:pPr>
        <w:pStyle w:val="21para"/>
      </w:pPr>
      <w:r>
        <w:rPr>
          <w:rStyle w:val="Heading6Char"/>
        </w:rPr>
        <w:t>Commission decision</w:t>
      </w:r>
      <w:r w:rsidRPr="00FE254E">
        <w:rPr>
          <w:rStyle w:val="Heading6Char"/>
        </w:rPr>
        <w:t>.</w:t>
      </w:r>
      <w:r w:rsidRPr="008914DA">
        <w:t xml:space="preserve"> </w:t>
      </w:r>
      <w:r>
        <w:t>The Commission does not consider s</w:t>
      </w:r>
      <w:r w:rsidRPr="005278F4">
        <w:t>eparately assessing</w:t>
      </w:r>
      <w:r>
        <w:t xml:space="preserve"> </w:t>
      </w:r>
      <w:r w:rsidRPr="005278F4">
        <w:t>lithium royalties constitute</w:t>
      </w:r>
      <w:r>
        <w:t>s</w:t>
      </w:r>
      <w:r w:rsidRPr="005278F4">
        <w:t xml:space="preserve"> a method change. </w:t>
      </w:r>
      <w:r>
        <w:t xml:space="preserve">In the 2015 Review, the Commission said it </w:t>
      </w:r>
      <w:r w:rsidRPr="005278F4">
        <w:t xml:space="preserve">would </w:t>
      </w:r>
      <w:r>
        <w:t xml:space="preserve">exercise judgment on whether to </w:t>
      </w:r>
      <w:r w:rsidRPr="005278F4">
        <w:t xml:space="preserve">change the structure of </w:t>
      </w:r>
      <w:r>
        <w:t>the</w:t>
      </w:r>
      <w:r w:rsidRPr="005278F4">
        <w:t xml:space="preserve"> mining </w:t>
      </w:r>
      <w:r w:rsidR="00722F87">
        <w:t xml:space="preserve">revenue </w:t>
      </w:r>
      <w:r w:rsidRPr="005278F4">
        <w:t>assessment if another mineral became material</w:t>
      </w:r>
      <w:r>
        <w:t xml:space="preserve"> or </w:t>
      </w:r>
      <w:r w:rsidRPr="002E5CF2">
        <w:t>one of the material minerals bec</w:t>
      </w:r>
      <w:r>
        <w:t>a</w:t>
      </w:r>
      <w:r w:rsidRPr="002E5CF2">
        <w:t xml:space="preserve">me immaterial. </w:t>
      </w:r>
      <w:r>
        <w:t>The purpose of this was to allow for the option to recognise structural change within the mining sector, as particular minerals became more (or less) important.</w:t>
      </w:r>
    </w:p>
    <w:p w:rsidR="00BB3126" w:rsidRDefault="00D16091" w:rsidP="00740560">
      <w:pPr>
        <w:pStyle w:val="21para"/>
      </w:pPr>
      <w:r>
        <w:t>A</w:t>
      </w:r>
      <w:r w:rsidR="00BB3126">
        <w:t xml:space="preserve"> </w:t>
      </w:r>
      <w:r w:rsidR="00BB3126" w:rsidRPr="000C6CD9">
        <w:t>separate</w:t>
      </w:r>
      <w:r w:rsidR="00BB3126">
        <w:t xml:space="preserve"> nickel assessment is not material in this update</w:t>
      </w:r>
      <w:r>
        <w:t>.</w:t>
      </w:r>
      <w:r w:rsidR="00160351">
        <w:t xml:space="preserve"> </w:t>
      </w:r>
      <w:r w:rsidR="00450C1E">
        <w:t>However</w:t>
      </w:r>
      <w:r>
        <w:t>,</w:t>
      </w:r>
      <w:r w:rsidR="00450C1E">
        <w:t xml:space="preserve"> </w:t>
      </w:r>
      <w:r w:rsidR="002F1ECF">
        <w:t xml:space="preserve">if </w:t>
      </w:r>
      <w:r w:rsidR="00160351">
        <w:t>State</w:t>
      </w:r>
      <w:r w:rsidR="002F1ECF">
        <w:t xml:space="preserve"> budget project</w:t>
      </w:r>
      <w:r w:rsidR="008157EC">
        <w:t>ion</w:t>
      </w:r>
      <w:r w:rsidR="002F1ECF">
        <w:t>s prove accurate</w:t>
      </w:r>
      <w:r w:rsidR="00160351">
        <w:t xml:space="preserve">, it may become </w:t>
      </w:r>
      <w:r w:rsidR="00450C1E">
        <w:t xml:space="preserve">material </w:t>
      </w:r>
      <w:r w:rsidR="00160351">
        <w:t xml:space="preserve">again in future updates. </w:t>
      </w:r>
      <w:r w:rsidR="00BB3126">
        <w:t xml:space="preserve">With lithium, while the projections suggest there may be a structural change in the importance of lithium in the future, that point has not been reached in this update. Therefore, the Commission has decided not to change the Mining revenue assessment in this update. </w:t>
      </w:r>
    </w:p>
    <w:p w:rsidR="00BB3126" w:rsidRPr="00C845D9" w:rsidRDefault="00BB3126" w:rsidP="00BB3126">
      <w:pPr>
        <w:pStyle w:val="Heading5"/>
      </w:pPr>
      <w:bookmarkStart w:id="667" w:name="_Toc531948618"/>
      <w:bookmarkStart w:id="668" w:name="_Toc531949249"/>
      <w:bookmarkStart w:id="669" w:name="_Toc532227208"/>
      <w:bookmarkStart w:id="670" w:name="_Toc532388125"/>
      <w:bookmarkStart w:id="671" w:name="_Toc532469239"/>
      <w:bookmarkStart w:id="672" w:name="_Toc536519643"/>
      <w:bookmarkStart w:id="673" w:name="_Toc536631353"/>
      <w:bookmarkStart w:id="674" w:name="_Toc536803195"/>
      <w:bookmarkStart w:id="675" w:name="_Toc536803283"/>
      <w:bookmarkStart w:id="676" w:name="_Toc174398"/>
      <w:r w:rsidRPr="00C845D9">
        <w:t>Treatment of transfer pricing of minerals</w:t>
      </w:r>
      <w:bookmarkEnd w:id="667"/>
      <w:bookmarkEnd w:id="668"/>
      <w:bookmarkEnd w:id="669"/>
      <w:bookmarkEnd w:id="670"/>
      <w:bookmarkEnd w:id="671"/>
      <w:bookmarkEnd w:id="672"/>
      <w:bookmarkEnd w:id="673"/>
      <w:bookmarkEnd w:id="674"/>
      <w:bookmarkEnd w:id="675"/>
      <w:bookmarkEnd w:id="676"/>
    </w:p>
    <w:p w:rsidR="00BB3126" w:rsidRPr="00C845D9" w:rsidRDefault="00BB3126" w:rsidP="00BB3126">
      <w:pPr>
        <w:pStyle w:val="21para"/>
      </w:pPr>
      <w:r w:rsidRPr="00942223">
        <w:rPr>
          <w:rStyle w:val="Heading6Char"/>
        </w:rPr>
        <w:t>Background.</w:t>
      </w:r>
      <w:r w:rsidRPr="00C845D9">
        <w:t xml:space="preserve"> In 2018, Queensland settled a case against BHP in relation to the transfer pricing of minerals. BHP paid royalties to Queensland based on the price it sold coal to its Singapore trading subsidiary (BHP Billiton Marketing). Its subsidiary then sold the coal to an end-user for a higher price. The case related to a seven and </w:t>
      </w:r>
      <w:r w:rsidR="007B15C1">
        <w:t xml:space="preserve">a </w:t>
      </w:r>
      <w:r w:rsidRPr="00C845D9">
        <w:t xml:space="preserve">half year period ending 31 December 2012. </w:t>
      </w:r>
      <w:r>
        <w:t>The</w:t>
      </w:r>
      <w:r w:rsidRPr="00C845D9">
        <w:t xml:space="preserve"> settlement comprised</w:t>
      </w:r>
      <w:r>
        <w:t xml:space="preserve"> a</w:t>
      </w:r>
      <w:r w:rsidRPr="00C845D9">
        <w:t xml:space="preserve"> ‘back royalties’ </w:t>
      </w:r>
      <w:r>
        <w:t>payment</w:t>
      </w:r>
      <w:r w:rsidRPr="00C845D9">
        <w:t xml:space="preserve"> and </w:t>
      </w:r>
      <w:r>
        <w:t xml:space="preserve">an </w:t>
      </w:r>
      <w:r w:rsidRPr="00C845D9">
        <w:t xml:space="preserve">interest </w:t>
      </w:r>
      <w:r>
        <w:t>penalty payment</w:t>
      </w:r>
      <w:r w:rsidRPr="00C845D9">
        <w:t>.</w:t>
      </w:r>
    </w:p>
    <w:p w:rsidR="00BB3126" w:rsidRPr="00F87EDC" w:rsidRDefault="00BB3126" w:rsidP="00BB3126">
      <w:pPr>
        <w:pStyle w:val="21para"/>
        <w:rPr>
          <w:szCs w:val="20"/>
        </w:rPr>
      </w:pPr>
      <w:r>
        <w:t>Commission staff consulted States on how the Commission should assess both payments.</w:t>
      </w:r>
    </w:p>
    <w:p w:rsidR="00BB3126" w:rsidRPr="00C845D9" w:rsidRDefault="00BB3126" w:rsidP="00BB3126">
      <w:pPr>
        <w:pStyle w:val="21para"/>
      </w:pPr>
      <w:r w:rsidRPr="00DE7832">
        <w:rPr>
          <w:rStyle w:val="Heading6Char"/>
        </w:rPr>
        <w:lastRenderedPageBreak/>
        <w:t>State views.</w:t>
      </w:r>
      <w:r>
        <w:rPr>
          <w:rFonts w:ascii="Calibri" w:hAnsi="Calibri" w:cs="Calibri"/>
        </w:rPr>
        <w:t xml:space="preserve"> </w:t>
      </w:r>
      <w:r w:rsidRPr="00DE7832">
        <w:rPr>
          <w:rFonts w:ascii="Calibri" w:hAnsi="Calibri" w:cs="Calibri"/>
        </w:rPr>
        <w:t xml:space="preserve">Most States </w:t>
      </w:r>
      <w:r>
        <w:rPr>
          <w:rFonts w:ascii="Calibri" w:hAnsi="Calibri" w:cs="Calibri"/>
        </w:rPr>
        <w:t>said the Commission should not differentially assess</w:t>
      </w:r>
      <w:r w:rsidRPr="00DE7832">
        <w:rPr>
          <w:rFonts w:ascii="Calibri" w:hAnsi="Calibri" w:cs="Calibri"/>
        </w:rPr>
        <w:t xml:space="preserve"> the </w:t>
      </w:r>
      <w:r>
        <w:rPr>
          <w:rFonts w:ascii="Calibri" w:hAnsi="Calibri" w:cs="Calibri"/>
        </w:rPr>
        <w:t>payments</w:t>
      </w:r>
      <w:r w:rsidRPr="00DE7832">
        <w:rPr>
          <w:rFonts w:ascii="Calibri" w:hAnsi="Calibri" w:cs="Calibri"/>
        </w:rPr>
        <w:t xml:space="preserve"> </w:t>
      </w:r>
      <w:r>
        <w:rPr>
          <w:rFonts w:ascii="Calibri" w:hAnsi="Calibri" w:cs="Calibri"/>
        </w:rPr>
        <w:t xml:space="preserve">as they </w:t>
      </w:r>
      <w:r w:rsidRPr="00DE7832">
        <w:rPr>
          <w:rFonts w:ascii="Calibri" w:hAnsi="Calibri" w:cs="Calibri"/>
        </w:rPr>
        <w:t xml:space="preserve">fell outside the </w:t>
      </w:r>
      <w:r w:rsidRPr="00DE7832">
        <w:rPr>
          <w:rFonts w:ascii="Calibri" w:hAnsi="Calibri" w:cs="Calibri"/>
          <w:iCs/>
        </w:rPr>
        <w:t>assessment</w:t>
      </w:r>
      <w:r w:rsidRPr="00DE7832">
        <w:rPr>
          <w:rFonts w:ascii="Calibri" w:hAnsi="Calibri" w:cs="Calibri"/>
        </w:rPr>
        <w:t xml:space="preserve"> period</w:t>
      </w:r>
      <w:r w:rsidRPr="00C845D9">
        <w:t xml:space="preserve"> and a</w:t>
      </w:r>
      <w:r>
        <w:t>n</w:t>
      </w:r>
      <w:r w:rsidRPr="00C845D9">
        <w:t xml:space="preserve"> assessment of </w:t>
      </w:r>
      <w:r>
        <w:t>them</w:t>
      </w:r>
      <w:r w:rsidRPr="00C845D9">
        <w:t xml:space="preserve"> would not be material. New South Wales disagreed.</w:t>
      </w:r>
    </w:p>
    <w:p w:rsidR="00BB3126" w:rsidRPr="00C845D9" w:rsidRDefault="00BB3126" w:rsidP="00BB3126">
      <w:pPr>
        <w:pStyle w:val="21para"/>
      </w:pPr>
      <w:r w:rsidRPr="00C845D9">
        <w:t xml:space="preserve">New South Wales acknowledged </w:t>
      </w:r>
      <w:r>
        <w:t xml:space="preserve">differentially </w:t>
      </w:r>
      <w:r w:rsidRPr="00C845D9">
        <w:t>assessing revenue relating to a prior period would create issues for the Commission. However, it believed the question was whether the inclusion of the back royalties in 2017</w:t>
      </w:r>
      <w:r w:rsidRPr="00C845D9">
        <w:noBreakHyphen/>
        <w:t xml:space="preserve">18 would result in GST outcomes that were materially different than had the back royalties been assessed in the relevant assessment years of prior inquiries. New South Wales said </w:t>
      </w:r>
      <w:r w:rsidR="007C23EB">
        <w:t>HFE</w:t>
      </w:r>
      <w:r w:rsidRPr="00C845D9">
        <w:t xml:space="preserve"> would be best achieved by including the back royalties in 2017</w:t>
      </w:r>
      <w:r w:rsidRPr="00C845D9">
        <w:noBreakHyphen/>
        <w:t>18.</w:t>
      </w:r>
    </w:p>
    <w:p w:rsidR="00BB3126" w:rsidRPr="00C845D9" w:rsidRDefault="00BB3126" w:rsidP="00BB3126">
      <w:pPr>
        <w:pStyle w:val="21para"/>
      </w:pPr>
      <w:r w:rsidRPr="00C845D9">
        <w:t xml:space="preserve">Western Australia said the </w:t>
      </w:r>
      <w:r>
        <w:t>payments</w:t>
      </w:r>
      <w:r w:rsidRPr="00C845D9">
        <w:t xml:space="preserve"> were unknown to Queensland at the time and it would be inappropriate to </w:t>
      </w:r>
      <w:r>
        <w:t xml:space="preserve">differentially </w:t>
      </w:r>
      <w:r w:rsidRPr="00C845D9">
        <w:t xml:space="preserve">assess them using the current coal revenue base. It also said materiality was not </w:t>
      </w:r>
      <w:r>
        <w:t>a relevant consideration.</w:t>
      </w:r>
    </w:p>
    <w:p w:rsidR="00BB3126" w:rsidRDefault="00BB3126" w:rsidP="00BB3126">
      <w:pPr>
        <w:pStyle w:val="21para"/>
      </w:pPr>
      <w:r w:rsidRPr="00B80879">
        <w:rPr>
          <w:rStyle w:val="Heading6Char"/>
        </w:rPr>
        <w:t>Commission decision.</w:t>
      </w:r>
      <w:r>
        <w:t xml:space="preserve"> Any interest penalty payments would be expected to be included in Other revenue and assessed equal per capita (EPC), therefore not affecting the GST redistribution. The issue for the Commission is the treatment of any back royalties.</w:t>
      </w:r>
    </w:p>
    <w:p w:rsidR="00BB3126" w:rsidRPr="00C845D9" w:rsidRDefault="00BB3126" w:rsidP="00BB3126">
      <w:pPr>
        <w:pStyle w:val="21para"/>
      </w:pPr>
      <w:r>
        <w:t>The Commission</w:t>
      </w:r>
      <w:r w:rsidRPr="00C845D9">
        <w:t>’s revenue</w:t>
      </w:r>
      <w:r>
        <w:t xml:space="preserve"> </w:t>
      </w:r>
      <w:r w:rsidRPr="00C845D9">
        <w:t xml:space="preserve">approach is to include activity in the revenue base when it is taxed by States. If there is a dispute and a State subsequently provides a refund, </w:t>
      </w:r>
      <w:r>
        <w:t>the Commission</w:t>
      </w:r>
      <w:r w:rsidRPr="00C845D9">
        <w:t xml:space="preserve"> include</w:t>
      </w:r>
      <w:r>
        <w:t>s</w:t>
      </w:r>
      <w:r w:rsidRPr="00C845D9">
        <w:t xml:space="preserve"> the refund in the year it is provided (not in the year of the original transaction). If </w:t>
      </w:r>
      <w:r>
        <w:t xml:space="preserve">the Commission </w:t>
      </w:r>
      <w:r w:rsidRPr="00C845D9">
        <w:t xml:space="preserve">applied this approach, </w:t>
      </w:r>
      <w:r>
        <w:t>it</w:t>
      </w:r>
      <w:r w:rsidRPr="00C845D9">
        <w:t xml:space="preserve"> would </w:t>
      </w:r>
      <w:r>
        <w:t xml:space="preserve">differentially assess </w:t>
      </w:r>
      <w:r w:rsidRPr="00C845D9">
        <w:t xml:space="preserve">the </w:t>
      </w:r>
      <w:r>
        <w:t>back royalties</w:t>
      </w:r>
      <w:r w:rsidRPr="00C845D9">
        <w:t xml:space="preserve"> </w:t>
      </w:r>
      <w:r>
        <w:t>payment in the Mining revenue assessment.</w:t>
      </w:r>
      <w:r w:rsidRPr="00C845D9">
        <w:t xml:space="preserve"> This </w:t>
      </w:r>
      <w:r>
        <w:t>would be</w:t>
      </w:r>
      <w:r w:rsidRPr="00C845D9">
        <w:t xml:space="preserve"> </w:t>
      </w:r>
      <w:r>
        <w:t xml:space="preserve">consistent with </w:t>
      </w:r>
      <w:r w:rsidRPr="00C845D9">
        <w:t xml:space="preserve">New South Wales’ view. </w:t>
      </w:r>
    </w:p>
    <w:p w:rsidR="00450C1E" w:rsidRDefault="00BB3126" w:rsidP="000C6CD9">
      <w:pPr>
        <w:pStyle w:val="21para"/>
      </w:pPr>
      <w:r w:rsidRPr="00C845D9">
        <w:t xml:space="preserve">However, the refunds approach might not be appropriate </w:t>
      </w:r>
      <w:r>
        <w:t>in</w:t>
      </w:r>
      <w:r w:rsidRPr="00C845D9">
        <w:t xml:space="preserve"> this </w:t>
      </w:r>
      <w:r w:rsidR="00FF07EF">
        <w:t xml:space="preserve">particular </w:t>
      </w:r>
      <w:r w:rsidRPr="00C845D9">
        <w:t xml:space="preserve">case. </w:t>
      </w:r>
      <w:r>
        <w:t>T</w:t>
      </w:r>
      <w:r w:rsidRPr="00C845D9">
        <w:t>his was a complex legal case about tax evasion</w:t>
      </w:r>
      <w:r>
        <w:t>, involving confidential settlement outcomes</w:t>
      </w:r>
      <w:r w:rsidRPr="00C845D9">
        <w:t xml:space="preserve">. Queensland had to prove BHP engaged in transfer pricing. Had Queensland not pursued the case, the revenue would have been lost. </w:t>
      </w:r>
      <w:r>
        <w:t xml:space="preserve">In addition, the recovered amounts relate to years far removed from the current assessment window. </w:t>
      </w:r>
      <w:r w:rsidRPr="00C845D9">
        <w:t xml:space="preserve">For both reasons, </w:t>
      </w:r>
      <w:r>
        <w:t xml:space="preserve">the Commission </w:t>
      </w:r>
      <w:r w:rsidRPr="00C845D9">
        <w:t>conclude</w:t>
      </w:r>
      <w:r>
        <w:t>s</w:t>
      </w:r>
      <w:r w:rsidRPr="00C845D9">
        <w:t xml:space="preserve"> the refunds approach is not applicable to Queensland’s back royalties. </w:t>
      </w:r>
    </w:p>
    <w:p w:rsidR="00BB3126" w:rsidRDefault="00BB3126" w:rsidP="00BB3126">
      <w:pPr>
        <w:pStyle w:val="21para"/>
      </w:pPr>
      <w:r>
        <w:t xml:space="preserve">The Commission agrees </w:t>
      </w:r>
      <w:r w:rsidRPr="00C845D9">
        <w:t xml:space="preserve">with Western Australia that the </w:t>
      </w:r>
      <w:r>
        <w:t>payments</w:t>
      </w:r>
      <w:r w:rsidRPr="00C845D9">
        <w:t xml:space="preserve"> were unknown to Queensland at the time</w:t>
      </w:r>
      <w:r>
        <w:t xml:space="preserve">. </w:t>
      </w:r>
    </w:p>
    <w:p w:rsidR="00BB3126" w:rsidRDefault="00BB3126" w:rsidP="00BB3126">
      <w:pPr>
        <w:pStyle w:val="21para"/>
      </w:pPr>
      <w:r>
        <w:t xml:space="preserve">The Commission has </w:t>
      </w:r>
      <w:r w:rsidRPr="00B37C9C">
        <w:t xml:space="preserve">decided </w:t>
      </w:r>
      <w:r>
        <w:t>the back royalties should also be assessed EPC</w:t>
      </w:r>
      <w:r w:rsidRPr="00B37C9C">
        <w:t xml:space="preserve"> as they relate to years well outside the 2019 Update assessment years and it is State policy choice whether to pursue back </w:t>
      </w:r>
      <w:r>
        <w:t>royalties.</w:t>
      </w:r>
      <w:r w:rsidR="00450C1E">
        <w:t xml:space="preserve"> </w:t>
      </w:r>
    </w:p>
    <w:p w:rsidR="00BB3126" w:rsidRDefault="00D16091" w:rsidP="00BB3126">
      <w:pPr>
        <w:pStyle w:val="21para"/>
      </w:pPr>
      <w:r>
        <w:t>However, i</w:t>
      </w:r>
      <w:r w:rsidR="00BB3126" w:rsidRPr="0041231C">
        <w:t xml:space="preserve">n order to assess the payments EPC, the Commission sought information from Queensland on the amounts paid, the year in which they were paid and where Queensland had classified them. Queensland said it was unable to provide this </w:t>
      </w:r>
      <w:r w:rsidR="00BB3126" w:rsidRPr="0041231C">
        <w:lastRenderedPageBreak/>
        <w:t xml:space="preserve">information as the settlement was confidential. </w:t>
      </w:r>
      <w:r w:rsidR="00160351">
        <w:t>Accordingly</w:t>
      </w:r>
      <w:r w:rsidR="00BB3126" w:rsidRPr="0041231C">
        <w:t>, the Commission has not been able to identify the amounts to ensure they are assessed EPC.</w:t>
      </w:r>
      <w:r w:rsidR="009D7DBC">
        <w:rPr>
          <w:rStyle w:val="FootnoteReference"/>
        </w:rPr>
        <w:footnoteReference w:id="9"/>
      </w:r>
      <w:r w:rsidR="00BB3126" w:rsidRPr="0041231C">
        <w:t xml:space="preserve"> </w:t>
      </w:r>
    </w:p>
    <w:p w:rsidR="00BB3126" w:rsidRDefault="00BB3126" w:rsidP="00BB3126">
      <w:pPr>
        <w:pStyle w:val="Heading4"/>
      </w:pPr>
      <w:bookmarkStart w:id="677" w:name="_Toc1115157"/>
      <w:bookmarkStart w:id="678" w:name="_Toc536519644"/>
      <w:bookmarkStart w:id="679" w:name="_Toc536631354"/>
      <w:bookmarkStart w:id="680" w:name="_Toc536803196"/>
      <w:bookmarkStart w:id="681" w:name="_Toc536803284"/>
      <w:r>
        <w:t>Natural disaster relief expenses</w:t>
      </w:r>
      <w:bookmarkEnd w:id="677"/>
      <w:r>
        <w:t xml:space="preserve"> </w:t>
      </w:r>
      <w:bookmarkEnd w:id="678"/>
      <w:bookmarkEnd w:id="679"/>
      <w:bookmarkEnd w:id="680"/>
      <w:bookmarkEnd w:id="681"/>
    </w:p>
    <w:p w:rsidR="00BB3126" w:rsidRDefault="00BB3126" w:rsidP="00BB3126">
      <w:pPr>
        <w:pStyle w:val="21para"/>
      </w:pPr>
      <w:r w:rsidRPr="00B878CA">
        <w:rPr>
          <w:rStyle w:val="Heading6Char"/>
        </w:rPr>
        <w:t>Background.</w:t>
      </w:r>
      <w:r>
        <w:t xml:space="preserve"> The natural disaster relief expenses assessment recognises the net costs States incur due to natural disaster events under a common arrangement. Commission staff recently became aware that some States are recording local government out of pocket costs as part of their natural disaster relief net expenses. </w:t>
      </w:r>
    </w:p>
    <w:p w:rsidR="00BB3126" w:rsidRDefault="00BB3126" w:rsidP="00BB3126">
      <w:pPr>
        <w:pStyle w:val="21para"/>
      </w:pPr>
      <w:r>
        <w:t xml:space="preserve">In this update, Commission staff asked States to report revenue and expenses for local government separately to determine the extent to which local government net expenses are included. Before receiving the data from States, Commission staff proposed to retain the 2015 Review method for calculating natural disaster relief expenses for the 2019 Update and </w:t>
      </w:r>
      <w:r w:rsidRPr="00BC123E">
        <w:t xml:space="preserve">investigate </w:t>
      </w:r>
      <w:r>
        <w:t>the</w:t>
      </w:r>
      <w:r w:rsidRPr="00BC123E">
        <w:t xml:space="preserve"> expenses for local</w:t>
      </w:r>
      <w:r>
        <w:t xml:space="preserve"> government as part of the 2020 </w:t>
      </w:r>
      <w:r w:rsidRPr="00BC123E">
        <w:t>Review</w:t>
      </w:r>
      <w:r>
        <w:t>. At that time, Commission staff presumed the quantum of natural disaster relief expenses relating to local government would be small</w:t>
      </w:r>
      <w:r w:rsidRPr="00BC123E">
        <w:t>.</w:t>
      </w:r>
      <w:r>
        <w:t xml:space="preserve">  </w:t>
      </w:r>
    </w:p>
    <w:p w:rsidR="00BB3126" w:rsidRDefault="00BB3126" w:rsidP="00BB3126">
      <w:pPr>
        <w:pStyle w:val="21para"/>
      </w:pPr>
      <w:r w:rsidRPr="00B878CA">
        <w:rPr>
          <w:rStyle w:val="Heading6Char"/>
        </w:rPr>
        <w:t>State views.</w:t>
      </w:r>
      <w:r>
        <w:t xml:space="preserve"> Queensland, Tasmania and the Northern Territory supported retaining the current method for the 2019 Update and removing local</w:t>
      </w:r>
      <w:r w:rsidRPr="00D81023">
        <w:t xml:space="preserve"> </w:t>
      </w:r>
      <w:r w:rsidRPr="000677EF">
        <w:t>government expenses in the 2020 Review</w:t>
      </w:r>
      <w:r>
        <w:t xml:space="preserve">. New South Wales, Victoria, South Australia and the ACT said the local government expenses should be removed </w:t>
      </w:r>
      <w:r w:rsidR="007A197C">
        <w:t>in</w:t>
      </w:r>
      <w:r>
        <w:t xml:space="preserve"> the 2019 Update. </w:t>
      </w:r>
    </w:p>
    <w:p w:rsidR="00BB3126" w:rsidRDefault="00BB3126" w:rsidP="00BB3126">
      <w:pPr>
        <w:pStyle w:val="21para"/>
      </w:pPr>
      <w:r>
        <w:t>New South Wales further suggested that if a State cannot reliably estimate its local government net expenses, their total net expenses should be discounted.</w:t>
      </w:r>
    </w:p>
    <w:p w:rsidR="00BB3126" w:rsidRPr="00E674AF" w:rsidRDefault="00BB3126" w:rsidP="00BB3126">
      <w:pPr>
        <w:pStyle w:val="21para"/>
      </w:pPr>
      <w:r>
        <w:t>Western Australia did not comment on this matter in its submissions to the New</w:t>
      </w:r>
      <w:r w:rsidR="00E970CE">
        <w:t> </w:t>
      </w:r>
      <w:r>
        <w:t xml:space="preserve">issues paper, or to the 2020 Review draft assessment paper. However, in response to a draft data request sent to States in 2018 seeking data on local government expenses, </w:t>
      </w:r>
      <w:r w:rsidRPr="00BB2064">
        <w:t xml:space="preserve">Western Australia said </w:t>
      </w:r>
      <w:r>
        <w:t xml:space="preserve">that </w:t>
      </w:r>
      <w:r w:rsidRPr="00BB2064">
        <w:t>States may ultimately fun</w:t>
      </w:r>
      <w:r>
        <w:t>d some of the local government</w:t>
      </w:r>
      <w:r w:rsidRPr="00BB2064">
        <w:t xml:space="preserve"> out of pocket costs</w:t>
      </w:r>
      <w:r>
        <w:t xml:space="preserve">. </w:t>
      </w:r>
    </w:p>
    <w:p w:rsidR="00BB3126" w:rsidRDefault="00BB3126" w:rsidP="00BB3126">
      <w:pPr>
        <w:pStyle w:val="21para"/>
      </w:pPr>
      <w:r>
        <w:rPr>
          <w:rStyle w:val="Heading6Char"/>
        </w:rPr>
        <w:t>Commission decision</w:t>
      </w:r>
      <w:r w:rsidRPr="00B878CA">
        <w:rPr>
          <w:rStyle w:val="Heading6Char"/>
        </w:rPr>
        <w:t>.</w:t>
      </w:r>
      <w:r>
        <w:t xml:space="preserve"> States report expenses for natural disaster relief under a common framework developed by the Commonwealth, which allows States to include local government expenses and does not distinguish between State expenses and local government expenses.</w:t>
      </w:r>
      <w:r w:rsidRPr="00E62A23">
        <w:rPr>
          <w:vertAlign w:val="superscript"/>
        </w:rPr>
        <w:footnoteReference w:id="10"/>
      </w:r>
      <w:r>
        <w:t xml:space="preserve"> </w:t>
      </w:r>
    </w:p>
    <w:p w:rsidR="00BB3126" w:rsidRDefault="00BB3126" w:rsidP="00BB3126">
      <w:pPr>
        <w:pStyle w:val="21para"/>
      </w:pPr>
      <w:r>
        <w:t xml:space="preserve">Data received from States show </w:t>
      </w:r>
      <w:r w:rsidR="00E970CE">
        <w:t>that</w:t>
      </w:r>
      <w:r>
        <w:t xml:space="preserve"> local government net expenses can be substantial and may vary considerably from year to year. </w:t>
      </w:r>
    </w:p>
    <w:p w:rsidR="00BB3126" w:rsidRDefault="00BB3126" w:rsidP="00BB3126">
      <w:pPr>
        <w:pStyle w:val="21para"/>
      </w:pPr>
      <w:r>
        <w:lastRenderedPageBreak/>
        <w:t>In the 2015 Review, the Commission’s intention was to recognise State out of pocket costs. To continue to include local government expenses, now that the Commission is aware they are being included, would be inconsistent with the 2015 Review methodology. As such, in this update, the Commission has excluded local government out of pocket expenses from the natural disaster relief expenses assessment for all assessment years. The Commission has also made an adjustment to fully correct for the overstatement of expenses in current assessment years. It has not corrected for any overstatement of State expenses in assessment years no longer included in this update. This is consistent with the Commission’s revisions policy for this assessment.</w:t>
      </w:r>
      <w:r>
        <w:rPr>
          <w:rStyle w:val="FootnoteReference"/>
        </w:rPr>
        <w:footnoteReference w:id="11"/>
      </w:r>
    </w:p>
    <w:p w:rsidR="00BB3126" w:rsidRDefault="00BB3126" w:rsidP="00BB3126">
      <w:pPr>
        <w:pStyle w:val="21para"/>
      </w:pPr>
      <w:r w:rsidRPr="00BB2064">
        <w:t xml:space="preserve">Western Australia said </w:t>
      </w:r>
      <w:r>
        <w:t xml:space="preserve">that </w:t>
      </w:r>
      <w:r w:rsidRPr="00BB2064">
        <w:t xml:space="preserve">some States might ultimately fund some </w:t>
      </w:r>
      <w:r>
        <w:t>local government</w:t>
      </w:r>
      <w:r w:rsidRPr="00BB2064">
        <w:t xml:space="preserve"> out of pocket costs</w:t>
      </w:r>
      <w:r>
        <w:t>. Informal feedback from States suggests that most local governments fund their out of pocket costs from own source revenue (for example, rates). If this is the case, local government net costs have no effect on State fiscal capacities. The Commission will further investigate the funding arrangements between States and local governments as part of the 2020 Review.</w:t>
      </w:r>
    </w:p>
    <w:p w:rsidR="00BB3126" w:rsidRDefault="00BB3126" w:rsidP="00BB3126">
      <w:pPr>
        <w:pStyle w:val="Heading4"/>
      </w:pPr>
      <w:bookmarkStart w:id="682" w:name="_Toc531948629"/>
      <w:bookmarkStart w:id="683" w:name="_Toc531949260"/>
      <w:bookmarkStart w:id="684" w:name="_Toc532227219"/>
      <w:bookmarkStart w:id="685" w:name="_Toc532388136"/>
      <w:bookmarkStart w:id="686" w:name="_Toc532469250"/>
      <w:bookmarkStart w:id="687" w:name="_Toc536519645"/>
      <w:bookmarkStart w:id="688" w:name="_Toc536631355"/>
      <w:bookmarkStart w:id="689" w:name="_Toc536803197"/>
      <w:bookmarkStart w:id="690" w:name="_Toc536803285"/>
      <w:bookmarkStart w:id="691" w:name="_Toc1115158"/>
      <w:r>
        <w:t>T</w:t>
      </w:r>
      <w:r w:rsidRPr="00542604">
        <w:t>reatment of National Disability Insurance Scheme (NDIS)</w:t>
      </w:r>
      <w:bookmarkEnd w:id="682"/>
      <w:bookmarkEnd w:id="683"/>
      <w:bookmarkEnd w:id="684"/>
      <w:bookmarkEnd w:id="685"/>
      <w:bookmarkEnd w:id="686"/>
      <w:bookmarkEnd w:id="687"/>
      <w:bookmarkEnd w:id="688"/>
      <w:bookmarkEnd w:id="689"/>
      <w:bookmarkEnd w:id="690"/>
      <w:bookmarkEnd w:id="691"/>
    </w:p>
    <w:p w:rsidR="00BB3126" w:rsidRDefault="00BB3126" w:rsidP="00BB3126">
      <w:pPr>
        <w:pStyle w:val="21para"/>
      </w:pPr>
      <w:r w:rsidRPr="00834F1C">
        <w:rPr>
          <w:rStyle w:val="Heading6Char"/>
        </w:rPr>
        <w:t>Background.</w:t>
      </w:r>
      <w:r w:rsidRPr="0050700C">
        <w:t xml:space="preserve"> Seven States </w:t>
      </w:r>
      <w:r>
        <w:t>are</w:t>
      </w:r>
      <w:r w:rsidRPr="0050700C">
        <w:t xml:space="preserve"> scheduled to </w:t>
      </w:r>
      <w:r>
        <w:t>have</w:t>
      </w:r>
      <w:r w:rsidRPr="0050700C">
        <w:t xml:space="preserve"> </w:t>
      </w:r>
      <w:r>
        <w:t xml:space="preserve">reached </w:t>
      </w:r>
      <w:r w:rsidRPr="0050700C">
        <w:t>full implement</w:t>
      </w:r>
      <w:r>
        <w:t xml:space="preserve">ation of the NDIS </w:t>
      </w:r>
      <w:r w:rsidRPr="0050700C">
        <w:t xml:space="preserve">by </w:t>
      </w:r>
      <w:r>
        <w:t>July 2019 and to fund NDIS contributions on a full implementation basis in 2019-20</w:t>
      </w:r>
      <w:r w:rsidRPr="0050700C">
        <w:t>, which is the application year of the 2019 Update.</w:t>
      </w:r>
      <w:r>
        <w:t xml:space="preserve"> </w:t>
      </w:r>
    </w:p>
    <w:p w:rsidR="00BB3126" w:rsidRDefault="00BB3126" w:rsidP="00BB3126">
      <w:pPr>
        <w:pStyle w:val="21para"/>
      </w:pPr>
      <w:r>
        <w:t>In the 2015 Review, the Commission foreshadowed how it intended to assess State disability expenses during the transition to the NDIS and at full implementation.</w:t>
      </w:r>
      <w:r>
        <w:rPr>
          <w:rStyle w:val="FootnoteReference"/>
        </w:rPr>
        <w:footnoteReference w:id="12"/>
      </w:r>
      <w:r>
        <w:t xml:space="preserve"> </w:t>
      </w:r>
    </w:p>
    <w:p w:rsidR="00BB3126" w:rsidRDefault="00BB3126" w:rsidP="00BB3126">
      <w:pPr>
        <w:pStyle w:val="CGCBulletlist"/>
        <w:numPr>
          <w:ilvl w:val="0"/>
          <w:numId w:val="1"/>
        </w:numPr>
        <w:tabs>
          <w:tab w:val="clear" w:pos="927"/>
        </w:tabs>
        <w:ind w:left="1134" w:hanging="567"/>
      </w:pPr>
      <w:r>
        <w:t>During transition, the Commission said it would make dual assessments of State expenses on existing disability services (non</w:t>
      </w:r>
      <w:r>
        <w:noBreakHyphen/>
        <w:t>NDIS) and NDIS contributions because States would be funding both. The Commission said each service would be assessed</w:t>
      </w:r>
      <w:r w:rsidRPr="00A55851">
        <w:t xml:space="preserve"> </w:t>
      </w:r>
      <w:r>
        <w:t xml:space="preserve">using </w:t>
      </w:r>
      <w:r w:rsidRPr="00A55851">
        <w:t xml:space="preserve">State </w:t>
      </w:r>
      <w:r>
        <w:t>shares</w:t>
      </w:r>
      <w:r w:rsidRPr="00A55851">
        <w:t xml:space="preserve"> of the total number of </w:t>
      </w:r>
      <w:r>
        <w:t xml:space="preserve">people </w:t>
      </w:r>
      <w:r w:rsidRPr="00A55851">
        <w:t>eligible to be covered by NDIS when fully operational.</w:t>
      </w:r>
      <w:r>
        <w:t xml:space="preserve"> Other disabilities (regional costs, wage costs and cross-border) would continue to be recognised for non-NDIS services but not in relation to the NDIS contributions. The dual assessment came into effect in the 2016 Update. </w:t>
      </w:r>
    </w:p>
    <w:p w:rsidR="00BB3126" w:rsidRDefault="00BB3126" w:rsidP="00BB3126">
      <w:pPr>
        <w:pStyle w:val="CGCBulletlist"/>
        <w:numPr>
          <w:ilvl w:val="0"/>
          <w:numId w:val="1"/>
        </w:numPr>
        <w:tabs>
          <w:tab w:val="clear" w:pos="927"/>
        </w:tabs>
        <w:ind w:left="1134" w:hanging="567"/>
      </w:pPr>
      <w:r>
        <w:t xml:space="preserve">After full implementation, the Commission said State NDIS contributions would be assessed </w:t>
      </w:r>
      <w:r w:rsidRPr="006E2535">
        <w:t>on an</w:t>
      </w:r>
      <w:r>
        <w:t xml:space="preserve"> actual per capita (APC) basis because all States were expected to contribute to the scheme based on State population shares at census time (initially, the 2011 Census). Consequently, States’ policies would have no influence on their NDIS expenses.</w:t>
      </w:r>
      <w:r>
        <w:rPr>
          <w:rStyle w:val="FootnoteReference"/>
        </w:rPr>
        <w:footnoteReference w:id="13"/>
      </w:r>
      <w:r>
        <w:t xml:space="preserve"> The assessment of non</w:t>
      </w:r>
      <w:r>
        <w:noBreakHyphen/>
        <w:t xml:space="preserve">NDIS expenses would continue until they were no longer </w:t>
      </w:r>
      <w:r w:rsidRPr="006E2535">
        <w:t>material.</w:t>
      </w:r>
    </w:p>
    <w:p w:rsidR="00BB3126" w:rsidRDefault="00BB3126" w:rsidP="00BB3126">
      <w:pPr>
        <w:pStyle w:val="21para"/>
      </w:pPr>
      <w:r>
        <w:lastRenderedPageBreak/>
        <w:t>In the 2015 Review, the Commission said that if NDIS arrangements were to change, it might need to adapt its proposals, after consultation with the States and Commonwealth.</w:t>
      </w:r>
    </w:p>
    <w:p w:rsidR="00BB3126" w:rsidRDefault="00BB3126" w:rsidP="00BB3126">
      <w:pPr>
        <w:pStyle w:val="21para"/>
      </w:pPr>
      <w:r>
        <w:t>In the New issues paper, Commission staff said that from 2019-20, despite slippages for some States, most States would be operating on a full implementation basis and it would be appropriate to change from the transition assessment to the full implementation assessment as foreshadowed in the 2015 Review report. However, staff said an APC assessment would no longer be policy neutral because of slippages for some States that are affecting their NDIS contributions. In addition, there are temporary discounts for some States to recognise in-kind contributions.</w:t>
      </w:r>
      <w:r>
        <w:rPr>
          <w:rStyle w:val="FootnoteReference"/>
        </w:rPr>
        <w:footnoteReference w:id="14"/>
      </w:r>
      <w:r>
        <w:t xml:space="preserve"> To overcome this difficulty, staff proposed to assess States’ NDIS expenses using 2011 Census population shares (including for Western Australia). This approach could apply in future inquiries on the basis that census populations will determine State contributions going forward.</w:t>
      </w:r>
      <w:r w:rsidRPr="0061460C">
        <w:rPr>
          <w:vertAlign w:val="superscript"/>
        </w:rPr>
        <w:footnoteReference w:id="15"/>
      </w:r>
      <w:r>
        <w:t xml:space="preserve"> The assessment proposed by staff would deliver the same intended outcome as the APC assessment foreshadowed by the Commission in the 2015 Review but ensure policy neutrality.</w:t>
      </w:r>
    </w:p>
    <w:p w:rsidR="00BB3126" w:rsidRDefault="00BB3126" w:rsidP="00BB3126">
      <w:pPr>
        <w:pStyle w:val="21para"/>
      </w:pPr>
      <w:r>
        <w:t>Commission staff also proposed to retain the current non-NDIS disability assessment for the 2019 Update whether or not it becomes immaterial. Staff said the assessment of these expenses would be considered in the 2020 Review.</w:t>
      </w:r>
    </w:p>
    <w:p w:rsidR="00BB3126" w:rsidRDefault="00BB3126" w:rsidP="00BB3126">
      <w:pPr>
        <w:pStyle w:val="21para"/>
      </w:pPr>
      <w:r w:rsidRPr="00FD665F">
        <w:rPr>
          <w:rStyle w:val="Heading6Char"/>
        </w:rPr>
        <w:t>State views.</w:t>
      </w:r>
      <w:r>
        <w:t xml:space="preserve"> All States, except Queensland, supported the assessment of NDIS expenses using the 2011 Census population shares, and supported the retention of the current non-NDIS disability assessment.  </w:t>
      </w:r>
    </w:p>
    <w:p w:rsidR="00BB3126" w:rsidRDefault="00BB3126" w:rsidP="00BB3126">
      <w:pPr>
        <w:pStyle w:val="21para"/>
      </w:pPr>
      <w:r>
        <w:t xml:space="preserve">Queensland said it is experiencing </w:t>
      </w:r>
      <w:r w:rsidRPr="007E3E41">
        <w:t xml:space="preserve">significant slippage in take up and it is likely to be several years before </w:t>
      </w:r>
      <w:r>
        <w:t>it</w:t>
      </w:r>
      <w:r w:rsidRPr="007E3E41">
        <w:t>s participant numbers reflect expected estimates</w:t>
      </w:r>
      <w:r>
        <w:t xml:space="preserve">. </w:t>
      </w:r>
      <w:r w:rsidRPr="007E3E41">
        <w:t>Queensland recommend</w:t>
      </w:r>
      <w:r>
        <w:t>ed</w:t>
      </w:r>
      <w:r w:rsidRPr="007E3E41">
        <w:t xml:space="preserve"> an </w:t>
      </w:r>
      <w:r>
        <w:t>APC</w:t>
      </w:r>
      <w:r w:rsidRPr="007E3E41">
        <w:t xml:space="preserve"> </w:t>
      </w:r>
      <w:r>
        <w:t>assessment</w:t>
      </w:r>
      <w:r>
        <w:rPr>
          <w:rStyle w:val="FootnoteReference"/>
        </w:rPr>
        <w:t xml:space="preserve"> </w:t>
      </w:r>
      <w:r w:rsidRPr="007E3E41">
        <w:t>until a time when full implementation of the NDIS has been achieved for Queensland and other States, in accordance with bilaterally agreed estimates</w:t>
      </w:r>
      <w:r>
        <w:t>.</w:t>
      </w:r>
    </w:p>
    <w:p w:rsidR="00BB3126" w:rsidRDefault="00BB3126" w:rsidP="00BB3126">
      <w:pPr>
        <w:pStyle w:val="21para"/>
      </w:pPr>
      <w:r>
        <w:t xml:space="preserve">Going forward, </w:t>
      </w:r>
      <w:r w:rsidRPr="00DD7893">
        <w:t xml:space="preserve">for 2020-21 and beyond, when </w:t>
      </w:r>
      <w:r>
        <w:t>slippages in transition and associated State discounts will have run their course</w:t>
      </w:r>
      <w:r w:rsidRPr="00DD7893">
        <w:t xml:space="preserve">, </w:t>
      </w:r>
      <w:r>
        <w:t xml:space="preserve">Tasmania argued that </w:t>
      </w:r>
      <w:r w:rsidRPr="00DD7893">
        <w:t xml:space="preserve">the </w:t>
      </w:r>
      <w:r>
        <w:t xml:space="preserve">NDIS </w:t>
      </w:r>
      <w:r w:rsidRPr="00DD7893">
        <w:t>assessment should revert to an APC basis</w:t>
      </w:r>
      <w:r>
        <w:t xml:space="preserve">. </w:t>
      </w:r>
    </w:p>
    <w:p w:rsidR="00BB3126" w:rsidRDefault="00BB3126" w:rsidP="00BB3126">
      <w:pPr>
        <w:pStyle w:val="21para"/>
      </w:pPr>
      <w:r w:rsidRPr="00242D42">
        <w:rPr>
          <w:rStyle w:val="Heading6Char"/>
        </w:rPr>
        <w:t>Commission decision.</w:t>
      </w:r>
      <w:r>
        <w:t xml:space="preserve"> There are two main issues for the NDIS assessment in this update:</w:t>
      </w:r>
    </w:p>
    <w:p w:rsidR="00BB3126" w:rsidRDefault="00BB3126" w:rsidP="00BB3126">
      <w:pPr>
        <w:pStyle w:val="CGCBulletlist"/>
        <w:numPr>
          <w:ilvl w:val="0"/>
          <w:numId w:val="1"/>
        </w:numPr>
        <w:tabs>
          <w:tab w:val="clear" w:pos="927"/>
        </w:tabs>
        <w:ind w:left="1134" w:hanging="567"/>
      </w:pPr>
      <w:r>
        <w:t xml:space="preserve">whether to switch from the transition assessment to the full implementation assessment of NDIS contributions </w:t>
      </w:r>
    </w:p>
    <w:p w:rsidR="00BB3126" w:rsidRDefault="00BB3126" w:rsidP="00BB3126">
      <w:pPr>
        <w:pStyle w:val="CGCBulletlist"/>
        <w:numPr>
          <w:ilvl w:val="0"/>
          <w:numId w:val="1"/>
        </w:numPr>
        <w:tabs>
          <w:tab w:val="clear" w:pos="927"/>
        </w:tabs>
        <w:ind w:left="1134" w:hanging="567"/>
      </w:pPr>
      <w:r>
        <w:lastRenderedPageBreak/>
        <w:t>the assessment approach for NDIS contributions.</w:t>
      </w:r>
    </w:p>
    <w:p w:rsidR="00BB3126" w:rsidRDefault="00BB3126" w:rsidP="00BB3126">
      <w:pPr>
        <w:pStyle w:val="21para"/>
      </w:pPr>
      <w:r>
        <w:t>The Commission understands that in 2019-20:</w:t>
      </w:r>
    </w:p>
    <w:p w:rsidR="00BB3126" w:rsidRPr="00BC123E" w:rsidRDefault="00BB3126" w:rsidP="00BB3126">
      <w:pPr>
        <w:pStyle w:val="CGCBulletlist"/>
        <w:numPr>
          <w:ilvl w:val="0"/>
          <w:numId w:val="1"/>
        </w:numPr>
        <w:tabs>
          <w:tab w:val="clear" w:pos="927"/>
        </w:tabs>
        <w:ind w:left="1134" w:hanging="567"/>
      </w:pPr>
      <w:r w:rsidRPr="00BC123E">
        <w:t>New South Wales, South Australia and the ACT w</w:t>
      </w:r>
      <w:r>
        <w:t>ill</w:t>
      </w:r>
      <w:r w:rsidRPr="00BC123E">
        <w:t xml:space="preserve"> be contributing on</w:t>
      </w:r>
      <w:r>
        <w:t xml:space="preserve"> a</w:t>
      </w:r>
      <w:r w:rsidRPr="00BC123E">
        <w:t xml:space="preserve"> full scheme basis without any adjustments for slippages required. </w:t>
      </w:r>
    </w:p>
    <w:p w:rsidR="00BB3126" w:rsidRPr="00BC123E" w:rsidRDefault="00BB3126" w:rsidP="00BB3126">
      <w:pPr>
        <w:pStyle w:val="CGCBulletlist"/>
        <w:numPr>
          <w:ilvl w:val="0"/>
          <w:numId w:val="1"/>
        </w:numPr>
        <w:tabs>
          <w:tab w:val="clear" w:pos="927"/>
        </w:tabs>
        <w:ind w:left="1134" w:hanging="567"/>
      </w:pPr>
      <w:r w:rsidRPr="00BC123E">
        <w:t>Victoria, Queensland, Tasmania and the Northern Territory w</w:t>
      </w:r>
      <w:r>
        <w:t>ill</w:t>
      </w:r>
      <w:r w:rsidRPr="00BC123E">
        <w:t xml:space="preserve"> also be contributing on a full scheme basis, but with some adjustments for slippages. Based on New South Wales</w:t>
      </w:r>
      <w:r>
        <w:t>’</w:t>
      </w:r>
      <w:r w:rsidRPr="00BC123E">
        <w:t xml:space="preserve"> and South Australia’s experience, these slippages </w:t>
      </w:r>
      <w:r>
        <w:t xml:space="preserve">are expected </w:t>
      </w:r>
      <w:r w:rsidRPr="00BC123E">
        <w:t>to be small and addressed within the 2019-20 financial year</w:t>
      </w:r>
      <w:r>
        <w:t xml:space="preserve"> – although the slippage could extend beyond 2019</w:t>
      </w:r>
      <w:r>
        <w:noBreakHyphen/>
        <w:t>20 in the case of Queensland</w:t>
      </w:r>
      <w:r w:rsidRPr="00BC123E">
        <w:t>.</w:t>
      </w:r>
    </w:p>
    <w:p w:rsidR="00BB3126" w:rsidRPr="00BC123E" w:rsidRDefault="00BB3126" w:rsidP="00BB3126">
      <w:pPr>
        <w:pStyle w:val="CGCBulletlist"/>
        <w:numPr>
          <w:ilvl w:val="0"/>
          <w:numId w:val="1"/>
        </w:numPr>
        <w:tabs>
          <w:tab w:val="clear" w:pos="927"/>
        </w:tabs>
        <w:ind w:left="1134" w:hanging="567"/>
      </w:pPr>
      <w:r w:rsidRPr="00BC123E">
        <w:t xml:space="preserve">Western Australia </w:t>
      </w:r>
      <w:r>
        <w:t>will</w:t>
      </w:r>
      <w:r w:rsidRPr="00BC123E">
        <w:t xml:space="preserve"> be contributing on a transition basis. </w:t>
      </w:r>
    </w:p>
    <w:p w:rsidR="00BB3126" w:rsidRDefault="00BB3126" w:rsidP="00BB3126">
      <w:pPr>
        <w:pStyle w:val="21para"/>
      </w:pPr>
      <w:r>
        <w:t>Despite some slippages, including for Queensland, the majority of States will be contributing on a full implementation basis at some point during 2019</w:t>
      </w:r>
      <w:r>
        <w:noBreakHyphen/>
        <w:t xml:space="preserve">20, the application year for the 2019 Update. State data indicate that NDIS contributions will account for over 90% of total State disability expenses in 2019-20. The Commission considers that it is appropriate to switch from the transition assessment of State NDIS expenses to the full implementation assessment in this update. </w:t>
      </w:r>
    </w:p>
    <w:p w:rsidR="00BB3126" w:rsidRDefault="00BB3126" w:rsidP="00BB3126">
      <w:pPr>
        <w:pStyle w:val="21para"/>
      </w:pPr>
      <w:r>
        <w:t>The Commission foreshadowed in the 2015 Review report that when the scheme became fully operational it would assess State NDIS contributions on an APC basis. When this was proposed, the Commission expected all States to be contributing based on State population shares at the 2011 Census. However, slippage adjustments to NDIS contributions negotiated by some States for 2019-20, and discounts for in</w:t>
      </w:r>
      <w:r>
        <w:noBreakHyphen/>
        <w:t>kind contributions, mean there are some small variations to State contributions. Under these circumstances, an APC assessment would not be policy neutral. The Commission considers an assessment of State NDIS expenses based on 2011 Census populations to be policy neutral. This also retains the benefit of addressing differential population growth between censuses. When States have addressed all slippages, there should be no difference between an assessment based on census population shares and an APC assessment. Therefore, there will be no need to revert to an APC assessment as proposed by Tasmania.</w:t>
      </w:r>
    </w:p>
    <w:p w:rsidR="00BB3126" w:rsidRDefault="00BB3126" w:rsidP="00BB3126">
      <w:pPr>
        <w:pStyle w:val="21para"/>
      </w:pPr>
      <w:r>
        <w:t xml:space="preserve">The Commission has assessed State NDIS expenses based on 2011 Census populations in this update. </w:t>
      </w:r>
    </w:p>
    <w:p w:rsidR="00BB3126" w:rsidRDefault="00BB3126" w:rsidP="00BB3126">
      <w:pPr>
        <w:pStyle w:val="21para"/>
      </w:pPr>
      <w:r>
        <w:t xml:space="preserve">The Commission has retained the transition assessment of non-NDIS disability services in this update. It will consider the treatment of these expenses in the 2020 Review. </w:t>
      </w:r>
    </w:p>
    <w:p w:rsidR="00BB3126" w:rsidRDefault="00BB3126" w:rsidP="00BB3126">
      <w:pPr>
        <w:pStyle w:val="21para"/>
      </w:pPr>
      <w:r>
        <w:t>Currently the Commission uses State expense projections for the application year to split NDIS and non-NDIS expenses and backcast this split into the assessment years. The Commission will continue to backcast the application year splits until it is confident that the expenses in the three assessment years reflect the full implementation of the NDIS.</w:t>
      </w:r>
    </w:p>
    <w:p w:rsidR="00BB3126" w:rsidRDefault="00BB3126" w:rsidP="00BB3126">
      <w:pPr>
        <w:pStyle w:val="Heading4"/>
        <w:keepLines/>
      </w:pPr>
      <w:bookmarkStart w:id="692" w:name="_Toc531948633"/>
      <w:bookmarkStart w:id="693" w:name="_Toc531949264"/>
      <w:bookmarkStart w:id="694" w:name="_Toc532227223"/>
      <w:bookmarkStart w:id="695" w:name="_Toc532388140"/>
      <w:bookmarkStart w:id="696" w:name="_Toc532469254"/>
      <w:bookmarkStart w:id="697" w:name="_Toc536519646"/>
      <w:bookmarkStart w:id="698" w:name="_Toc536631356"/>
      <w:bookmarkStart w:id="699" w:name="_Toc536803198"/>
      <w:bookmarkStart w:id="700" w:name="_Toc536803286"/>
      <w:bookmarkStart w:id="701" w:name="_Toc1115159"/>
      <w:r>
        <w:lastRenderedPageBreak/>
        <w:t>T</w:t>
      </w:r>
      <w:r w:rsidRPr="00542604">
        <w:t xml:space="preserve">reatment of </w:t>
      </w:r>
      <w:r w:rsidRPr="00C17932">
        <w:t xml:space="preserve">Snowy Hydro Limited </w:t>
      </w:r>
      <w:bookmarkEnd w:id="692"/>
      <w:bookmarkEnd w:id="693"/>
      <w:bookmarkEnd w:id="694"/>
      <w:bookmarkEnd w:id="695"/>
      <w:bookmarkEnd w:id="696"/>
      <w:bookmarkEnd w:id="697"/>
      <w:bookmarkEnd w:id="698"/>
      <w:bookmarkEnd w:id="699"/>
      <w:bookmarkEnd w:id="700"/>
      <w:r>
        <w:t>transfer</w:t>
      </w:r>
      <w:bookmarkEnd w:id="701"/>
      <w:r w:rsidRPr="00C17932">
        <w:t xml:space="preserve"> </w:t>
      </w:r>
    </w:p>
    <w:p w:rsidR="00BB3126" w:rsidRPr="00C824CF" w:rsidRDefault="00BB3126" w:rsidP="00BB3126">
      <w:pPr>
        <w:pStyle w:val="21para"/>
      </w:pPr>
      <w:r w:rsidRPr="007700ED">
        <w:rPr>
          <w:rStyle w:val="Heading6Char"/>
        </w:rPr>
        <w:t>Background.</w:t>
      </w:r>
      <w:r>
        <w:t xml:space="preserve"> </w:t>
      </w:r>
      <w:r w:rsidRPr="00C824CF">
        <w:t xml:space="preserve">In March 2018, New South Wales and Victoria agreed to sell their shares of Snowy Hydro Limited to the Commonwealth Government for $4.154 billion and $2.077 billion respectively. The transaction </w:t>
      </w:r>
      <w:r>
        <w:t>occurred</w:t>
      </w:r>
      <w:r w:rsidRPr="00C824CF">
        <w:t xml:space="preserve"> in 2017-18. </w:t>
      </w:r>
      <w:r>
        <w:t xml:space="preserve">Commission staff consulted the States on the treatment of the transfer before the Commission received the ToR. </w:t>
      </w:r>
    </w:p>
    <w:p w:rsidR="00BB3126" w:rsidRPr="00E674AF" w:rsidRDefault="00BB3126" w:rsidP="00BB3126">
      <w:pPr>
        <w:pStyle w:val="21para"/>
      </w:pPr>
      <w:r>
        <w:rPr>
          <w:rStyle w:val="Heading6Char"/>
        </w:rPr>
        <w:t>State views</w:t>
      </w:r>
      <w:r w:rsidRPr="007700ED">
        <w:rPr>
          <w:rStyle w:val="Heading6Char"/>
        </w:rPr>
        <w:t>.</w:t>
      </w:r>
      <w:r>
        <w:t xml:space="preserve"> States that commented agreed that the transfer should not affect the relativities. </w:t>
      </w:r>
    </w:p>
    <w:p w:rsidR="00BB3126" w:rsidRDefault="00BB3126" w:rsidP="00BB3126">
      <w:pPr>
        <w:pStyle w:val="21para"/>
      </w:pPr>
      <w:r>
        <w:rPr>
          <w:rStyle w:val="Heading6Char"/>
        </w:rPr>
        <w:t>Commission decision</w:t>
      </w:r>
      <w:r w:rsidRPr="007700ED">
        <w:rPr>
          <w:rStyle w:val="Heading6Char"/>
        </w:rPr>
        <w:t>.</w:t>
      </w:r>
      <w:r>
        <w:t xml:space="preserve"> The ToR direct the Commission to ensure the payments to New South Wales and Victoria do not directly affect the relativities. As such, these payments do not affect the relativities in this update. </w:t>
      </w:r>
    </w:p>
    <w:p w:rsidR="00BB3126" w:rsidRDefault="00BB3126" w:rsidP="00BB3126">
      <w:pPr>
        <w:pStyle w:val="21para"/>
      </w:pPr>
      <w:r>
        <w:t xml:space="preserve">Even without this </w:t>
      </w:r>
      <w:r w:rsidR="00E970CE">
        <w:t>direction</w:t>
      </w:r>
      <w:r>
        <w:t xml:space="preserve">, for New South Wales and Victoria, the sale of Snowy Hydro to the Commonwealth is an exchange of one financial asset (equity in Snowy Hydro) for another (cash), which has no direct effect on the States’ fiscal capacities. </w:t>
      </w:r>
    </w:p>
    <w:p w:rsidR="00BB3126" w:rsidRDefault="00BB3126" w:rsidP="00BB3126">
      <w:pPr>
        <w:pStyle w:val="21para"/>
      </w:pPr>
      <w:r w:rsidRPr="00C824CF">
        <w:t xml:space="preserve">The sale has come with the condition that </w:t>
      </w:r>
      <w:r>
        <w:t xml:space="preserve">the </w:t>
      </w:r>
      <w:r w:rsidRPr="00C824CF">
        <w:t>States use the proceeds to acquire ‘productive infrastructure’. When States spend an additional $6 billion on infrastructure, the investment will affect State expenditure an</w:t>
      </w:r>
      <w:r>
        <w:t>d consequently GST shares. The</w:t>
      </w:r>
      <w:r w:rsidRPr="00C824CF">
        <w:t xml:space="preserve"> second round effects will depend on the type of assets States acquire and the timing. </w:t>
      </w:r>
      <w:r>
        <w:t>Consistent with its usual practice, the Commission</w:t>
      </w:r>
      <w:r w:rsidRPr="00C824CF">
        <w:t xml:space="preserve"> consider</w:t>
      </w:r>
      <w:r>
        <w:t>s</w:t>
      </w:r>
      <w:r w:rsidRPr="00C824CF">
        <w:t xml:space="preserve"> it will be impractical to remove this expenditure from the adjusted budget to </w:t>
      </w:r>
      <w:r>
        <w:t>eliminate</w:t>
      </w:r>
      <w:r w:rsidRPr="00C824CF">
        <w:t xml:space="preserve"> second round effects.</w:t>
      </w:r>
    </w:p>
    <w:p w:rsidR="00BB3126" w:rsidRDefault="00BB3126" w:rsidP="00BB3126">
      <w:pPr>
        <w:pStyle w:val="Heading4"/>
      </w:pPr>
      <w:bookmarkStart w:id="702" w:name="_Toc531948637"/>
      <w:bookmarkStart w:id="703" w:name="_Toc531949268"/>
      <w:bookmarkStart w:id="704" w:name="_Toc532227228"/>
      <w:bookmarkStart w:id="705" w:name="_Toc532388145"/>
      <w:bookmarkStart w:id="706" w:name="_Toc532469259"/>
      <w:bookmarkStart w:id="707" w:name="_Toc536519647"/>
      <w:bookmarkStart w:id="708" w:name="_Toc536631357"/>
      <w:bookmarkStart w:id="709" w:name="_Toc536803199"/>
      <w:bookmarkStart w:id="710" w:name="_Toc536803287"/>
      <w:bookmarkStart w:id="711" w:name="_Toc1115160"/>
      <w:r>
        <w:t>Rural road length</w:t>
      </w:r>
      <w:bookmarkEnd w:id="702"/>
      <w:bookmarkEnd w:id="703"/>
      <w:bookmarkEnd w:id="704"/>
      <w:bookmarkEnd w:id="705"/>
      <w:bookmarkEnd w:id="706"/>
      <w:bookmarkEnd w:id="707"/>
      <w:bookmarkEnd w:id="708"/>
      <w:bookmarkEnd w:id="709"/>
      <w:bookmarkEnd w:id="710"/>
      <w:bookmarkEnd w:id="711"/>
    </w:p>
    <w:p w:rsidR="00BB3126" w:rsidRDefault="00BB3126" w:rsidP="00D45A67">
      <w:pPr>
        <w:pStyle w:val="21para"/>
      </w:pPr>
      <w:r w:rsidRPr="00154219">
        <w:rPr>
          <w:rStyle w:val="Heading6Char"/>
        </w:rPr>
        <w:t>Background.</w:t>
      </w:r>
      <w:r>
        <w:t xml:space="preserve"> New South Wales noted that Commission staff had re-estimated the 2015 Review rural road length measure as part of the development of a new rural road length measure for the 2020 Review. It argued that the updated measure should be used in the 2019 Update because the information on which it is based is more up</w:t>
      </w:r>
      <w:r>
        <w:noBreakHyphen/>
        <w:t>to</w:t>
      </w:r>
      <w:r>
        <w:noBreakHyphen/>
        <w:t>date</w:t>
      </w:r>
      <w:r w:rsidR="00D45A67">
        <w:t xml:space="preserve"> and</w:t>
      </w:r>
      <w:r>
        <w:t xml:space="preserve"> that the incorporation in recent years of the revised data used for Queensland land revenue provides a directly analogous precedent.</w:t>
      </w:r>
    </w:p>
    <w:p w:rsidR="00BB3126" w:rsidRDefault="00BB3126" w:rsidP="00BB3126">
      <w:pPr>
        <w:pStyle w:val="21para"/>
      </w:pPr>
      <w:r w:rsidRPr="006D5CF6">
        <w:rPr>
          <w:rStyle w:val="Heading6Char"/>
        </w:rPr>
        <w:t>Commission decision.</w:t>
      </w:r>
      <w:r>
        <w:t xml:space="preserve"> Commission staff have undertaken this work as part of the 2020 Review and the Commission considers that it is not appropriate to start implementing piecemeal changes in this update. In addition, the new rural road length estimates are incomplete because the amount of sealed and unsealed roads is still to be estimated. The Commission has not updated the rural road length data in this update.</w:t>
      </w:r>
    </w:p>
    <w:p w:rsidR="00BB3126" w:rsidRDefault="00BB3126" w:rsidP="00BB3126">
      <w:pPr>
        <w:pStyle w:val="21para"/>
      </w:pPr>
      <w:r>
        <w:t xml:space="preserve">New South Wales said the revisions to Queensland land data establish a precedent for including the revised rural road lengths. The circumstances for the revision of Queensland land revenue data were different. In that case, Queensland itself revised </w:t>
      </w:r>
      <w:r>
        <w:lastRenderedPageBreak/>
        <w:t xml:space="preserve">its revenue estimation process and hence </w:t>
      </w:r>
      <w:r w:rsidR="00D06146">
        <w:t>provided</w:t>
      </w:r>
      <w:r>
        <w:t xml:space="preserve"> what it advised were more accurate data.</w:t>
      </w:r>
    </w:p>
    <w:p w:rsidR="00BB3126" w:rsidRPr="00FC3D61" w:rsidRDefault="00BB3126" w:rsidP="00BB3126">
      <w:pPr>
        <w:pStyle w:val="Heading4"/>
      </w:pPr>
      <w:bookmarkStart w:id="712" w:name="_Toc1115161"/>
      <w:r w:rsidRPr="00FC3D61">
        <w:t>National redress scheme</w:t>
      </w:r>
      <w:bookmarkEnd w:id="712"/>
    </w:p>
    <w:p w:rsidR="00BB3126" w:rsidRDefault="00BB3126" w:rsidP="00BB3126">
      <w:pPr>
        <w:pStyle w:val="21para"/>
      </w:pPr>
      <w:r>
        <w:t>A National redress scheme</w:t>
      </w:r>
      <w:r w:rsidR="00D45A67">
        <w:t>,</w:t>
      </w:r>
      <w:r>
        <w:t xml:space="preserve"> </w:t>
      </w:r>
      <w:r w:rsidR="00D45A67">
        <w:t xml:space="preserve">to run for 10 years, </w:t>
      </w:r>
      <w:r>
        <w:t>was established on 1 July 2018 in response to the Royal Commission into Institutional Responses to Child Sexual Abuse. The scheme will provide</w:t>
      </w:r>
      <w:r w:rsidR="00E970CE">
        <w:t>,</w:t>
      </w:r>
      <w:r>
        <w:t xml:space="preserve"> among other things</w:t>
      </w:r>
      <w:r w:rsidR="00E970CE">
        <w:t>,</w:t>
      </w:r>
      <w:r>
        <w:t xml:space="preserve"> monetary compensation, </w:t>
      </w:r>
      <w:r w:rsidRPr="006C0E00">
        <w:t>counselling and psychological support</w:t>
      </w:r>
      <w:r>
        <w:t xml:space="preserve">. </w:t>
      </w:r>
      <w:r w:rsidRPr="006C0E00">
        <w:t xml:space="preserve">All States and Territories have agreed to join </w:t>
      </w:r>
      <w:r w:rsidR="00E970CE">
        <w:t>this scheme</w:t>
      </w:r>
      <w:r w:rsidRPr="006C0E00">
        <w:t>.</w:t>
      </w:r>
    </w:p>
    <w:p w:rsidR="00BB3126" w:rsidRDefault="00BB3126" w:rsidP="00BB3126">
      <w:pPr>
        <w:pStyle w:val="21para"/>
      </w:pPr>
      <w:r>
        <w:t xml:space="preserve">Queensland has established a provision of $494.6 million in 2017-18 as a present value estimate of the cost of its participation in the scheme. The $494.6 million is recorded as an administered expense under </w:t>
      </w:r>
      <w:r w:rsidR="000F3151">
        <w:t xml:space="preserve">the </w:t>
      </w:r>
      <w:r>
        <w:t>Department of Child Safety, Youth and Women. This expense is classified as family and child welfare expenses in 2017</w:t>
      </w:r>
      <w:r w:rsidR="00722F87">
        <w:noBreakHyphen/>
      </w:r>
      <w:r>
        <w:t>18.</w:t>
      </w:r>
      <w:r w:rsidR="007A197C">
        <w:t xml:space="preserve"> The Commission did not identify similar expenses for other States in 2017</w:t>
      </w:r>
      <w:r w:rsidR="007A197C">
        <w:noBreakHyphen/>
        <w:t>18.</w:t>
      </w:r>
    </w:p>
    <w:p w:rsidR="00BB3126" w:rsidRDefault="00BB3126" w:rsidP="00BB3126">
      <w:pPr>
        <w:pStyle w:val="21para"/>
      </w:pPr>
      <w:r>
        <w:t xml:space="preserve">The Commission considered that these expenses should not be assessed as part of the family and child expenses component of the Welfare category because they are not comparable to those normally assigned to that component and needs for them are not assessed. This is compensation instead of child protection expenses. </w:t>
      </w:r>
    </w:p>
    <w:p w:rsidR="00BB3126" w:rsidRDefault="00BB3126" w:rsidP="00BB3126">
      <w:pPr>
        <w:pStyle w:val="21para"/>
      </w:pPr>
      <w:r>
        <w:t xml:space="preserve">For the 2019 Update, the Commission decided to assess Queensland’s expenses EPC. </w:t>
      </w:r>
    </w:p>
    <w:p w:rsidR="00BB3126" w:rsidRDefault="00BB3126" w:rsidP="00BB3126">
      <w:pPr>
        <w:pStyle w:val="21para"/>
      </w:pPr>
      <w:r>
        <w:t>For the 2020 Review, the Commission will seek information from States on expenses associated with the scheme and their timing, and views on how the Commission should treat these expenses.</w:t>
      </w:r>
    </w:p>
    <w:p w:rsidR="00BB3126" w:rsidRPr="002A48E0" w:rsidRDefault="00BB3126" w:rsidP="00BB3126">
      <w:pPr>
        <w:pStyle w:val="Heading3"/>
      </w:pPr>
      <w:bookmarkStart w:id="713" w:name="_Toc474923787"/>
      <w:bookmarkStart w:id="714" w:name="_Toc498430064"/>
      <w:bookmarkStart w:id="715" w:name="_Toc505872197"/>
      <w:bookmarkStart w:id="716" w:name="_Toc536519648"/>
      <w:bookmarkStart w:id="717" w:name="_Toc536631358"/>
      <w:bookmarkStart w:id="718" w:name="_Toc536803200"/>
      <w:bookmarkStart w:id="719" w:name="_Toc536803288"/>
      <w:bookmarkStart w:id="720" w:name="_Toc1115162"/>
      <w:r>
        <w:t>Treatment of C</w:t>
      </w:r>
      <w:r w:rsidRPr="002A48E0">
        <w:t>ommonwealth payments</w:t>
      </w:r>
      <w:bookmarkEnd w:id="713"/>
      <w:bookmarkEnd w:id="714"/>
      <w:bookmarkEnd w:id="715"/>
      <w:bookmarkEnd w:id="716"/>
      <w:bookmarkEnd w:id="717"/>
      <w:bookmarkEnd w:id="718"/>
      <w:bookmarkEnd w:id="719"/>
      <w:bookmarkEnd w:id="720"/>
    </w:p>
    <w:p w:rsidR="00BB3126" w:rsidRPr="002A48E0" w:rsidRDefault="00BB3126" w:rsidP="00BB3126">
      <w:pPr>
        <w:pStyle w:val="Heading4"/>
      </w:pPr>
      <w:bookmarkStart w:id="721" w:name="_Toc474923788"/>
      <w:bookmarkStart w:id="722" w:name="_Toc498430065"/>
      <w:bookmarkStart w:id="723" w:name="_Toc505872198"/>
      <w:bookmarkStart w:id="724" w:name="_Toc536519649"/>
      <w:bookmarkStart w:id="725" w:name="_Toc536631359"/>
      <w:bookmarkStart w:id="726" w:name="_Toc536803201"/>
      <w:bookmarkStart w:id="727" w:name="_Toc536803289"/>
      <w:bookmarkStart w:id="728" w:name="_Toc1115163"/>
      <w:r w:rsidRPr="002A48E0">
        <w:t>Terms of reference</w:t>
      </w:r>
      <w:r>
        <w:t xml:space="preserve"> (ToR)</w:t>
      </w:r>
      <w:r w:rsidRPr="002A48E0">
        <w:t xml:space="preserve"> requirements</w:t>
      </w:r>
      <w:bookmarkEnd w:id="721"/>
      <w:bookmarkEnd w:id="722"/>
      <w:bookmarkEnd w:id="723"/>
      <w:bookmarkEnd w:id="724"/>
      <w:bookmarkEnd w:id="725"/>
      <w:bookmarkEnd w:id="726"/>
      <w:bookmarkEnd w:id="727"/>
      <w:bookmarkEnd w:id="728"/>
    </w:p>
    <w:p w:rsidR="00BB3126" w:rsidRDefault="00BB3126" w:rsidP="00BB3126">
      <w:pPr>
        <w:pStyle w:val="21para"/>
      </w:pPr>
      <w:r w:rsidRPr="00212E4E">
        <w:t>The 201</w:t>
      </w:r>
      <w:r>
        <w:t>9 </w:t>
      </w:r>
      <w:r w:rsidRPr="00212E4E">
        <w:t xml:space="preserve">Update </w:t>
      </w:r>
      <w:r>
        <w:t>ToR</w:t>
      </w:r>
      <w:r w:rsidRPr="00212E4E">
        <w:t xml:space="preserve"> require the Commission to prepare its assessments on the basis that the following payments should not directly </w:t>
      </w:r>
      <w:r>
        <w:t>affect</w:t>
      </w:r>
      <w:r w:rsidRPr="00212E4E">
        <w:t xml:space="preserve"> the relativities:</w:t>
      </w:r>
    </w:p>
    <w:p w:rsidR="00BB3126" w:rsidRDefault="00BB3126" w:rsidP="00BB3126">
      <w:pPr>
        <w:pStyle w:val="CGCBulletlist"/>
        <w:numPr>
          <w:ilvl w:val="0"/>
          <w:numId w:val="1"/>
        </w:numPr>
        <w:tabs>
          <w:tab w:val="clear" w:pos="927"/>
        </w:tabs>
        <w:ind w:left="1134" w:hanging="567"/>
      </w:pPr>
      <w:r>
        <w:t>payments to New South Wales and Victoria relating to the sale of Snowy Hydro Ltd to the Commonwealth (paid in 2017-18)</w:t>
      </w:r>
    </w:p>
    <w:p w:rsidR="00BB3126" w:rsidRDefault="00BB3126" w:rsidP="00BB3126">
      <w:pPr>
        <w:pStyle w:val="CGCBulletlist"/>
        <w:numPr>
          <w:ilvl w:val="0"/>
          <w:numId w:val="1"/>
        </w:numPr>
        <w:tabs>
          <w:tab w:val="clear" w:pos="927"/>
        </w:tabs>
        <w:ind w:left="1134" w:hanging="567"/>
      </w:pPr>
      <w:r>
        <w:t>payments relating to the Project Agreement for the Health Innovation Fund – Stage 1</w:t>
      </w:r>
    </w:p>
    <w:p w:rsidR="00BB3126" w:rsidRDefault="00BB3126" w:rsidP="00BB3126">
      <w:pPr>
        <w:pStyle w:val="CGCBulletlist"/>
        <w:numPr>
          <w:ilvl w:val="0"/>
          <w:numId w:val="1"/>
        </w:numPr>
        <w:tabs>
          <w:tab w:val="clear" w:pos="927"/>
        </w:tabs>
        <w:ind w:left="1134" w:hanging="567"/>
      </w:pPr>
      <w:r>
        <w:t>payments to South Australia relating to the Project Agreement for the Proton Beam Facility</w:t>
      </w:r>
    </w:p>
    <w:p w:rsidR="00BB3126" w:rsidRDefault="00BB3126" w:rsidP="00BB3126">
      <w:pPr>
        <w:pStyle w:val="CGCBulletlist"/>
        <w:numPr>
          <w:ilvl w:val="0"/>
          <w:numId w:val="1"/>
        </w:numPr>
        <w:tabs>
          <w:tab w:val="clear" w:pos="927"/>
        </w:tabs>
        <w:ind w:left="1134" w:hanging="567"/>
      </w:pPr>
      <w:r>
        <w:t>payments to Tasmania relating to the Project Agreement for Queensland Fruit Fly Response in Tasmania (paid in 2017-18)</w:t>
      </w:r>
    </w:p>
    <w:p w:rsidR="00BB3126" w:rsidRDefault="00BB3126" w:rsidP="00BB3126">
      <w:pPr>
        <w:pStyle w:val="CGCBulletlist"/>
        <w:numPr>
          <w:ilvl w:val="0"/>
          <w:numId w:val="1"/>
        </w:numPr>
        <w:tabs>
          <w:tab w:val="clear" w:pos="927"/>
        </w:tabs>
        <w:ind w:left="1134" w:hanging="567"/>
      </w:pPr>
      <w:r>
        <w:lastRenderedPageBreak/>
        <w:t>payments to the Australian Capital Territory relating to the Project Agreement for the expansion of Clare Holland House</w:t>
      </w:r>
    </w:p>
    <w:p w:rsidR="00BB3126" w:rsidRPr="004D0FF4" w:rsidRDefault="00BB3126" w:rsidP="00BB3126">
      <w:pPr>
        <w:pStyle w:val="CGCBulletlist"/>
        <w:numPr>
          <w:ilvl w:val="0"/>
          <w:numId w:val="1"/>
        </w:numPr>
        <w:tabs>
          <w:tab w:val="clear" w:pos="927"/>
        </w:tabs>
        <w:ind w:left="1134" w:hanging="567"/>
      </w:pPr>
      <w:r>
        <w:t xml:space="preserve">payments relating to the Project Agreement for the Western Australian Hospital Infrastructure Package (paid in </w:t>
      </w:r>
      <w:r w:rsidRPr="004D0FF4">
        <w:t>2017-18)</w:t>
      </w:r>
    </w:p>
    <w:p w:rsidR="00BB3126" w:rsidRPr="004D0FF4" w:rsidRDefault="00BB3126" w:rsidP="00BB3126">
      <w:pPr>
        <w:pStyle w:val="CGCBulletlist"/>
        <w:numPr>
          <w:ilvl w:val="0"/>
          <w:numId w:val="1"/>
        </w:numPr>
        <w:tabs>
          <w:tab w:val="clear" w:pos="927"/>
        </w:tabs>
        <w:ind w:left="1134" w:hanging="567"/>
      </w:pPr>
      <w:r w:rsidRPr="004D0FF4">
        <w:t>$259.6 million in additional General Revenue Assistance to the Northern Territory to offset the reduction in its GST share (paid in 2017-18)</w:t>
      </w:r>
    </w:p>
    <w:p w:rsidR="00D16091" w:rsidRPr="004D0FF4" w:rsidRDefault="00D16091" w:rsidP="00D16091">
      <w:pPr>
        <w:pStyle w:val="CGCBulletlist"/>
        <w:numPr>
          <w:ilvl w:val="0"/>
          <w:numId w:val="1"/>
        </w:numPr>
        <w:tabs>
          <w:tab w:val="clear" w:pos="927"/>
        </w:tabs>
        <w:ind w:left="1134" w:hanging="567"/>
      </w:pPr>
      <w:r w:rsidRPr="004D0FF4">
        <w:t xml:space="preserve">payments to the Northern Territory </w:t>
      </w:r>
      <w:r>
        <w:t>of up to $110 million per annum for five years for Remote Indigenous Housing commencing in 2018</w:t>
      </w:r>
      <w:r>
        <w:noBreakHyphen/>
        <w:t>19</w:t>
      </w:r>
    </w:p>
    <w:p w:rsidR="00BB3126" w:rsidRDefault="00BB3126" w:rsidP="00BB3126">
      <w:pPr>
        <w:pStyle w:val="CGCBulletlist"/>
        <w:numPr>
          <w:ilvl w:val="0"/>
          <w:numId w:val="1"/>
        </w:numPr>
        <w:tabs>
          <w:tab w:val="clear" w:pos="927"/>
        </w:tabs>
        <w:ind w:left="1134" w:hanging="567"/>
      </w:pPr>
      <w:r w:rsidRPr="004D0FF4">
        <w:t>additional General Revenue Assistance relating to</w:t>
      </w:r>
      <w:r>
        <w:t xml:space="preserve"> GST transitional support and top-up payments under the Commonwealth’s HFE reform package:</w:t>
      </w:r>
    </w:p>
    <w:p w:rsidR="00BB3126" w:rsidRDefault="00BB3126" w:rsidP="00BB3126">
      <w:pPr>
        <w:pStyle w:val="CGCSubbulletlist"/>
        <w:numPr>
          <w:ilvl w:val="0"/>
          <w:numId w:val="4"/>
        </w:numPr>
        <w:tabs>
          <w:tab w:val="clear" w:pos="927"/>
        </w:tabs>
        <w:ind w:left="1701" w:hanging="567"/>
      </w:pPr>
      <w:r>
        <w:t>to the Northern Territory to effectively lift its GST relativity to 4.66</w:t>
      </w:r>
    </w:p>
    <w:p w:rsidR="00BB3126" w:rsidRDefault="00BB3126" w:rsidP="00BB3126">
      <w:pPr>
        <w:pStyle w:val="CGCSubbulletlist"/>
        <w:numPr>
          <w:ilvl w:val="0"/>
          <w:numId w:val="4"/>
        </w:numPr>
        <w:tabs>
          <w:tab w:val="clear" w:pos="927"/>
        </w:tabs>
        <w:ind w:left="1701" w:hanging="567"/>
      </w:pPr>
      <w:r>
        <w:t>to any other State or Territory to effectively lift their GST relativities to 0.7</w:t>
      </w:r>
    </w:p>
    <w:p w:rsidR="00BB3126" w:rsidRDefault="00BB3126" w:rsidP="00BB3126">
      <w:pPr>
        <w:pStyle w:val="CGCSubbulletlist"/>
        <w:numPr>
          <w:ilvl w:val="0"/>
          <w:numId w:val="4"/>
        </w:numPr>
        <w:tabs>
          <w:tab w:val="clear" w:pos="927"/>
        </w:tabs>
        <w:ind w:left="1701" w:hanging="567"/>
      </w:pPr>
      <w:r>
        <w:t xml:space="preserve">to any State or Territory under subsection 5(3) of the </w:t>
      </w:r>
      <w:r>
        <w:rPr>
          <w:i/>
        </w:rPr>
        <w:t xml:space="preserve">Federal Financial Relations Act 2009 </w:t>
      </w:r>
      <w:r>
        <w:t>(the cumulative ‘no worse off’ guarantee).</w:t>
      </w:r>
    </w:p>
    <w:p w:rsidR="00BB3126" w:rsidRDefault="00BB3126" w:rsidP="00BB3126">
      <w:pPr>
        <w:pStyle w:val="21para"/>
      </w:pPr>
      <w:r w:rsidRPr="00212E4E">
        <w:t>Accordingly, the payment</w:t>
      </w:r>
      <w:r>
        <w:t>s made in 2017-18 have been</w:t>
      </w:r>
      <w:r w:rsidRPr="00212E4E">
        <w:t xml:space="preserve"> treated in a way </w:t>
      </w:r>
      <w:r w:rsidR="00D06146">
        <w:t xml:space="preserve">such </w:t>
      </w:r>
      <w:r w:rsidRPr="00212E4E">
        <w:t xml:space="preserve">that </w:t>
      </w:r>
      <w:r>
        <w:t>they do</w:t>
      </w:r>
      <w:r w:rsidRPr="00212E4E">
        <w:t xml:space="preserve"> not </w:t>
      </w:r>
      <w:r>
        <w:t>affect</w:t>
      </w:r>
      <w:r w:rsidRPr="00212E4E">
        <w:t xml:space="preserve"> the relativities. </w:t>
      </w:r>
      <w:r>
        <w:t>Payments made in years after 2017-18 will not affect the relativities when they are paid in the assessment years of future updates.</w:t>
      </w:r>
    </w:p>
    <w:p w:rsidR="000F3151" w:rsidRDefault="000F3151" w:rsidP="000F3151">
      <w:pPr>
        <w:pStyle w:val="21para"/>
      </w:pPr>
      <w:r w:rsidRPr="00212E4E">
        <w:t>In addition, as directed by the 201</w:t>
      </w:r>
      <w:r>
        <w:t>9</w:t>
      </w:r>
      <w:r w:rsidRPr="00212E4E">
        <w:t xml:space="preserve"> Update </w:t>
      </w:r>
      <w:r>
        <w:t>ToR</w:t>
      </w:r>
      <w:r w:rsidRPr="00212E4E">
        <w:t>, the Commission has continued exclud</w:t>
      </w:r>
      <w:r>
        <w:t>ing</w:t>
      </w:r>
      <w:r w:rsidRPr="00212E4E">
        <w:t xml:space="preserve"> those payments</w:t>
      </w:r>
      <w:r>
        <w:t xml:space="preserve"> </w:t>
      </w:r>
      <w:r w:rsidRPr="00212E4E">
        <w:t xml:space="preserve">quarantined by previous </w:t>
      </w:r>
      <w:r>
        <w:t>ToR</w:t>
      </w:r>
      <w:r w:rsidRPr="00212E4E">
        <w:t>.</w:t>
      </w:r>
    </w:p>
    <w:p w:rsidR="00BB3126" w:rsidRDefault="00BB3126" w:rsidP="00BB3126">
      <w:pPr>
        <w:pStyle w:val="21para"/>
      </w:pPr>
      <w:r>
        <w:t xml:space="preserve">The following 2017-18 payments were quarantined by the 2018 Update ToR. They have been </w:t>
      </w:r>
      <w:r w:rsidRPr="00212E4E">
        <w:t xml:space="preserve">treated in a way that </w:t>
      </w:r>
      <w:r>
        <w:t>they do</w:t>
      </w:r>
      <w:r w:rsidRPr="00212E4E">
        <w:t xml:space="preserve"> not </w:t>
      </w:r>
      <w:r>
        <w:t>affect</w:t>
      </w:r>
      <w:r w:rsidRPr="00212E4E">
        <w:t xml:space="preserve"> the relativities.</w:t>
      </w:r>
    </w:p>
    <w:p w:rsidR="00BB3126" w:rsidRPr="006455BD" w:rsidRDefault="00BB3126" w:rsidP="00BB3126">
      <w:pPr>
        <w:pStyle w:val="CGCBulletlist"/>
        <w:numPr>
          <w:ilvl w:val="0"/>
          <w:numId w:val="1"/>
        </w:numPr>
        <w:tabs>
          <w:tab w:val="clear" w:pos="927"/>
        </w:tabs>
        <w:ind w:left="1134" w:hanging="567"/>
      </w:pPr>
      <w:r w:rsidRPr="006455BD">
        <w:t>$1.42 billion to Victoria relating to the Regional Rail Revival program</w:t>
      </w:r>
    </w:p>
    <w:p w:rsidR="00BB3126" w:rsidRPr="006455BD" w:rsidRDefault="00BB3126" w:rsidP="00BB3126">
      <w:pPr>
        <w:pStyle w:val="CGCBulletlist"/>
        <w:numPr>
          <w:ilvl w:val="0"/>
          <w:numId w:val="1"/>
        </w:numPr>
        <w:tabs>
          <w:tab w:val="clear" w:pos="927"/>
        </w:tabs>
        <w:ind w:left="1134" w:hanging="567"/>
      </w:pPr>
      <w:r w:rsidRPr="006455BD">
        <w:t>$1.2 billion to Western Australia relating to the re-allocated Perth Freight Link Infrastructure funding.</w:t>
      </w:r>
    </w:p>
    <w:p w:rsidR="00BB3126" w:rsidRDefault="00BB3126" w:rsidP="00BB3126">
      <w:pPr>
        <w:pStyle w:val="21para"/>
      </w:pPr>
      <w:r>
        <w:t>As is generally the case, the 2019 Update ToR also direct the Commission to prepare assessments on the basis that national partnership facilitation payments and reward payments should not affect the relativities.</w:t>
      </w:r>
      <w:r w:rsidRPr="008366BE">
        <w:rPr>
          <w:rStyle w:val="FootnoteReference"/>
        </w:rPr>
        <w:t xml:space="preserve"> </w:t>
      </w:r>
      <w:r>
        <w:rPr>
          <w:rStyle w:val="FootnoteReference"/>
        </w:rPr>
        <w:footnoteReference w:id="16"/>
      </w:r>
    </w:p>
    <w:p w:rsidR="00BB3126" w:rsidRPr="00212E4E" w:rsidRDefault="00BB3126" w:rsidP="00BB3126">
      <w:pPr>
        <w:pStyle w:val="21para"/>
      </w:pPr>
      <w:r>
        <w:t xml:space="preserve">The list of quarantined payments and the amounts relevant to this update are available on </w:t>
      </w:r>
      <w:r w:rsidRPr="002A48E0">
        <w:t xml:space="preserve">the </w:t>
      </w:r>
      <w:hyperlink r:id="rId102" w:history="1">
        <w:r w:rsidRPr="00A646DE">
          <w:rPr>
            <w:rStyle w:val="Hyperlink"/>
          </w:rPr>
          <w:t>Commission’s website</w:t>
        </w:r>
      </w:hyperlink>
      <w:r w:rsidRPr="002A48E0">
        <w:t xml:space="preserve"> (</w:t>
      </w:r>
      <w:r w:rsidRPr="00103485">
        <w:t>https://cgc.gov.au/</w:t>
      </w:r>
      <w:r w:rsidRPr="002A48E0">
        <w:t>).</w:t>
      </w:r>
    </w:p>
    <w:p w:rsidR="00BB3126" w:rsidRPr="002A48E0" w:rsidRDefault="00BB3126" w:rsidP="00BB3126">
      <w:pPr>
        <w:pStyle w:val="Heading4"/>
      </w:pPr>
      <w:bookmarkStart w:id="729" w:name="_Toc474923789"/>
      <w:bookmarkStart w:id="730" w:name="_Toc498430066"/>
      <w:bookmarkStart w:id="731" w:name="_Toc505872199"/>
      <w:bookmarkStart w:id="732" w:name="_Toc536519650"/>
      <w:bookmarkStart w:id="733" w:name="_Toc536631360"/>
      <w:bookmarkStart w:id="734" w:name="_Toc536803202"/>
      <w:bookmarkStart w:id="735" w:name="_Toc536803290"/>
      <w:bookmarkStart w:id="736" w:name="_Toc1115164"/>
      <w:r w:rsidRPr="002A48E0">
        <w:t xml:space="preserve">Treatment of </w:t>
      </w:r>
      <w:r>
        <w:t xml:space="preserve">new </w:t>
      </w:r>
      <w:r w:rsidRPr="002A48E0">
        <w:t>Commonwealth payments</w:t>
      </w:r>
      <w:bookmarkEnd w:id="729"/>
      <w:bookmarkEnd w:id="730"/>
      <w:bookmarkEnd w:id="731"/>
      <w:bookmarkEnd w:id="732"/>
      <w:bookmarkEnd w:id="733"/>
      <w:bookmarkEnd w:id="734"/>
      <w:bookmarkEnd w:id="735"/>
      <w:bookmarkEnd w:id="736"/>
    </w:p>
    <w:p w:rsidR="00BB3126" w:rsidRPr="002A48E0" w:rsidRDefault="00BB3126" w:rsidP="00BB3126">
      <w:pPr>
        <w:pStyle w:val="21para"/>
      </w:pPr>
      <w:r w:rsidRPr="002A48E0">
        <w:t xml:space="preserve">Apart from payments for which the </w:t>
      </w:r>
      <w:r>
        <w:t>ToR</w:t>
      </w:r>
      <w:r w:rsidRPr="002A48E0">
        <w:t xml:space="preserve"> have requested special treatment, all Commonwealth payments which </w:t>
      </w:r>
      <w:r>
        <w:t>support</w:t>
      </w:r>
      <w:r w:rsidRPr="002A48E0">
        <w:t xml:space="preserve"> State </w:t>
      </w:r>
      <w:r>
        <w:t xml:space="preserve">services </w:t>
      </w:r>
      <w:r w:rsidRPr="002A48E0">
        <w:t xml:space="preserve">and for which </w:t>
      </w:r>
      <w:r>
        <w:t xml:space="preserve">expenditure </w:t>
      </w:r>
      <w:r w:rsidRPr="002A48E0">
        <w:lastRenderedPageBreak/>
        <w:t>needs are assessed</w:t>
      </w:r>
      <w:r>
        <w:t>,</w:t>
      </w:r>
      <w:r w:rsidRPr="002A48E0">
        <w:t xml:space="preserve"> have an impact on the relativities. This is in accordance with the guideline adopted in the 2015</w:t>
      </w:r>
      <w:r>
        <w:t> </w:t>
      </w:r>
      <w:r w:rsidRPr="002A48E0">
        <w:t>Review.</w:t>
      </w:r>
    </w:p>
    <w:p w:rsidR="00BB3126" w:rsidRDefault="00BB3126" w:rsidP="00BB3126">
      <w:pPr>
        <w:pStyle w:val="21para"/>
      </w:pPr>
      <w:r>
        <w:fldChar w:fldCharType="begin"/>
      </w:r>
      <w:r>
        <w:instrText xml:space="preserve"> REF _Ref504906696 \h </w:instrText>
      </w:r>
      <w:r>
        <w:fldChar w:fldCharType="separate"/>
      </w:r>
      <w:r w:rsidR="00E82224">
        <w:t>Table 2</w:t>
      </w:r>
      <w:r w:rsidR="00E82224">
        <w:noBreakHyphen/>
      </w:r>
      <w:r w:rsidR="00E82224">
        <w:rPr>
          <w:noProof/>
        </w:rPr>
        <w:t>2</w:t>
      </w:r>
      <w:r>
        <w:fldChar w:fldCharType="end"/>
      </w:r>
      <w:r>
        <w:t xml:space="preserve"> </w:t>
      </w:r>
      <w:r w:rsidRPr="002A48E0">
        <w:t>provides a summary of the treatment the Commission has applied to payments which commenced in 201</w:t>
      </w:r>
      <w:r>
        <w:t>7</w:t>
      </w:r>
      <w:r w:rsidRPr="002A48E0">
        <w:noBreakHyphen/>
        <w:t>1</w:t>
      </w:r>
      <w:r>
        <w:t>8</w:t>
      </w:r>
      <w:r w:rsidRPr="002A48E0">
        <w:t>. The Commission has not backcast any o</w:t>
      </w:r>
      <w:r>
        <w:t>ther payments commencing in 2018</w:t>
      </w:r>
      <w:r>
        <w:noBreakHyphen/>
        <w:t xml:space="preserve">19 </w:t>
      </w:r>
      <w:r w:rsidRPr="002A48E0">
        <w:t>or 201</w:t>
      </w:r>
      <w:r>
        <w:t>9</w:t>
      </w:r>
      <w:r w:rsidRPr="002A48E0">
        <w:t>-</w:t>
      </w:r>
      <w:r>
        <w:t>20</w:t>
      </w:r>
      <w:r w:rsidRPr="002A48E0">
        <w:t xml:space="preserve"> because they do not represent a major change in federal financial arrangements.</w:t>
      </w:r>
    </w:p>
    <w:p w:rsidR="00BB3126" w:rsidRDefault="00BB3126" w:rsidP="00BB3126">
      <w:pPr>
        <w:pStyle w:val="Caption"/>
      </w:pPr>
      <w:bookmarkStart w:id="737" w:name="_Ref504906696"/>
      <w:r>
        <w:lastRenderedPageBreak/>
        <w:t>Table 2</w:t>
      </w:r>
      <w:r>
        <w:noBreakHyphen/>
      </w:r>
      <w:r>
        <w:rPr>
          <w:noProof/>
        </w:rPr>
        <w:fldChar w:fldCharType="begin"/>
      </w:r>
      <w:r>
        <w:rPr>
          <w:noProof/>
        </w:rPr>
        <w:instrText xml:space="preserve"> SEQ Table \* ARABIC \s 1 </w:instrText>
      </w:r>
      <w:r>
        <w:rPr>
          <w:noProof/>
        </w:rPr>
        <w:fldChar w:fldCharType="separate"/>
      </w:r>
      <w:r w:rsidR="00E82224">
        <w:rPr>
          <w:noProof/>
        </w:rPr>
        <w:t>2</w:t>
      </w:r>
      <w:r>
        <w:rPr>
          <w:noProof/>
        </w:rPr>
        <w:fldChar w:fldCharType="end"/>
      </w:r>
      <w:bookmarkEnd w:id="737"/>
      <w:r>
        <w:tab/>
      </w:r>
      <w:r w:rsidRPr="002A48E0">
        <w:t>Treatment of Commonw</w:t>
      </w:r>
      <w:r>
        <w:t>ealth payments commencing in 2017</w:t>
      </w:r>
      <w:r>
        <w:noBreakHyphen/>
      </w:r>
      <w:r w:rsidRPr="002A48E0">
        <w:t>1</w:t>
      </w:r>
      <w:r>
        <w:t>8</w:t>
      </w:r>
    </w:p>
    <w:tbl>
      <w:tblPr>
        <w:tblW w:w="8920" w:type="dxa"/>
        <w:tblLayout w:type="fixed"/>
        <w:tblCellMar>
          <w:left w:w="0" w:type="dxa"/>
          <w:right w:w="0" w:type="dxa"/>
        </w:tblCellMar>
        <w:tblLook w:val="04A0" w:firstRow="1" w:lastRow="0" w:firstColumn="1" w:lastColumn="0" w:noHBand="0" w:noVBand="1"/>
      </w:tblPr>
      <w:tblGrid>
        <w:gridCol w:w="4536"/>
        <w:gridCol w:w="567"/>
        <w:gridCol w:w="142"/>
        <w:gridCol w:w="992"/>
        <w:gridCol w:w="2683"/>
      </w:tblGrid>
      <w:tr w:rsidR="00BB3126" w:rsidRPr="002A48E0" w:rsidTr="00C7618F">
        <w:trPr>
          <w:trHeight w:val="454"/>
          <w:tblHeader/>
        </w:trPr>
        <w:tc>
          <w:tcPr>
            <w:tcW w:w="4536" w:type="dxa"/>
            <w:tcBorders>
              <w:top w:val="single" w:sz="4" w:space="0" w:color="auto"/>
              <w:left w:val="nil"/>
              <w:bottom w:val="single" w:sz="4" w:space="0" w:color="auto"/>
              <w:right w:val="nil"/>
            </w:tcBorders>
            <w:shd w:val="clear" w:color="auto" w:fill="auto"/>
            <w:vAlign w:val="center"/>
            <w:hideMark/>
          </w:tcPr>
          <w:p w:rsidR="00BB3126" w:rsidRPr="002A48E0" w:rsidRDefault="00BB3126" w:rsidP="00C7618F">
            <w:pPr>
              <w:pStyle w:val="TableColHeadings"/>
              <w:jc w:val="left"/>
              <w:rPr>
                <w:rFonts w:cs="Arial"/>
                <w:lang w:eastAsia="en-AU"/>
              </w:rPr>
            </w:pPr>
            <w:r w:rsidRPr="002A48E0">
              <w:rPr>
                <w:lang w:eastAsia="en-AU"/>
              </w:rPr>
              <w:t>Payment</w:t>
            </w:r>
          </w:p>
        </w:tc>
        <w:tc>
          <w:tcPr>
            <w:tcW w:w="567" w:type="dxa"/>
            <w:tcBorders>
              <w:top w:val="single" w:sz="4" w:space="0" w:color="auto"/>
              <w:left w:val="nil"/>
              <w:bottom w:val="single" w:sz="4" w:space="0" w:color="auto"/>
              <w:right w:val="nil"/>
            </w:tcBorders>
            <w:shd w:val="clear" w:color="auto" w:fill="auto"/>
            <w:vAlign w:val="center"/>
            <w:hideMark/>
          </w:tcPr>
          <w:p w:rsidR="00BB3126" w:rsidRPr="002A48E0" w:rsidRDefault="00BB3126" w:rsidP="00C7618F">
            <w:pPr>
              <w:pStyle w:val="TableColHeadings"/>
              <w:rPr>
                <w:rFonts w:cs="Arial"/>
                <w:lang w:eastAsia="en-AU"/>
              </w:rPr>
            </w:pPr>
            <w:r w:rsidRPr="002A48E0">
              <w:rPr>
                <w:lang w:eastAsia="en-AU"/>
              </w:rPr>
              <w:t>$m</w:t>
            </w:r>
          </w:p>
        </w:tc>
        <w:tc>
          <w:tcPr>
            <w:tcW w:w="142" w:type="dxa"/>
            <w:tcBorders>
              <w:top w:val="single" w:sz="4" w:space="0" w:color="auto"/>
              <w:left w:val="nil"/>
              <w:bottom w:val="single" w:sz="4" w:space="0" w:color="auto"/>
              <w:right w:val="nil"/>
            </w:tcBorders>
            <w:shd w:val="clear" w:color="auto" w:fill="auto"/>
            <w:vAlign w:val="center"/>
            <w:hideMark/>
          </w:tcPr>
          <w:p w:rsidR="00BB3126" w:rsidRPr="002A48E0" w:rsidRDefault="00BB3126" w:rsidP="00C7618F">
            <w:pPr>
              <w:pStyle w:val="TableColHeadings"/>
              <w:rPr>
                <w:rFonts w:cs="Arial"/>
                <w:lang w:eastAsia="en-AU"/>
              </w:rPr>
            </w:pPr>
          </w:p>
        </w:tc>
        <w:tc>
          <w:tcPr>
            <w:tcW w:w="992" w:type="dxa"/>
            <w:tcBorders>
              <w:top w:val="single" w:sz="4" w:space="0" w:color="auto"/>
              <w:left w:val="nil"/>
              <w:bottom w:val="single" w:sz="4" w:space="0" w:color="auto"/>
              <w:right w:val="nil"/>
            </w:tcBorders>
            <w:shd w:val="clear" w:color="auto" w:fill="auto"/>
            <w:vAlign w:val="center"/>
            <w:hideMark/>
          </w:tcPr>
          <w:p w:rsidR="00BB3126" w:rsidRPr="002A48E0" w:rsidRDefault="00BB3126" w:rsidP="00C7618F">
            <w:pPr>
              <w:pStyle w:val="TableColHeadings"/>
              <w:jc w:val="left"/>
              <w:rPr>
                <w:rFonts w:cs="Arial"/>
                <w:lang w:eastAsia="en-AU"/>
              </w:rPr>
            </w:pPr>
            <w:r w:rsidRPr="002A48E0">
              <w:rPr>
                <w:lang w:eastAsia="en-AU"/>
              </w:rPr>
              <w:t>Treatment</w:t>
            </w:r>
          </w:p>
        </w:tc>
        <w:tc>
          <w:tcPr>
            <w:tcW w:w="2683" w:type="dxa"/>
            <w:tcBorders>
              <w:top w:val="single" w:sz="4" w:space="0" w:color="auto"/>
              <w:left w:val="nil"/>
              <w:bottom w:val="single" w:sz="4" w:space="0" w:color="auto"/>
              <w:right w:val="nil"/>
            </w:tcBorders>
            <w:shd w:val="clear" w:color="auto" w:fill="auto"/>
            <w:vAlign w:val="center"/>
            <w:hideMark/>
          </w:tcPr>
          <w:p w:rsidR="00BB3126" w:rsidRPr="002A48E0" w:rsidRDefault="00BB3126" w:rsidP="00C7618F">
            <w:pPr>
              <w:pStyle w:val="TableColHeadings"/>
              <w:jc w:val="left"/>
              <w:rPr>
                <w:rFonts w:cs="Arial"/>
                <w:lang w:eastAsia="en-AU"/>
              </w:rPr>
            </w:pPr>
            <w:r w:rsidRPr="002A48E0">
              <w:rPr>
                <w:lang w:eastAsia="en-AU"/>
              </w:rPr>
              <w:t>Reason for ‘no impact’</w:t>
            </w:r>
          </w:p>
        </w:tc>
      </w:tr>
      <w:tr w:rsidR="00BB3126" w:rsidRPr="002A48E0" w:rsidTr="00C7618F">
        <w:trPr>
          <w:trHeight w:val="317"/>
        </w:trPr>
        <w:tc>
          <w:tcPr>
            <w:tcW w:w="4536"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HEALTH</w:t>
            </w:r>
          </w:p>
        </w:tc>
        <w:tc>
          <w:tcPr>
            <w:tcW w:w="567"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2683"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r>
      <w:tr w:rsidR="00BB3126" w:rsidRPr="002A48E0" w:rsidTr="00C7618F">
        <w:trPr>
          <w:trHeight w:val="317"/>
        </w:trPr>
        <w:tc>
          <w:tcPr>
            <w:tcW w:w="4536"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ind w:left="193" w:hanging="142"/>
              <w:rPr>
                <w:rFonts w:ascii="Calibri" w:hAnsi="Calibri"/>
                <w:color w:val="000000"/>
                <w:sz w:val="20"/>
                <w:szCs w:val="20"/>
              </w:rPr>
            </w:pPr>
            <w:r>
              <w:rPr>
                <w:rFonts w:ascii="Calibri" w:hAnsi="Calibri"/>
                <w:color w:val="000000"/>
                <w:sz w:val="20"/>
                <w:szCs w:val="20"/>
              </w:rPr>
              <w:t>Western Australia Hospitals Infrastructure Package</w:t>
            </w:r>
          </w:p>
        </w:tc>
        <w:tc>
          <w:tcPr>
            <w:tcW w:w="567" w:type="dxa"/>
            <w:tcBorders>
              <w:top w:val="nil"/>
              <w:left w:val="nil"/>
              <w:bottom w:val="nil"/>
              <w:right w:val="nil"/>
            </w:tcBorders>
            <w:shd w:val="clear" w:color="auto" w:fill="auto"/>
          </w:tcPr>
          <w:p w:rsidR="00BB3126" w:rsidRPr="00F04641" w:rsidRDefault="00BB3126" w:rsidP="00C7618F">
            <w:pPr>
              <w:keepNext/>
              <w:keepLines/>
              <w:tabs>
                <w:tab w:val="clear" w:pos="567"/>
              </w:tabs>
              <w:spacing w:before="20" w:after="20" w:line="240" w:lineRule="auto"/>
              <w:ind w:left="193" w:hanging="142"/>
              <w:jc w:val="right"/>
              <w:rPr>
                <w:rFonts w:ascii="Calibri" w:hAnsi="Calibri"/>
                <w:color w:val="000000"/>
                <w:sz w:val="20"/>
                <w:szCs w:val="20"/>
              </w:rPr>
            </w:pPr>
            <w:r>
              <w:rPr>
                <w:rFonts w:ascii="Calibri" w:hAnsi="Calibri"/>
                <w:color w:val="000000"/>
                <w:sz w:val="20"/>
                <w:szCs w:val="20"/>
              </w:rPr>
              <w:t>188.9</w:t>
            </w:r>
          </w:p>
        </w:tc>
        <w:tc>
          <w:tcPr>
            <w:tcW w:w="142" w:type="dxa"/>
            <w:tcBorders>
              <w:top w:val="nil"/>
              <w:left w:val="nil"/>
              <w:bottom w:val="nil"/>
              <w:right w:val="nil"/>
            </w:tcBorders>
            <w:shd w:val="clear" w:color="auto" w:fill="auto"/>
          </w:tcPr>
          <w:p w:rsidR="00BB3126" w:rsidRPr="00F04641" w:rsidRDefault="00BB3126" w:rsidP="00C7618F">
            <w:pPr>
              <w:keepNext/>
              <w:keepLines/>
              <w:tabs>
                <w:tab w:val="clear" w:pos="567"/>
              </w:tabs>
              <w:spacing w:before="20" w:after="20" w:line="240" w:lineRule="auto"/>
              <w:ind w:left="193" w:hanging="142"/>
              <w:rPr>
                <w:rFonts w:ascii="Calibri" w:hAnsi="Calibri"/>
                <w:color w:val="000000"/>
                <w:sz w:val="20"/>
                <w:szCs w:val="20"/>
              </w:rPr>
            </w:pPr>
          </w:p>
        </w:tc>
        <w:tc>
          <w:tcPr>
            <w:tcW w:w="992" w:type="dxa"/>
            <w:tcBorders>
              <w:top w:val="nil"/>
              <w:left w:val="nil"/>
              <w:bottom w:val="nil"/>
              <w:right w:val="nil"/>
            </w:tcBorders>
            <w:shd w:val="clear" w:color="auto" w:fill="auto"/>
          </w:tcPr>
          <w:p w:rsidR="00BB3126" w:rsidRPr="00F04641" w:rsidRDefault="00BB3126" w:rsidP="00C7618F">
            <w:pPr>
              <w:keepNext/>
              <w:keepLines/>
              <w:tabs>
                <w:tab w:val="clear" w:pos="567"/>
              </w:tabs>
              <w:spacing w:before="20" w:after="20" w:line="240" w:lineRule="auto"/>
              <w:ind w:left="193" w:hanging="142"/>
              <w:rPr>
                <w:rFonts w:ascii="Calibri" w:hAnsi="Calibri"/>
                <w:color w:val="000000"/>
                <w:sz w:val="20"/>
                <w:szCs w:val="20"/>
              </w:rPr>
            </w:pPr>
            <w:r w:rsidRPr="00F04641">
              <w:rPr>
                <w:rFonts w:ascii="Calibri" w:hAnsi="Calibri"/>
                <w:color w:val="000000"/>
                <w:sz w:val="20"/>
                <w:szCs w:val="20"/>
              </w:rPr>
              <w:t>No impact</w:t>
            </w:r>
          </w:p>
        </w:tc>
        <w:tc>
          <w:tcPr>
            <w:tcW w:w="2683" w:type="dxa"/>
            <w:tcBorders>
              <w:top w:val="nil"/>
              <w:left w:val="nil"/>
              <w:bottom w:val="nil"/>
              <w:right w:val="nil"/>
            </w:tcBorders>
            <w:shd w:val="clear" w:color="auto" w:fill="auto"/>
          </w:tcPr>
          <w:p w:rsidR="00BB3126" w:rsidRPr="00F04641" w:rsidRDefault="00BB3126" w:rsidP="00C7618F">
            <w:pPr>
              <w:keepNext/>
              <w:keepLines/>
              <w:tabs>
                <w:tab w:val="clear" w:pos="567"/>
              </w:tabs>
              <w:spacing w:before="20" w:after="20" w:line="240" w:lineRule="auto"/>
              <w:ind w:left="193" w:hanging="142"/>
              <w:rPr>
                <w:rFonts w:ascii="Calibri" w:hAnsi="Calibri"/>
                <w:color w:val="000000"/>
                <w:sz w:val="20"/>
                <w:szCs w:val="20"/>
              </w:rPr>
            </w:pPr>
            <w:r w:rsidRPr="00F04641">
              <w:rPr>
                <w:rFonts w:ascii="Calibri" w:hAnsi="Calibri"/>
                <w:color w:val="000000"/>
                <w:sz w:val="20"/>
                <w:szCs w:val="20"/>
              </w:rPr>
              <w:t>201</w:t>
            </w:r>
            <w:r>
              <w:rPr>
                <w:rFonts w:ascii="Calibri" w:hAnsi="Calibri"/>
                <w:color w:val="000000"/>
                <w:sz w:val="20"/>
                <w:szCs w:val="20"/>
              </w:rPr>
              <w:t>9</w:t>
            </w:r>
            <w:r w:rsidRPr="00F04641">
              <w:rPr>
                <w:rFonts w:ascii="Calibri" w:hAnsi="Calibri"/>
                <w:color w:val="000000"/>
                <w:sz w:val="20"/>
                <w:szCs w:val="20"/>
              </w:rPr>
              <w:t xml:space="preserve"> Update </w:t>
            </w:r>
            <w:r>
              <w:rPr>
                <w:rFonts w:ascii="Calibri" w:hAnsi="Calibri"/>
                <w:color w:val="000000"/>
                <w:sz w:val="20"/>
                <w:szCs w:val="20"/>
              </w:rPr>
              <w:t>ToR requirement</w:t>
            </w:r>
          </w:p>
        </w:tc>
      </w:tr>
      <w:tr w:rsidR="00BB3126" w:rsidRPr="002A48E0" w:rsidTr="00C7618F">
        <w:trPr>
          <w:trHeight w:val="317"/>
        </w:trPr>
        <w:tc>
          <w:tcPr>
            <w:tcW w:w="4536"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ind w:left="193" w:hanging="142"/>
              <w:rPr>
                <w:rFonts w:ascii="Calibri" w:hAnsi="Calibri"/>
                <w:color w:val="000000"/>
                <w:sz w:val="20"/>
                <w:szCs w:val="20"/>
              </w:rPr>
            </w:pPr>
            <w:r>
              <w:rPr>
                <w:rFonts w:ascii="Calibri" w:hAnsi="Calibri"/>
                <w:color w:val="000000"/>
                <w:sz w:val="20"/>
                <w:szCs w:val="20"/>
              </w:rPr>
              <w:t>Electronic recording and reporting of controlled drugs</w:t>
            </w:r>
          </w:p>
        </w:tc>
        <w:tc>
          <w:tcPr>
            <w:tcW w:w="567" w:type="dxa"/>
            <w:tcBorders>
              <w:top w:val="nil"/>
              <w:left w:val="nil"/>
              <w:bottom w:val="nil"/>
              <w:right w:val="nil"/>
            </w:tcBorders>
            <w:shd w:val="clear" w:color="auto" w:fill="auto"/>
          </w:tcPr>
          <w:p w:rsidR="00BB3126" w:rsidRPr="00F04641" w:rsidRDefault="00BB3126" w:rsidP="00C7618F">
            <w:pPr>
              <w:keepNext/>
              <w:keepLines/>
              <w:tabs>
                <w:tab w:val="clear" w:pos="567"/>
              </w:tabs>
              <w:spacing w:before="20" w:after="20" w:line="240" w:lineRule="auto"/>
              <w:ind w:left="193" w:hanging="142"/>
              <w:jc w:val="right"/>
              <w:rPr>
                <w:rFonts w:ascii="Calibri" w:hAnsi="Calibri"/>
                <w:color w:val="000000"/>
                <w:sz w:val="20"/>
                <w:szCs w:val="20"/>
              </w:rPr>
            </w:pPr>
            <w:r>
              <w:rPr>
                <w:rFonts w:ascii="Calibri" w:hAnsi="Calibri"/>
                <w:color w:val="000000"/>
                <w:sz w:val="20"/>
                <w:szCs w:val="20"/>
              </w:rPr>
              <w:t>0.8</w:t>
            </w:r>
          </w:p>
        </w:tc>
        <w:tc>
          <w:tcPr>
            <w:tcW w:w="142" w:type="dxa"/>
            <w:tcBorders>
              <w:top w:val="nil"/>
              <w:left w:val="nil"/>
              <w:bottom w:val="nil"/>
              <w:right w:val="nil"/>
            </w:tcBorders>
            <w:shd w:val="clear" w:color="auto" w:fill="auto"/>
          </w:tcPr>
          <w:p w:rsidR="00BB3126" w:rsidRPr="00F04641" w:rsidRDefault="00BB3126" w:rsidP="00C7618F">
            <w:pPr>
              <w:keepNext/>
              <w:keepLines/>
              <w:tabs>
                <w:tab w:val="clear" w:pos="567"/>
              </w:tabs>
              <w:spacing w:before="20" w:after="20" w:line="240" w:lineRule="auto"/>
              <w:ind w:left="193" w:hanging="142"/>
              <w:rPr>
                <w:rFonts w:ascii="Calibri" w:hAnsi="Calibri"/>
                <w:color w:val="000000"/>
                <w:sz w:val="20"/>
                <w:szCs w:val="20"/>
              </w:rPr>
            </w:pPr>
          </w:p>
        </w:tc>
        <w:tc>
          <w:tcPr>
            <w:tcW w:w="992" w:type="dxa"/>
            <w:tcBorders>
              <w:top w:val="nil"/>
              <w:left w:val="nil"/>
              <w:bottom w:val="nil"/>
              <w:right w:val="nil"/>
            </w:tcBorders>
            <w:shd w:val="clear" w:color="auto" w:fill="auto"/>
          </w:tcPr>
          <w:p w:rsidR="00BB3126" w:rsidRPr="00F04641" w:rsidRDefault="00BB3126" w:rsidP="00C7618F">
            <w:pPr>
              <w:keepNext/>
              <w:keepLines/>
              <w:tabs>
                <w:tab w:val="clear" w:pos="567"/>
              </w:tabs>
              <w:spacing w:before="20" w:after="20" w:line="240" w:lineRule="auto"/>
              <w:ind w:left="193" w:hanging="142"/>
              <w:rPr>
                <w:rFonts w:ascii="Calibri" w:hAnsi="Calibri"/>
                <w:color w:val="000000"/>
                <w:sz w:val="20"/>
                <w:szCs w:val="20"/>
              </w:rPr>
            </w:pPr>
            <w:r w:rsidRPr="00F04641">
              <w:rPr>
                <w:rFonts w:ascii="Calibri" w:hAnsi="Calibri"/>
                <w:color w:val="000000"/>
                <w:sz w:val="20"/>
                <w:szCs w:val="20"/>
              </w:rPr>
              <w:t>Impact</w:t>
            </w:r>
          </w:p>
        </w:tc>
        <w:tc>
          <w:tcPr>
            <w:tcW w:w="2683" w:type="dxa"/>
            <w:tcBorders>
              <w:top w:val="nil"/>
              <w:left w:val="nil"/>
              <w:bottom w:val="nil"/>
              <w:right w:val="nil"/>
            </w:tcBorders>
            <w:shd w:val="clear" w:color="auto" w:fill="auto"/>
          </w:tcPr>
          <w:p w:rsidR="00BB3126" w:rsidRPr="00F04641" w:rsidRDefault="00BB3126" w:rsidP="00C7618F">
            <w:pPr>
              <w:keepNext/>
              <w:keepLines/>
              <w:tabs>
                <w:tab w:val="clear" w:pos="567"/>
              </w:tabs>
              <w:spacing w:before="20" w:after="20" w:line="240" w:lineRule="auto"/>
              <w:ind w:left="193" w:hanging="142"/>
              <w:rPr>
                <w:rFonts w:ascii="Calibri" w:hAnsi="Calibri"/>
                <w:color w:val="000000"/>
                <w:sz w:val="20"/>
                <w:szCs w:val="20"/>
              </w:rPr>
            </w:pPr>
          </w:p>
        </w:tc>
      </w:tr>
      <w:tr w:rsidR="00BB3126" w:rsidRPr="002A48E0" w:rsidTr="00C7618F">
        <w:trPr>
          <w:trHeight w:val="317"/>
        </w:trPr>
        <w:tc>
          <w:tcPr>
            <w:tcW w:w="4536"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ind w:left="193" w:hanging="142"/>
              <w:rPr>
                <w:rFonts w:ascii="Calibri" w:hAnsi="Calibri"/>
                <w:color w:val="000000"/>
                <w:sz w:val="20"/>
                <w:szCs w:val="20"/>
              </w:rPr>
            </w:pPr>
            <w:r>
              <w:rPr>
                <w:rFonts w:ascii="Calibri" w:hAnsi="Calibri"/>
                <w:color w:val="000000"/>
                <w:sz w:val="20"/>
                <w:szCs w:val="20"/>
              </w:rPr>
              <w:t>Encouraging more clinical trials in Australia</w:t>
            </w:r>
          </w:p>
        </w:tc>
        <w:tc>
          <w:tcPr>
            <w:tcW w:w="567"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ind w:left="193" w:hanging="142"/>
              <w:jc w:val="right"/>
              <w:rPr>
                <w:rFonts w:ascii="Calibri" w:hAnsi="Calibri"/>
                <w:color w:val="000000"/>
                <w:sz w:val="20"/>
                <w:szCs w:val="20"/>
              </w:rPr>
            </w:pPr>
            <w:r>
              <w:rPr>
                <w:rFonts w:ascii="Calibri" w:hAnsi="Calibri"/>
                <w:color w:val="000000"/>
                <w:sz w:val="20"/>
                <w:szCs w:val="20"/>
              </w:rPr>
              <w:t>2.5</w:t>
            </w:r>
          </w:p>
        </w:tc>
        <w:tc>
          <w:tcPr>
            <w:tcW w:w="142" w:type="dxa"/>
            <w:tcBorders>
              <w:top w:val="nil"/>
              <w:left w:val="nil"/>
              <w:bottom w:val="nil"/>
              <w:right w:val="nil"/>
            </w:tcBorders>
            <w:shd w:val="clear" w:color="auto" w:fill="auto"/>
          </w:tcPr>
          <w:p w:rsidR="00BB3126" w:rsidRPr="00F04641" w:rsidRDefault="00BB3126" w:rsidP="00C7618F">
            <w:pPr>
              <w:keepNext/>
              <w:keepLines/>
              <w:tabs>
                <w:tab w:val="clear" w:pos="567"/>
              </w:tabs>
              <w:spacing w:before="20" w:after="20" w:line="240" w:lineRule="auto"/>
              <w:ind w:left="193" w:hanging="142"/>
              <w:rPr>
                <w:rFonts w:ascii="Calibri" w:hAnsi="Calibri"/>
                <w:color w:val="000000"/>
                <w:sz w:val="20"/>
                <w:szCs w:val="20"/>
              </w:rPr>
            </w:pPr>
          </w:p>
        </w:tc>
        <w:tc>
          <w:tcPr>
            <w:tcW w:w="992" w:type="dxa"/>
            <w:tcBorders>
              <w:top w:val="nil"/>
              <w:left w:val="nil"/>
              <w:bottom w:val="nil"/>
              <w:right w:val="nil"/>
            </w:tcBorders>
            <w:shd w:val="clear" w:color="auto" w:fill="auto"/>
          </w:tcPr>
          <w:p w:rsidR="00BB3126" w:rsidRPr="00F04641" w:rsidRDefault="00BB3126" w:rsidP="00C7618F">
            <w:pPr>
              <w:keepNext/>
              <w:keepLines/>
              <w:tabs>
                <w:tab w:val="clear" w:pos="567"/>
              </w:tabs>
              <w:spacing w:before="20" w:after="20" w:line="240" w:lineRule="auto"/>
              <w:ind w:left="193" w:hanging="142"/>
              <w:rPr>
                <w:rFonts w:ascii="Calibri" w:hAnsi="Calibri"/>
                <w:color w:val="000000"/>
                <w:sz w:val="20"/>
                <w:szCs w:val="20"/>
              </w:rPr>
            </w:pPr>
            <w:r>
              <w:rPr>
                <w:rFonts w:ascii="Calibri" w:hAnsi="Calibri"/>
                <w:color w:val="000000"/>
                <w:sz w:val="20"/>
                <w:szCs w:val="20"/>
              </w:rPr>
              <w:t>Impact</w:t>
            </w:r>
          </w:p>
        </w:tc>
        <w:tc>
          <w:tcPr>
            <w:tcW w:w="2683" w:type="dxa"/>
            <w:tcBorders>
              <w:top w:val="nil"/>
              <w:left w:val="nil"/>
              <w:bottom w:val="nil"/>
              <w:right w:val="nil"/>
            </w:tcBorders>
            <w:shd w:val="clear" w:color="auto" w:fill="auto"/>
          </w:tcPr>
          <w:p w:rsidR="00BB3126" w:rsidRPr="00F04641" w:rsidRDefault="00BB3126" w:rsidP="00C7618F">
            <w:pPr>
              <w:keepNext/>
              <w:keepLines/>
              <w:tabs>
                <w:tab w:val="clear" w:pos="567"/>
              </w:tabs>
              <w:spacing w:before="20" w:after="20" w:line="240" w:lineRule="auto"/>
              <w:ind w:left="193" w:hanging="142"/>
              <w:rPr>
                <w:rFonts w:ascii="Calibri" w:hAnsi="Calibri"/>
                <w:color w:val="000000"/>
                <w:sz w:val="20"/>
                <w:szCs w:val="20"/>
              </w:rPr>
            </w:pPr>
          </w:p>
        </w:tc>
      </w:tr>
      <w:tr w:rsidR="00BB3126" w:rsidRPr="002A48E0" w:rsidTr="00C7618F">
        <w:trPr>
          <w:trHeight w:val="317"/>
        </w:trPr>
        <w:tc>
          <w:tcPr>
            <w:tcW w:w="4536"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Pr>
                <w:rFonts w:ascii="Calibri" w:eastAsia="Times New Roman" w:hAnsi="Calibri" w:cs="Arial"/>
                <w:b/>
                <w:bCs/>
                <w:sz w:val="20"/>
                <w:szCs w:val="20"/>
                <w:lang w:eastAsia="en-AU"/>
              </w:rPr>
              <w:t>SKILLS AND WORKFORCE DEVELOPMENT SERVICES</w:t>
            </w:r>
          </w:p>
        </w:tc>
        <w:tc>
          <w:tcPr>
            <w:tcW w:w="567"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2683"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r>
      <w:tr w:rsidR="00BB3126" w:rsidRPr="002A48E0" w:rsidTr="00C7618F">
        <w:trPr>
          <w:trHeight w:val="317"/>
        </w:trPr>
        <w:tc>
          <w:tcPr>
            <w:tcW w:w="4536"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ind w:left="193" w:hanging="142"/>
              <w:rPr>
                <w:rFonts w:ascii="Calibri" w:eastAsia="Times New Roman" w:hAnsi="Calibri" w:cs="Arial"/>
                <w:sz w:val="20"/>
                <w:szCs w:val="20"/>
                <w:lang w:eastAsia="en-AU"/>
              </w:rPr>
            </w:pPr>
            <w:r>
              <w:rPr>
                <w:rFonts w:ascii="Calibri" w:eastAsia="Calibri" w:hAnsi="Calibri" w:cs="Times New Roman"/>
                <w:sz w:val="20"/>
                <w:szCs w:val="20"/>
              </w:rPr>
              <w:t>Skilling Australians Fund</w:t>
            </w:r>
          </w:p>
        </w:tc>
        <w:tc>
          <w:tcPr>
            <w:tcW w:w="567"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237.3</w:t>
            </w:r>
          </w:p>
        </w:tc>
        <w:tc>
          <w:tcPr>
            <w:tcW w:w="142"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sidRPr="002A48E0">
              <w:rPr>
                <w:rFonts w:ascii="Calibri" w:hAnsi="Calibri"/>
                <w:color w:val="000000"/>
                <w:sz w:val="20"/>
                <w:szCs w:val="20"/>
              </w:rPr>
              <w:t>Impact</w:t>
            </w:r>
          </w:p>
        </w:tc>
        <w:tc>
          <w:tcPr>
            <w:tcW w:w="2683"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r>
      <w:tr w:rsidR="00BB3126" w:rsidRPr="002A48E0" w:rsidTr="00C7618F">
        <w:trPr>
          <w:trHeight w:val="317"/>
        </w:trPr>
        <w:tc>
          <w:tcPr>
            <w:tcW w:w="4536"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COMMUNITY SERVICES</w:t>
            </w:r>
          </w:p>
        </w:tc>
        <w:tc>
          <w:tcPr>
            <w:tcW w:w="567"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2683"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r>
      <w:tr w:rsidR="00BB3126" w:rsidRPr="002A48E0" w:rsidTr="00C7618F">
        <w:trPr>
          <w:trHeight w:val="317"/>
        </w:trPr>
        <w:tc>
          <w:tcPr>
            <w:tcW w:w="4536"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ind w:left="193" w:hanging="142"/>
              <w:rPr>
                <w:rFonts w:ascii="Calibri" w:eastAsia="Times New Roman" w:hAnsi="Calibri" w:cs="Arial"/>
                <w:sz w:val="20"/>
                <w:szCs w:val="20"/>
                <w:lang w:eastAsia="en-AU"/>
              </w:rPr>
            </w:pPr>
            <w:r>
              <w:rPr>
                <w:rFonts w:ascii="Calibri" w:eastAsia="Calibri" w:hAnsi="Calibri" w:cs="Times New Roman"/>
                <w:sz w:val="20"/>
                <w:szCs w:val="20"/>
              </w:rPr>
              <w:t>Payment from the DisabilityCare Australia Fund</w:t>
            </w:r>
          </w:p>
        </w:tc>
        <w:tc>
          <w:tcPr>
            <w:tcW w:w="567"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129.9</w:t>
            </w:r>
          </w:p>
        </w:tc>
        <w:tc>
          <w:tcPr>
            <w:tcW w:w="142"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No i</w:t>
            </w:r>
            <w:r w:rsidRPr="002A48E0">
              <w:rPr>
                <w:rFonts w:ascii="Calibri" w:eastAsia="Times New Roman" w:hAnsi="Calibri" w:cs="Arial"/>
                <w:sz w:val="20"/>
                <w:szCs w:val="20"/>
                <w:lang w:eastAsia="en-AU"/>
              </w:rPr>
              <w:t>mpact</w:t>
            </w:r>
          </w:p>
        </w:tc>
        <w:tc>
          <w:tcPr>
            <w:tcW w:w="2683"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Calibri" w:hAnsi="Calibri" w:cs="Times New Roman"/>
                <w:sz w:val="20"/>
                <w:szCs w:val="20"/>
              </w:rPr>
              <w:t>2015 Review ToR requirement</w:t>
            </w:r>
          </w:p>
        </w:tc>
      </w:tr>
      <w:tr w:rsidR="00BB3126" w:rsidRPr="002A48E0" w:rsidTr="00C7618F">
        <w:trPr>
          <w:trHeight w:val="317"/>
        </w:trPr>
        <w:tc>
          <w:tcPr>
            <w:tcW w:w="4536"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INFRASTRUCTURE</w:t>
            </w:r>
          </w:p>
        </w:tc>
        <w:tc>
          <w:tcPr>
            <w:tcW w:w="567"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2683" w:type="dxa"/>
            <w:tcBorders>
              <w:top w:val="nil"/>
              <w:left w:val="nil"/>
              <w:bottom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r>
      <w:tr w:rsidR="00BB3126" w:rsidRPr="002A48E0" w:rsidTr="00C7618F">
        <w:trPr>
          <w:trHeight w:val="315"/>
        </w:trPr>
        <w:tc>
          <w:tcPr>
            <w:tcW w:w="4536" w:type="dxa"/>
            <w:tcBorders>
              <w:top w:val="nil"/>
              <w:left w:val="nil"/>
              <w:right w:val="nil"/>
            </w:tcBorders>
            <w:shd w:val="clear" w:color="auto" w:fill="auto"/>
            <w:hideMark/>
          </w:tcPr>
          <w:p w:rsidR="00BB3126" w:rsidRPr="002A48E0" w:rsidRDefault="00BB3126" w:rsidP="00C7618F">
            <w:pPr>
              <w:keepNext/>
              <w:keepLines/>
              <w:tabs>
                <w:tab w:val="clear" w:pos="567"/>
              </w:tabs>
              <w:spacing w:before="20" w:after="20" w:line="240" w:lineRule="auto"/>
              <w:ind w:left="193" w:hanging="142"/>
              <w:rPr>
                <w:rFonts w:ascii="Calibri" w:eastAsia="Times New Roman" w:hAnsi="Calibri" w:cs="Arial"/>
                <w:sz w:val="20"/>
                <w:szCs w:val="20"/>
                <w:lang w:eastAsia="en-AU"/>
              </w:rPr>
            </w:pPr>
            <w:r>
              <w:rPr>
                <w:rFonts w:ascii="Calibri" w:hAnsi="Calibri"/>
                <w:color w:val="000000"/>
                <w:sz w:val="20"/>
                <w:szCs w:val="20"/>
              </w:rPr>
              <w:t xml:space="preserve">Infrastructure investment — Developing Northern Australia </w:t>
            </w:r>
            <w:r w:rsidRPr="002A48E0">
              <w:t>—</w:t>
            </w:r>
            <w:r>
              <w:t xml:space="preserve"> </w:t>
            </w:r>
            <w:r>
              <w:rPr>
                <w:rFonts w:ascii="Calibri" w:hAnsi="Calibri"/>
                <w:color w:val="000000"/>
                <w:sz w:val="20"/>
                <w:szCs w:val="20"/>
              </w:rPr>
              <w:t>Improving cattle supply chains</w:t>
            </w:r>
          </w:p>
        </w:tc>
        <w:tc>
          <w:tcPr>
            <w:tcW w:w="567" w:type="dxa"/>
            <w:tcBorders>
              <w:top w:val="nil"/>
              <w:left w:val="nil"/>
              <w:right w:val="nil"/>
            </w:tcBorders>
            <w:shd w:val="clear" w:color="auto" w:fill="auto"/>
            <w:hideMark/>
          </w:tcPr>
          <w:p w:rsidR="00BB3126" w:rsidRPr="002A48E0"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5.6</w:t>
            </w:r>
          </w:p>
        </w:tc>
        <w:tc>
          <w:tcPr>
            <w:tcW w:w="142" w:type="dxa"/>
            <w:tcBorders>
              <w:top w:val="nil"/>
              <w:left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Impact</w:t>
            </w:r>
          </w:p>
        </w:tc>
        <w:tc>
          <w:tcPr>
            <w:tcW w:w="2683" w:type="dxa"/>
            <w:tcBorders>
              <w:top w:val="nil"/>
              <w:left w:val="nil"/>
              <w:right w:val="nil"/>
            </w:tcBorders>
            <w:shd w:val="clear" w:color="auto" w:fill="auto"/>
            <w:hideMark/>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r>
      <w:tr w:rsidR="00BB3126" w:rsidRPr="002A48E0" w:rsidTr="00C7618F">
        <w:trPr>
          <w:trHeight w:val="315"/>
        </w:trPr>
        <w:tc>
          <w:tcPr>
            <w:tcW w:w="4536" w:type="dxa"/>
            <w:tcBorders>
              <w:top w:val="nil"/>
              <w:left w:val="nil"/>
              <w:right w:val="nil"/>
            </w:tcBorders>
            <w:shd w:val="clear" w:color="auto" w:fill="auto"/>
          </w:tcPr>
          <w:p w:rsidR="00BB3126" w:rsidRDefault="00BB3126" w:rsidP="00C7618F">
            <w:pPr>
              <w:keepNext/>
              <w:keepLines/>
              <w:tabs>
                <w:tab w:val="clear" w:pos="567"/>
              </w:tabs>
              <w:spacing w:before="20" w:after="20" w:line="240" w:lineRule="auto"/>
              <w:ind w:left="193" w:hanging="142"/>
              <w:rPr>
                <w:rFonts w:ascii="Calibri" w:hAnsi="Calibri"/>
                <w:color w:val="000000"/>
                <w:sz w:val="20"/>
                <w:szCs w:val="20"/>
              </w:rPr>
            </w:pPr>
            <w:r>
              <w:rPr>
                <w:rFonts w:ascii="Calibri" w:hAnsi="Calibri"/>
                <w:color w:val="000000"/>
                <w:sz w:val="20"/>
                <w:szCs w:val="20"/>
              </w:rPr>
              <w:t xml:space="preserve">Infrastructure investment — Rail investment component </w:t>
            </w:r>
            <w:r w:rsidRPr="002A48E0">
              <w:t>—</w:t>
            </w:r>
            <w:r>
              <w:t xml:space="preserve"> </w:t>
            </w:r>
            <w:r>
              <w:rPr>
                <w:rFonts w:ascii="Calibri" w:hAnsi="Calibri"/>
                <w:color w:val="000000"/>
                <w:sz w:val="20"/>
                <w:szCs w:val="20"/>
              </w:rPr>
              <w:t>Victorian Regional Rail Revival program</w:t>
            </w:r>
          </w:p>
        </w:tc>
        <w:tc>
          <w:tcPr>
            <w:tcW w:w="567" w:type="dxa"/>
            <w:tcBorders>
              <w:top w:val="nil"/>
              <w:left w:val="nil"/>
              <w:right w:val="nil"/>
            </w:tcBorders>
            <w:shd w:val="clear" w:color="auto" w:fill="auto"/>
          </w:tcPr>
          <w:p w:rsidR="00BB3126"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33.4</w:t>
            </w:r>
          </w:p>
        </w:tc>
        <w:tc>
          <w:tcPr>
            <w:tcW w:w="142" w:type="dxa"/>
            <w:tcBorders>
              <w:top w:val="nil"/>
              <w:left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right w:val="nil"/>
            </w:tcBorders>
            <w:shd w:val="clear" w:color="auto" w:fill="auto"/>
          </w:tcPr>
          <w:p w:rsidR="00BB3126"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No impact</w:t>
            </w:r>
          </w:p>
        </w:tc>
        <w:tc>
          <w:tcPr>
            <w:tcW w:w="2683" w:type="dxa"/>
            <w:tcBorders>
              <w:top w:val="nil"/>
              <w:left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sidRPr="00F04641">
              <w:rPr>
                <w:rFonts w:ascii="Calibri" w:hAnsi="Calibri"/>
                <w:color w:val="000000"/>
                <w:sz w:val="20"/>
                <w:szCs w:val="20"/>
              </w:rPr>
              <w:t>201</w:t>
            </w:r>
            <w:r>
              <w:rPr>
                <w:rFonts w:ascii="Calibri" w:hAnsi="Calibri"/>
                <w:color w:val="000000"/>
                <w:sz w:val="20"/>
                <w:szCs w:val="20"/>
              </w:rPr>
              <w:t>8</w:t>
            </w:r>
            <w:r w:rsidRPr="00F04641">
              <w:rPr>
                <w:rFonts w:ascii="Calibri" w:hAnsi="Calibri"/>
                <w:color w:val="000000"/>
                <w:sz w:val="20"/>
                <w:szCs w:val="20"/>
              </w:rPr>
              <w:t xml:space="preserve"> Update </w:t>
            </w:r>
            <w:r>
              <w:rPr>
                <w:rFonts w:ascii="Calibri" w:hAnsi="Calibri"/>
                <w:color w:val="000000"/>
                <w:sz w:val="20"/>
                <w:szCs w:val="20"/>
              </w:rPr>
              <w:t>ToR</w:t>
            </w:r>
            <w:r w:rsidRPr="00F04641">
              <w:rPr>
                <w:rFonts w:ascii="Calibri" w:hAnsi="Calibri"/>
                <w:color w:val="000000"/>
                <w:sz w:val="20"/>
                <w:szCs w:val="20"/>
              </w:rPr>
              <w:t xml:space="preserve"> requirement</w:t>
            </w:r>
          </w:p>
        </w:tc>
      </w:tr>
      <w:tr w:rsidR="00BB3126" w:rsidRPr="002A48E0" w:rsidTr="00C7618F">
        <w:trPr>
          <w:trHeight w:val="315"/>
        </w:trPr>
        <w:tc>
          <w:tcPr>
            <w:tcW w:w="4536" w:type="dxa"/>
            <w:tcBorders>
              <w:top w:val="nil"/>
              <w:left w:val="nil"/>
              <w:right w:val="nil"/>
            </w:tcBorders>
            <w:shd w:val="clear" w:color="auto" w:fill="auto"/>
          </w:tcPr>
          <w:p w:rsidR="00BB3126" w:rsidRDefault="00BB3126" w:rsidP="00C7618F">
            <w:pPr>
              <w:keepNext/>
              <w:keepLines/>
              <w:tabs>
                <w:tab w:val="clear" w:pos="567"/>
              </w:tabs>
              <w:spacing w:before="20" w:after="20" w:line="240" w:lineRule="auto"/>
              <w:ind w:left="193" w:hanging="142"/>
              <w:rPr>
                <w:rFonts w:ascii="Calibri" w:hAnsi="Calibri"/>
                <w:color w:val="000000"/>
                <w:sz w:val="20"/>
                <w:szCs w:val="20"/>
              </w:rPr>
            </w:pPr>
            <w:r>
              <w:rPr>
                <w:rFonts w:ascii="Calibri" w:hAnsi="Calibri"/>
                <w:color w:val="000000"/>
                <w:sz w:val="20"/>
                <w:szCs w:val="20"/>
              </w:rPr>
              <w:t xml:space="preserve">Infrastructure investment — Road and rail investment components </w:t>
            </w:r>
            <w:r w:rsidRPr="002A48E0">
              <w:t>—</w:t>
            </w:r>
            <w:r>
              <w:t xml:space="preserve"> </w:t>
            </w:r>
            <w:r>
              <w:rPr>
                <w:rFonts w:ascii="Calibri" w:hAnsi="Calibri"/>
                <w:color w:val="000000"/>
                <w:sz w:val="20"/>
                <w:szCs w:val="20"/>
              </w:rPr>
              <w:t>re-allocation of Perth Freight Link infrastructure funding ($30m – roads; $513.3m – rail)</w:t>
            </w:r>
          </w:p>
        </w:tc>
        <w:tc>
          <w:tcPr>
            <w:tcW w:w="567" w:type="dxa"/>
            <w:tcBorders>
              <w:top w:val="nil"/>
              <w:left w:val="nil"/>
              <w:right w:val="nil"/>
            </w:tcBorders>
            <w:shd w:val="clear" w:color="auto" w:fill="auto"/>
          </w:tcPr>
          <w:p w:rsidR="00BB3126"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 xml:space="preserve">543.3 </w:t>
            </w:r>
          </w:p>
        </w:tc>
        <w:tc>
          <w:tcPr>
            <w:tcW w:w="142" w:type="dxa"/>
            <w:tcBorders>
              <w:top w:val="nil"/>
              <w:left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right w:val="nil"/>
            </w:tcBorders>
            <w:shd w:val="clear" w:color="auto" w:fill="auto"/>
          </w:tcPr>
          <w:p w:rsidR="00BB3126"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No impact</w:t>
            </w:r>
          </w:p>
        </w:tc>
        <w:tc>
          <w:tcPr>
            <w:tcW w:w="2683" w:type="dxa"/>
            <w:tcBorders>
              <w:top w:val="nil"/>
              <w:left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sidRPr="00F04641">
              <w:rPr>
                <w:rFonts w:ascii="Calibri" w:hAnsi="Calibri"/>
                <w:color w:val="000000"/>
                <w:sz w:val="20"/>
                <w:szCs w:val="20"/>
              </w:rPr>
              <w:t>201</w:t>
            </w:r>
            <w:r>
              <w:rPr>
                <w:rFonts w:ascii="Calibri" w:hAnsi="Calibri"/>
                <w:color w:val="000000"/>
                <w:sz w:val="20"/>
                <w:szCs w:val="20"/>
              </w:rPr>
              <w:t>8</w:t>
            </w:r>
            <w:r w:rsidRPr="00F04641">
              <w:rPr>
                <w:rFonts w:ascii="Calibri" w:hAnsi="Calibri"/>
                <w:color w:val="000000"/>
                <w:sz w:val="20"/>
                <w:szCs w:val="20"/>
              </w:rPr>
              <w:t xml:space="preserve"> Update </w:t>
            </w:r>
            <w:r>
              <w:rPr>
                <w:rFonts w:ascii="Calibri" w:hAnsi="Calibri"/>
                <w:color w:val="000000"/>
                <w:sz w:val="20"/>
                <w:szCs w:val="20"/>
              </w:rPr>
              <w:t>ToR</w:t>
            </w:r>
            <w:r w:rsidRPr="00F04641">
              <w:rPr>
                <w:rFonts w:ascii="Calibri" w:hAnsi="Calibri"/>
                <w:color w:val="000000"/>
                <w:sz w:val="20"/>
                <w:szCs w:val="20"/>
              </w:rPr>
              <w:t xml:space="preserve"> requirement</w:t>
            </w:r>
          </w:p>
        </w:tc>
      </w:tr>
      <w:tr w:rsidR="00BB3126" w:rsidRPr="002A48E0" w:rsidTr="00C7618F">
        <w:trPr>
          <w:trHeight w:val="315"/>
        </w:trPr>
        <w:tc>
          <w:tcPr>
            <w:tcW w:w="4536" w:type="dxa"/>
            <w:tcBorders>
              <w:top w:val="nil"/>
              <w:left w:val="nil"/>
              <w:right w:val="nil"/>
            </w:tcBorders>
            <w:shd w:val="clear" w:color="auto" w:fill="auto"/>
          </w:tcPr>
          <w:p w:rsidR="00BB3126" w:rsidRDefault="00BB3126" w:rsidP="00C7618F">
            <w:pPr>
              <w:keepNext/>
              <w:keepLines/>
              <w:tabs>
                <w:tab w:val="clear" w:pos="567"/>
              </w:tabs>
              <w:spacing w:before="20" w:after="20" w:line="240" w:lineRule="auto"/>
              <w:ind w:left="193" w:hanging="142"/>
              <w:rPr>
                <w:rFonts w:ascii="Calibri" w:hAnsi="Calibri"/>
                <w:color w:val="000000"/>
                <w:sz w:val="20"/>
                <w:szCs w:val="20"/>
              </w:rPr>
            </w:pPr>
            <w:r>
              <w:rPr>
                <w:rFonts w:ascii="Calibri" w:hAnsi="Calibri"/>
                <w:color w:val="000000"/>
                <w:sz w:val="20"/>
                <w:szCs w:val="20"/>
              </w:rPr>
              <w:t>WiFi and mobile coverage on trains</w:t>
            </w:r>
          </w:p>
        </w:tc>
        <w:tc>
          <w:tcPr>
            <w:tcW w:w="567" w:type="dxa"/>
            <w:tcBorders>
              <w:top w:val="nil"/>
              <w:left w:val="nil"/>
              <w:right w:val="nil"/>
            </w:tcBorders>
            <w:shd w:val="clear" w:color="auto" w:fill="auto"/>
          </w:tcPr>
          <w:p w:rsidR="00BB3126"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2.0</w:t>
            </w:r>
          </w:p>
        </w:tc>
        <w:tc>
          <w:tcPr>
            <w:tcW w:w="142" w:type="dxa"/>
            <w:tcBorders>
              <w:top w:val="nil"/>
              <w:left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right w:val="nil"/>
            </w:tcBorders>
            <w:shd w:val="clear" w:color="auto" w:fill="auto"/>
          </w:tcPr>
          <w:p w:rsidR="00BB3126"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Impact</w:t>
            </w:r>
          </w:p>
        </w:tc>
        <w:tc>
          <w:tcPr>
            <w:tcW w:w="2683" w:type="dxa"/>
            <w:tcBorders>
              <w:top w:val="nil"/>
              <w:left w:val="nil"/>
              <w:right w:val="nil"/>
            </w:tcBorders>
            <w:shd w:val="clear" w:color="auto" w:fill="auto"/>
          </w:tcPr>
          <w:p w:rsidR="00BB3126" w:rsidRPr="00F04641" w:rsidRDefault="00BB3126" w:rsidP="00C7618F">
            <w:pPr>
              <w:keepNext/>
              <w:keepLines/>
              <w:tabs>
                <w:tab w:val="clear" w:pos="567"/>
              </w:tabs>
              <w:spacing w:before="20" w:after="20" w:line="240" w:lineRule="auto"/>
              <w:rPr>
                <w:rFonts w:ascii="Calibri" w:hAnsi="Calibri"/>
                <w:color w:val="000000"/>
                <w:sz w:val="20"/>
                <w:szCs w:val="20"/>
              </w:rPr>
            </w:pPr>
          </w:p>
        </w:tc>
      </w:tr>
      <w:tr w:rsidR="00BB3126" w:rsidRPr="002A48E0" w:rsidTr="00C7618F">
        <w:trPr>
          <w:trHeight w:val="315"/>
        </w:trPr>
        <w:tc>
          <w:tcPr>
            <w:tcW w:w="4536"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ind w:left="193" w:hanging="142"/>
              <w:rPr>
                <w:rFonts w:ascii="Calibri" w:eastAsia="Times New Roman" w:hAnsi="Calibri" w:cs="Arial"/>
                <w:b/>
                <w:bCs/>
                <w:sz w:val="20"/>
                <w:szCs w:val="20"/>
                <w:lang w:eastAsia="en-AU"/>
              </w:rPr>
            </w:pPr>
            <w:r w:rsidRPr="002A48E0">
              <w:rPr>
                <w:rFonts w:ascii="Calibri" w:eastAsia="Times New Roman" w:hAnsi="Calibri" w:cs="Arial"/>
                <w:b/>
                <w:bCs/>
                <w:sz w:val="20"/>
                <w:szCs w:val="20"/>
                <w:lang w:eastAsia="en-AU"/>
              </w:rPr>
              <w:t>ENVIRONMENT</w:t>
            </w:r>
          </w:p>
        </w:tc>
        <w:tc>
          <w:tcPr>
            <w:tcW w:w="567"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jc w:val="right"/>
              <w:rPr>
                <w:rFonts w:ascii="Calibri" w:eastAsia="Times New Roman" w:hAnsi="Calibri" w:cs="Arial"/>
                <w:b/>
                <w:bCs/>
                <w:sz w:val="20"/>
                <w:szCs w:val="20"/>
                <w:lang w:eastAsia="en-AU"/>
              </w:rPr>
            </w:pPr>
          </w:p>
        </w:tc>
        <w:tc>
          <w:tcPr>
            <w:tcW w:w="142"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b/>
                <w:bCs/>
                <w:sz w:val="20"/>
                <w:szCs w:val="20"/>
                <w:lang w:eastAsia="en-AU"/>
              </w:rPr>
            </w:pPr>
          </w:p>
        </w:tc>
        <w:tc>
          <w:tcPr>
            <w:tcW w:w="992"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b/>
                <w:bCs/>
                <w:sz w:val="20"/>
                <w:szCs w:val="20"/>
                <w:lang w:eastAsia="en-AU"/>
              </w:rPr>
            </w:pPr>
          </w:p>
        </w:tc>
        <w:tc>
          <w:tcPr>
            <w:tcW w:w="2683" w:type="dxa"/>
            <w:tcBorders>
              <w:top w:val="nil"/>
              <w:left w:val="nil"/>
              <w:bottom w:val="nil"/>
              <w:right w:val="nil"/>
            </w:tcBorders>
            <w:shd w:val="clear" w:color="auto" w:fill="auto"/>
          </w:tcPr>
          <w:p w:rsidR="00BB3126" w:rsidRPr="002A48E0" w:rsidRDefault="00BB3126" w:rsidP="00C7618F">
            <w:pPr>
              <w:keepNext/>
              <w:spacing w:before="20" w:after="20" w:line="240" w:lineRule="auto"/>
              <w:rPr>
                <w:rFonts w:ascii="Calibri" w:eastAsia="Times New Roman" w:hAnsi="Calibri" w:cs="Arial"/>
                <w:b/>
                <w:bCs/>
                <w:sz w:val="20"/>
                <w:szCs w:val="20"/>
                <w:lang w:eastAsia="en-AU"/>
              </w:rPr>
            </w:pPr>
          </w:p>
        </w:tc>
      </w:tr>
      <w:tr w:rsidR="00BB3126" w:rsidRPr="002A48E0" w:rsidTr="00C7618F">
        <w:trPr>
          <w:trHeight w:val="315"/>
        </w:trPr>
        <w:tc>
          <w:tcPr>
            <w:tcW w:w="4536"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ind w:left="193" w:hanging="142"/>
              <w:rPr>
                <w:rFonts w:ascii="Calibri" w:eastAsia="Times New Roman" w:hAnsi="Calibri" w:cs="Arial"/>
                <w:sz w:val="20"/>
                <w:szCs w:val="20"/>
                <w:lang w:eastAsia="en-AU"/>
              </w:rPr>
            </w:pPr>
            <w:r>
              <w:rPr>
                <w:rFonts w:ascii="Calibri" w:hAnsi="Calibri"/>
                <w:color w:val="000000"/>
                <w:sz w:val="20"/>
                <w:szCs w:val="20"/>
              </w:rPr>
              <w:t>Hydrogen energy supply chain pilot project</w:t>
            </w:r>
          </w:p>
        </w:tc>
        <w:tc>
          <w:tcPr>
            <w:tcW w:w="567"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10.0</w:t>
            </w:r>
          </w:p>
        </w:tc>
        <w:tc>
          <w:tcPr>
            <w:tcW w:w="142"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No impact</w:t>
            </w:r>
          </w:p>
        </w:tc>
        <w:tc>
          <w:tcPr>
            <w:tcW w:w="2683"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Calibri" w:hAnsi="Calibri" w:cs="Times New Roman"/>
                <w:sz w:val="20"/>
                <w:szCs w:val="20"/>
              </w:rPr>
            </w:pPr>
            <w:r>
              <w:rPr>
                <w:rFonts w:ascii="Calibri" w:eastAsia="Calibri" w:hAnsi="Calibri" w:cs="Times New Roman"/>
                <w:sz w:val="20"/>
                <w:szCs w:val="20"/>
              </w:rPr>
              <w:t>For a Commonwealth priority (Commonwealth will receive a share of any IP rights arising from the project)</w:t>
            </w:r>
          </w:p>
        </w:tc>
      </w:tr>
      <w:tr w:rsidR="00BB3126" w:rsidRPr="002A48E0" w:rsidTr="00C7618F">
        <w:trPr>
          <w:trHeight w:val="315"/>
        </w:trPr>
        <w:tc>
          <w:tcPr>
            <w:tcW w:w="4536"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ind w:left="193" w:hanging="142"/>
              <w:rPr>
                <w:rFonts w:ascii="Calibri" w:hAnsi="Calibri"/>
                <w:color w:val="000000"/>
                <w:sz w:val="20"/>
                <w:szCs w:val="20"/>
              </w:rPr>
            </w:pPr>
            <w:r>
              <w:rPr>
                <w:rFonts w:ascii="Calibri" w:hAnsi="Calibri"/>
                <w:color w:val="000000"/>
                <w:sz w:val="20"/>
                <w:szCs w:val="20"/>
              </w:rPr>
              <w:t>Kamay 250</w:t>
            </w:r>
            <w:r w:rsidRPr="000F0E12">
              <w:rPr>
                <w:rFonts w:ascii="Calibri" w:hAnsi="Calibri"/>
                <w:color w:val="000000"/>
                <w:sz w:val="20"/>
                <w:szCs w:val="20"/>
                <w:vertAlign w:val="superscript"/>
              </w:rPr>
              <w:t>th</w:t>
            </w:r>
            <w:r>
              <w:rPr>
                <w:rFonts w:ascii="Calibri" w:hAnsi="Calibri"/>
                <w:color w:val="000000"/>
                <w:sz w:val="20"/>
                <w:szCs w:val="20"/>
              </w:rPr>
              <w:t xml:space="preserve"> anniversary project</w:t>
            </w:r>
          </w:p>
        </w:tc>
        <w:tc>
          <w:tcPr>
            <w:tcW w:w="567"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25.0</w:t>
            </w:r>
          </w:p>
        </w:tc>
        <w:tc>
          <w:tcPr>
            <w:tcW w:w="142"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Impact</w:t>
            </w:r>
          </w:p>
        </w:tc>
        <w:tc>
          <w:tcPr>
            <w:tcW w:w="2683"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Calibri" w:hAnsi="Calibri" w:cs="Times New Roman"/>
                <w:sz w:val="20"/>
                <w:szCs w:val="20"/>
              </w:rPr>
            </w:pPr>
          </w:p>
        </w:tc>
      </w:tr>
      <w:tr w:rsidR="00BB3126" w:rsidRPr="002A48E0" w:rsidTr="00C7618F">
        <w:trPr>
          <w:trHeight w:val="315"/>
        </w:trPr>
        <w:tc>
          <w:tcPr>
            <w:tcW w:w="4536"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ind w:left="193" w:hanging="142"/>
              <w:rPr>
                <w:rFonts w:ascii="Calibri" w:hAnsi="Calibri"/>
                <w:color w:val="000000"/>
                <w:sz w:val="20"/>
                <w:szCs w:val="20"/>
              </w:rPr>
            </w:pPr>
            <w:r>
              <w:rPr>
                <w:rFonts w:ascii="Calibri" w:hAnsi="Calibri"/>
                <w:color w:val="000000"/>
                <w:sz w:val="20"/>
                <w:szCs w:val="20"/>
              </w:rPr>
              <w:t>National fire danger rating system</w:t>
            </w:r>
          </w:p>
        </w:tc>
        <w:tc>
          <w:tcPr>
            <w:tcW w:w="567"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0.5</w:t>
            </w:r>
          </w:p>
        </w:tc>
        <w:tc>
          <w:tcPr>
            <w:tcW w:w="142"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No impact</w:t>
            </w:r>
          </w:p>
        </w:tc>
        <w:tc>
          <w:tcPr>
            <w:tcW w:w="2683"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Calibri" w:hAnsi="Calibri" w:cs="Times New Roman"/>
                <w:sz w:val="20"/>
                <w:szCs w:val="20"/>
              </w:rPr>
            </w:pPr>
            <w:r w:rsidRPr="00962882">
              <w:rPr>
                <w:rFonts w:ascii="Calibri" w:eastAsia="Calibri" w:hAnsi="Calibri" w:cs="Times New Roman"/>
                <w:sz w:val="20"/>
                <w:szCs w:val="20"/>
              </w:rPr>
              <w:t>For a trial program and needs are not assessed</w:t>
            </w:r>
          </w:p>
        </w:tc>
      </w:tr>
      <w:tr w:rsidR="00BB3126" w:rsidRPr="002A48E0" w:rsidTr="00C7618F">
        <w:trPr>
          <w:trHeight w:val="315"/>
        </w:trPr>
        <w:tc>
          <w:tcPr>
            <w:tcW w:w="4536"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ind w:left="193" w:hanging="142"/>
              <w:rPr>
                <w:rFonts w:ascii="Calibri" w:hAnsi="Calibri"/>
                <w:color w:val="000000"/>
                <w:sz w:val="20"/>
                <w:szCs w:val="20"/>
              </w:rPr>
            </w:pPr>
            <w:r>
              <w:rPr>
                <w:rFonts w:ascii="Calibri" w:hAnsi="Calibri"/>
                <w:color w:val="000000"/>
                <w:sz w:val="20"/>
                <w:szCs w:val="20"/>
              </w:rPr>
              <w:t>Queensland Fruit Fly Response in Tasmania (a)</w:t>
            </w:r>
          </w:p>
        </w:tc>
        <w:tc>
          <w:tcPr>
            <w:tcW w:w="567"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20.0</w:t>
            </w:r>
          </w:p>
        </w:tc>
        <w:tc>
          <w:tcPr>
            <w:tcW w:w="142"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No impact</w:t>
            </w:r>
          </w:p>
        </w:tc>
        <w:tc>
          <w:tcPr>
            <w:tcW w:w="2683"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rPr>
                <w:rFonts w:ascii="Calibri" w:eastAsia="Calibri" w:hAnsi="Calibri" w:cs="Times New Roman"/>
                <w:sz w:val="20"/>
                <w:szCs w:val="20"/>
                <w:highlight w:val="yellow"/>
              </w:rPr>
            </w:pPr>
            <w:r w:rsidRPr="00A7278E">
              <w:rPr>
                <w:rFonts w:ascii="Calibri" w:eastAsia="Calibri" w:hAnsi="Calibri" w:cs="Times New Roman"/>
                <w:sz w:val="20"/>
                <w:szCs w:val="20"/>
              </w:rPr>
              <w:t>2019 Update ToR requirement</w:t>
            </w:r>
          </w:p>
        </w:tc>
      </w:tr>
      <w:tr w:rsidR="00BB3126" w:rsidRPr="002A48E0" w:rsidTr="00C7618F">
        <w:trPr>
          <w:trHeight w:val="315"/>
        </w:trPr>
        <w:tc>
          <w:tcPr>
            <w:tcW w:w="4536"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ind w:left="193" w:hanging="142"/>
              <w:rPr>
                <w:rFonts w:ascii="Calibri" w:hAnsi="Calibri"/>
                <w:color w:val="000000"/>
                <w:sz w:val="20"/>
                <w:szCs w:val="20"/>
              </w:rPr>
            </w:pPr>
            <w:r>
              <w:rPr>
                <w:rFonts w:ascii="Calibri" w:hAnsi="Calibri"/>
                <w:color w:val="000000"/>
                <w:sz w:val="20"/>
                <w:szCs w:val="20"/>
              </w:rPr>
              <w:t xml:space="preserve">Water Infrastructure Development Fund — capital component </w:t>
            </w:r>
          </w:p>
        </w:tc>
        <w:tc>
          <w:tcPr>
            <w:tcW w:w="567"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26.5</w:t>
            </w:r>
          </w:p>
        </w:tc>
        <w:tc>
          <w:tcPr>
            <w:tcW w:w="142"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Impact</w:t>
            </w:r>
          </w:p>
        </w:tc>
        <w:tc>
          <w:tcPr>
            <w:tcW w:w="2683"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rPr>
                <w:rFonts w:ascii="Calibri" w:eastAsia="Calibri" w:hAnsi="Calibri" w:cs="Times New Roman"/>
                <w:sz w:val="20"/>
                <w:szCs w:val="20"/>
                <w:highlight w:val="yellow"/>
              </w:rPr>
            </w:pPr>
          </w:p>
        </w:tc>
      </w:tr>
      <w:tr w:rsidR="00BB3126" w:rsidRPr="002A48E0" w:rsidTr="00C7618F">
        <w:trPr>
          <w:trHeight w:val="315"/>
        </w:trPr>
        <w:tc>
          <w:tcPr>
            <w:tcW w:w="4536"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ind w:left="193" w:hanging="142"/>
              <w:rPr>
                <w:rFonts w:ascii="Calibri" w:eastAsia="Calibri" w:hAnsi="Calibri" w:cs="Times New Roman"/>
                <w:b/>
                <w:sz w:val="20"/>
                <w:szCs w:val="20"/>
              </w:rPr>
            </w:pPr>
            <w:r w:rsidRPr="002A48E0">
              <w:rPr>
                <w:rFonts w:ascii="Calibri" w:eastAsia="Calibri" w:hAnsi="Calibri" w:cs="Times New Roman"/>
                <w:b/>
                <w:sz w:val="20"/>
                <w:szCs w:val="20"/>
              </w:rPr>
              <w:t>OTHER</w:t>
            </w:r>
            <w:r>
              <w:rPr>
                <w:rFonts w:ascii="Calibri" w:eastAsia="Calibri" w:hAnsi="Calibri" w:cs="Times New Roman"/>
                <w:b/>
                <w:sz w:val="20"/>
                <w:szCs w:val="20"/>
              </w:rPr>
              <w:t xml:space="preserve"> PURPOSES</w:t>
            </w:r>
          </w:p>
        </w:tc>
        <w:tc>
          <w:tcPr>
            <w:tcW w:w="567"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2683"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Calibri" w:hAnsi="Calibri" w:cs="Times New Roman"/>
                <w:sz w:val="20"/>
                <w:szCs w:val="20"/>
              </w:rPr>
            </w:pPr>
          </w:p>
        </w:tc>
      </w:tr>
      <w:tr w:rsidR="00BB3126" w:rsidRPr="002A48E0" w:rsidTr="00C7618F">
        <w:trPr>
          <w:trHeight w:val="315"/>
        </w:trPr>
        <w:tc>
          <w:tcPr>
            <w:tcW w:w="4536"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ind w:left="193" w:hanging="142"/>
              <w:rPr>
                <w:rFonts w:ascii="Calibri" w:hAnsi="Calibri"/>
                <w:color w:val="000000"/>
                <w:sz w:val="20"/>
                <w:szCs w:val="20"/>
              </w:rPr>
            </w:pPr>
            <w:r>
              <w:rPr>
                <w:rFonts w:ascii="Calibri" w:hAnsi="Calibri"/>
                <w:color w:val="000000"/>
                <w:sz w:val="20"/>
                <w:szCs w:val="20"/>
              </w:rPr>
              <w:t>North Queensland Strata Title Inspection Scheme</w:t>
            </w:r>
          </w:p>
        </w:tc>
        <w:tc>
          <w:tcPr>
            <w:tcW w:w="567"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0.8</w:t>
            </w:r>
          </w:p>
        </w:tc>
        <w:tc>
          <w:tcPr>
            <w:tcW w:w="142"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bottom w:val="nil"/>
              <w:right w:val="nil"/>
            </w:tcBorders>
            <w:shd w:val="clear" w:color="auto" w:fill="auto"/>
          </w:tcPr>
          <w:p w:rsidR="00BB3126"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Impact</w:t>
            </w:r>
          </w:p>
        </w:tc>
        <w:tc>
          <w:tcPr>
            <w:tcW w:w="2683" w:type="dxa"/>
            <w:tcBorders>
              <w:top w:val="nil"/>
              <w:left w:val="nil"/>
              <w:bottom w:val="nil"/>
              <w:right w:val="nil"/>
            </w:tcBorders>
            <w:shd w:val="clear" w:color="auto" w:fill="auto"/>
          </w:tcPr>
          <w:p w:rsidR="00BB3126" w:rsidRDefault="00BB3126" w:rsidP="00C7618F">
            <w:pPr>
              <w:keepNext/>
              <w:spacing w:before="20" w:after="20" w:line="240" w:lineRule="auto"/>
              <w:rPr>
                <w:rFonts w:ascii="Calibri" w:eastAsia="Calibri" w:hAnsi="Calibri" w:cs="Times New Roman"/>
                <w:sz w:val="20"/>
                <w:szCs w:val="20"/>
              </w:rPr>
            </w:pPr>
          </w:p>
        </w:tc>
      </w:tr>
      <w:tr w:rsidR="00BB3126" w:rsidRPr="002A48E0" w:rsidTr="00C7618F">
        <w:trPr>
          <w:trHeight w:val="315"/>
        </w:trPr>
        <w:tc>
          <w:tcPr>
            <w:tcW w:w="4536"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ind w:left="193" w:hanging="142"/>
              <w:rPr>
                <w:rFonts w:ascii="Calibri" w:eastAsia="Calibri" w:hAnsi="Calibri" w:cs="Times New Roman"/>
                <w:sz w:val="20"/>
                <w:szCs w:val="20"/>
              </w:rPr>
            </w:pPr>
            <w:r>
              <w:rPr>
                <w:rFonts w:ascii="Calibri" w:hAnsi="Calibri"/>
                <w:color w:val="000000"/>
                <w:sz w:val="20"/>
                <w:szCs w:val="20"/>
              </w:rPr>
              <w:t>South Sydney Rabbitohs’ Centre of Excellence</w:t>
            </w:r>
          </w:p>
        </w:tc>
        <w:tc>
          <w:tcPr>
            <w:tcW w:w="567"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4.0</w:t>
            </w:r>
          </w:p>
        </w:tc>
        <w:tc>
          <w:tcPr>
            <w:tcW w:w="142"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No impact</w:t>
            </w:r>
          </w:p>
        </w:tc>
        <w:tc>
          <w:tcPr>
            <w:tcW w:w="2683" w:type="dxa"/>
            <w:tcBorders>
              <w:top w:val="nil"/>
              <w:left w:val="nil"/>
              <w:bottom w:val="nil"/>
              <w:right w:val="nil"/>
            </w:tcBorders>
            <w:shd w:val="clear" w:color="auto" w:fill="auto"/>
          </w:tcPr>
          <w:p w:rsidR="00BB3126" w:rsidRPr="002A48E0" w:rsidRDefault="00BB3126" w:rsidP="00C7618F">
            <w:pPr>
              <w:keepNext/>
              <w:spacing w:before="20" w:after="20" w:line="240" w:lineRule="auto"/>
              <w:rPr>
                <w:rFonts w:ascii="Calibri" w:eastAsia="Calibri" w:hAnsi="Calibri" w:cs="Times New Roman"/>
                <w:sz w:val="20"/>
                <w:szCs w:val="20"/>
              </w:rPr>
            </w:pPr>
            <w:r>
              <w:rPr>
                <w:rFonts w:ascii="Calibri" w:eastAsia="Calibri" w:hAnsi="Calibri" w:cs="Times New Roman"/>
                <w:sz w:val="20"/>
                <w:szCs w:val="20"/>
              </w:rPr>
              <w:t>New South Wales acts as an intermediary and the payment does not affect its fiscal capacity</w:t>
            </w:r>
          </w:p>
        </w:tc>
      </w:tr>
      <w:tr w:rsidR="00BB3126" w:rsidRPr="002A48E0" w:rsidTr="00C7618F">
        <w:trPr>
          <w:trHeight w:val="315"/>
        </w:trPr>
        <w:tc>
          <w:tcPr>
            <w:tcW w:w="4536"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ind w:left="193" w:hanging="142"/>
              <w:rPr>
                <w:rFonts w:ascii="Calibri" w:eastAsia="Calibri" w:hAnsi="Calibri" w:cs="Times New Roman"/>
                <w:b/>
                <w:sz w:val="20"/>
                <w:szCs w:val="20"/>
              </w:rPr>
            </w:pPr>
            <w:r>
              <w:rPr>
                <w:rFonts w:ascii="Calibri" w:eastAsia="Calibri" w:hAnsi="Calibri" w:cs="Times New Roman"/>
                <w:b/>
                <w:sz w:val="20"/>
                <w:szCs w:val="20"/>
              </w:rPr>
              <w:t>GENERAL REVENUE ASSISTANCE</w:t>
            </w:r>
          </w:p>
        </w:tc>
        <w:tc>
          <w:tcPr>
            <w:tcW w:w="567"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p>
        </w:tc>
        <w:tc>
          <w:tcPr>
            <w:tcW w:w="142"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2683" w:type="dxa"/>
            <w:tcBorders>
              <w:top w:val="nil"/>
              <w:left w:val="nil"/>
              <w:bottom w:val="nil"/>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Calibri" w:hAnsi="Calibri" w:cs="Times New Roman"/>
                <w:sz w:val="20"/>
                <w:szCs w:val="20"/>
              </w:rPr>
            </w:pPr>
          </w:p>
        </w:tc>
      </w:tr>
      <w:tr w:rsidR="00BB3126" w:rsidRPr="002A48E0" w:rsidTr="00C7618F">
        <w:trPr>
          <w:trHeight w:val="315"/>
        </w:trPr>
        <w:tc>
          <w:tcPr>
            <w:tcW w:w="4536" w:type="dxa"/>
            <w:tcBorders>
              <w:top w:val="nil"/>
              <w:left w:val="nil"/>
              <w:bottom w:val="single" w:sz="4" w:space="0" w:color="auto"/>
              <w:right w:val="nil"/>
            </w:tcBorders>
            <w:shd w:val="clear" w:color="auto" w:fill="auto"/>
          </w:tcPr>
          <w:p w:rsidR="00BB3126" w:rsidRPr="002A48E0" w:rsidRDefault="00BB3126" w:rsidP="00C7618F">
            <w:pPr>
              <w:keepNext/>
              <w:keepLines/>
              <w:tabs>
                <w:tab w:val="clear" w:pos="567"/>
              </w:tabs>
              <w:spacing w:before="20" w:after="20" w:line="240" w:lineRule="auto"/>
              <w:ind w:left="193" w:hanging="142"/>
              <w:rPr>
                <w:rFonts w:ascii="Calibri" w:eastAsia="Calibri" w:hAnsi="Calibri" w:cs="Times New Roman"/>
                <w:sz w:val="20"/>
                <w:szCs w:val="20"/>
              </w:rPr>
            </w:pPr>
            <w:r>
              <w:rPr>
                <w:rFonts w:ascii="Calibri" w:eastAsia="Calibri" w:hAnsi="Calibri" w:cs="Times New Roman"/>
                <w:sz w:val="20"/>
                <w:szCs w:val="20"/>
              </w:rPr>
              <w:t>Commonwealth assistance to the Northern Territory</w:t>
            </w:r>
          </w:p>
        </w:tc>
        <w:tc>
          <w:tcPr>
            <w:tcW w:w="567" w:type="dxa"/>
            <w:tcBorders>
              <w:top w:val="nil"/>
              <w:left w:val="nil"/>
              <w:bottom w:val="single" w:sz="4" w:space="0" w:color="auto"/>
              <w:right w:val="nil"/>
            </w:tcBorders>
            <w:shd w:val="clear" w:color="auto" w:fill="auto"/>
          </w:tcPr>
          <w:p w:rsidR="00BB3126" w:rsidRPr="002A48E0" w:rsidRDefault="00BB3126" w:rsidP="00C7618F">
            <w:pPr>
              <w:keepNext/>
              <w:keepLines/>
              <w:tabs>
                <w:tab w:val="clear" w:pos="567"/>
              </w:tabs>
              <w:spacing w:before="20" w:after="20" w:line="240" w:lineRule="auto"/>
              <w:jc w:val="right"/>
              <w:rPr>
                <w:rFonts w:ascii="Calibri" w:eastAsia="Times New Roman" w:hAnsi="Calibri" w:cs="Arial"/>
                <w:sz w:val="20"/>
                <w:szCs w:val="20"/>
                <w:lang w:eastAsia="en-AU"/>
              </w:rPr>
            </w:pPr>
            <w:r>
              <w:rPr>
                <w:rFonts w:ascii="Calibri" w:eastAsia="Times New Roman" w:hAnsi="Calibri" w:cs="Arial"/>
                <w:sz w:val="20"/>
                <w:szCs w:val="20"/>
                <w:lang w:eastAsia="en-AU"/>
              </w:rPr>
              <w:t>259.6</w:t>
            </w:r>
          </w:p>
        </w:tc>
        <w:tc>
          <w:tcPr>
            <w:tcW w:w="142" w:type="dxa"/>
            <w:tcBorders>
              <w:top w:val="nil"/>
              <w:left w:val="nil"/>
              <w:bottom w:val="single" w:sz="4" w:space="0" w:color="auto"/>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p>
        </w:tc>
        <w:tc>
          <w:tcPr>
            <w:tcW w:w="992" w:type="dxa"/>
            <w:tcBorders>
              <w:top w:val="nil"/>
              <w:left w:val="nil"/>
              <w:bottom w:val="single" w:sz="4" w:space="0" w:color="auto"/>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Times New Roman" w:hAnsi="Calibri" w:cs="Arial"/>
                <w:sz w:val="20"/>
                <w:szCs w:val="20"/>
                <w:lang w:eastAsia="en-AU"/>
              </w:rPr>
            </w:pPr>
            <w:r>
              <w:rPr>
                <w:rFonts w:ascii="Calibri" w:eastAsia="Times New Roman" w:hAnsi="Calibri" w:cs="Arial"/>
                <w:sz w:val="20"/>
                <w:szCs w:val="20"/>
                <w:lang w:eastAsia="en-AU"/>
              </w:rPr>
              <w:t>No impact</w:t>
            </w:r>
          </w:p>
        </w:tc>
        <w:tc>
          <w:tcPr>
            <w:tcW w:w="2683" w:type="dxa"/>
            <w:tcBorders>
              <w:top w:val="nil"/>
              <w:left w:val="nil"/>
              <w:bottom w:val="single" w:sz="4" w:space="0" w:color="auto"/>
              <w:right w:val="nil"/>
            </w:tcBorders>
            <w:shd w:val="clear" w:color="auto" w:fill="auto"/>
          </w:tcPr>
          <w:p w:rsidR="00BB3126" w:rsidRPr="002A48E0" w:rsidRDefault="00BB3126" w:rsidP="00C7618F">
            <w:pPr>
              <w:keepNext/>
              <w:keepLines/>
              <w:tabs>
                <w:tab w:val="clear" w:pos="567"/>
              </w:tabs>
              <w:spacing w:before="20" w:after="20" w:line="240" w:lineRule="auto"/>
              <w:rPr>
                <w:rFonts w:ascii="Calibri" w:eastAsia="Calibri" w:hAnsi="Calibri" w:cs="Times New Roman"/>
                <w:sz w:val="20"/>
                <w:szCs w:val="20"/>
              </w:rPr>
            </w:pPr>
            <w:r w:rsidRPr="00F04641">
              <w:rPr>
                <w:rFonts w:ascii="Calibri" w:hAnsi="Calibri"/>
                <w:color w:val="000000"/>
                <w:sz w:val="20"/>
                <w:szCs w:val="20"/>
              </w:rPr>
              <w:t>201</w:t>
            </w:r>
            <w:r>
              <w:rPr>
                <w:rFonts w:ascii="Calibri" w:hAnsi="Calibri"/>
                <w:color w:val="000000"/>
                <w:sz w:val="20"/>
                <w:szCs w:val="20"/>
              </w:rPr>
              <w:t>9</w:t>
            </w:r>
            <w:r w:rsidRPr="00F04641">
              <w:rPr>
                <w:rFonts w:ascii="Calibri" w:hAnsi="Calibri"/>
                <w:color w:val="000000"/>
                <w:sz w:val="20"/>
                <w:szCs w:val="20"/>
              </w:rPr>
              <w:t xml:space="preserve"> Update </w:t>
            </w:r>
            <w:r>
              <w:rPr>
                <w:rFonts w:ascii="Calibri" w:hAnsi="Calibri"/>
                <w:color w:val="000000"/>
                <w:sz w:val="20"/>
                <w:szCs w:val="20"/>
              </w:rPr>
              <w:t>ToR</w:t>
            </w:r>
            <w:r w:rsidRPr="00F04641">
              <w:rPr>
                <w:rFonts w:ascii="Calibri" w:hAnsi="Calibri"/>
                <w:color w:val="000000"/>
                <w:sz w:val="20"/>
                <w:szCs w:val="20"/>
              </w:rPr>
              <w:t xml:space="preserve"> requirement</w:t>
            </w:r>
          </w:p>
        </w:tc>
      </w:tr>
    </w:tbl>
    <w:p w:rsidR="00BB3126" w:rsidRDefault="00BB3126" w:rsidP="00BB3126">
      <w:pPr>
        <w:pStyle w:val="CGCTableFootnote"/>
      </w:pPr>
      <w:r>
        <w:t>(a)</w:t>
      </w:r>
      <w:r>
        <w:tab/>
        <w:t>Project agreement paid under Pest and disease preparedness and response programs.</w:t>
      </w:r>
    </w:p>
    <w:p w:rsidR="00BB3126" w:rsidRDefault="00BB3126" w:rsidP="00BB3126">
      <w:pPr>
        <w:pStyle w:val="CGCTableFootnote"/>
      </w:pPr>
      <w:r w:rsidRPr="002A48E0">
        <w:t>Source:</w:t>
      </w:r>
      <w:r w:rsidRPr="002A48E0">
        <w:tab/>
        <w:t xml:space="preserve">Commonwealth of Australia’s </w:t>
      </w:r>
      <w:r w:rsidRPr="002A48E0">
        <w:rPr>
          <w:i/>
        </w:rPr>
        <w:t xml:space="preserve">Final Budget Outcome </w:t>
      </w:r>
      <w:r>
        <w:rPr>
          <w:i/>
        </w:rPr>
        <w:t>2017</w:t>
      </w:r>
      <w:r>
        <w:rPr>
          <w:i/>
        </w:rPr>
        <w:noBreakHyphen/>
        <w:t xml:space="preserve">18 </w:t>
      </w:r>
      <w:r w:rsidRPr="002A48E0">
        <w:t>and Commission decisions.</w:t>
      </w:r>
      <w:r>
        <w:br w:type="page"/>
      </w:r>
    </w:p>
    <w:p w:rsidR="00BB3126" w:rsidRPr="002A48E0" w:rsidRDefault="00BB3126" w:rsidP="00BB3126">
      <w:pPr>
        <w:pStyle w:val="21para"/>
      </w:pPr>
      <w:r w:rsidRPr="002A48E0">
        <w:lastRenderedPageBreak/>
        <w:t xml:space="preserve">The following sections explain the treatment of payments </w:t>
      </w:r>
      <w:r>
        <w:t>where</w:t>
      </w:r>
      <w:r w:rsidRPr="002A48E0">
        <w:t xml:space="preserve"> States raised issues.</w:t>
      </w:r>
    </w:p>
    <w:p w:rsidR="00BB3126" w:rsidRDefault="00BB3126" w:rsidP="00BB3126">
      <w:pPr>
        <w:pStyle w:val="Heading4"/>
      </w:pPr>
      <w:bookmarkStart w:id="738" w:name="_Toc531948653"/>
      <w:bookmarkStart w:id="739" w:name="_Toc531949284"/>
      <w:bookmarkStart w:id="740" w:name="_Toc532227244"/>
      <w:bookmarkStart w:id="741" w:name="_Toc532388161"/>
      <w:bookmarkStart w:id="742" w:name="_Toc532469275"/>
      <w:bookmarkStart w:id="743" w:name="_Toc536519651"/>
      <w:bookmarkStart w:id="744" w:name="_Toc536631361"/>
      <w:bookmarkStart w:id="745" w:name="_Toc536803203"/>
      <w:bookmarkStart w:id="746" w:name="_Toc536803291"/>
      <w:bookmarkStart w:id="747" w:name="_Toc1115165"/>
      <w:r>
        <w:t>Skilling Australians Fund</w:t>
      </w:r>
      <w:bookmarkEnd w:id="738"/>
      <w:bookmarkEnd w:id="739"/>
      <w:bookmarkEnd w:id="740"/>
      <w:bookmarkEnd w:id="741"/>
      <w:bookmarkEnd w:id="742"/>
      <w:bookmarkEnd w:id="743"/>
      <w:bookmarkEnd w:id="744"/>
      <w:bookmarkEnd w:id="745"/>
      <w:bookmarkEnd w:id="746"/>
      <w:bookmarkEnd w:id="747"/>
      <w:r>
        <w:t xml:space="preserve"> </w:t>
      </w:r>
    </w:p>
    <w:p w:rsidR="00BB3126" w:rsidRDefault="00BB3126" w:rsidP="00BB3126">
      <w:pPr>
        <w:pStyle w:val="21para"/>
      </w:pPr>
      <w:r w:rsidRPr="003400DE">
        <w:rPr>
          <w:rStyle w:val="Heading6Char"/>
        </w:rPr>
        <w:t>Background.</w:t>
      </w:r>
      <w:r>
        <w:t xml:space="preserve"> In June 2018, the Australian Government provided $187.3 million from the Skilling Australians Fund (SAF) to support additional apprentices, trainees, pre-apprentices, pre-trainees and employment-related training, ahead of the commencement of the new National Partnership Agreement for the Skilling of Australians Fund (NPSAF) in 2018-19. </w:t>
      </w:r>
    </w:p>
    <w:p w:rsidR="00BB3126" w:rsidRPr="00581128" w:rsidRDefault="00BB3126" w:rsidP="00BB3126">
      <w:pPr>
        <w:pStyle w:val="21para"/>
        <w:rPr>
          <w:lang w:val="en" w:eastAsia="en-AU"/>
        </w:rPr>
      </w:pPr>
      <w:r w:rsidRPr="00AB2C22">
        <w:t xml:space="preserve">The </w:t>
      </w:r>
      <w:r>
        <w:t>NP</w:t>
      </w:r>
      <w:r w:rsidRPr="00AB2C22">
        <w:t xml:space="preserve">SAF is </w:t>
      </w:r>
      <w:r>
        <w:t xml:space="preserve">seeking to increase </w:t>
      </w:r>
      <w:r w:rsidRPr="00AB2C22">
        <w:t>the number of apprenticeships and traineeships</w:t>
      </w:r>
      <w:r>
        <w:t xml:space="preserve">. States that signed the agreement on or before 7 June 2018 received an EPC share of an additional $50 million in Commonwealth funding. </w:t>
      </w:r>
    </w:p>
    <w:p w:rsidR="00BB3126" w:rsidRPr="00921A44" w:rsidRDefault="00BB3126" w:rsidP="00BB3126">
      <w:pPr>
        <w:pStyle w:val="21para"/>
        <w:rPr>
          <w:lang w:val="en" w:eastAsia="en-AU"/>
        </w:rPr>
      </w:pPr>
      <w:r>
        <w:fldChar w:fldCharType="begin"/>
      </w:r>
      <w:r>
        <w:instrText xml:space="preserve"> REF _Ref532387144 \h </w:instrText>
      </w:r>
      <w:r>
        <w:fldChar w:fldCharType="separate"/>
      </w:r>
      <w:r w:rsidR="00E82224">
        <w:t>Table 2-</w:t>
      </w:r>
      <w:r w:rsidR="00E82224">
        <w:rPr>
          <w:noProof/>
        </w:rPr>
        <w:t>3</w:t>
      </w:r>
      <w:r>
        <w:fldChar w:fldCharType="end"/>
      </w:r>
      <w:r>
        <w:t xml:space="preserve"> shows the funding arrangement for the NPSAF in 2017-18.</w:t>
      </w:r>
    </w:p>
    <w:p w:rsidR="00BB3126" w:rsidRPr="00921A44" w:rsidRDefault="00BB3126" w:rsidP="00BB3126">
      <w:pPr>
        <w:pStyle w:val="Caption"/>
        <w:rPr>
          <w:lang w:val="en" w:eastAsia="en-AU"/>
        </w:rPr>
      </w:pPr>
      <w:bookmarkStart w:id="748" w:name="_Ref532387144"/>
      <w:r>
        <w:t>Table 2-</w:t>
      </w:r>
      <w:r>
        <w:rPr>
          <w:noProof/>
        </w:rPr>
        <w:fldChar w:fldCharType="begin"/>
      </w:r>
      <w:r>
        <w:rPr>
          <w:noProof/>
        </w:rPr>
        <w:instrText xml:space="preserve"> SEQ Table \* ARABIC </w:instrText>
      </w:r>
      <w:r>
        <w:rPr>
          <w:noProof/>
        </w:rPr>
        <w:fldChar w:fldCharType="separate"/>
      </w:r>
      <w:r w:rsidR="00E82224">
        <w:rPr>
          <w:noProof/>
        </w:rPr>
        <w:t>3</w:t>
      </w:r>
      <w:r>
        <w:rPr>
          <w:noProof/>
        </w:rPr>
        <w:fldChar w:fldCharType="end"/>
      </w:r>
      <w:bookmarkEnd w:id="748"/>
      <w:r>
        <w:tab/>
        <w:t>Skilling Australians Fund payments, 2017-18</w:t>
      </w:r>
    </w:p>
    <w:tbl>
      <w:tblPr>
        <w:tblW w:w="5000" w:type="pct"/>
        <w:tblCellMar>
          <w:left w:w="85" w:type="dxa"/>
          <w:right w:w="85" w:type="dxa"/>
        </w:tblCellMar>
        <w:tblLook w:val="0000" w:firstRow="0" w:lastRow="0" w:firstColumn="0" w:lastColumn="0" w:noHBand="0" w:noVBand="0"/>
      </w:tblPr>
      <w:tblGrid>
        <w:gridCol w:w="2425"/>
        <w:gridCol w:w="726"/>
        <w:gridCol w:w="725"/>
        <w:gridCol w:w="725"/>
        <w:gridCol w:w="725"/>
        <w:gridCol w:w="725"/>
        <w:gridCol w:w="725"/>
        <w:gridCol w:w="725"/>
        <w:gridCol w:w="725"/>
        <w:gridCol w:w="725"/>
      </w:tblGrid>
      <w:tr w:rsidR="00BB3126" w:rsidRPr="00FE3F73" w:rsidTr="00C7618F">
        <w:tc>
          <w:tcPr>
            <w:tcW w:w="1353" w:type="pct"/>
            <w:tcBorders>
              <w:top w:val="single" w:sz="6" w:space="0" w:color="auto"/>
              <w:bottom w:val="single" w:sz="6" w:space="0" w:color="auto"/>
            </w:tcBorders>
            <w:vAlign w:val="bottom"/>
          </w:tcPr>
          <w:p w:rsidR="00BB3126" w:rsidRPr="00FE3F73" w:rsidRDefault="00BB3126" w:rsidP="00C7618F">
            <w:pPr>
              <w:pStyle w:val="CGCTableStub"/>
              <w:spacing w:line="240" w:lineRule="auto"/>
              <w:rPr>
                <w:rFonts w:cstheme="minorHAnsi"/>
              </w:rPr>
            </w:pPr>
          </w:p>
        </w:tc>
        <w:tc>
          <w:tcPr>
            <w:tcW w:w="405" w:type="pct"/>
            <w:tcBorders>
              <w:top w:val="single" w:sz="6" w:space="0" w:color="auto"/>
              <w:bottom w:val="single" w:sz="6" w:space="0" w:color="auto"/>
            </w:tcBorders>
            <w:vAlign w:val="bottom"/>
          </w:tcPr>
          <w:p w:rsidR="00BB3126" w:rsidRPr="00FE3F73" w:rsidRDefault="00BB3126" w:rsidP="00C7618F">
            <w:pPr>
              <w:pStyle w:val="TableColHeadings"/>
              <w:rPr>
                <w:rFonts w:cstheme="minorHAnsi"/>
              </w:rPr>
            </w:pPr>
            <w:r w:rsidRPr="00FE3F73">
              <w:rPr>
                <w:rFonts w:cstheme="minorHAnsi"/>
              </w:rPr>
              <w:t>NSW</w:t>
            </w:r>
          </w:p>
        </w:tc>
        <w:tc>
          <w:tcPr>
            <w:tcW w:w="405" w:type="pct"/>
            <w:tcBorders>
              <w:top w:val="single" w:sz="6" w:space="0" w:color="auto"/>
              <w:bottom w:val="single" w:sz="6" w:space="0" w:color="auto"/>
            </w:tcBorders>
            <w:vAlign w:val="bottom"/>
          </w:tcPr>
          <w:p w:rsidR="00BB3126" w:rsidRPr="00FE3F73" w:rsidRDefault="00BB3126" w:rsidP="00C7618F">
            <w:pPr>
              <w:pStyle w:val="TableColHeadings"/>
              <w:rPr>
                <w:rFonts w:cstheme="minorHAnsi"/>
              </w:rPr>
            </w:pPr>
            <w:r w:rsidRPr="00FE3F73">
              <w:rPr>
                <w:rFonts w:cstheme="minorHAnsi"/>
              </w:rPr>
              <w:t>Vic</w:t>
            </w:r>
          </w:p>
        </w:tc>
        <w:tc>
          <w:tcPr>
            <w:tcW w:w="405" w:type="pct"/>
            <w:tcBorders>
              <w:top w:val="single" w:sz="6" w:space="0" w:color="auto"/>
              <w:bottom w:val="single" w:sz="6" w:space="0" w:color="auto"/>
            </w:tcBorders>
            <w:vAlign w:val="bottom"/>
          </w:tcPr>
          <w:p w:rsidR="00BB3126" w:rsidRPr="00FE3F73" w:rsidRDefault="00BB3126" w:rsidP="00C7618F">
            <w:pPr>
              <w:pStyle w:val="TableColHeadings"/>
              <w:rPr>
                <w:rFonts w:cstheme="minorHAnsi"/>
              </w:rPr>
            </w:pPr>
            <w:r w:rsidRPr="00FE3F73">
              <w:rPr>
                <w:rFonts w:cstheme="minorHAnsi"/>
              </w:rPr>
              <w:t>Qld</w:t>
            </w:r>
          </w:p>
        </w:tc>
        <w:tc>
          <w:tcPr>
            <w:tcW w:w="405" w:type="pct"/>
            <w:tcBorders>
              <w:top w:val="single" w:sz="6" w:space="0" w:color="auto"/>
              <w:bottom w:val="single" w:sz="6" w:space="0" w:color="auto"/>
            </w:tcBorders>
            <w:vAlign w:val="bottom"/>
          </w:tcPr>
          <w:p w:rsidR="00BB3126" w:rsidRPr="00FE3F73" w:rsidRDefault="00BB3126" w:rsidP="00C7618F">
            <w:pPr>
              <w:pStyle w:val="TableColHeadings"/>
              <w:rPr>
                <w:rFonts w:cstheme="minorHAnsi"/>
              </w:rPr>
            </w:pPr>
            <w:r w:rsidRPr="00FE3F73">
              <w:rPr>
                <w:rFonts w:cstheme="minorHAnsi"/>
              </w:rPr>
              <w:t>WA</w:t>
            </w:r>
          </w:p>
        </w:tc>
        <w:tc>
          <w:tcPr>
            <w:tcW w:w="405" w:type="pct"/>
            <w:tcBorders>
              <w:top w:val="single" w:sz="6" w:space="0" w:color="auto"/>
              <w:bottom w:val="single" w:sz="6" w:space="0" w:color="auto"/>
            </w:tcBorders>
            <w:vAlign w:val="bottom"/>
          </w:tcPr>
          <w:p w:rsidR="00BB3126" w:rsidRPr="00FE3F73" w:rsidRDefault="00BB3126" w:rsidP="00C7618F">
            <w:pPr>
              <w:pStyle w:val="TableColHeadings"/>
              <w:rPr>
                <w:rFonts w:cstheme="minorHAnsi"/>
              </w:rPr>
            </w:pPr>
            <w:r w:rsidRPr="00FE3F73">
              <w:rPr>
                <w:rFonts w:cstheme="minorHAnsi"/>
              </w:rPr>
              <w:t>SA</w:t>
            </w:r>
          </w:p>
        </w:tc>
        <w:tc>
          <w:tcPr>
            <w:tcW w:w="405" w:type="pct"/>
            <w:tcBorders>
              <w:top w:val="single" w:sz="6" w:space="0" w:color="auto"/>
              <w:bottom w:val="single" w:sz="6" w:space="0" w:color="auto"/>
            </w:tcBorders>
            <w:vAlign w:val="bottom"/>
          </w:tcPr>
          <w:p w:rsidR="00BB3126" w:rsidRPr="00FE3F73" w:rsidRDefault="00BB3126" w:rsidP="00C7618F">
            <w:pPr>
              <w:pStyle w:val="TableColHeadings"/>
              <w:rPr>
                <w:rFonts w:cstheme="minorHAnsi"/>
              </w:rPr>
            </w:pPr>
            <w:r w:rsidRPr="00FE3F73">
              <w:rPr>
                <w:rFonts w:cstheme="minorHAnsi"/>
              </w:rPr>
              <w:t>Tas</w:t>
            </w:r>
          </w:p>
        </w:tc>
        <w:tc>
          <w:tcPr>
            <w:tcW w:w="405" w:type="pct"/>
            <w:tcBorders>
              <w:top w:val="single" w:sz="6" w:space="0" w:color="auto"/>
              <w:bottom w:val="single" w:sz="6" w:space="0" w:color="auto"/>
            </w:tcBorders>
            <w:vAlign w:val="bottom"/>
          </w:tcPr>
          <w:p w:rsidR="00BB3126" w:rsidRPr="00FE3F73" w:rsidRDefault="00BB3126" w:rsidP="00C7618F">
            <w:pPr>
              <w:pStyle w:val="TableColHeadings"/>
              <w:rPr>
                <w:rFonts w:cstheme="minorHAnsi"/>
              </w:rPr>
            </w:pPr>
            <w:r w:rsidRPr="00FE3F73">
              <w:rPr>
                <w:rFonts w:cstheme="minorHAnsi"/>
              </w:rPr>
              <w:t>ACT</w:t>
            </w:r>
          </w:p>
        </w:tc>
        <w:tc>
          <w:tcPr>
            <w:tcW w:w="405" w:type="pct"/>
            <w:tcBorders>
              <w:top w:val="single" w:sz="6" w:space="0" w:color="auto"/>
              <w:bottom w:val="single" w:sz="6" w:space="0" w:color="auto"/>
            </w:tcBorders>
            <w:vAlign w:val="bottom"/>
          </w:tcPr>
          <w:p w:rsidR="00BB3126" w:rsidRPr="00FE3F73" w:rsidRDefault="00BB3126" w:rsidP="00C7618F">
            <w:pPr>
              <w:pStyle w:val="TableColHeadings"/>
              <w:rPr>
                <w:rFonts w:cstheme="minorHAnsi"/>
              </w:rPr>
            </w:pPr>
            <w:r w:rsidRPr="00FE3F73">
              <w:rPr>
                <w:rFonts w:cstheme="minorHAnsi"/>
              </w:rPr>
              <w:t>NT</w:t>
            </w:r>
          </w:p>
        </w:tc>
        <w:tc>
          <w:tcPr>
            <w:tcW w:w="405" w:type="pct"/>
            <w:tcBorders>
              <w:top w:val="single" w:sz="6" w:space="0" w:color="auto"/>
              <w:bottom w:val="single" w:sz="6" w:space="0" w:color="auto"/>
            </w:tcBorders>
            <w:vAlign w:val="bottom"/>
          </w:tcPr>
          <w:p w:rsidR="00BB3126" w:rsidRPr="00FE3F73" w:rsidRDefault="00BB3126" w:rsidP="00C7618F">
            <w:pPr>
              <w:pStyle w:val="TableColHeadings"/>
              <w:rPr>
                <w:rFonts w:cstheme="minorHAnsi"/>
              </w:rPr>
            </w:pPr>
            <w:r w:rsidRPr="00FE3F73">
              <w:rPr>
                <w:rFonts w:cstheme="minorHAnsi"/>
              </w:rPr>
              <w:t>Aust</w:t>
            </w:r>
          </w:p>
        </w:tc>
      </w:tr>
      <w:tr w:rsidR="00BB3126" w:rsidRPr="00FE3F73" w:rsidTr="00C7618F">
        <w:tc>
          <w:tcPr>
            <w:tcW w:w="1353" w:type="pct"/>
            <w:tcMar>
              <w:top w:w="0" w:type="dxa"/>
              <w:bottom w:w="0" w:type="dxa"/>
            </w:tcMar>
            <w:vAlign w:val="bottom"/>
          </w:tcPr>
          <w:p w:rsidR="00BB3126" w:rsidRPr="00FE3F73" w:rsidRDefault="00BB3126" w:rsidP="00C7618F">
            <w:pPr>
              <w:pStyle w:val="CGCTableStub"/>
              <w:spacing w:before="0" w:after="0" w:line="240" w:lineRule="auto"/>
              <w:jc w:val="right"/>
              <w:rPr>
                <w:rFonts w:cstheme="minorHAnsi"/>
              </w:rPr>
            </w:pPr>
          </w:p>
        </w:tc>
        <w:tc>
          <w:tcPr>
            <w:tcW w:w="405" w:type="pct"/>
            <w:tcMar>
              <w:top w:w="0" w:type="dxa"/>
              <w:bottom w:w="0" w:type="dxa"/>
            </w:tcMar>
            <w:vAlign w:val="bottom"/>
          </w:tcPr>
          <w:p w:rsidR="00BB3126" w:rsidRPr="00FE3F73" w:rsidRDefault="00BB3126" w:rsidP="00C7618F">
            <w:pPr>
              <w:pStyle w:val="TableRowNormal"/>
              <w:spacing w:before="0" w:after="0" w:line="240" w:lineRule="auto"/>
              <w:ind w:left="0" w:firstLine="0"/>
              <w:rPr>
                <w:rFonts w:cstheme="minorHAnsi"/>
              </w:rPr>
            </w:pPr>
            <w:r>
              <w:rPr>
                <w:rFonts w:cstheme="minorHAnsi"/>
              </w:rPr>
              <w:t>$m</w:t>
            </w:r>
          </w:p>
        </w:tc>
        <w:tc>
          <w:tcPr>
            <w:tcW w:w="405" w:type="pct"/>
            <w:tcMar>
              <w:top w:w="0" w:type="dxa"/>
              <w:bottom w:w="0" w:type="dxa"/>
            </w:tcMar>
            <w:vAlign w:val="bottom"/>
          </w:tcPr>
          <w:p w:rsidR="00BB3126" w:rsidRPr="00FE3F73" w:rsidRDefault="00BB3126" w:rsidP="00C7618F">
            <w:pPr>
              <w:pStyle w:val="TableRowNormal"/>
              <w:spacing w:before="0" w:after="0" w:line="240" w:lineRule="auto"/>
              <w:ind w:left="0" w:firstLine="0"/>
              <w:rPr>
                <w:rFonts w:cstheme="minorHAnsi"/>
              </w:rPr>
            </w:pPr>
            <w:r>
              <w:rPr>
                <w:rFonts w:cstheme="minorHAnsi"/>
              </w:rPr>
              <w:t>$m</w:t>
            </w:r>
          </w:p>
        </w:tc>
        <w:tc>
          <w:tcPr>
            <w:tcW w:w="405" w:type="pct"/>
            <w:tcMar>
              <w:top w:w="0" w:type="dxa"/>
              <w:bottom w:w="0" w:type="dxa"/>
            </w:tcMar>
            <w:vAlign w:val="bottom"/>
          </w:tcPr>
          <w:p w:rsidR="00BB3126" w:rsidRPr="00FE3F73" w:rsidRDefault="00BB3126" w:rsidP="00C7618F">
            <w:pPr>
              <w:pStyle w:val="TableRowNormal"/>
              <w:spacing w:before="0" w:after="0" w:line="240" w:lineRule="auto"/>
              <w:ind w:left="0" w:firstLine="0"/>
              <w:rPr>
                <w:rFonts w:cstheme="minorHAnsi"/>
              </w:rPr>
            </w:pPr>
            <w:r>
              <w:rPr>
                <w:rFonts w:cstheme="minorHAnsi"/>
              </w:rPr>
              <w:t>$m</w:t>
            </w:r>
          </w:p>
        </w:tc>
        <w:tc>
          <w:tcPr>
            <w:tcW w:w="405" w:type="pct"/>
            <w:tcMar>
              <w:top w:w="0" w:type="dxa"/>
              <w:bottom w:w="0" w:type="dxa"/>
            </w:tcMar>
            <w:vAlign w:val="bottom"/>
          </w:tcPr>
          <w:p w:rsidR="00BB3126" w:rsidRPr="00FE3F73" w:rsidRDefault="00BB3126" w:rsidP="00C7618F">
            <w:pPr>
              <w:pStyle w:val="TableRowNormal"/>
              <w:spacing w:before="0" w:after="0" w:line="240" w:lineRule="auto"/>
              <w:ind w:left="0" w:firstLine="0"/>
              <w:rPr>
                <w:rFonts w:cstheme="minorHAnsi"/>
              </w:rPr>
            </w:pPr>
            <w:r>
              <w:rPr>
                <w:rFonts w:cstheme="minorHAnsi"/>
              </w:rPr>
              <w:t>$m</w:t>
            </w:r>
          </w:p>
        </w:tc>
        <w:tc>
          <w:tcPr>
            <w:tcW w:w="405" w:type="pct"/>
            <w:tcMar>
              <w:top w:w="0" w:type="dxa"/>
              <w:bottom w:w="0" w:type="dxa"/>
            </w:tcMar>
            <w:vAlign w:val="bottom"/>
          </w:tcPr>
          <w:p w:rsidR="00BB3126" w:rsidRPr="00FE3F73" w:rsidRDefault="00BB3126" w:rsidP="00C7618F">
            <w:pPr>
              <w:pStyle w:val="TableRowNormal"/>
              <w:spacing w:before="0" w:after="0" w:line="240" w:lineRule="auto"/>
              <w:ind w:left="0" w:firstLine="0"/>
              <w:rPr>
                <w:rFonts w:cstheme="minorHAnsi"/>
              </w:rPr>
            </w:pPr>
            <w:r>
              <w:rPr>
                <w:rFonts w:cstheme="minorHAnsi"/>
              </w:rPr>
              <w:t>$m</w:t>
            </w:r>
          </w:p>
        </w:tc>
        <w:tc>
          <w:tcPr>
            <w:tcW w:w="405" w:type="pct"/>
            <w:tcMar>
              <w:top w:w="0" w:type="dxa"/>
              <w:bottom w:w="0" w:type="dxa"/>
            </w:tcMar>
            <w:vAlign w:val="bottom"/>
          </w:tcPr>
          <w:p w:rsidR="00BB3126" w:rsidRPr="00FE3F73" w:rsidRDefault="00BB3126" w:rsidP="00C7618F">
            <w:pPr>
              <w:pStyle w:val="TableRowNormal"/>
              <w:spacing w:before="0" w:after="0" w:line="240" w:lineRule="auto"/>
              <w:ind w:left="0" w:firstLine="0"/>
              <w:rPr>
                <w:rFonts w:cstheme="minorHAnsi"/>
              </w:rPr>
            </w:pPr>
            <w:r>
              <w:rPr>
                <w:rFonts w:cstheme="minorHAnsi"/>
              </w:rPr>
              <w:t>$m</w:t>
            </w:r>
          </w:p>
        </w:tc>
        <w:tc>
          <w:tcPr>
            <w:tcW w:w="405" w:type="pct"/>
            <w:tcMar>
              <w:top w:w="0" w:type="dxa"/>
              <w:bottom w:w="0" w:type="dxa"/>
            </w:tcMar>
            <w:vAlign w:val="bottom"/>
          </w:tcPr>
          <w:p w:rsidR="00BB3126" w:rsidRPr="00FE3F73" w:rsidRDefault="00BB3126" w:rsidP="00C7618F">
            <w:pPr>
              <w:pStyle w:val="TableRowNormal"/>
              <w:spacing w:before="0" w:after="0" w:line="240" w:lineRule="auto"/>
              <w:ind w:left="0" w:firstLine="0"/>
              <w:rPr>
                <w:rFonts w:cstheme="minorHAnsi"/>
              </w:rPr>
            </w:pPr>
            <w:r>
              <w:rPr>
                <w:rFonts w:cstheme="minorHAnsi"/>
              </w:rPr>
              <w:t>$m</w:t>
            </w:r>
          </w:p>
        </w:tc>
        <w:tc>
          <w:tcPr>
            <w:tcW w:w="405" w:type="pct"/>
            <w:tcMar>
              <w:top w:w="0" w:type="dxa"/>
              <w:bottom w:w="0" w:type="dxa"/>
            </w:tcMar>
            <w:vAlign w:val="bottom"/>
          </w:tcPr>
          <w:p w:rsidR="00BB3126" w:rsidRPr="00FE3F73" w:rsidRDefault="00BB3126" w:rsidP="00C7618F">
            <w:pPr>
              <w:pStyle w:val="TableRowNormal"/>
              <w:spacing w:before="0" w:after="0" w:line="240" w:lineRule="auto"/>
              <w:ind w:left="0" w:firstLine="0"/>
              <w:rPr>
                <w:rFonts w:cstheme="minorHAnsi"/>
              </w:rPr>
            </w:pPr>
            <w:r>
              <w:rPr>
                <w:rFonts w:cstheme="minorHAnsi"/>
              </w:rPr>
              <w:t>$m</w:t>
            </w:r>
          </w:p>
        </w:tc>
        <w:tc>
          <w:tcPr>
            <w:tcW w:w="405" w:type="pct"/>
            <w:tcMar>
              <w:top w:w="0" w:type="dxa"/>
              <w:bottom w:w="0" w:type="dxa"/>
            </w:tcMar>
            <w:vAlign w:val="bottom"/>
          </w:tcPr>
          <w:p w:rsidR="00BB3126" w:rsidRPr="00FE3F73" w:rsidRDefault="00BB3126" w:rsidP="00C7618F">
            <w:pPr>
              <w:pStyle w:val="TableRowNormal"/>
              <w:spacing w:before="0" w:after="0" w:line="240" w:lineRule="auto"/>
              <w:ind w:left="0" w:firstLine="0"/>
              <w:rPr>
                <w:rFonts w:cstheme="minorHAnsi"/>
              </w:rPr>
            </w:pPr>
            <w:r>
              <w:rPr>
                <w:rFonts w:cstheme="minorHAnsi"/>
              </w:rPr>
              <w:t>$m</w:t>
            </w:r>
          </w:p>
        </w:tc>
      </w:tr>
      <w:tr w:rsidR="00BB3126" w:rsidRPr="00FE3F73" w:rsidTr="00C7618F">
        <w:tc>
          <w:tcPr>
            <w:tcW w:w="1353" w:type="pct"/>
            <w:vAlign w:val="bottom"/>
          </w:tcPr>
          <w:p w:rsidR="00BB3126" w:rsidRPr="00FE3F73" w:rsidRDefault="00BB3126" w:rsidP="00C7618F">
            <w:pPr>
              <w:pStyle w:val="CGCTableStub"/>
              <w:tabs>
                <w:tab w:val="left" w:pos="142"/>
                <w:tab w:val="left" w:pos="425"/>
                <w:tab w:val="left" w:pos="709"/>
                <w:tab w:val="left" w:pos="851"/>
              </w:tabs>
              <w:ind w:left="142" w:hanging="142"/>
              <w:rPr>
                <w:rFonts w:cstheme="minorHAnsi"/>
              </w:rPr>
            </w:pPr>
            <w:r>
              <w:rPr>
                <w:rFonts w:cstheme="minorHAnsi"/>
              </w:rPr>
              <w:t>SAF</w:t>
            </w:r>
          </w:p>
        </w:tc>
        <w:tc>
          <w:tcPr>
            <w:tcW w:w="405" w:type="pct"/>
            <w:vAlign w:val="bottom"/>
          </w:tcPr>
          <w:p w:rsidR="00BB3126" w:rsidRPr="00FE3F73" w:rsidRDefault="00BB3126" w:rsidP="00C7618F">
            <w:pPr>
              <w:pStyle w:val="TableRowNormal"/>
              <w:ind w:left="0" w:firstLine="0"/>
              <w:rPr>
                <w:rFonts w:cstheme="minorHAnsi"/>
              </w:rPr>
            </w:pPr>
            <w:r w:rsidRPr="007D596C">
              <w:rPr>
                <w:rFonts w:cstheme="minorHAnsi"/>
              </w:rPr>
              <w:t>63.</w:t>
            </w:r>
            <w:r>
              <w:rPr>
                <w:rFonts w:cstheme="minorHAnsi"/>
              </w:rPr>
              <w:t>4</w:t>
            </w:r>
          </w:p>
        </w:tc>
        <w:tc>
          <w:tcPr>
            <w:tcW w:w="405" w:type="pct"/>
            <w:vAlign w:val="bottom"/>
          </w:tcPr>
          <w:p w:rsidR="00BB3126" w:rsidRPr="00FE3F73" w:rsidRDefault="00BB3126" w:rsidP="00C7618F">
            <w:pPr>
              <w:pStyle w:val="TableRowNormal"/>
              <w:ind w:left="0" w:firstLine="0"/>
              <w:rPr>
                <w:rFonts w:cstheme="minorHAnsi"/>
              </w:rPr>
            </w:pPr>
            <w:r w:rsidRPr="007D596C">
              <w:rPr>
                <w:rFonts w:cstheme="minorHAnsi"/>
              </w:rPr>
              <w:t>52.</w:t>
            </w:r>
            <w:r>
              <w:rPr>
                <w:rFonts w:cstheme="minorHAnsi"/>
              </w:rPr>
              <w:t>2</w:t>
            </w:r>
          </w:p>
        </w:tc>
        <w:tc>
          <w:tcPr>
            <w:tcW w:w="405" w:type="pct"/>
            <w:vAlign w:val="bottom"/>
          </w:tcPr>
          <w:p w:rsidR="00BB3126" w:rsidRPr="00FE3F73" w:rsidRDefault="00BB3126" w:rsidP="00C7618F">
            <w:pPr>
              <w:pStyle w:val="TableRowNormal"/>
              <w:ind w:left="0" w:firstLine="0"/>
              <w:rPr>
                <w:rFonts w:cstheme="minorHAnsi"/>
              </w:rPr>
            </w:pPr>
            <w:r w:rsidRPr="007D596C">
              <w:rPr>
                <w:rFonts w:cstheme="minorHAnsi"/>
              </w:rPr>
              <w:t>39.4</w:t>
            </w:r>
          </w:p>
        </w:tc>
        <w:tc>
          <w:tcPr>
            <w:tcW w:w="405" w:type="pct"/>
            <w:vAlign w:val="bottom"/>
          </w:tcPr>
          <w:p w:rsidR="00BB3126" w:rsidRPr="00FE3F73" w:rsidRDefault="00BB3126" w:rsidP="00C7618F">
            <w:pPr>
              <w:pStyle w:val="TableRowNormal"/>
              <w:ind w:left="0" w:firstLine="0"/>
              <w:rPr>
                <w:rFonts w:cstheme="minorHAnsi"/>
              </w:rPr>
            </w:pPr>
            <w:r w:rsidRPr="007D596C">
              <w:rPr>
                <w:rFonts w:cstheme="minorHAnsi"/>
              </w:rPr>
              <w:t>9.8</w:t>
            </w:r>
          </w:p>
        </w:tc>
        <w:tc>
          <w:tcPr>
            <w:tcW w:w="405" w:type="pct"/>
            <w:vAlign w:val="bottom"/>
          </w:tcPr>
          <w:p w:rsidR="00BB3126" w:rsidRPr="00FE3F73" w:rsidRDefault="00BB3126" w:rsidP="00C7618F">
            <w:pPr>
              <w:pStyle w:val="TableRowNormal"/>
              <w:ind w:left="0" w:firstLine="0"/>
              <w:rPr>
                <w:rFonts w:cstheme="minorHAnsi"/>
              </w:rPr>
            </w:pPr>
            <w:r>
              <w:rPr>
                <w:rFonts w:cstheme="minorHAnsi"/>
              </w:rPr>
              <w:t>11.2</w:t>
            </w:r>
          </w:p>
        </w:tc>
        <w:tc>
          <w:tcPr>
            <w:tcW w:w="405" w:type="pct"/>
            <w:vAlign w:val="bottom"/>
          </w:tcPr>
          <w:p w:rsidR="00BB3126" w:rsidRPr="00FE3F73" w:rsidRDefault="00BB3126" w:rsidP="00C7618F">
            <w:pPr>
              <w:pStyle w:val="TableRowNormal"/>
              <w:ind w:left="0" w:firstLine="0"/>
              <w:rPr>
                <w:rFonts w:cstheme="minorHAnsi"/>
              </w:rPr>
            </w:pPr>
            <w:r w:rsidRPr="007D596C">
              <w:rPr>
                <w:rFonts w:cstheme="minorHAnsi"/>
              </w:rPr>
              <w:t>5.</w:t>
            </w:r>
            <w:r>
              <w:rPr>
                <w:rFonts w:cstheme="minorHAnsi"/>
              </w:rPr>
              <w:t>3</w:t>
            </w:r>
          </w:p>
        </w:tc>
        <w:tc>
          <w:tcPr>
            <w:tcW w:w="405" w:type="pct"/>
            <w:vAlign w:val="bottom"/>
          </w:tcPr>
          <w:p w:rsidR="00BB3126" w:rsidRPr="00FE3F73" w:rsidRDefault="00BB3126" w:rsidP="00C7618F">
            <w:pPr>
              <w:pStyle w:val="TableRowNormal"/>
              <w:ind w:left="0" w:firstLine="0"/>
              <w:rPr>
                <w:rFonts w:cstheme="minorHAnsi"/>
              </w:rPr>
            </w:pPr>
            <w:r w:rsidRPr="007D596C">
              <w:rPr>
                <w:rFonts w:cstheme="minorHAnsi"/>
              </w:rPr>
              <w:t>4.</w:t>
            </w:r>
            <w:r>
              <w:rPr>
                <w:rFonts w:cstheme="minorHAnsi"/>
              </w:rPr>
              <w:t>2</w:t>
            </w:r>
          </w:p>
        </w:tc>
        <w:tc>
          <w:tcPr>
            <w:tcW w:w="405" w:type="pct"/>
            <w:vAlign w:val="bottom"/>
          </w:tcPr>
          <w:p w:rsidR="00BB3126" w:rsidRPr="00FE3F73" w:rsidRDefault="00BB3126" w:rsidP="00C7618F">
            <w:pPr>
              <w:pStyle w:val="TableRowNormal"/>
              <w:ind w:left="0" w:firstLine="0"/>
              <w:rPr>
                <w:rFonts w:cstheme="minorHAnsi"/>
              </w:rPr>
            </w:pPr>
            <w:r w:rsidRPr="007D596C">
              <w:rPr>
                <w:rFonts w:cstheme="minorHAnsi"/>
              </w:rPr>
              <w:t>1.9</w:t>
            </w:r>
          </w:p>
        </w:tc>
        <w:tc>
          <w:tcPr>
            <w:tcW w:w="405" w:type="pct"/>
            <w:vAlign w:val="bottom"/>
          </w:tcPr>
          <w:p w:rsidR="00BB3126" w:rsidRPr="00FE3F73" w:rsidRDefault="00BB3126" w:rsidP="00C7618F">
            <w:pPr>
              <w:pStyle w:val="TableRowNormal"/>
              <w:ind w:left="0" w:firstLine="0"/>
              <w:rPr>
                <w:rFonts w:cstheme="minorHAnsi"/>
              </w:rPr>
            </w:pPr>
            <w:r w:rsidRPr="007D596C">
              <w:rPr>
                <w:rFonts w:cstheme="minorHAnsi"/>
              </w:rPr>
              <w:t>187.3</w:t>
            </w:r>
          </w:p>
        </w:tc>
      </w:tr>
      <w:tr w:rsidR="00BB3126" w:rsidRPr="00FE3F73" w:rsidTr="00C7618F">
        <w:tc>
          <w:tcPr>
            <w:tcW w:w="1353" w:type="pct"/>
            <w:vAlign w:val="bottom"/>
          </w:tcPr>
          <w:p w:rsidR="00BB3126" w:rsidRPr="00FE3F73" w:rsidRDefault="00BB3126" w:rsidP="00C7618F">
            <w:pPr>
              <w:pStyle w:val="CGCTableStub"/>
              <w:tabs>
                <w:tab w:val="left" w:pos="142"/>
                <w:tab w:val="left" w:pos="425"/>
                <w:tab w:val="left" w:pos="709"/>
                <w:tab w:val="left" w:pos="851"/>
              </w:tabs>
              <w:ind w:left="142" w:hanging="142"/>
              <w:rPr>
                <w:rFonts w:cstheme="minorHAnsi"/>
              </w:rPr>
            </w:pPr>
            <w:r>
              <w:rPr>
                <w:rFonts w:cstheme="minorHAnsi"/>
              </w:rPr>
              <w:t>EPC share of additional funding (a)</w:t>
            </w:r>
          </w:p>
        </w:tc>
        <w:tc>
          <w:tcPr>
            <w:tcW w:w="405" w:type="pct"/>
            <w:tcBorders>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36.5</w:t>
            </w:r>
          </w:p>
        </w:tc>
        <w:tc>
          <w:tcPr>
            <w:tcW w:w="405" w:type="pct"/>
            <w:tcBorders>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0.0</w:t>
            </w:r>
          </w:p>
        </w:tc>
        <w:tc>
          <w:tcPr>
            <w:tcW w:w="405" w:type="pct"/>
            <w:tcBorders>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0.0</w:t>
            </w:r>
          </w:p>
        </w:tc>
        <w:tc>
          <w:tcPr>
            <w:tcW w:w="405" w:type="pct"/>
            <w:tcBorders>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0.0</w:t>
            </w:r>
          </w:p>
        </w:tc>
        <w:tc>
          <w:tcPr>
            <w:tcW w:w="405" w:type="pct"/>
            <w:tcBorders>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7.9</w:t>
            </w:r>
          </w:p>
        </w:tc>
        <w:tc>
          <w:tcPr>
            <w:tcW w:w="405" w:type="pct"/>
            <w:tcBorders>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2.4</w:t>
            </w:r>
          </w:p>
        </w:tc>
        <w:tc>
          <w:tcPr>
            <w:tcW w:w="405" w:type="pct"/>
            <w:tcBorders>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1.9</w:t>
            </w:r>
          </w:p>
        </w:tc>
        <w:tc>
          <w:tcPr>
            <w:tcW w:w="405" w:type="pct"/>
            <w:tcBorders>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1.2</w:t>
            </w:r>
          </w:p>
        </w:tc>
        <w:tc>
          <w:tcPr>
            <w:tcW w:w="405" w:type="pct"/>
            <w:tcBorders>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50.0</w:t>
            </w:r>
          </w:p>
        </w:tc>
      </w:tr>
      <w:tr w:rsidR="00BB3126" w:rsidRPr="00FE3F73" w:rsidTr="00C7618F">
        <w:tc>
          <w:tcPr>
            <w:tcW w:w="1353" w:type="pct"/>
            <w:tcBorders>
              <w:bottom w:val="single" w:sz="4" w:space="0" w:color="auto"/>
            </w:tcBorders>
            <w:vAlign w:val="bottom"/>
          </w:tcPr>
          <w:p w:rsidR="00BB3126" w:rsidRPr="00FE3F73" w:rsidRDefault="00BB3126" w:rsidP="00C7618F">
            <w:pPr>
              <w:pStyle w:val="CGCTableStub"/>
              <w:tabs>
                <w:tab w:val="left" w:pos="142"/>
                <w:tab w:val="left" w:pos="425"/>
                <w:tab w:val="left" w:pos="709"/>
                <w:tab w:val="left" w:pos="851"/>
              </w:tabs>
              <w:ind w:left="142" w:hanging="142"/>
              <w:rPr>
                <w:rFonts w:cstheme="minorHAnsi"/>
              </w:rPr>
            </w:pPr>
            <w:r>
              <w:rPr>
                <w:rFonts w:cstheme="minorHAnsi"/>
              </w:rPr>
              <w:t>Total (b)</w:t>
            </w:r>
          </w:p>
        </w:tc>
        <w:tc>
          <w:tcPr>
            <w:tcW w:w="405" w:type="pct"/>
            <w:tcBorders>
              <w:top w:val="single" w:sz="4" w:space="0" w:color="auto"/>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99.9</w:t>
            </w:r>
          </w:p>
        </w:tc>
        <w:tc>
          <w:tcPr>
            <w:tcW w:w="405" w:type="pct"/>
            <w:tcBorders>
              <w:top w:val="single" w:sz="4" w:space="0" w:color="auto"/>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52.2</w:t>
            </w:r>
          </w:p>
        </w:tc>
        <w:tc>
          <w:tcPr>
            <w:tcW w:w="405" w:type="pct"/>
            <w:tcBorders>
              <w:top w:val="single" w:sz="4" w:space="0" w:color="auto"/>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39.4</w:t>
            </w:r>
          </w:p>
        </w:tc>
        <w:tc>
          <w:tcPr>
            <w:tcW w:w="405" w:type="pct"/>
            <w:tcBorders>
              <w:top w:val="single" w:sz="4" w:space="0" w:color="auto"/>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9.8</w:t>
            </w:r>
          </w:p>
        </w:tc>
        <w:tc>
          <w:tcPr>
            <w:tcW w:w="405" w:type="pct"/>
            <w:tcBorders>
              <w:top w:val="single" w:sz="4" w:space="0" w:color="auto"/>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19.1</w:t>
            </w:r>
          </w:p>
        </w:tc>
        <w:tc>
          <w:tcPr>
            <w:tcW w:w="405" w:type="pct"/>
            <w:tcBorders>
              <w:top w:val="single" w:sz="4" w:space="0" w:color="auto"/>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7.7</w:t>
            </w:r>
          </w:p>
        </w:tc>
        <w:tc>
          <w:tcPr>
            <w:tcW w:w="405" w:type="pct"/>
            <w:tcBorders>
              <w:top w:val="single" w:sz="4" w:space="0" w:color="auto"/>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6.1</w:t>
            </w:r>
          </w:p>
        </w:tc>
        <w:tc>
          <w:tcPr>
            <w:tcW w:w="405" w:type="pct"/>
            <w:tcBorders>
              <w:top w:val="single" w:sz="4" w:space="0" w:color="auto"/>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3.1</w:t>
            </w:r>
          </w:p>
        </w:tc>
        <w:tc>
          <w:tcPr>
            <w:tcW w:w="405" w:type="pct"/>
            <w:tcBorders>
              <w:top w:val="single" w:sz="4" w:space="0" w:color="auto"/>
              <w:bottom w:val="single" w:sz="4" w:space="0" w:color="auto"/>
            </w:tcBorders>
            <w:vAlign w:val="bottom"/>
          </w:tcPr>
          <w:p w:rsidR="00BB3126" w:rsidRPr="00FE3F73" w:rsidRDefault="00BB3126" w:rsidP="00C7618F">
            <w:pPr>
              <w:pStyle w:val="TableRowNormal"/>
              <w:ind w:left="0" w:firstLine="0"/>
              <w:rPr>
                <w:rFonts w:cstheme="minorHAnsi"/>
              </w:rPr>
            </w:pPr>
            <w:r>
              <w:rPr>
                <w:rFonts w:cstheme="minorHAnsi"/>
              </w:rPr>
              <w:t>237.3</w:t>
            </w:r>
          </w:p>
        </w:tc>
      </w:tr>
    </w:tbl>
    <w:p w:rsidR="00BB3126" w:rsidRDefault="00BB3126" w:rsidP="00BB3126">
      <w:pPr>
        <w:pStyle w:val="CGCTableFootnote"/>
      </w:pPr>
      <w:r>
        <w:t>(a)</w:t>
      </w:r>
      <w:r>
        <w:tab/>
        <w:t>States that signed the NPSAF on or before 7 June 2018 received an EPC share of an additional $50 million provided by the Commonwealth.</w:t>
      </w:r>
    </w:p>
    <w:p w:rsidR="00BB3126" w:rsidRPr="00022FD4" w:rsidRDefault="00BB3126" w:rsidP="00BB3126">
      <w:pPr>
        <w:pStyle w:val="CGCTableFootnote"/>
      </w:pPr>
      <w:r>
        <w:t>(b)</w:t>
      </w:r>
      <w:r>
        <w:tab/>
      </w:r>
      <w:r w:rsidRPr="003B76DB">
        <w:t xml:space="preserve">Total in this table matches the amount published in </w:t>
      </w:r>
      <w:r>
        <w:t xml:space="preserve">the Commonwealth of Australia’s </w:t>
      </w:r>
      <w:r w:rsidRPr="00216B52">
        <w:rPr>
          <w:i/>
        </w:rPr>
        <w:t>Final Budget Outcome 2017-18</w:t>
      </w:r>
      <w:r w:rsidRPr="003B76DB">
        <w:t>.</w:t>
      </w:r>
    </w:p>
    <w:p w:rsidR="00BB3126" w:rsidRDefault="00BB3126" w:rsidP="00BB3126">
      <w:pPr>
        <w:pStyle w:val="CGCTableFootnote"/>
      </w:pPr>
      <w:r>
        <w:t>Source:</w:t>
      </w:r>
      <w:r>
        <w:tab/>
        <w:t>Department of Education and Training,</w:t>
      </w:r>
      <w:r>
        <w:rPr>
          <w:rStyle w:val="Hyperlink"/>
        </w:rPr>
        <w:t xml:space="preserve"> </w:t>
      </w:r>
      <w:hyperlink r:id="rId103" w:history="1">
        <w:r w:rsidRPr="003B76DB">
          <w:rPr>
            <w:rStyle w:val="Hyperlink"/>
          </w:rPr>
          <w:t>Skilling Australians Fund: 2017-18 Factsheet</w:t>
        </w:r>
      </w:hyperlink>
      <w:r>
        <w:t xml:space="preserve"> (</w:t>
      </w:r>
      <w:r w:rsidRPr="00A21C28">
        <w:t>https://docs.education.gov.au/node/51466</w:t>
      </w:r>
      <w:r>
        <w:t xml:space="preserve">), [accessed 29/01/19]. </w:t>
      </w:r>
    </w:p>
    <w:p w:rsidR="00BB3126" w:rsidRDefault="00BB3126" w:rsidP="00BB3126">
      <w:pPr>
        <w:pStyle w:val="21para"/>
        <w:rPr>
          <w:lang w:val="en" w:eastAsia="en-AU"/>
        </w:rPr>
      </w:pPr>
      <w:r>
        <w:rPr>
          <w:lang w:val="en" w:eastAsia="en-AU"/>
        </w:rPr>
        <w:t>Commission staff proposed the payment should affect the relativities because needs are assessed in Post-secondary education.</w:t>
      </w:r>
    </w:p>
    <w:p w:rsidR="00BB3126" w:rsidRDefault="00BB3126" w:rsidP="00BB3126">
      <w:pPr>
        <w:pStyle w:val="21para"/>
        <w:rPr>
          <w:lang w:val="en" w:eastAsia="en-AU"/>
        </w:rPr>
      </w:pPr>
      <w:r>
        <w:rPr>
          <w:rStyle w:val="Heading6Char"/>
          <w:lang w:val="en"/>
        </w:rPr>
        <w:t>State views.</w:t>
      </w:r>
      <w:r>
        <w:rPr>
          <w:lang w:val="en" w:eastAsia="en-AU"/>
        </w:rPr>
        <w:t xml:space="preserve"> </w:t>
      </w:r>
      <w:r>
        <w:t>States either supported this</w:t>
      </w:r>
      <w:r w:rsidRPr="00C921A3">
        <w:t xml:space="preserve"> </w:t>
      </w:r>
      <w:r>
        <w:t>treatment or did not comment. Queensland said it has</w:t>
      </w:r>
      <w:r>
        <w:rPr>
          <w:lang w:val="en" w:eastAsia="en-AU"/>
        </w:rPr>
        <w:t xml:space="preserve"> not signed the NPSAF at this stage. </w:t>
      </w:r>
    </w:p>
    <w:p w:rsidR="00BB3126" w:rsidRPr="00B53036" w:rsidRDefault="00BB3126" w:rsidP="00BB3126">
      <w:pPr>
        <w:pStyle w:val="21para"/>
        <w:rPr>
          <w:lang w:val="en" w:eastAsia="en-AU"/>
        </w:rPr>
      </w:pPr>
      <w:r w:rsidRPr="00C95D00">
        <w:rPr>
          <w:lang w:val="en" w:eastAsia="en-AU"/>
        </w:rPr>
        <w:t xml:space="preserve">New South Wales said part of the payment </w:t>
      </w:r>
      <w:r>
        <w:rPr>
          <w:lang w:val="en" w:eastAsia="en-AU"/>
        </w:rPr>
        <w:t xml:space="preserve">in 2017-18 </w:t>
      </w:r>
      <w:r w:rsidRPr="00C95D00">
        <w:rPr>
          <w:lang w:val="en" w:eastAsia="en-AU"/>
        </w:rPr>
        <w:t>is a sign</w:t>
      </w:r>
      <w:r>
        <w:rPr>
          <w:lang w:val="en" w:eastAsia="en-AU"/>
        </w:rPr>
        <w:t>-</w:t>
      </w:r>
      <w:r w:rsidRPr="00C95D00">
        <w:rPr>
          <w:lang w:val="en" w:eastAsia="en-AU"/>
        </w:rPr>
        <w:t xml:space="preserve">on bonus, which is </w:t>
      </w:r>
      <w:r w:rsidRPr="00337C38">
        <w:t>effectively</w:t>
      </w:r>
      <w:r w:rsidRPr="00C95D00">
        <w:rPr>
          <w:lang w:val="en" w:eastAsia="en-AU"/>
        </w:rPr>
        <w:t xml:space="preserve"> a reward payment. The </w:t>
      </w:r>
      <w:r>
        <w:rPr>
          <w:lang w:val="en" w:eastAsia="en-AU"/>
        </w:rPr>
        <w:t>ToR</w:t>
      </w:r>
      <w:r w:rsidRPr="00B53036">
        <w:rPr>
          <w:lang w:val="en" w:eastAsia="en-AU"/>
        </w:rPr>
        <w:t xml:space="preserve"> specif</w:t>
      </w:r>
      <w:r>
        <w:rPr>
          <w:lang w:val="en" w:eastAsia="en-AU"/>
        </w:rPr>
        <w:t>y</w:t>
      </w:r>
      <w:r w:rsidRPr="00B53036">
        <w:rPr>
          <w:lang w:val="en" w:eastAsia="en-AU"/>
        </w:rPr>
        <w:t xml:space="preserve"> that reward payments should not affect the relativities. </w:t>
      </w:r>
    </w:p>
    <w:p w:rsidR="00BB3126" w:rsidRPr="00B53036" w:rsidRDefault="00BB3126" w:rsidP="00BB3126">
      <w:pPr>
        <w:pStyle w:val="21para"/>
      </w:pPr>
      <w:r>
        <w:rPr>
          <w:rStyle w:val="Heading6Char"/>
        </w:rPr>
        <w:t>Commission decision</w:t>
      </w:r>
      <w:r w:rsidRPr="001F1912">
        <w:rPr>
          <w:rStyle w:val="Heading6Char"/>
        </w:rPr>
        <w:t>.</w:t>
      </w:r>
      <w:r>
        <w:t xml:space="preserve"> </w:t>
      </w:r>
      <w:r w:rsidRPr="00B53036">
        <w:t>The Commission’s approach to determin</w:t>
      </w:r>
      <w:r>
        <w:t>e</w:t>
      </w:r>
      <w:r w:rsidRPr="00B53036">
        <w:t xml:space="preserve"> which payments are reward payments is to rely on the Australian Treasury’s advice. Treasury has advise</w:t>
      </w:r>
      <w:r>
        <w:t>d</w:t>
      </w:r>
      <w:r w:rsidRPr="00B53036">
        <w:t xml:space="preserve"> that ‘there are no reward payments under this agreement; they are just ordinary National Partnership project payments’. As such, the Commission </w:t>
      </w:r>
      <w:r>
        <w:t xml:space="preserve">has treated the full amount of the payment as having an impact on the </w:t>
      </w:r>
      <w:r w:rsidRPr="00B53036">
        <w:t xml:space="preserve">relativities. </w:t>
      </w:r>
    </w:p>
    <w:p w:rsidR="00BB3126" w:rsidRDefault="00BB3126" w:rsidP="00BB3126">
      <w:pPr>
        <w:pStyle w:val="Heading4"/>
      </w:pPr>
      <w:bookmarkStart w:id="749" w:name="_Toc531948654"/>
      <w:bookmarkStart w:id="750" w:name="_Toc531949285"/>
      <w:bookmarkStart w:id="751" w:name="_Toc532227245"/>
      <w:bookmarkStart w:id="752" w:name="_Toc532388162"/>
      <w:bookmarkStart w:id="753" w:name="_Toc532469276"/>
      <w:bookmarkStart w:id="754" w:name="_Toc536519652"/>
      <w:bookmarkStart w:id="755" w:name="_Toc536631362"/>
      <w:bookmarkStart w:id="756" w:name="_Toc536803204"/>
      <w:bookmarkStart w:id="757" w:name="_Toc536803292"/>
      <w:bookmarkStart w:id="758" w:name="_Toc1115166"/>
      <w:r>
        <w:lastRenderedPageBreak/>
        <w:t>Remote Housing payment</w:t>
      </w:r>
      <w:bookmarkEnd w:id="749"/>
      <w:bookmarkEnd w:id="750"/>
      <w:bookmarkEnd w:id="751"/>
      <w:bookmarkEnd w:id="752"/>
      <w:bookmarkEnd w:id="753"/>
      <w:bookmarkEnd w:id="754"/>
      <w:bookmarkEnd w:id="755"/>
      <w:bookmarkEnd w:id="756"/>
      <w:bookmarkEnd w:id="757"/>
      <w:bookmarkEnd w:id="758"/>
    </w:p>
    <w:p w:rsidR="00BB3126" w:rsidRPr="004C364D" w:rsidRDefault="00BB3126" w:rsidP="00BB3126">
      <w:pPr>
        <w:pStyle w:val="21para"/>
      </w:pPr>
      <w:r w:rsidRPr="003400DE">
        <w:rPr>
          <w:rStyle w:val="Heading6Char"/>
        </w:rPr>
        <w:t>Background.</w:t>
      </w:r>
      <w:r>
        <w:t xml:space="preserve"> </w:t>
      </w:r>
      <w:r w:rsidRPr="004C364D">
        <w:t>In the 2016</w:t>
      </w:r>
      <w:r>
        <w:t> </w:t>
      </w:r>
      <w:r w:rsidRPr="004C364D">
        <w:t xml:space="preserve">Update, the Commission decided to treat 25% of the payments under the National Partnership Agreement on Remote Indigenous Housing (NPARIH) as not affecting the </w:t>
      </w:r>
      <w:r>
        <w:t>relativities</w:t>
      </w:r>
      <w:r w:rsidRPr="004C364D">
        <w:t xml:space="preserve"> because it considered that part of the funding was to address past under</w:t>
      </w:r>
      <w:r w:rsidRPr="004C364D">
        <w:noBreakHyphen/>
        <w:t>investment by the Commonwealth in remote Indigenous housing and needs were not assessed.</w:t>
      </w:r>
    </w:p>
    <w:p w:rsidR="00BB3126" w:rsidRPr="004C364D" w:rsidRDefault="00BB3126" w:rsidP="00BB3126">
      <w:pPr>
        <w:pStyle w:val="21para"/>
      </w:pPr>
      <w:r>
        <w:t>The Commission</w:t>
      </w:r>
      <w:r w:rsidRPr="004C364D">
        <w:t xml:space="preserve"> said </w:t>
      </w:r>
      <w:r>
        <w:t>it</w:t>
      </w:r>
      <w:r w:rsidRPr="004C364D">
        <w:t xml:space="preserve"> would review the treatment of Commonwealth payments for remote Indigenous housing when a replacement program for NPARIH had been negotiated. </w:t>
      </w:r>
      <w:r>
        <w:t xml:space="preserve">It </w:t>
      </w:r>
      <w:r w:rsidRPr="004C364D">
        <w:t>expected that the Commonwealth legacy issues would be resolved by 2017</w:t>
      </w:r>
      <w:r>
        <w:noBreakHyphen/>
      </w:r>
      <w:r w:rsidRPr="004C364D">
        <w:t>18. In this case</w:t>
      </w:r>
      <w:r>
        <w:t>,</w:t>
      </w:r>
      <w:r w:rsidRPr="004C364D">
        <w:t xml:space="preserve"> future Commonwealth funding would be treated as having an impact</w:t>
      </w:r>
      <w:r>
        <w:t xml:space="preserve"> on the relativities</w:t>
      </w:r>
      <w:r w:rsidRPr="004C364D">
        <w:t>.</w:t>
      </w:r>
    </w:p>
    <w:p w:rsidR="00BB3126" w:rsidRPr="004C364D" w:rsidRDefault="00BB3126" w:rsidP="00BB3126">
      <w:pPr>
        <w:pStyle w:val="21para"/>
      </w:pPr>
      <w:r w:rsidRPr="005031B2">
        <w:t>In its 2018 Update report, the</w:t>
      </w:r>
      <w:r>
        <w:t xml:space="preserve"> Commission noted </w:t>
      </w:r>
      <w:r w:rsidRPr="004C364D">
        <w:t xml:space="preserve">that funding arrangements </w:t>
      </w:r>
      <w:r>
        <w:t>for 2018</w:t>
      </w:r>
      <w:r>
        <w:noBreakHyphen/>
        <w:t>19 we</w:t>
      </w:r>
      <w:r w:rsidRPr="004C364D">
        <w:t xml:space="preserve">re still being negotiated. </w:t>
      </w:r>
      <w:r>
        <w:t>It would</w:t>
      </w:r>
      <w:r w:rsidRPr="004C364D">
        <w:t xml:space="preserve"> wait for the agreement to be finalised before consid</w:t>
      </w:r>
      <w:r>
        <w:t>ering changes to the assessment</w:t>
      </w:r>
      <w:r w:rsidRPr="004C364D">
        <w:t>.</w:t>
      </w:r>
    </w:p>
    <w:p w:rsidR="00BB3126" w:rsidRDefault="00BB3126" w:rsidP="00BB3126">
      <w:pPr>
        <w:pStyle w:val="21para"/>
      </w:pPr>
      <w:r>
        <w:t xml:space="preserve">The re-negotiated agreement — the </w:t>
      </w:r>
      <w:r w:rsidRPr="002A7E89">
        <w:t>National Partnership Agreement on Remote Housing (NPARH)</w:t>
      </w:r>
      <w:r>
        <w:t xml:space="preserve"> — provides funding of $550 million over five years from 2018-19 to the Northern Territory only. Based on advice from the Australian Treasury, the Commission expected the payment to be quarantined in the 2019 Update ToR. </w:t>
      </w:r>
    </w:p>
    <w:p w:rsidR="00BB3126" w:rsidRDefault="00BB3126" w:rsidP="00BB3126">
      <w:pPr>
        <w:pStyle w:val="21para"/>
      </w:pPr>
      <w:r w:rsidRPr="00C947B9">
        <w:rPr>
          <w:rStyle w:val="Heading6Char"/>
        </w:rPr>
        <w:t>State views.</w:t>
      </w:r>
      <w:r>
        <w:t xml:space="preserve"> The Northern Territory confirmed that it expected the payment to be quarantined in the 2019 Update ToR.</w:t>
      </w:r>
    </w:p>
    <w:p w:rsidR="00BB3126" w:rsidRDefault="00BB3126" w:rsidP="00BB3126">
      <w:pPr>
        <w:pStyle w:val="21para"/>
      </w:pPr>
      <w:r>
        <w:t>The Northern Territory considered that the new payment and its quarantining are</w:t>
      </w:r>
      <w:r w:rsidRPr="001C1B2B">
        <w:t xml:space="preserve"> major change</w:t>
      </w:r>
      <w:r>
        <w:t>s</w:t>
      </w:r>
      <w:r w:rsidRPr="001C1B2B">
        <w:t xml:space="preserve"> in </w:t>
      </w:r>
      <w:r>
        <w:t xml:space="preserve">Commonwealth-State </w:t>
      </w:r>
      <w:r w:rsidRPr="001C1B2B">
        <w:t>financial relations</w:t>
      </w:r>
      <w:r>
        <w:t>.</w:t>
      </w:r>
      <w:r w:rsidRPr="001C1B2B">
        <w:t xml:space="preserve"> </w:t>
      </w:r>
      <w:r>
        <w:t>It</w:t>
      </w:r>
      <w:r w:rsidRPr="001C1B2B">
        <w:t xml:space="preserve"> expect</w:t>
      </w:r>
      <w:r>
        <w:t>ed</w:t>
      </w:r>
      <w:r w:rsidRPr="001C1B2B">
        <w:t xml:space="preserve"> the </w:t>
      </w:r>
      <w:r>
        <w:t>Commission to backcast the no impact treatment to the payments made under NPARIH in the assessment years of the 2019 Update</w:t>
      </w:r>
      <w:r w:rsidRPr="001C1B2B">
        <w:t>.</w:t>
      </w:r>
    </w:p>
    <w:p w:rsidR="00BB3126" w:rsidRDefault="00BB3126" w:rsidP="00BB3126">
      <w:pPr>
        <w:pStyle w:val="21para"/>
      </w:pPr>
      <w:r>
        <w:rPr>
          <w:rStyle w:val="Heading6Char"/>
        </w:rPr>
        <w:t>Commission decision</w:t>
      </w:r>
      <w:r w:rsidRPr="00C947B9">
        <w:rPr>
          <w:rStyle w:val="Heading6Char"/>
        </w:rPr>
        <w:t>.</w:t>
      </w:r>
      <w:r>
        <w:t xml:space="preserve"> The Commission does not agree that the new payment and its treatment are major changes in Commonwealth-State financial relations. The NPARIH payments were relatively small, varying between $350 and $500 million per year. The difference between the old agreement and the new one is essentially the cessation of funding to Queensland, Western Australia and South Australia (worth $300 to $400 million).</w:t>
      </w:r>
    </w:p>
    <w:p w:rsidR="00BB3126" w:rsidRPr="00C21EF9" w:rsidRDefault="00BB3126" w:rsidP="00BB3126">
      <w:pPr>
        <w:pStyle w:val="21para"/>
      </w:pPr>
      <w:r>
        <w:t xml:space="preserve">The 2019 Update ToR </w:t>
      </w:r>
      <w:r w:rsidR="00911553">
        <w:t>directs</w:t>
      </w:r>
      <w:r>
        <w:t xml:space="preserve"> the Commission to exclude the NPARH payment from its calculation of relativities. The payment will not affect the relativities when it is paid in 2018-19.</w:t>
      </w:r>
    </w:p>
    <w:p w:rsidR="00BB3126" w:rsidRDefault="00BB3126" w:rsidP="00BB3126">
      <w:pPr>
        <w:pStyle w:val="Heading4"/>
      </w:pPr>
      <w:bookmarkStart w:id="759" w:name="_Toc531948655"/>
      <w:bookmarkStart w:id="760" w:name="_Toc531949286"/>
      <w:bookmarkStart w:id="761" w:name="_Toc532227246"/>
      <w:bookmarkStart w:id="762" w:name="_Toc532388163"/>
      <w:bookmarkStart w:id="763" w:name="_Toc532469277"/>
      <w:bookmarkStart w:id="764" w:name="_Toc536519653"/>
      <w:bookmarkStart w:id="765" w:name="_Toc536631363"/>
      <w:bookmarkStart w:id="766" w:name="_Toc536803205"/>
      <w:bookmarkStart w:id="767" w:name="_Toc536803293"/>
      <w:bookmarkStart w:id="768" w:name="_Toc1115167"/>
      <w:r>
        <w:lastRenderedPageBreak/>
        <w:t>Infrastructure investment program related payments</w:t>
      </w:r>
      <w:bookmarkEnd w:id="759"/>
      <w:bookmarkEnd w:id="760"/>
      <w:bookmarkEnd w:id="761"/>
      <w:bookmarkEnd w:id="762"/>
      <w:bookmarkEnd w:id="763"/>
      <w:bookmarkEnd w:id="764"/>
      <w:bookmarkEnd w:id="765"/>
      <w:bookmarkEnd w:id="766"/>
      <w:bookmarkEnd w:id="767"/>
      <w:bookmarkEnd w:id="768"/>
    </w:p>
    <w:p w:rsidR="00BB3126" w:rsidRDefault="00BB3126" w:rsidP="00BB3126">
      <w:pPr>
        <w:pStyle w:val="Heading5"/>
      </w:pPr>
      <w:bookmarkStart w:id="769" w:name="_Toc536803206"/>
      <w:bookmarkStart w:id="770" w:name="_Toc536803294"/>
      <w:r>
        <w:t>Re-allocation of Perth Freight Link infrastructure funding</w:t>
      </w:r>
      <w:bookmarkEnd w:id="769"/>
      <w:bookmarkEnd w:id="770"/>
    </w:p>
    <w:p w:rsidR="00BB3126" w:rsidRDefault="00BB3126" w:rsidP="00BB3126">
      <w:pPr>
        <w:pStyle w:val="21para"/>
      </w:pPr>
      <w:r w:rsidRPr="00CC67CF">
        <w:rPr>
          <w:rStyle w:val="Heading6Char"/>
        </w:rPr>
        <w:t>Background.</w:t>
      </w:r>
      <w:r>
        <w:t xml:space="preserve"> The 2018 Update ToR quarantined payments relating to the re</w:t>
      </w:r>
      <w:r>
        <w:noBreakHyphen/>
        <w:t>allocation of the Perth Freight Link infrastructure funding</w:t>
      </w:r>
      <w:r w:rsidRPr="00C824CF">
        <w:t>.</w:t>
      </w:r>
      <w:r>
        <w:t xml:space="preserve"> In the New issues paper, Commission staff quoted the Final Budget Outcome (FBO) amount for the </w:t>
      </w:r>
      <w:r w:rsidRPr="006A45E2">
        <w:t>rail component</w:t>
      </w:r>
      <w:r>
        <w:t xml:space="preserve"> of $509.0 million paid in 2017-18. While the payment for the re-allocated Perth Freight Link was $513.3 million, there was an </w:t>
      </w:r>
      <w:r w:rsidRPr="00EC75EE">
        <w:t>offset</w:t>
      </w:r>
      <w:r w:rsidR="00911553">
        <w:t xml:space="preserve"> payment</w:t>
      </w:r>
      <w:r w:rsidRPr="00EC75EE">
        <w:t xml:space="preserve"> </w:t>
      </w:r>
      <w:r>
        <w:t>of</w:t>
      </w:r>
      <w:r w:rsidRPr="00EC75EE">
        <w:t xml:space="preserve"> $4.3</w:t>
      </w:r>
      <w:r>
        <w:t xml:space="preserve"> </w:t>
      </w:r>
      <w:r w:rsidRPr="00EC75EE">
        <w:t>m</w:t>
      </w:r>
      <w:r>
        <w:t>illion made in the previous year.</w:t>
      </w:r>
    </w:p>
    <w:p w:rsidR="00BB3126" w:rsidRDefault="00BB3126" w:rsidP="00BB3126">
      <w:pPr>
        <w:pStyle w:val="21para"/>
      </w:pPr>
      <w:r w:rsidRPr="00036C02">
        <w:rPr>
          <w:rStyle w:val="Heading6Char"/>
        </w:rPr>
        <w:t>State views.</w:t>
      </w:r>
      <w:r>
        <w:t xml:space="preserve"> Western Australia said that the amount quarantined should be $513.3 million.</w:t>
      </w:r>
    </w:p>
    <w:p w:rsidR="00BB3126" w:rsidRDefault="00BB3126" w:rsidP="00BB3126">
      <w:pPr>
        <w:pStyle w:val="21para"/>
      </w:pPr>
      <w:r>
        <w:rPr>
          <w:rStyle w:val="Heading6Char"/>
        </w:rPr>
        <w:t>Commission decision</w:t>
      </w:r>
      <w:r w:rsidRPr="00036C02">
        <w:rPr>
          <w:rStyle w:val="Heading6Char"/>
        </w:rPr>
        <w:t>.</w:t>
      </w:r>
      <w:r>
        <w:t xml:space="preserve"> The Commission uses the data published in FBO to compile its adjusted budget Commonwealth payments. However, based on Western Australia’s submission and information from the</w:t>
      </w:r>
      <w:r w:rsidRPr="006A45E2">
        <w:t xml:space="preserve"> </w:t>
      </w:r>
      <w:r>
        <w:t>Department of Infrastructure, Regional Development and Cities (DIRDC), it has used $513.3 million in its calculations.</w:t>
      </w:r>
    </w:p>
    <w:p w:rsidR="00BB3126" w:rsidRDefault="00BB3126" w:rsidP="00BB3126">
      <w:pPr>
        <w:pStyle w:val="Heading5"/>
      </w:pPr>
      <w:bookmarkStart w:id="771" w:name="_Toc536803207"/>
      <w:bookmarkStart w:id="772" w:name="_Toc536803295"/>
      <w:r>
        <w:t>R</w:t>
      </w:r>
      <w:r w:rsidRPr="006A45E2">
        <w:t xml:space="preserve">ail </w:t>
      </w:r>
      <w:r>
        <w:t xml:space="preserve">investment </w:t>
      </w:r>
      <w:r w:rsidRPr="006A45E2">
        <w:t>component to South Australia</w:t>
      </w:r>
      <w:bookmarkEnd w:id="771"/>
      <w:bookmarkEnd w:id="772"/>
    </w:p>
    <w:p w:rsidR="00BB3126" w:rsidRDefault="00BB3126" w:rsidP="00BB3126">
      <w:pPr>
        <w:pStyle w:val="21para"/>
      </w:pPr>
      <w:r w:rsidRPr="00C47AD6">
        <w:rPr>
          <w:rStyle w:val="Heading6Char"/>
        </w:rPr>
        <w:t>Background.</w:t>
      </w:r>
      <w:r w:rsidRPr="007F33C7">
        <w:t xml:space="preserve"> In 2017-18, South Australia rec</w:t>
      </w:r>
      <w:r>
        <w:t xml:space="preserve">eived funding of $170.4 million </w:t>
      </w:r>
      <w:r w:rsidRPr="007F33C7">
        <w:t xml:space="preserve">for the grade separation of the Australian Rail Track Corporation’s (ARTC) interstate rail line and </w:t>
      </w:r>
      <w:r>
        <w:t>commuter</w:t>
      </w:r>
      <w:r w:rsidRPr="007F33C7">
        <w:t xml:space="preserve"> rail lines at the Goodwood and Torrens rail junctions.</w:t>
      </w:r>
      <w:r>
        <w:t xml:space="preserve"> </w:t>
      </w:r>
    </w:p>
    <w:p w:rsidR="00BB3126" w:rsidRDefault="00BB3126" w:rsidP="00BB3126">
      <w:pPr>
        <w:pStyle w:val="21para"/>
      </w:pPr>
      <w:r>
        <w:t>This project is determined to be off the National Rail Network (NRN) by DIRDC. As such, Commission staff proposed the full amount of payment should affect the relativities.</w:t>
      </w:r>
    </w:p>
    <w:p w:rsidR="00BB3126" w:rsidRDefault="00BB3126" w:rsidP="00BB3126">
      <w:pPr>
        <w:pStyle w:val="21para"/>
      </w:pPr>
      <w:r w:rsidRPr="00BC2731">
        <w:rPr>
          <w:rStyle w:val="Heading6Char"/>
        </w:rPr>
        <w:t>State views.</w:t>
      </w:r>
      <w:r>
        <w:t xml:space="preserve"> South Australia noted that the purpose of this project is to improve the efficiency of a key freight route on the NRN. Without the grade separation, </w:t>
      </w:r>
      <w:r w:rsidRPr="005E27FD">
        <w:t>trains on the ARTC</w:t>
      </w:r>
      <w:r>
        <w:t xml:space="preserve"> </w:t>
      </w:r>
      <w:r w:rsidRPr="005E27FD">
        <w:t>line have to give way to passenger trains</w:t>
      </w:r>
      <w:r>
        <w:t xml:space="preserve">. Furthermore, separating the freight from the commuter network increases the average speed and length of the trains using the freight corridor, thus facilitating </w:t>
      </w:r>
      <w:r w:rsidRPr="00CC5BE0">
        <w:t>inter</w:t>
      </w:r>
      <w:r>
        <w:noBreakHyphen/>
      </w:r>
      <w:r w:rsidRPr="00CC5BE0">
        <w:t>State</w:t>
      </w:r>
      <w:r>
        <w:t xml:space="preserve"> commerce.</w:t>
      </w:r>
    </w:p>
    <w:p w:rsidR="00BB3126" w:rsidRDefault="00BB3126" w:rsidP="00BB3126">
      <w:pPr>
        <w:pStyle w:val="21para"/>
      </w:pPr>
      <w:r>
        <w:t xml:space="preserve">It argued that only 50% of the payment should affect the relativities because it is an NRN-related construction project. </w:t>
      </w:r>
    </w:p>
    <w:p w:rsidR="00BB3126" w:rsidRDefault="00BB3126" w:rsidP="00BB3126">
      <w:pPr>
        <w:pStyle w:val="21para"/>
      </w:pPr>
      <w:r>
        <w:rPr>
          <w:rStyle w:val="Heading6Char"/>
        </w:rPr>
        <w:t>Commission decision</w:t>
      </w:r>
      <w:r w:rsidRPr="00036C02">
        <w:rPr>
          <w:rStyle w:val="Heading6Char"/>
        </w:rPr>
        <w:t>.</w:t>
      </w:r>
      <w:r>
        <w:t xml:space="preserve"> In the 2015 Review Report, the Commission said it would rely on advice from </w:t>
      </w:r>
      <w:r w:rsidRPr="00CB0095">
        <w:t xml:space="preserve">the </w:t>
      </w:r>
      <w:r>
        <w:t xml:space="preserve">(then) </w:t>
      </w:r>
      <w:r w:rsidRPr="00CB0095">
        <w:t xml:space="preserve">Department </w:t>
      </w:r>
      <w:r>
        <w:t xml:space="preserve">of Infrastructure and Regional Development (DIRD) to decide which projects were national network projects. </w:t>
      </w:r>
    </w:p>
    <w:p w:rsidR="00BB3126" w:rsidRDefault="00BB3126" w:rsidP="00BB3126">
      <w:pPr>
        <w:pStyle w:val="21para"/>
      </w:pPr>
      <w:r>
        <w:t>Commission staff have</w:t>
      </w:r>
      <w:r w:rsidRPr="00586C98">
        <w:t xml:space="preserve"> consulted DIRDC on the treatment of this payment. </w:t>
      </w:r>
      <w:r>
        <w:t>DIRDC</w:t>
      </w:r>
      <w:r w:rsidRPr="00586C98">
        <w:t xml:space="preserve"> </w:t>
      </w:r>
      <w:r>
        <w:t>said</w:t>
      </w:r>
      <w:r w:rsidRPr="00586C98">
        <w:t xml:space="preserve"> this payment was determined to be ‘off-network’ because the works involved in this project were primarily on the commuter rail line, despite the fact that there may be </w:t>
      </w:r>
      <w:r w:rsidRPr="00586C98">
        <w:lastRenderedPageBreak/>
        <w:t>flow on benefits for the freight rail network. The ass</w:t>
      </w:r>
      <w:r w:rsidR="00911553">
        <w:t>ignment of this project as ‘off</w:t>
      </w:r>
      <w:r w:rsidR="00911553">
        <w:noBreakHyphen/>
      </w:r>
      <w:r w:rsidRPr="00586C98">
        <w:t xml:space="preserve">network’ was a ministerial decision, and South Australia has not made any formal submissions to the minister regarding the treatment of this payment. </w:t>
      </w:r>
      <w:r>
        <w:t>Based on the advice from DIRDC, the Commission has treated</w:t>
      </w:r>
      <w:r w:rsidRPr="00586C98">
        <w:t xml:space="preserve"> the full amount of this payment as having an impact on the relativities.</w:t>
      </w:r>
    </w:p>
    <w:p w:rsidR="00BB3126" w:rsidRDefault="00BB3126" w:rsidP="00BB3126">
      <w:pPr>
        <w:pStyle w:val="Heading4"/>
      </w:pPr>
      <w:bookmarkStart w:id="773" w:name="_Toc531948656"/>
      <w:bookmarkStart w:id="774" w:name="_Toc531949287"/>
      <w:bookmarkStart w:id="775" w:name="_Toc532227247"/>
      <w:bookmarkStart w:id="776" w:name="_Toc532388164"/>
      <w:bookmarkStart w:id="777" w:name="_Toc532469278"/>
      <w:bookmarkStart w:id="778" w:name="_Toc536519654"/>
      <w:bookmarkStart w:id="779" w:name="_Toc536631364"/>
      <w:bookmarkStart w:id="780" w:name="_Toc536803208"/>
      <w:bookmarkStart w:id="781" w:name="_Toc536803296"/>
      <w:bookmarkStart w:id="782" w:name="_Toc1115168"/>
      <w:r>
        <w:t>Wi-Fi and mobile coverage on trains</w:t>
      </w:r>
      <w:bookmarkEnd w:id="773"/>
      <w:bookmarkEnd w:id="774"/>
      <w:bookmarkEnd w:id="775"/>
      <w:bookmarkEnd w:id="776"/>
      <w:bookmarkEnd w:id="777"/>
      <w:bookmarkEnd w:id="778"/>
      <w:bookmarkEnd w:id="779"/>
      <w:bookmarkEnd w:id="780"/>
      <w:bookmarkEnd w:id="781"/>
      <w:bookmarkEnd w:id="782"/>
    </w:p>
    <w:p w:rsidR="00BB3126" w:rsidRPr="00C7643D" w:rsidRDefault="00BB3126" w:rsidP="00BB3126">
      <w:pPr>
        <w:pStyle w:val="21para"/>
        <w:rPr>
          <w:sz w:val="22"/>
        </w:rPr>
      </w:pPr>
      <w:r w:rsidRPr="00C47AD6">
        <w:rPr>
          <w:rStyle w:val="Heading6Char"/>
        </w:rPr>
        <w:t>Background.</w:t>
      </w:r>
      <w:r w:rsidRPr="007F33C7">
        <w:t xml:space="preserve"> </w:t>
      </w:r>
      <w:r>
        <w:t xml:space="preserve">The purpose of this payment is to establish continuous internet connectivity on station platforms, and mobile coverage in trains, for the train route between Hornsby and Wyong. The Commonwealth will contribute $12 million and New South Wales will contribute $4 million towards the project. </w:t>
      </w:r>
      <w:r w:rsidRPr="00E24362">
        <w:t>Funds will be used to subsidise the provision of internet capacity by telecommunications companies along the route with the assets constructed being the property of the</w:t>
      </w:r>
      <w:r>
        <w:t xml:space="preserve"> telecommunications companies. $2 million was paid to New South Wales in 2017-18.</w:t>
      </w:r>
    </w:p>
    <w:p w:rsidR="00BB3126" w:rsidRPr="00C7643D" w:rsidRDefault="00BB3126" w:rsidP="00BB3126">
      <w:pPr>
        <w:pStyle w:val="21para"/>
      </w:pPr>
      <w:r w:rsidRPr="00C7643D">
        <w:rPr>
          <w:iCs/>
        </w:rPr>
        <w:t>Comm</w:t>
      </w:r>
      <w:r>
        <w:rPr>
          <w:iCs/>
        </w:rPr>
        <w:t>ission staff proposed this payment should affect the relativities.</w:t>
      </w:r>
    </w:p>
    <w:p w:rsidR="00BB3126" w:rsidRDefault="00BB3126" w:rsidP="00BB3126">
      <w:pPr>
        <w:pStyle w:val="21para"/>
      </w:pPr>
      <w:r w:rsidRPr="00C47AD6">
        <w:rPr>
          <w:rStyle w:val="Heading6Char"/>
        </w:rPr>
        <w:t>State views.</w:t>
      </w:r>
      <w:r>
        <w:t xml:space="preserve"> New South Wales argued that the payment should not affect the relativities because the arrangements are of a telecommunications nature, do not fund State-like services and are outside the scope of the Commission’s assessments, and the assets created are not the property of the New South Wales government. </w:t>
      </w:r>
    </w:p>
    <w:p w:rsidR="00BB3126" w:rsidRDefault="00BB3126" w:rsidP="00BB3126">
      <w:pPr>
        <w:pStyle w:val="21para"/>
      </w:pPr>
      <w:r>
        <w:rPr>
          <w:rStyle w:val="Heading6Char"/>
        </w:rPr>
        <w:t>Commission decision</w:t>
      </w:r>
      <w:r w:rsidRPr="00036C02">
        <w:rPr>
          <w:rStyle w:val="Heading6Char"/>
        </w:rPr>
        <w:t>.</w:t>
      </w:r>
      <w:r>
        <w:t xml:space="preserve"> This program covers the implementation of Wi-Fi on a specific train line and the improvement of mobile coverage in the Central Coast area.</w:t>
      </w:r>
    </w:p>
    <w:p w:rsidR="00BB3126" w:rsidRDefault="00BB3126" w:rsidP="00BB3126">
      <w:pPr>
        <w:pStyle w:val="21para"/>
      </w:pPr>
      <w:r>
        <w:t>States typically provide Wi-Fi services on their bus and train networks. Spending on these services would be recorded in urban transport expenses and needs are assessed.</w:t>
      </w:r>
    </w:p>
    <w:p w:rsidR="00BB3126" w:rsidRDefault="00BB3126" w:rsidP="00BB3126">
      <w:pPr>
        <w:pStyle w:val="21para"/>
      </w:pPr>
      <w:r>
        <w:t>Spending on mobile communication are included in the Other expenses category</w:t>
      </w:r>
      <w:r w:rsidRPr="00263EAC">
        <w:rPr>
          <w:vertAlign w:val="superscript"/>
        </w:rPr>
        <w:footnoteReference w:id="17"/>
      </w:r>
      <w:r>
        <w:t xml:space="preserve"> and assessed with a regional costs factor. This is a reasonable broad assessment of needs. The ownership of assets is not relevant.</w:t>
      </w:r>
    </w:p>
    <w:p w:rsidR="00BB3126" w:rsidRDefault="00BB3126" w:rsidP="00BB3126">
      <w:pPr>
        <w:pStyle w:val="21para"/>
      </w:pPr>
      <w:r>
        <w:t xml:space="preserve">The Commission has treated this payment as having an impact on the relativities because the payment </w:t>
      </w:r>
      <w:r w:rsidRPr="000C5404">
        <w:t>support</w:t>
      </w:r>
      <w:r>
        <w:t>s</w:t>
      </w:r>
      <w:r w:rsidRPr="000C5404">
        <w:t xml:space="preserve"> State services and </w:t>
      </w:r>
      <w:r>
        <w:t xml:space="preserve">needs </w:t>
      </w:r>
      <w:r w:rsidRPr="000C5404">
        <w:t>are assessed</w:t>
      </w:r>
      <w:r>
        <w:t>.</w:t>
      </w:r>
    </w:p>
    <w:p w:rsidR="00BB3126" w:rsidRDefault="00BB3126" w:rsidP="00BB3126">
      <w:pPr>
        <w:pStyle w:val="Heading4"/>
      </w:pPr>
      <w:bookmarkStart w:id="783" w:name="_Toc531948657"/>
      <w:bookmarkStart w:id="784" w:name="_Toc531949288"/>
      <w:bookmarkStart w:id="785" w:name="_Toc532227248"/>
      <w:bookmarkStart w:id="786" w:name="_Toc532388165"/>
      <w:bookmarkStart w:id="787" w:name="_Toc532469279"/>
      <w:bookmarkStart w:id="788" w:name="_Toc536519655"/>
      <w:bookmarkStart w:id="789" w:name="_Toc536631365"/>
      <w:bookmarkStart w:id="790" w:name="_Toc536803209"/>
      <w:bookmarkStart w:id="791" w:name="_Toc536803297"/>
      <w:bookmarkStart w:id="792" w:name="_Toc1115169"/>
      <w:r>
        <w:t>Hydrogen energy supply chain pilot pro</w:t>
      </w:r>
      <w:bookmarkEnd w:id="783"/>
      <w:bookmarkEnd w:id="784"/>
      <w:bookmarkEnd w:id="785"/>
      <w:bookmarkEnd w:id="786"/>
      <w:bookmarkEnd w:id="787"/>
      <w:r>
        <w:t>ject</w:t>
      </w:r>
      <w:bookmarkEnd w:id="788"/>
      <w:bookmarkEnd w:id="789"/>
      <w:bookmarkEnd w:id="790"/>
      <w:bookmarkEnd w:id="791"/>
      <w:bookmarkEnd w:id="792"/>
    </w:p>
    <w:p w:rsidR="00BB3126" w:rsidRDefault="00BB3126" w:rsidP="00BB3126">
      <w:pPr>
        <w:pStyle w:val="21para"/>
      </w:pPr>
      <w:r w:rsidRPr="00CC67CF">
        <w:rPr>
          <w:rStyle w:val="Heading6Char"/>
        </w:rPr>
        <w:t>Background.</w:t>
      </w:r>
      <w:r>
        <w:t xml:space="preserve"> The payment is for a Hydrogen Energy Supply Chain (HESC) pilot project to demonstrate the feasibility of a hydrogen energy supply chain based on gasification of brown coal to produce liquid hydrogen for use in Japan. The Australian </w:t>
      </w:r>
      <w:r>
        <w:lastRenderedPageBreak/>
        <w:t>and Victorian governments are each providing $50 million in funding to the $496 million pilot project, which is co-funded by a Japanese consortium led by Kawasaki Heavy Industries (KHI), and the Japanese Government.</w:t>
      </w:r>
      <w:r>
        <w:rPr>
          <w:rStyle w:val="FootnoteReference"/>
        </w:rPr>
        <w:footnoteReference w:id="18"/>
      </w:r>
      <w:r>
        <w:t xml:space="preserve"> The Commonwealth is providing its contribution through the Victorian Government. An Intergovernmental Steering Committee will oversee the agreement. Under the agreement, the Commonwealth will be entitled to receive intellectual property (IP) rights equivalent to any afforded to Victoria.</w:t>
      </w:r>
      <w:r>
        <w:rPr>
          <w:rStyle w:val="FootnoteReference"/>
        </w:rPr>
        <w:footnoteReference w:id="19"/>
      </w:r>
    </w:p>
    <w:p w:rsidR="00BB3126" w:rsidRDefault="00BB3126" w:rsidP="00BB3126">
      <w:pPr>
        <w:pStyle w:val="21para"/>
      </w:pPr>
      <w:r>
        <w:t>Commission staff proposed this payment should not affect the relativities because it is for a trial program for which needs are not assessed.</w:t>
      </w:r>
    </w:p>
    <w:p w:rsidR="00BB3126" w:rsidRDefault="00BB3126" w:rsidP="00BB3126">
      <w:pPr>
        <w:pStyle w:val="21para"/>
      </w:pPr>
      <w:r w:rsidRPr="0002402A">
        <w:rPr>
          <w:rStyle w:val="Heading6Char"/>
        </w:rPr>
        <w:t xml:space="preserve">State views. </w:t>
      </w:r>
      <w:r>
        <w:t xml:space="preserve">Western Australia presumed that this payment is classed as environmental protection, therefore needs are not assessed. It said this payment should be classified as </w:t>
      </w:r>
      <w:r w:rsidRPr="00596EE1">
        <w:t xml:space="preserve">business development, </w:t>
      </w:r>
      <w:r w:rsidRPr="00CC67CF">
        <w:t>for which the C</w:t>
      </w:r>
      <w:r>
        <w:t>ommission</w:t>
      </w:r>
      <w:r w:rsidRPr="00CC67CF">
        <w:t xml:space="preserve"> has a deliberative </w:t>
      </w:r>
      <w:r>
        <w:t>EPC assessment.</w:t>
      </w:r>
      <w:r w:rsidRPr="00CC67CF">
        <w:t xml:space="preserve"> Hence, this payment should </w:t>
      </w:r>
      <w:r>
        <w:t>affect</w:t>
      </w:r>
      <w:r w:rsidRPr="00CC67CF">
        <w:t xml:space="preserve"> the relativities.</w:t>
      </w:r>
    </w:p>
    <w:p w:rsidR="00BB3126" w:rsidRDefault="00BB3126" w:rsidP="00BB3126">
      <w:pPr>
        <w:pStyle w:val="21para"/>
      </w:pPr>
      <w:r>
        <w:rPr>
          <w:rStyle w:val="Heading6Char"/>
        </w:rPr>
        <w:t>Commission decision</w:t>
      </w:r>
      <w:r w:rsidRPr="00036C02">
        <w:rPr>
          <w:rStyle w:val="Heading6Char"/>
        </w:rPr>
        <w:t>.</w:t>
      </w:r>
      <w:r>
        <w:t xml:space="preserve"> This payment is classified as business development in the Services to industry category. These expenses are assessed EPC because population is considered the appropriate driver.</w:t>
      </w:r>
    </w:p>
    <w:p w:rsidR="00BB3126" w:rsidRDefault="00BB3126" w:rsidP="00BB3126">
      <w:pPr>
        <w:pStyle w:val="21para"/>
      </w:pPr>
      <w:r>
        <w:t>The Commonwealth and Victoria are collaborating with industry to demonstrate the feasibility of a HESC based on gasification of brown coal to produce liquid hydrogen for use in Japan. Although one of the stated benefits of the project is to create more jobs in the LaTrobe Valley, the Commonwealth contribution supports its own priority to diversify Australia’s energy sources. Under the agreement, the Commonwealth will receive IP rights equivalent to any afforded to Victoria. The Commission has treated this payment as having no impact on the relativities because the payment is to support a Commonwealth priority and its contribution entitles it to receive a share of any IP rights arising from the project.</w:t>
      </w:r>
    </w:p>
    <w:p w:rsidR="00BB3126" w:rsidRDefault="00BB3126" w:rsidP="00BB3126">
      <w:pPr>
        <w:pStyle w:val="Heading4"/>
      </w:pPr>
      <w:bookmarkStart w:id="793" w:name="_Toc532388166"/>
      <w:bookmarkStart w:id="794" w:name="_Toc532469280"/>
      <w:bookmarkStart w:id="795" w:name="_Toc536519656"/>
      <w:bookmarkStart w:id="796" w:name="_Toc536631366"/>
      <w:bookmarkStart w:id="797" w:name="_Toc536803210"/>
      <w:bookmarkStart w:id="798" w:name="_Toc536803298"/>
      <w:bookmarkStart w:id="799" w:name="_Toc1115170"/>
      <w:r>
        <w:t>Kamay 250</w:t>
      </w:r>
      <w:r w:rsidRPr="00352CE2">
        <w:rPr>
          <w:vertAlign w:val="superscript"/>
        </w:rPr>
        <w:t>th</w:t>
      </w:r>
      <w:r>
        <w:rPr>
          <w:vertAlign w:val="superscript"/>
        </w:rPr>
        <w:t xml:space="preserve"> </w:t>
      </w:r>
      <w:r>
        <w:t>anniversary project</w:t>
      </w:r>
      <w:bookmarkEnd w:id="793"/>
      <w:bookmarkEnd w:id="794"/>
      <w:bookmarkEnd w:id="795"/>
      <w:bookmarkEnd w:id="796"/>
      <w:bookmarkEnd w:id="797"/>
      <w:bookmarkEnd w:id="798"/>
      <w:bookmarkEnd w:id="799"/>
      <w:r>
        <w:t xml:space="preserve"> </w:t>
      </w:r>
    </w:p>
    <w:p w:rsidR="00BB3126" w:rsidRDefault="00BB3126" w:rsidP="00BB3126">
      <w:pPr>
        <w:pStyle w:val="21para"/>
      </w:pPr>
      <w:r w:rsidRPr="003C0869">
        <w:rPr>
          <w:rStyle w:val="Heading6Char"/>
        </w:rPr>
        <w:t>Background.</w:t>
      </w:r>
      <w:r>
        <w:t xml:space="preserve"> The Commonwealth and New South Wales are providing equal shares of funding ($25 million each in 2017-18) for the </w:t>
      </w:r>
      <w:r w:rsidRPr="00352CE2">
        <w:t>construction of a new commemorative monument and</w:t>
      </w:r>
      <w:r>
        <w:t xml:space="preserve"> </w:t>
      </w:r>
      <w:r w:rsidRPr="00352CE2">
        <w:t>upgrade of infrastructure as part of the Kamay Botany Bay National Park, Kurnell Master</w:t>
      </w:r>
      <w:r>
        <w:t xml:space="preserve"> </w:t>
      </w:r>
      <w:r w:rsidRPr="00352CE2">
        <w:t>Plan, to commemorate the 250</w:t>
      </w:r>
      <w:r w:rsidRPr="00572C8D">
        <w:rPr>
          <w:vertAlign w:val="superscript"/>
        </w:rPr>
        <w:t>th</w:t>
      </w:r>
      <w:r w:rsidRPr="00352CE2">
        <w:t xml:space="preserve"> anniversary of Captain James Cook’s landing at Kurnell.</w:t>
      </w:r>
      <w:r>
        <w:t xml:space="preserve"> Commission staff proposed </w:t>
      </w:r>
      <w:r>
        <w:lastRenderedPageBreak/>
        <w:t>this payment should affect the relativities because it supports a normal State function and needs are assessed.</w:t>
      </w:r>
    </w:p>
    <w:p w:rsidR="00BB3126" w:rsidRDefault="00BB3126" w:rsidP="00BB3126">
      <w:pPr>
        <w:pStyle w:val="21para"/>
      </w:pPr>
      <w:r w:rsidRPr="00572C8D">
        <w:rPr>
          <w:rStyle w:val="Heading6Char"/>
        </w:rPr>
        <w:t>State views.</w:t>
      </w:r>
      <w:r>
        <w:t xml:space="preserve"> Queensland argued that this payment should be classified as a national parks and wildlife expense and should therefore be treated as having no impact on the relativities because needs are not assessed. New South Wales and other States did not comment.</w:t>
      </w:r>
    </w:p>
    <w:p w:rsidR="00BB3126" w:rsidRDefault="00BB3126" w:rsidP="00BB3126">
      <w:pPr>
        <w:pStyle w:val="21para"/>
      </w:pPr>
      <w:r>
        <w:rPr>
          <w:rStyle w:val="Heading6Char"/>
        </w:rPr>
        <w:t>Commission decision</w:t>
      </w:r>
      <w:r w:rsidRPr="00036C02">
        <w:rPr>
          <w:rStyle w:val="Heading6Char"/>
        </w:rPr>
        <w:t>.</w:t>
      </w:r>
      <w:r>
        <w:t xml:space="preserve"> This is considered cultural and recreation expenditure. </w:t>
      </w:r>
      <w:r w:rsidRPr="00744E05">
        <w:t xml:space="preserve">States regularly provide support for </w:t>
      </w:r>
      <w:r w:rsidRPr="008D2306">
        <w:t xml:space="preserve">culture and recreation </w:t>
      </w:r>
      <w:r>
        <w:t>services, including commemorative art. The Commission has treated the payment as having an impact on the relativities as s</w:t>
      </w:r>
      <w:r w:rsidRPr="00744E05">
        <w:t xml:space="preserve">pending on culture and recreation is a normal State function for which needs are assessed </w:t>
      </w:r>
      <w:r>
        <w:t>in the Other expenses category.</w:t>
      </w:r>
    </w:p>
    <w:p w:rsidR="00BB3126" w:rsidRDefault="00BB3126" w:rsidP="00BB3126">
      <w:pPr>
        <w:pStyle w:val="Heading4"/>
      </w:pPr>
      <w:bookmarkStart w:id="800" w:name="_Toc531948658"/>
      <w:bookmarkStart w:id="801" w:name="_Toc531949289"/>
      <w:bookmarkStart w:id="802" w:name="_Toc532227249"/>
      <w:bookmarkStart w:id="803" w:name="_Toc532388167"/>
      <w:bookmarkStart w:id="804" w:name="_Toc532469281"/>
      <w:bookmarkStart w:id="805" w:name="_Toc536519657"/>
      <w:bookmarkStart w:id="806" w:name="_Toc536631367"/>
      <w:bookmarkStart w:id="807" w:name="_Toc536803211"/>
      <w:bookmarkStart w:id="808" w:name="_Toc536803299"/>
      <w:bookmarkStart w:id="809" w:name="_Toc1115171"/>
      <w:r>
        <w:t>South Sydney Rabbitohs’ Centre of Excellence</w:t>
      </w:r>
      <w:bookmarkEnd w:id="800"/>
      <w:bookmarkEnd w:id="801"/>
      <w:bookmarkEnd w:id="802"/>
      <w:bookmarkEnd w:id="803"/>
      <w:bookmarkEnd w:id="804"/>
      <w:bookmarkEnd w:id="805"/>
      <w:bookmarkEnd w:id="806"/>
      <w:bookmarkEnd w:id="807"/>
      <w:bookmarkEnd w:id="808"/>
      <w:bookmarkEnd w:id="809"/>
    </w:p>
    <w:p w:rsidR="00BB3126" w:rsidRDefault="00BB3126" w:rsidP="00BB3126">
      <w:pPr>
        <w:pStyle w:val="21para"/>
      </w:pPr>
      <w:r w:rsidRPr="003C0869">
        <w:rPr>
          <w:rStyle w:val="Heading6Char"/>
        </w:rPr>
        <w:t>Background.</w:t>
      </w:r>
      <w:r>
        <w:t xml:space="preserve"> This program supports the</w:t>
      </w:r>
      <w:r w:rsidRPr="00C22D63">
        <w:t xml:space="preserve"> </w:t>
      </w:r>
      <w:r w:rsidRPr="00DA6611">
        <w:t>Centre of Excellence, which houses a community and administration centre, as well as a football development department with elite facilities.</w:t>
      </w:r>
      <w:r>
        <w:t xml:space="preserve"> The Commonwealth is contributing $10 million over three years. The total cost of the project is $17 million. The Randwick City Council and the South Sydney Members Rugby League Football Club Limited will provide the balance of funds for the project.</w:t>
      </w:r>
    </w:p>
    <w:p w:rsidR="00BB3126" w:rsidRDefault="00BB3126" w:rsidP="00BB3126">
      <w:pPr>
        <w:pStyle w:val="21para"/>
      </w:pPr>
      <w:r>
        <w:t>Commission staff proposed this payment should affect the relativities because it supports a normal State function and needs are assessed.</w:t>
      </w:r>
    </w:p>
    <w:p w:rsidR="00BB3126" w:rsidRDefault="00BB3126" w:rsidP="00BB3126">
      <w:pPr>
        <w:pStyle w:val="21para"/>
      </w:pPr>
      <w:r w:rsidRPr="000005B7">
        <w:rPr>
          <w:rStyle w:val="Heading6Char"/>
        </w:rPr>
        <w:t>State views.</w:t>
      </w:r>
      <w:r>
        <w:t xml:space="preserve"> New South Wales said it had limited roles under the agreement and made no financial contribution to the project. The purpose of the </w:t>
      </w:r>
      <w:r w:rsidRPr="006B1075">
        <w:t xml:space="preserve">payment </w:t>
      </w:r>
      <w:r>
        <w:t xml:space="preserve">was </w:t>
      </w:r>
      <w:r w:rsidRPr="006B1075">
        <w:t>to give e</w:t>
      </w:r>
      <w:r>
        <w:t>ffect to Commonwealth</w:t>
      </w:r>
      <w:r w:rsidRPr="006B1075">
        <w:t xml:space="preserve"> priorities and d</w:t>
      </w:r>
      <w:r>
        <w:t xml:space="preserve">id </w:t>
      </w:r>
      <w:r w:rsidRPr="006B1075">
        <w:t>not</w:t>
      </w:r>
      <w:r>
        <w:t xml:space="preserve"> relate to the provision of S</w:t>
      </w:r>
      <w:r w:rsidRPr="006B1075">
        <w:t>tate</w:t>
      </w:r>
      <w:r>
        <w:noBreakHyphen/>
      </w:r>
      <w:r w:rsidRPr="006B1075">
        <w:t>like services.</w:t>
      </w:r>
      <w:r>
        <w:t xml:space="preserve"> It argued this payment should be treated as having no impact on the relativities.</w:t>
      </w:r>
    </w:p>
    <w:p w:rsidR="00BB3126" w:rsidRDefault="00BB3126" w:rsidP="00BB3126">
      <w:pPr>
        <w:pStyle w:val="21para"/>
      </w:pPr>
      <w:r>
        <w:rPr>
          <w:rStyle w:val="Heading6Char"/>
        </w:rPr>
        <w:t>Commission decision</w:t>
      </w:r>
      <w:r w:rsidRPr="00036C02">
        <w:rPr>
          <w:rStyle w:val="Heading6Char"/>
        </w:rPr>
        <w:t>.</w:t>
      </w:r>
      <w:r>
        <w:t xml:space="preserve"> </w:t>
      </w:r>
      <w:r w:rsidRPr="00744E05">
        <w:t xml:space="preserve">States regularly provide support for the construction of sporting facilities within their jurisdictions. </w:t>
      </w:r>
      <w:r>
        <w:t>However, the agreement for this payment specifies that the New South Wales government’s role is to pass on the Commonwealth’s financial contribution, monitor and report on the delivery of outputs. On this occasion, the State is simply acting as an intermediary. For this reason, the Commission</w:t>
      </w:r>
      <w:r w:rsidRPr="00744E05">
        <w:t xml:space="preserve"> </w:t>
      </w:r>
      <w:r>
        <w:t>has treated the payment as not having an impact on</w:t>
      </w:r>
      <w:r w:rsidRPr="00744E05">
        <w:t xml:space="preserve"> the relativities.</w:t>
      </w:r>
    </w:p>
    <w:p w:rsidR="00BB3126" w:rsidRDefault="00BB3126" w:rsidP="00BB3126">
      <w:pPr>
        <w:pStyle w:val="Heading3"/>
      </w:pPr>
      <w:bookmarkStart w:id="810" w:name="_Toc531948640"/>
      <w:bookmarkStart w:id="811" w:name="_Toc531949271"/>
      <w:bookmarkStart w:id="812" w:name="_Toc532227231"/>
      <w:bookmarkStart w:id="813" w:name="_Toc532388148"/>
      <w:bookmarkStart w:id="814" w:name="_Toc532469262"/>
      <w:bookmarkStart w:id="815" w:name="_Toc536519658"/>
      <w:bookmarkStart w:id="816" w:name="_Toc536631368"/>
      <w:bookmarkStart w:id="817" w:name="_Toc536803212"/>
      <w:bookmarkStart w:id="818" w:name="_Toc536803300"/>
      <w:bookmarkStart w:id="819" w:name="_Toc1115172"/>
      <w:r>
        <w:lastRenderedPageBreak/>
        <w:t>C</w:t>
      </w:r>
      <w:r w:rsidRPr="00767FB5">
        <w:t>hanges</w:t>
      </w:r>
      <w:r>
        <w:t xml:space="preserve"> in the adjusted budget</w:t>
      </w:r>
      <w:bookmarkEnd w:id="810"/>
      <w:bookmarkEnd w:id="811"/>
      <w:bookmarkEnd w:id="812"/>
      <w:bookmarkEnd w:id="813"/>
      <w:bookmarkEnd w:id="814"/>
      <w:bookmarkEnd w:id="815"/>
      <w:bookmarkEnd w:id="816"/>
      <w:bookmarkEnd w:id="817"/>
      <w:bookmarkEnd w:id="818"/>
      <w:bookmarkEnd w:id="819"/>
    </w:p>
    <w:p w:rsidR="00BB3126" w:rsidRDefault="00BB3126" w:rsidP="00BB3126">
      <w:pPr>
        <w:pStyle w:val="Heading4"/>
      </w:pPr>
      <w:bookmarkStart w:id="820" w:name="_Toc531948641"/>
      <w:bookmarkStart w:id="821" w:name="_Toc531949272"/>
      <w:bookmarkStart w:id="822" w:name="_Toc532227232"/>
      <w:bookmarkStart w:id="823" w:name="_Toc532388149"/>
      <w:bookmarkStart w:id="824" w:name="_Toc532469263"/>
      <w:bookmarkStart w:id="825" w:name="_Toc536519659"/>
      <w:bookmarkStart w:id="826" w:name="_Toc536631369"/>
      <w:bookmarkStart w:id="827" w:name="_Toc536803213"/>
      <w:bookmarkStart w:id="828" w:name="_Toc536803301"/>
      <w:bookmarkStart w:id="829" w:name="_Toc1115173"/>
      <w:r>
        <w:t>Use of new Government Finance Statistics (GFS) classification data</w:t>
      </w:r>
      <w:bookmarkEnd w:id="820"/>
      <w:bookmarkEnd w:id="821"/>
      <w:bookmarkEnd w:id="822"/>
      <w:bookmarkEnd w:id="823"/>
      <w:bookmarkEnd w:id="824"/>
      <w:bookmarkEnd w:id="825"/>
      <w:bookmarkEnd w:id="826"/>
      <w:bookmarkEnd w:id="827"/>
      <w:bookmarkEnd w:id="828"/>
      <w:bookmarkEnd w:id="829"/>
    </w:p>
    <w:p w:rsidR="00BB3126" w:rsidRDefault="00BB3126" w:rsidP="00BB3126">
      <w:pPr>
        <w:pStyle w:val="21para"/>
      </w:pPr>
      <w:r w:rsidRPr="00C06439">
        <w:rPr>
          <w:rStyle w:val="Heading6Char"/>
        </w:rPr>
        <w:t>Background.</w:t>
      </w:r>
      <w:r>
        <w:t xml:space="preserve"> In July 2017, the ABS moved to a new GFS framework </w:t>
      </w:r>
      <w:r w:rsidRPr="00BC123E">
        <w:t>—</w:t>
      </w:r>
      <w:r>
        <w:t xml:space="preserve"> the Australian System of Government Finance Statistics 2015 (AGFS15). The new framework includes changes to the classification of revenue, expenses and type of assets and liabilities. AGFS15 replaces the previous framework,</w:t>
      </w:r>
      <w:r w:rsidRPr="00C76FC1">
        <w:t xml:space="preserve"> AGFS05, developed in 2005.</w:t>
      </w:r>
    </w:p>
    <w:p w:rsidR="00BB3126" w:rsidRPr="00C17932" w:rsidRDefault="00BB3126" w:rsidP="00BB3126">
      <w:pPr>
        <w:pStyle w:val="21para"/>
      </w:pPr>
      <w:r>
        <w:t>Commission staff proposed to continue using AGFS05 data supplied by the ABS to compile the adjusted budget for the first two assessment years of the 2019 Update (2015-16 and 2016-17), and AGFS15 data supplied by States for 2017</w:t>
      </w:r>
      <w:r>
        <w:noBreakHyphen/>
        <w:t>18. The proposal was based on advice from the ABS and its concerns about the reliability of preliminary remapped AGFS15 data for 2015</w:t>
      </w:r>
      <w:r>
        <w:noBreakHyphen/>
        <w:t>16 and 2016</w:t>
      </w:r>
      <w:r>
        <w:noBreakHyphen/>
        <w:t>17.</w:t>
      </w:r>
      <w:r>
        <w:rPr>
          <w:rStyle w:val="FootnoteReference"/>
        </w:rPr>
        <w:footnoteReference w:id="20"/>
      </w:r>
      <w:r>
        <w:t xml:space="preserve"> </w:t>
      </w:r>
    </w:p>
    <w:p w:rsidR="00BB3126" w:rsidRDefault="00BB3126" w:rsidP="00BB3126">
      <w:pPr>
        <w:pStyle w:val="21para"/>
      </w:pPr>
      <w:r w:rsidRPr="000005B7">
        <w:rPr>
          <w:rStyle w:val="Heading6Char"/>
        </w:rPr>
        <w:t>State views.</w:t>
      </w:r>
      <w:r>
        <w:t xml:space="preserve"> Most States supported the Commission’s proposal.</w:t>
      </w:r>
    </w:p>
    <w:p w:rsidR="00BB3126" w:rsidRDefault="00BB3126" w:rsidP="00BB3126">
      <w:pPr>
        <w:pStyle w:val="21para"/>
      </w:pPr>
      <w:r>
        <w:t>The ACT and the Northern Territory anticipated that the remapped GFS data under AGFS15 would be utilised across all assessment years of the 2020 Review and future updates to maximise the consistency of data, provided that the remapped data are reliable.</w:t>
      </w:r>
    </w:p>
    <w:p w:rsidR="00BB3126" w:rsidRDefault="00BB3126" w:rsidP="00BB3126">
      <w:pPr>
        <w:pStyle w:val="21para"/>
      </w:pPr>
      <w:r>
        <w:rPr>
          <w:rStyle w:val="Heading6Char"/>
        </w:rPr>
        <w:t>Commission decision</w:t>
      </w:r>
      <w:r w:rsidRPr="00036C02">
        <w:rPr>
          <w:rStyle w:val="Heading6Char"/>
        </w:rPr>
        <w:t>.</w:t>
      </w:r>
      <w:r>
        <w:t xml:space="preserve"> The Commission has used AGFS05 supplied by the ABS to compile the adjusted budget for 2015-16 and 2016-17, and AGFS15 supplied by States for 2017-18. It has been necessary to smooth some estimates for 2017</w:t>
      </w:r>
      <w:r>
        <w:noBreakHyphen/>
        <w:t>18 to improve comparability between AGFS05 and AGFS15 data after consulting with the States.</w:t>
      </w:r>
    </w:p>
    <w:p w:rsidR="00BB3126" w:rsidRPr="00953BEF" w:rsidRDefault="00BB3126" w:rsidP="00BB3126">
      <w:pPr>
        <w:pStyle w:val="21para"/>
      </w:pPr>
      <w:r>
        <w:t>Commission staff have been working closely with the ABS to assure the quality of AGFS15 time series data with an aim to use these data for all assessment years in the 2020 Review.</w:t>
      </w:r>
    </w:p>
    <w:p w:rsidR="00BB3126" w:rsidRDefault="00BB3126" w:rsidP="00BB3126">
      <w:pPr>
        <w:pStyle w:val="Heading4"/>
      </w:pPr>
      <w:bookmarkStart w:id="830" w:name="_Toc531948646"/>
      <w:bookmarkStart w:id="831" w:name="_Toc531949277"/>
      <w:bookmarkStart w:id="832" w:name="_Toc532227237"/>
      <w:bookmarkStart w:id="833" w:name="_Toc532388154"/>
      <w:bookmarkStart w:id="834" w:name="_Toc532469268"/>
      <w:bookmarkStart w:id="835" w:name="_Toc536519660"/>
      <w:bookmarkStart w:id="836" w:name="_Toc536631370"/>
      <w:bookmarkStart w:id="837" w:name="_Toc536803214"/>
      <w:bookmarkStart w:id="838" w:name="_Toc536803302"/>
      <w:bookmarkStart w:id="839" w:name="_Toc1115174"/>
      <w:r>
        <w:t xml:space="preserve">State review of preliminary adjusted budget </w:t>
      </w:r>
      <w:bookmarkEnd w:id="830"/>
      <w:bookmarkEnd w:id="831"/>
      <w:bookmarkEnd w:id="832"/>
      <w:bookmarkEnd w:id="833"/>
      <w:bookmarkEnd w:id="834"/>
      <w:bookmarkEnd w:id="835"/>
      <w:bookmarkEnd w:id="836"/>
      <w:bookmarkEnd w:id="837"/>
      <w:bookmarkEnd w:id="838"/>
      <w:r>
        <w:t>data</w:t>
      </w:r>
      <w:bookmarkEnd w:id="839"/>
    </w:p>
    <w:p w:rsidR="00BB3126" w:rsidRDefault="00BB3126" w:rsidP="00BB3126">
      <w:pPr>
        <w:pStyle w:val="21para"/>
      </w:pPr>
      <w:r w:rsidRPr="00C06439">
        <w:rPr>
          <w:rStyle w:val="Heading6Char"/>
        </w:rPr>
        <w:t>Background.</w:t>
      </w:r>
      <w:r>
        <w:t xml:space="preserve"> In updates and reviews, the Commission sends each State its preliminary adjusted budget for comment. Most States usually provide comments and, in some cases, data are revised based on State feedback. However, the revisions are typically small.</w:t>
      </w:r>
    </w:p>
    <w:p w:rsidR="00BB3126" w:rsidRDefault="00BB3126" w:rsidP="00BB3126">
      <w:pPr>
        <w:pStyle w:val="21para"/>
      </w:pPr>
      <w:r>
        <w:t xml:space="preserve">Commission staff proposed to cease sending the preliminary adjusted budget to States for comments from the 2019 Update onwards because the process involves </w:t>
      </w:r>
      <w:r>
        <w:lastRenderedPageBreak/>
        <w:t>considerable work by all parties but it does not result in material changes to the data used in the assessments.</w:t>
      </w:r>
    </w:p>
    <w:p w:rsidR="00BB3126" w:rsidRDefault="00BB3126" w:rsidP="00BB3126">
      <w:pPr>
        <w:pStyle w:val="21para"/>
      </w:pPr>
      <w:r w:rsidRPr="000005B7">
        <w:rPr>
          <w:rStyle w:val="Heading6Char"/>
        </w:rPr>
        <w:t>State views.</w:t>
      </w:r>
      <w:r>
        <w:t xml:space="preserve"> Tasmania and the ACT supported the proposal. Tasmania said the nature of the work to check the preliminary adjusted budget data is resource intensive and experience has demonstrated that the revisions to Tasmania’s data have typically been small and usually due to rounding differences. The ACT said it is satisfied with the quality of data it submits to the Commission, which are reviewed by the Commission staff to address minor classification issues. </w:t>
      </w:r>
    </w:p>
    <w:p w:rsidR="00BB3126" w:rsidRDefault="00BB3126" w:rsidP="00BB3126">
      <w:pPr>
        <w:pStyle w:val="21para"/>
      </w:pPr>
      <w:r>
        <w:t xml:space="preserve">Most other States said the Commission should continue its practice of providing the States with an opportunity to comment on the preliminary adjusted budget. They consider this is a necessary step to ensure the accuracy and integrity of the adjusted budget, which is consistent with maintaining transparency. It also provides an opportunity for them to identify any potential errors. </w:t>
      </w:r>
    </w:p>
    <w:p w:rsidR="00BB3126" w:rsidRDefault="00BB3126" w:rsidP="00BB3126">
      <w:pPr>
        <w:pStyle w:val="21para"/>
      </w:pPr>
      <w:r>
        <w:t>South Australia and the Northern Territory considered the proposed timing (with the transition to AGFS15) inappropriate and there would appear to be a greater requirement for the States to review their data in this update.</w:t>
      </w:r>
    </w:p>
    <w:p w:rsidR="00BB3126" w:rsidRDefault="00BB3126" w:rsidP="00BB3126">
      <w:pPr>
        <w:pStyle w:val="21para"/>
      </w:pPr>
      <w:r>
        <w:rPr>
          <w:rStyle w:val="Heading6Char"/>
        </w:rPr>
        <w:t>Commission decision</w:t>
      </w:r>
      <w:r w:rsidRPr="00036C02">
        <w:rPr>
          <w:rStyle w:val="Heading6Char"/>
        </w:rPr>
        <w:t>.</w:t>
      </w:r>
      <w:r>
        <w:t xml:space="preserve"> Previous experience indicates that data revisions arising from this practice, which is resource intensive, have been small. However, the Commission understands State concerns about the accuracy and integrity of the adjusted budget, particularly in the transition from AGFS05 to AGFS15 in the 2019 Update. </w:t>
      </w:r>
    </w:p>
    <w:p w:rsidR="00BB3126" w:rsidRDefault="00BB3126" w:rsidP="00BB3126">
      <w:pPr>
        <w:pStyle w:val="21para"/>
      </w:pPr>
      <w:r>
        <w:t xml:space="preserve">All States except Tasmania and the ACT expressed an interest in reviewing their data. Based on feedback, the Commission has sent the preliminary adjusted budget to States for comments on </w:t>
      </w:r>
      <w:r w:rsidRPr="009C716D">
        <w:t>an</w:t>
      </w:r>
      <w:r w:rsidRPr="00906F2E">
        <w:t xml:space="preserve"> </w:t>
      </w:r>
      <w:r>
        <w:t>‘</w:t>
      </w:r>
      <w:r w:rsidRPr="009C716D">
        <w:t>opt in</w:t>
      </w:r>
      <w:r>
        <w:t>’</w:t>
      </w:r>
      <w:r w:rsidRPr="009C716D">
        <w:t xml:space="preserve"> basis</w:t>
      </w:r>
      <w:r>
        <w:t>.</w:t>
      </w:r>
    </w:p>
    <w:p w:rsidR="00BB3126" w:rsidRDefault="00BB3126" w:rsidP="00BB3126">
      <w:pPr>
        <w:pStyle w:val="21para"/>
      </w:pPr>
      <w:r>
        <w:t>Commission staff will record the workload and data revisions as a result of State comments, and share this information with States. The Commission will review this process in the 2020 Review.</w:t>
      </w:r>
    </w:p>
    <w:p w:rsidR="00BB3126" w:rsidRPr="00626F25" w:rsidRDefault="00BB3126" w:rsidP="00BB3126"/>
    <w:p w:rsidR="00BB3126" w:rsidRDefault="00BB3126" w:rsidP="00BB3126">
      <w:pPr>
        <w:pStyle w:val="21para"/>
        <w:numPr>
          <w:ilvl w:val="0"/>
          <w:numId w:val="0"/>
        </w:numPr>
        <w:ind w:left="567" w:hanging="567"/>
      </w:pPr>
    </w:p>
    <w:p w:rsidR="00BB3126" w:rsidRDefault="00BB3126" w:rsidP="00BB3126">
      <w:pPr>
        <w:pStyle w:val="21para"/>
        <w:numPr>
          <w:ilvl w:val="0"/>
          <w:numId w:val="0"/>
        </w:numPr>
        <w:ind w:left="567" w:hanging="567"/>
        <w:sectPr w:rsidR="00BB3126" w:rsidSect="00C7618F">
          <w:headerReference w:type="even" r:id="rId104"/>
          <w:headerReference w:type="default" r:id="rId105"/>
          <w:footerReference w:type="default" r:id="rId106"/>
          <w:headerReference w:type="first" r:id="rId107"/>
          <w:footerReference w:type="first" r:id="rId108"/>
          <w:footnotePr>
            <w:numRestart w:val="eachSect"/>
          </w:footnotePr>
          <w:pgSz w:w="11899" w:h="16838" w:code="9"/>
          <w:pgMar w:top="1701" w:right="1474" w:bottom="1701" w:left="1474" w:header="709" w:footer="709" w:gutter="0"/>
          <w:cols w:space="708"/>
          <w:titlePg/>
          <w:docGrid w:linePitch="299"/>
        </w:sectPr>
      </w:pPr>
    </w:p>
    <w:p w:rsidR="00BB3126" w:rsidRPr="006C2A23" w:rsidRDefault="00BB3126" w:rsidP="00BB3126">
      <w:pPr>
        <w:pStyle w:val="Heading1"/>
      </w:pPr>
      <w:bookmarkStart w:id="840" w:name="_Toc536803215"/>
      <w:bookmarkStart w:id="841" w:name="_Toc536803303"/>
      <w:bookmarkStart w:id="842" w:name="_Toc1115175"/>
      <w:bookmarkEnd w:id="626"/>
      <w:bookmarkEnd w:id="627"/>
      <w:r w:rsidRPr="006C2A23">
        <w:lastRenderedPageBreak/>
        <w:t>Attachment A</w:t>
      </w:r>
      <w:bookmarkEnd w:id="840"/>
      <w:bookmarkEnd w:id="841"/>
      <w:bookmarkEnd w:id="842"/>
    </w:p>
    <w:p w:rsidR="00BB3126" w:rsidRPr="006C2A23" w:rsidRDefault="00BB3126" w:rsidP="00BB3126">
      <w:pPr>
        <w:pStyle w:val="Heading2"/>
      </w:pPr>
      <w:bookmarkStart w:id="843" w:name="_Ref473105340"/>
      <w:bookmarkStart w:id="844" w:name="_Toc474923800"/>
      <w:bookmarkStart w:id="845" w:name="_Toc536519661"/>
      <w:bookmarkStart w:id="846" w:name="_Toc536631371"/>
      <w:bookmarkStart w:id="847" w:name="_Toc536803216"/>
      <w:bookmarkStart w:id="848" w:name="_Toc536803304"/>
      <w:bookmarkStart w:id="849" w:name="_Toc536803632"/>
      <w:bookmarkStart w:id="850" w:name="_Toc174418"/>
      <w:bookmarkStart w:id="851" w:name="_Toc1115176"/>
      <w:r w:rsidRPr="006C2A23">
        <w:t>Quality assurance</w:t>
      </w:r>
      <w:bookmarkEnd w:id="843"/>
      <w:bookmarkEnd w:id="844"/>
      <w:bookmarkEnd w:id="845"/>
      <w:bookmarkEnd w:id="846"/>
      <w:bookmarkEnd w:id="847"/>
      <w:bookmarkEnd w:id="848"/>
      <w:bookmarkEnd w:id="849"/>
      <w:bookmarkEnd w:id="850"/>
      <w:bookmarkEnd w:id="851"/>
    </w:p>
    <w:p w:rsidR="00BB3126" w:rsidRPr="006C2A23" w:rsidRDefault="00BB3126" w:rsidP="00BB3126">
      <w:pPr>
        <w:pStyle w:val="A1AttachmentAlist"/>
      </w:pPr>
      <w:r w:rsidRPr="006C2A23">
        <w:t xml:space="preserve">This attachment reports on the quality assurance procedures applied in this update. These procedures aim to ensure the data used in the Commission’s assessments are fit for purpose and of the best possible quality, the analysis is accurate and the reporting of the Commission’s findings and reasons for decisions leading to them is accurate and transparent. </w:t>
      </w:r>
    </w:p>
    <w:p w:rsidR="00BB3126" w:rsidRPr="006C2A23" w:rsidRDefault="00BB3126" w:rsidP="00BB3126">
      <w:pPr>
        <w:pStyle w:val="Heading3"/>
      </w:pPr>
      <w:bookmarkStart w:id="852" w:name="_Toc474923801"/>
      <w:bookmarkStart w:id="853" w:name="_Toc536519662"/>
      <w:bookmarkStart w:id="854" w:name="_Toc536631372"/>
      <w:bookmarkStart w:id="855" w:name="_Toc536803217"/>
      <w:bookmarkStart w:id="856" w:name="_Toc536803305"/>
      <w:bookmarkStart w:id="857" w:name="_Toc1115177"/>
      <w:r w:rsidRPr="006C2A23">
        <w:t>Data quality improvement</w:t>
      </w:r>
      <w:bookmarkEnd w:id="852"/>
      <w:bookmarkEnd w:id="853"/>
      <w:bookmarkEnd w:id="854"/>
      <w:bookmarkEnd w:id="855"/>
      <w:bookmarkEnd w:id="856"/>
      <w:bookmarkEnd w:id="857"/>
    </w:p>
    <w:p w:rsidR="00BB3126" w:rsidRPr="006C2A23" w:rsidRDefault="00BB3126" w:rsidP="00BB3126">
      <w:pPr>
        <w:pStyle w:val="A1AttachmentAlist"/>
      </w:pPr>
      <w:r w:rsidRPr="006C2A23">
        <w:t>Improving data quality is an important aspect of the Commission’s quality assurance processes. To this end, data use guidelines and a data protocol were agreed with the States in 2005</w:t>
      </w:r>
      <w:r w:rsidRPr="006C2A23">
        <w:rPr>
          <w:rStyle w:val="FootnoteReference"/>
        </w:rPr>
        <w:footnoteReference w:id="21"/>
      </w:r>
      <w:r w:rsidRPr="006C2A23">
        <w:t xml:space="preserve"> and have been followed since.</w:t>
      </w:r>
    </w:p>
    <w:p w:rsidR="00BB3126" w:rsidRPr="006C2A23" w:rsidRDefault="00BB3126" w:rsidP="00BB3126">
      <w:pPr>
        <w:pStyle w:val="A1AttachmentAlist"/>
      </w:pPr>
      <w:r>
        <w:t>In</w:t>
      </w:r>
      <w:r w:rsidRPr="006C2A23">
        <w:t xml:space="preserve"> this update, the Commission, together with the States, worked to improve the comparability of State provided data used in the assessments.</w:t>
      </w:r>
    </w:p>
    <w:p w:rsidR="00BB3126" w:rsidRDefault="00BB3126" w:rsidP="00BB3126">
      <w:pPr>
        <w:pStyle w:val="A1AttachmentAlist"/>
      </w:pPr>
      <w:r w:rsidRPr="006C2A23">
        <w:t xml:space="preserve">The data collection protocol requires the Commission to send a draft copy of requests for new data or information to the States for comment. This is to ensure new requests clearly and accurately specify the data required from the States. </w:t>
      </w:r>
      <w:r>
        <w:t>In</w:t>
      </w:r>
      <w:r w:rsidRPr="006C2A23">
        <w:t xml:space="preserve"> this update, Commission </w:t>
      </w:r>
      <w:r>
        <w:t>staff sent</w:t>
      </w:r>
      <w:r w:rsidRPr="006C2A23">
        <w:t xml:space="preserve"> </w:t>
      </w:r>
      <w:r>
        <w:t xml:space="preserve">a </w:t>
      </w:r>
      <w:r w:rsidRPr="006C2A23">
        <w:t xml:space="preserve">draft request </w:t>
      </w:r>
      <w:r>
        <w:t>to the States that asks for natural disaster relief revenue and expenses that relate to local government</w:t>
      </w:r>
      <w:r w:rsidRPr="006C2A23">
        <w:t>.</w:t>
      </w:r>
      <w:r>
        <w:t xml:space="preserve"> </w:t>
      </w:r>
    </w:p>
    <w:p w:rsidR="00BB3126" w:rsidRPr="006C2A23" w:rsidRDefault="00BB3126" w:rsidP="00BB3126">
      <w:pPr>
        <w:pStyle w:val="A1AttachmentAlist"/>
      </w:pPr>
      <w:r>
        <w:t xml:space="preserve">The ABS has moved to a new Government Finance Statistics (GFS) framework from 2017-18. Staff sent a draft copy of the adjusted budget data collection tool to the States based on the new framework for comments. Staff also told the States that all requests that asked for data with GFS classifications would be based on the new framework. </w:t>
      </w:r>
    </w:p>
    <w:p w:rsidR="00BB3126" w:rsidRPr="006C2A23" w:rsidRDefault="00BB3126" w:rsidP="00BB3126">
      <w:pPr>
        <w:pStyle w:val="A1AttachmentAlist"/>
      </w:pPr>
      <w:r w:rsidRPr="006C2A23">
        <w:t xml:space="preserve">Commission </w:t>
      </w:r>
      <w:r>
        <w:t xml:space="preserve">staff </w:t>
      </w:r>
      <w:r w:rsidRPr="006C2A23">
        <w:t>included the previous year’s data in all on-going data requests to help data providers identify the information sought and to assist State and Commission staff to identify abnormal movements in the data between the current and the previous year</w:t>
      </w:r>
      <w:r>
        <w:t>s</w:t>
      </w:r>
      <w:r w:rsidRPr="006C2A23">
        <w:t xml:space="preserve">. </w:t>
      </w:r>
      <w:r>
        <w:t>S</w:t>
      </w:r>
      <w:r w:rsidRPr="006C2A23">
        <w:t>taff also checked the data on receipt and sought to clarify any unexpected changes with State Treasury officers.</w:t>
      </w:r>
    </w:p>
    <w:p w:rsidR="00BB3126" w:rsidRPr="006C2A23" w:rsidRDefault="00BB3126" w:rsidP="00BB3126">
      <w:pPr>
        <w:pStyle w:val="A1AttachmentAlist"/>
      </w:pPr>
      <w:r w:rsidRPr="006C2A23">
        <w:lastRenderedPageBreak/>
        <w:t xml:space="preserve">Commission </w:t>
      </w:r>
      <w:r>
        <w:t xml:space="preserve">staff </w:t>
      </w:r>
      <w:r w:rsidRPr="006C2A23">
        <w:t>also asked the States to clearly identify which datasets used in assessments could be provided to other State agencies and/or to other third parties to provide as much access to data as possible but also to ensure confidentiality requirements were satisfied.</w:t>
      </w:r>
    </w:p>
    <w:p w:rsidR="00BB3126" w:rsidRPr="006C2A23" w:rsidRDefault="00BB3126" w:rsidP="00BB3126">
      <w:pPr>
        <w:pStyle w:val="A1AttachmentAlist"/>
      </w:pPr>
      <w:r w:rsidRPr="006C2A23">
        <w:t xml:space="preserve">Although no formal agreements on data collection were made with other data providers, Commission </w:t>
      </w:r>
      <w:r>
        <w:t xml:space="preserve">staff </w:t>
      </w:r>
      <w:r w:rsidRPr="006C2A23">
        <w:t>ha</w:t>
      </w:r>
      <w:r>
        <w:t>ve</w:t>
      </w:r>
      <w:r w:rsidRPr="006C2A23">
        <w:t xml:space="preserve"> followed the same approach to ensure the data used </w:t>
      </w:r>
      <w:r>
        <w:t xml:space="preserve">in calculations </w:t>
      </w:r>
      <w:r w:rsidRPr="006C2A23">
        <w:t>were of the best quality.</w:t>
      </w:r>
    </w:p>
    <w:p w:rsidR="00BB3126" w:rsidRPr="006C2A23" w:rsidRDefault="00BB3126" w:rsidP="00BB3126">
      <w:pPr>
        <w:pStyle w:val="Heading3"/>
      </w:pPr>
      <w:bookmarkStart w:id="858" w:name="_Toc474923802"/>
      <w:bookmarkStart w:id="859" w:name="_Toc536519663"/>
      <w:bookmarkStart w:id="860" w:name="_Toc536631373"/>
      <w:bookmarkStart w:id="861" w:name="_Toc536803218"/>
      <w:bookmarkStart w:id="862" w:name="_Toc536803306"/>
      <w:bookmarkStart w:id="863" w:name="_Toc1115178"/>
      <w:r w:rsidRPr="006C2A23">
        <w:t>Calculation audit processes</w:t>
      </w:r>
      <w:bookmarkEnd w:id="858"/>
      <w:bookmarkEnd w:id="859"/>
      <w:bookmarkEnd w:id="860"/>
      <w:bookmarkEnd w:id="861"/>
      <w:bookmarkEnd w:id="862"/>
      <w:bookmarkEnd w:id="863"/>
    </w:p>
    <w:p w:rsidR="00BB3126" w:rsidRPr="006C2A23" w:rsidRDefault="00BB3126" w:rsidP="00BB3126">
      <w:pPr>
        <w:pStyle w:val="A1AttachmentAlist"/>
      </w:pPr>
      <w:r w:rsidRPr="006C2A23">
        <w:t xml:space="preserve">The Commission completed a rigorous internal audit of all calculations. </w:t>
      </w:r>
      <w:r>
        <w:t>For each assessment, i</w:t>
      </w:r>
      <w:r w:rsidRPr="006C2A23">
        <w:t xml:space="preserve">nternal checks were performed and formally signed off by the assessment officer, the assessment team leader and another officer not involved in the original calculation. </w:t>
      </w:r>
    </w:p>
    <w:p w:rsidR="00BB3126" w:rsidRPr="006C2A23" w:rsidRDefault="00BB3126" w:rsidP="00BB3126">
      <w:pPr>
        <w:pStyle w:val="A1AttachmentAlist"/>
      </w:pPr>
      <w:r w:rsidRPr="006C2A23">
        <w:t xml:space="preserve">The Commission also engaged external consultants to check calculations </w:t>
      </w:r>
      <w:r>
        <w:t xml:space="preserve">for the assessments of Administrative scale, Cross-border, Land tax, Regional costs, Schools, Services delivery scale, Services to industry, Transport and Wage costs. </w:t>
      </w:r>
    </w:p>
    <w:p w:rsidR="00BB3126" w:rsidRPr="006C2A23" w:rsidRDefault="00BB3126" w:rsidP="00BB3126">
      <w:pPr>
        <w:pStyle w:val="Heading3"/>
      </w:pPr>
      <w:bookmarkStart w:id="864" w:name="_Toc474923804"/>
      <w:bookmarkStart w:id="865" w:name="_Toc536519664"/>
      <w:bookmarkStart w:id="866" w:name="_Toc536631374"/>
      <w:bookmarkStart w:id="867" w:name="_Toc536803219"/>
      <w:bookmarkStart w:id="868" w:name="_Toc536803307"/>
      <w:bookmarkStart w:id="869" w:name="_Toc1115179"/>
      <w:r w:rsidRPr="006C2A23">
        <w:t>Reporting of methods, decisions and results</w:t>
      </w:r>
      <w:bookmarkEnd w:id="864"/>
      <w:bookmarkEnd w:id="865"/>
      <w:bookmarkEnd w:id="866"/>
      <w:bookmarkEnd w:id="867"/>
      <w:bookmarkEnd w:id="868"/>
      <w:bookmarkEnd w:id="869"/>
    </w:p>
    <w:p w:rsidR="00BB3126" w:rsidRPr="006C2A23" w:rsidRDefault="00BB3126" w:rsidP="00BB3126">
      <w:pPr>
        <w:pStyle w:val="A1AttachmentAlist"/>
      </w:pPr>
      <w:r w:rsidRPr="006C2A23">
        <w:t>Transparency and accuracy in reporting the assessment methods, decisions and results are important parts of providing high quality outputs.</w:t>
      </w:r>
    </w:p>
    <w:p w:rsidR="00BB3126" w:rsidRPr="006C2A23" w:rsidRDefault="00BB3126" w:rsidP="00BB3126">
      <w:pPr>
        <w:pStyle w:val="A1AttachmentAlist"/>
      </w:pPr>
      <w:r>
        <w:t xml:space="preserve">The </w:t>
      </w:r>
      <w:r w:rsidRPr="006C2A23">
        <w:t xml:space="preserve">Commission consulted the States on new issues arising in this update that might affect the relativities. </w:t>
      </w:r>
      <w:r>
        <w:t>A</w:t>
      </w:r>
      <w:r w:rsidRPr="006C2A23">
        <w:t xml:space="preserve"> staff discussion pa</w:t>
      </w:r>
      <w:r>
        <w:t>per</w:t>
      </w:r>
      <w:r w:rsidRPr="006C2A23">
        <w:t xml:space="preserve"> on new issues w</w:t>
      </w:r>
      <w:r>
        <w:t>as</w:t>
      </w:r>
      <w:r w:rsidRPr="006C2A23">
        <w:t xml:space="preserve"> sent to the States for comment. Commission decisions are set out in </w:t>
      </w:r>
      <w:r w:rsidRPr="006C2A23">
        <w:rPr>
          <w:i/>
        </w:rPr>
        <w:t>Chapter 2 New issues in this update</w:t>
      </w:r>
      <w:r w:rsidRPr="006C2A23">
        <w:t>. The decisions were made using the assessment and Commonwealth payments guidelines developed in the 2015 Review.</w:t>
      </w:r>
    </w:p>
    <w:p w:rsidR="00BB3126" w:rsidRPr="006C2A23" w:rsidRDefault="00BB3126" w:rsidP="00BB3126">
      <w:pPr>
        <w:pStyle w:val="A1AttachmentAlist"/>
      </w:pPr>
      <w:r w:rsidRPr="006C2A23">
        <w:t>The Commission undertook a comprehensive program of proof-reading and checking of tables and results to ensure they aligned with the original calculations.</w:t>
      </w:r>
    </w:p>
    <w:p w:rsidR="00BB3126" w:rsidRPr="006C2A23" w:rsidRDefault="00BB3126" w:rsidP="00BB3126">
      <w:pPr>
        <w:pStyle w:val="A1AttachmentAlist"/>
      </w:pPr>
      <w:r w:rsidRPr="006C2A23">
        <w:t xml:space="preserve">The Commission continued to post additional material on the </w:t>
      </w:r>
      <w:hyperlink r:id="rId109" w:history="1">
        <w:r w:rsidRPr="006C2A23">
          <w:rPr>
            <w:rStyle w:val="Hyperlink"/>
          </w:rPr>
          <w:t>Commission’s website</w:t>
        </w:r>
      </w:hyperlink>
      <w:r w:rsidRPr="006C2A23">
        <w:t xml:space="preserve"> (https://</w:t>
      </w:r>
      <w:r w:rsidR="00E769C5">
        <w:t>www.</w:t>
      </w:r>
      <w:r w:rsidRPr="006C2A23">
        <w:t>cgc.gov.au/) to help explain the Commission’s work more simply and transparently. This material aims to help the public, as well as the staff of the Commonwealth and State Treasuries, understand the Australian fiscal equalisation system and the Commission’s work.</w:t>
      </w:r>
      <w:bookmarkStart w:id="870" w:name="_Toc442192199"/>
      <w:bookmarkStart w:id="871" w:name="_Toc442192264"/>
      <w:bookmarkStart w:id="872" w:name="_Toc442773077"/>
      <w:bookmarkStart w:id="873" w:name="_Toc442773574"/>
      <w:bookmarkStart w:id="874" w:name="_Toc442883312"/>
      <w:bookmarkStart w:id="875" w:name="_Toc433353503"/>
      <w:bookmarkStart w:id="876" w:name="_Ref430696236"/>
      <w:bookmarkStart w:id="877" w:name="_Toc428803276"/>
      <w:bookmarkStart w:id="878" w:name="_Toc442192206"/>
      <w:bookmarkStart w:id="879" w:name="_Toc442192271"/>
      <w:bookmarkStart w:id="880" w:name="_Toc442773084"/>
      <w:bookmarkStart w:id="881" w:name="_Toc442773583"/>
      <w:bookmarkStart w:id="882" w:name="_Toc442883330"/>
      <w:bookmarkEnd w:id="870"/>
      <w:bookmarkEnd w:id="871"/>
      <w:bookmarkEnd w:id="872"/>
      <w:bookmarkEnd w:id="873"/>
      <w:bookmarkEnd w:id="874"/>
      <w:bookmarkEnd w:id="875"/>
      <w:bookmarkEnd w:id="876"/>
      <w:bookmarkEnd w:id="877"/>
      <w:bookmarkEnd w:id="878"/>
      <w:bookmarkEnd w:id="879"/>
      <w:bookmarkEnd w:id="880"/>
      <w:bookmarkEnd w:id="881"/>
      <w:bookmarkEnd w:id="882"/>
    </w:p>
    <w:p w:rsidR="00BB3126" w:rsidRPr="00C21EF9" w:rsidRDefault="00BB3126" w:rsidP="00BB3126"/>
    <w:p w:rsidR="00BB3126" w:rsidRPr="00F124C4" w:rsidRDefault="00BB3126" w:rsidP="00BB3126">
      <w:pPr>
        <w:rPr>
          <w:highlight w:val="yellow"/>
        </w:rPr>
        <w:sectPr w:rsidR="00BB3126" w:rsidRPr="00F124C4" w:rsidSect="00C7618F">
          <w:headerReference w:type="even" r:id="rId110"/>
          <w:headerReference w:type="default" r:id="rId111"/>
          <w:footerReference w:type="default" r:id="rId112"/>
          <w:headerReference w:type="first" r:id="rId113"/>
          <w:footnotePr>
            <w:numRestart w:val="eachSect"/>
          </w:footnotePr>
          <w:pgSz w:w="11899" w:h="16838" w:code="9"/>
          <w:pgMar w:top="1701" w:right="1474" w:bottom="1701" w:left="1474" w:header="709" w:footer="709" w:gutter="0"/>
          <w:cols w:space="708"/>
          <w:titlePg/>
          <w:docGrid w:linePitch="299"/>
        </w:sectPr>
      </w:pPr>
    </w:p>
    <w:p w:rsidR="00BB3126" w:rsidRPr="0091384D" w:rsidRDefault="00BB3126" w:rsidP="00BB3126">
      <w:pPr>
        <w:pStyle w:val="Heading2"/>
      </w:pPr>
      <w:bookmarkStart w:id="883" w:name="_Ref474916948"/>
      <w:bookmarkStart w:id="884" w:name="_Toc474923805"/>
      <w:bookmarkStart w:id="885" w:name="_Toc536519665"/>
      <w:bookmarkStart w:id="886" w:name="_Toc536631375"/>
      <w:bookmarkStart w:id="887" w:name="_Toc536803220"/>
      <w:bookmarkStart w:id="888" w:name="_Toc536803308"/>
      <w:bookmarkStart w:id="889" w:name="_Toc1115180"/>
      <w:r w:rsidRPr="0091384D">
        <w:lastRenderedPageBreak/>
        <w:t>Commission Terminology</w:t>
      </w:r>
      <w:bookmarkEnd w:id="883"/>
      <w:bookmarkEnd w:id="884"/>
      <w:bookmarkEnd w:id="885"/>
      <w:bookmarkEnd w:id="886"/>
      <w:bookmarkEnd w:id="887"/>
      <w:bookmarkEnd w:id="888"/>
      <w:bookmarkEnd w:id="889"/>
    </w:p>
    <w:p w:rsidR="00BB3126" w:rsidRPr="0091384D" w:rsidRDefault="00BB3126" w:rsidP="00BB3126">
      <w:r w:rsidRPr="0091384D">
        <w:t xml:space="preserve">This glossary provides a list of the main terms that have a meaning specific to the Commission. The term ‘State(s)’ includes the Australian Capital Territory and the Northern Territory. </w:t>
      </w:r>
    </w:p>
    <w:p w:rsidR="00BB3126" w:rsidRPr="004C4B75" w:rsidRDefault="00BB3126" w:rsidP="00BB3126">
      <w:pPr>
        <w:pStyle w:val="Heading3"/>
      </w:pPr>
      <w:bookmarkStart w:id="890" w:name="_Toc536519666"/>
      <w:bookmarkStart w:id="891" w:name="_Toc536631376"/>
      <w:bookmarkStart w:id="892" w:name="_Toc536803221"/>
      <w:bookmarkStart w:id="893" w:name="_Toc536803309"/>
      <w:bookmarkStart w:id="894" w:name="_Toc536803637"/>
      <w:bookmarkStart w:id="895" w:name="_Toc174423"/>
      <w:bookmarkStart w:id="896" w:name="_Toc1115181"/>
      <w:r w:rsidRPr="004C4B75">
        <w:t>Glossary</w:t>
      </w:r>
      <w:bookmarkEnd w:id="890"/>
      <w:bookmarkEnd w:id="891"/>
      <w:bookmarkEnd w:id="892"/>
      <w:bookmarkEnd w:id="893"/>
      <w:bookmarkEnd w:id="894"/>
      <w:bookmarkEnd w:id="895"/>
      <w:bookmarkEnd w:id="896"/>
    </w:p>
    <w:p w:rsidR="00BB3126" w:rsidRPr="004C4B75" w:rsidRDefault="00BB3126" w:rsidP="00BB3126">
      <w:pPr>
        <w:rPr>
          <w:b/>
        </w:rPr>
      </w:pPr>
      <w:r w:rsidRPr="004C4B75">
        <w:rPr>
          <w:b/>
        </w:rPr>
        <w:t xml:space="preserve">actual per capita (APC) assessment method </w:t>
      </w:r>
    </w:p>
    <w:p w:rsidR="00BB3126" w:rsidRPr="004C4B75" w:rsidRDefault="00BB3126" w:rsidP="00BB3126">
      <w:r w:rsidRPr="004C4B75">
        <w:t>The assessed expense or revenue for each State is set equal to its actual expense or revenue. It is used when, in the Commission’s judgment, the policies of all States are the same and any differences in expenses or revenue per capita are due to differences in State circumstances.</w:t>
      </w:r>
    </w:p>
    <w:p w:rsidR="00BB3126" w:rsidRPr="004C4B75" w:rsidRDefault="00BB3126" w:rsidP="00BB3126">
      <w:pPr>
        <w:rPr>
          <w:b/>
        </w:rPr>
      </w:pPr>
      <w:r w:rsidRPr="004C4B75">
        <w:rPr>
          <w:b/>
        </w:rPr>
        <w:t>adjusted budget</w:t>
      </w:r>
    </w:p>
    <w:p w:rsidR="00BB3126" w:rsidRPr="004C4B75" w:rsidRDefault="00BB3126" w:rsidP="00BB3126">
      <w:r w:rsidRPr="004C4B75">
        <w:t>A representation of State budgets used by the Commission to calculate the average per capita revenue and expenditures. The scope of the adjusted budget covers all transactions of the State general government sector and urban transport and housing public non</w:t>
      </w:r>
      <w:r w:rsidR="004A2B2F">
        <w:noBreakHyphen/>
      </w:r>
      <w:r w:rsidRPr="004C4B75">
        <w:t xml:space="preserve">financial corporations, which are in whole or part financed by GST revenue. </w:t>
      </w:r>
    </w:p>
    <w:p w:rsidR="00BB3126" w:rsidRPr="004C4B75" w:rsidRDefault="00BB3126" w:rsidP="00BB3126">
      <w:pPr>
        <w:rPr>
          <w:b/>
        </w:rPr>
      </w:pPr>
      <w:r w:rsidRPr="004C4B75">
        <w:rPr>
          <w:b/>
        </w:rPr>
        <w:t>administrative scale disability</w:t>
      </w:r>
    </w:p>
    <w:p w:rsidR="00BB3126" w:rsidRPr="004C4B75" w:rsidRDefault="00BB3126" w:rsidP="00BB3126">
      <w:r w:rsidRPr="004C4B75">
        <w:t xml:space="preserve">A disability that measures differences in costs which States incur in providing the minimum level of administration and policy development required to deliver services. It relates to core head office functions and to specialised State wide services provided centrally. </w:t>
      </w:r>
    </w:p>
    <w:p w:rsidR="00BB3126" w:rsidRPr="004C4B75" w:rsidRDefault="00BB3126" w:rsidP="00BB3126">
      <w:pPr>
        <w:rPr>
          <w:b/>
        </w:rPr>
      </w:pPr>
      <w:r w:rsidRPr="004C4B75">
        <w:rPr>
          <w:b/>
        </w:rPr>
        <w:t>application year</w:t>
      </w:r>
    </w:p>
    <w:p w:rsidR="00BB3126" w:rsidRPr="004C4B75" w:rsidRDefault="00BB3126" w:rsidP="00BB3126">
      <w:r w:rsidRPr="004C4B75">
        <w:t>The year in which the average of the assessed GST distributions for each assessment year (expressed as relativities) is to be used to distribute the GST revenue. For example, in the 201</w:t>
      </w:r>
      <w:r>
        <w:t>9</w:t>
      </w:r>
      <w:r w:rsidRPr="004C4B75">
        <w:t xml:space="preserve"> Update the year of application is 201</w:t>
      </w:r>
      <w:r>
        <w:t>9</w:t>
      </w:r>
      <w:r w:rsidRPr="004C4B75">
        <w:noBreakHyphen/>
      </w:r>
      <w:r>
        <w:t>20</w:t>
      </w:r>
      <w:r w:rsidRPr="004C4B75">
        <w:t>.</w:t>
      </w:r>
    </w:p>
    <w:p w:rsidR="00BB3126" w:rsidRPr="004C4B75" w:rsidRDefault="00BB3126" w:rsidP="00BB3126">
      <w:pPr>
        <w:rPr>
          <w:b/>
        </w:rPr>
      </w:pPr>
      <w:r w:rsidRPr="004C4B75">
        <w:rPr>
          <w:b/>
        </w:rPr>
        <w:t>assessed differences (also known as needs)</w:t>
      </w:r>
    </w:p>
    <w:p w:rsidR="00BB3126" w:rsidRPr="004C4B75" w:rsidRDefault="00BB3126" w:rsidP="00BB3126">
      <w:r w:rsidRPr="004C4B75">
        <w:t xml:space="preserve">The financial impact on a State’s budget of its disabilities. They are measured, for example, as the difference between assessed expenses and average expenses, assessed revenue and average revenue. Assessed differences can be either positive or negative.  </w:t>
      </w:r>
    </w:p>
    <w:p w:rsidR="00BB3126" w:rsidRPr="004C4B75" w:rsidRDefault="00BB3126" w:rsidP="00BB3126">
      <w:pPr>
        <w:rPr>
          <w:b/>
        </w:rPr>
      </w:pPr>
      <w:r w:rsidRPr="004C4B75">
        <w:rPr>
          <w:b/>
        </w:rPr>
        <w:t>assessed expenses</w:t>
      </w:r>
    </w:p>
    <w:p w:rsidR="00BB3126" w:rsidRPr="004C4B75" w:rsidRDefault="00BB3126" w:rsidP="00BB3126">
      <w:r w:rsidRPr="004C4B75">
        <w:t>The expenses a State would incur if it were to follow average expense policies, allowing for the disabilities it faces in providing services, and assuming it provides services at the average level of efficiency. Assessed expenses exclude differences from the average due to policy choices under the control of a State.</w:t>
      </w:r>
    </w:p>
    <w:p w:rsidR="00BB3126" w:rsidRPr="004C4B75" w:rsidRDefault="00BB3126" w:rsidP="00BB3126">
      <w:pPr>
        <w:keepNext/>
        <w:rPr>
          <w:b/>
        </w:rPr>
      </w:pPr>
      <w:r w:rsidRPr="004C4B75">
        <w:rPr>
          <w:b/>
        </w:rPr>
        <w:lastRenderedPageBreak/>
        <w:t>assessed GST requirement</w:t>
      </w:r>
    </w:p>
    <w:p w:rsidR="00BB3126" w:rsidRPr="004C4B75" w:rsidRDefault="00BB3126" w:rsidP="00BB3126">
      <w:r w:rsidRPr="004C4B75">
        <w:t>A State’s requirement for funds from GST revenue in an assessment year. It is measured as its assessed expenses, plus its assessed investment, less its assessed revenue, less assessed Commonwealth payments and less assessed net borrowing.</w:t>
      </w:r>
    </w:p>
    <w:p w:rsidR="00BB3126" w:rsidRPr="004C4B75" w:rsidRDefault="00BB3126" w:rsidP="00BB3126">
      <w:pPr>
        <w:rPr>
          <w:b/>
        </w:rPr>
      </w:pPr>
      <w:r w:rsidRPr="004C4B75">
        <w:rPr>
          <w:b/>
        </w:rPr>
        <w:t>assessed investment</w:t>
      </w:r>
    </w:p>
    <w:p w:rsidR="00BB3126" w:rsidRPr="004C4B75" w:rsidRDefault="00BB3126" w:rsidP="00BB3126">
      <w:r w:rsidRPr="004C4B75">
        <w:t xml:space="preserve">The expenditure on new infrastructure a State would incur if it were to follow average policies, allowing for disabilities it faces in providing infrastructure, and assuming it requires the average level of infrastructure to deliver the average level of services. Assessed investment excludes differences from the average due to policy choices under the control of that State. </w:t>
      </w:r>
    </w:p>
    <w:p w:rsidR="00BB3126" w:rsidRPr="004C4B75" w:rsidRDefault="00BB3126" w:rsidP="00BB3126">
      <w:pPr>
        <w:rPr>
          <w:b/>
        </w:rPr>
      </w:pPr>
      <w:r w:rsidRPr="004C4B75">
        <w:rPr>
          <w:b/>
        </w:rPr>
        <w:t>assessed net lending/borrowing</w:t>
      </w:r>
    </w:p>
    <w:p w:rsidR="00BB3126" w:rsidRPr="004C4B75" w:rsidRDefault="00BB3126" w:rsidP="00BB3126">
      <w:r w:rsidRPr="004C4B75">
        <w:t>The transaction-based change in net financial worth that a State would require to achieve the average net financial worth at the end of each year. The Commission’s method for calculating assessed net lending/borrowing assumes that each State has the average net financial worth at the start of each year.</w:t>
      </w:r>
    </w:p>
    <w:p w:rsidR="00BB3126" w:rsidRPr="004C4B75" w:rsidRDefault="00BB3126" w:rsidP="00BB3126">
      <w:pPr>
        <w:rPr>
          <w:b/>
        </w:rPr>
      </w:pPr>
      <w:r w:rsidRPr="004C4B75">
        <w:rPr>
          <w:b/>
        </w:rPr>
        <w:t>assessed revenue</w:t>
      </w:r>
    </w:p>
    <w:p w:rsidR="00BB3126" w:rsidRPr="004C4B75" w:rsidRDefault="00BB3126" w:rsidP="00BB3126">
      <w:r w:rsidRPr="004C4B75">
        <w:t>The revenue a State would raise if it were to apply the average policies to its revenue base, and raise revenue at the average level of efficiency. Assessed revenue excludes differences from the average due to policy choices under the control of that State, for example a higher or lower tax rate applied by a State compared to the average.</w:t>
      </w:r>
    </w:p>
    <w:p w:rsidR="00BB3126" w:rsidRPr="004C4B75" w:rsidRDefault="00BB3126" w:rsidP="00BB3126">
      <w:pPr>
        <w:rPr>
          <w:b/>
        </w:rPr>
      </w:pPr>
      <w:r w:rsidRPr="004C4B75">
        <w:rPr>
          <w:b/>
        </w:rPr>
        <w:t>assessment years</w:t>
      </w:r>
    </w:p>
    <w:p w:rsidR="00BB3126" w:rsidRPr="004C4B75" w:rsidRDefault="00BB3126" w:rsidP="00BB3126">
      <w:r w:rsidRPr="004C4B75">
        <w:t>The financial years used in a review or an update to calculate the assessed GST requirement, from which an annual relativity is calculated. The Commission uses data for three assessment years (where each assessment year corresponds to a financial year). For example, the GST distribution recommended in the 201</w:t>
      </w:r>
      <w:r>
        <w:t>9</w:t>
      </w:r>
      <w:r w:rsidRPr="004C4B75">
        <w:t xml:space="preserve"> Update (for the application year 201</w:t>
      </w:r>
      <w:r>
        <w:t>9</w:t>
      </w:r>
      <w:r w:rsidRPr="004C4B75">
        <w:noBreakHyphen/>
      </w:r>
      <w:r>
        <w:t>20</w:t>
      </w:r>
      <w:r w:rsidRPr="004C4B75">
        <w:t>) is based on the average of three assessment year annual relativities calculated for the most recent completed financial years at the time the relativities are released (201</w:t>
      </w:r>
      <w:r>
        <w:t>5</w:t>
      </w:r>
      <w:r>
        <w:noBreakHyphen/>
        <w:t>16</w:t>
      </w:r>
      <w:r w:rsidRPr="004C4B75">
        <w:t xml:space="preserve"> to 201</w:t>
      </w:r>
      <w:r>
        <w:t>7</w:t>
      </w:r>
      <w:r w:rsidRPr="004C4B75">
        <w:noBreakHyphen/>
        <w:t>1</w:t>
      </w:r>
      <w:r>
        <w:t>8</w:t>
      </w:r>
      <w:r w:rsidRPr="004C4B75">
        <w:t xml:space="preserve"> assessment years).</w:t>
      </w:r>
    </w:p>
    <w:p w:rsidR="00BB3126" w:rsidRPr="004C4B75" w:rsidRDefault="00BB3126" w:rsidP="00BB3126">
      <w:pPr>
        <w:rPr>
          <w:b/>
        </w:rPr>
      </w:pPr>
      <w:r w:rsidRPr="004C4B75">
        <w:rPr>
          <w:b/>
        </w:rPr>
        <w:t>average (or Australian average)</w:t>
      </w:r>
    </w:p>
    <w:p w:rsidR="00BB3126" w:rsidRPr="004C4B75" w:rsidRDefault="00BB3126" w:rsidP="00BB3126">
      <w:r w:rsidRPr="004C4B75">
        <w:t xml:space="preserve">The benchmark against which the performance or characteristics of a State are assessed. It is an average derived from the policies or financial data of all States, and hence may be a financial average or a policy average. </w:t>
      </w:r>
    </w:p>
    <w:p w:rsidR="00BB3126" w:rsidRPr="004C4B75" w:rsidRDefault="00BB3126" w:rsidP="00BB3126">
      <w:pPr>
        <w:rPr>
          <w:b/>
        </w:rPr>
      </w:pPr>
      <w:r w:rsidRPr="004C4B75">
        <w:rPr>
          <w:b/>
        </w:rPr>
        <w:t>average expenses</w:t>
      </w:r>
    </w:p>
    <w:p w:rsidR="00BB3126" w:rsidRPr="004C4B75" w:rsidRDefault="00BB3126" w:rsidP="00BB3126">
      <w:r w:rsidRPr="004C4B75">
        <w:t>The average per capita expense, in a category, a group of categories or in total. It is calculated as the sum of expenses of all States, divided by the Australian population.</w:t>
      </w:r>
    </w:p>
    <w:p w:rsidR="00BB3126" w:rsidRPr="004C4B75" w:rsidRDefault="00BB3126" w:rsidP="00BB3126">
      <w:pPr>
        <w:rPr>
          <w:b/>
        </w:rPr>
      </w:pPr>
      <w:r w:rsidRPr="004C4B75">
        <w:rPr>
          <w:b/>
        </w:rPr>
        <w:t>average revenue</w:t>
      </w:r>
    </w:p>
    <w:p w:rsidR="00BB3126" w:rsidRPr="004C4B75" w:rsidRDefault="00BB3126" w:rsidP="00BB3126">
      <w:r w:rsidRPr="004C4B75">
        <w:t>The average per capita revenue, in a category, a group of categories or in total. It is calculated as the sum of State revenues, divided by the Australian population.</w:t>
      </w:r>
    </w:p>
    <w:p w:rsidR="00BB3126" w:rsidRPr="004C4B75" w:rsidRDefault="00BB3126" w:rsidP="00BB3126">
      <w:pPr>
        <w:rPr>
          <w:b/>
        </w:rPr>
      </w:pPr>
      <w:r w:rsidRPr="004C4B75">
        <w:rPr>
          <w:b/>
        </w:rPr>
        <w:lastRenderedPageBreak/>
        <w:t>backcasting</w:t>
      </w:r>
    </w:p>
    <w:p w:rsidR="00BB3126" w:rsidRPr="004C4B75" w:rsidRDefault="00BB3126" w:rsidP="00BB3126">
      <w:r w:rsidRPr="004C4B75">
        <w:t>Changes made to data for assessment years to reflect current or future Commonwealth or State policies. Backcasting is mainly used to reflect major changes in federal financial arrangements. Where required by the Commission's terms of reference, it has also been used to reflect other changes, such as the replacement of one tax with another tax or the abolition of a tax. In effect, backcasting produces notional financial data that simulate a changed distribution of a Commonwealth payment or State revenue collection before they may have actually changed. Actual data for the assessment period are adjusted to reflect what is reliably known to be happening in the application year.</w:t>
      </w:r>
    </w:p>
    <w:p w:rsidR="00BB3126" w:rsidRPr="004C4B75" w:rsidRDefault="00BB3126" w:rsidP="00BB3126">
      <w:pPr>
        <w:rPr>
          <w:b/>
        </w:rPr>
      </w:pPr>
      <w:r w:rsidRPr="004C4B75">
        <w:rPr>
          <w:b/>
        </w:rPr>
        <w:t>capital assessments</w:t>
      </w:r>
    </w:p>
    <w:p w:rsidR="00BB3126" w:rsidRPr="004C4B75" w:rsidRDefault="00BB3126" w:rsidP="00BB3126">
      <w:r w:rsidRPr="004C4B75">
        <w:t xml:space="preserve">In this report, the term capital refers to the Investment, Depreciation and Net borrowing assessments. </w:t>
      </w:r>
    </w:p>
    <w:p w:rsidR="00BB3126" w:rsidRPr="004C4B75" w:rsidRDefault="00BB3126" w:rsidP="00BB3126">
      <w:pPr>
        <w:rPr>
          <w:b/>
        </w:rPr>
      </w:pPr>
      <w:r w:rsidRPr="004C4B75">
        <w:rPr>
          <w:b/>
        </w:rPr>
        <w:t>category</w:t>
      </w:r>
    </w:p>
    <w:p w:rsidR="00BB3126" w:rsidRPr="004C4B75" w:rsidRDefault="00BB3126" w:rsidP="00BB3126">
      <w:r w:rsidRPr="004C4B75">
        <w:t>A classification of in scope transactions relating to distinct services or revenue sources, used for analytical purposes. In the 201</w:t>
      </w:r>
      <w:r>
        <w:t>9</w:t>
      </w:r>
      <w:r w:rsidRPr="004C4B75">
        <w:t xml:space="preserve"> Update, the adjusted budget is divided into Commonwealth payments, seven revenue categories, thirteen expenditure categories and net borrowing. </w:t>
      </w:r>
    </w:p>
    <w:p w:rsidR="00BB3126" w:rsidRPr="004C4B75" w:rsidRDefault="00BB3126" w:rsidP="00BB3126">
      <w:pPr>
        <w:rPr>
          <w:b/>
        </w:rPr>
      </w:pPr>
      <w:r w:rsidRPr="004C4B75">
        <w:rPr>
          <w:b/>
        </w:rPr>
        <w:t>category factor</w:t>
      </w:r>
    </w:p>
    <w:p w:rsidR="00BB3126" w:rsidRPr="004C4B75" w:rsidRDefault="00BB3126" w:rsidP="00BB3126">
      <w:r w:rsidRPr="004C4B75">
        <w:t xml:space="preserve">The combined result of all the disability factors in a category, or where the category is made up of multiple components, the combined disability factors for all of those components. The category factor is expressed as a ratio to the average. For example in an expense category, a category factor of 1.05 means that the State’s disabilities require it to spend 5% more than the average to follow the average expense policy at the average level of efficiency. </w:t>
      </w:r>
    </w:p>
    <w:p w:rsidR="00BB3126" w:rsidRPr="004C4B75" w:rsidRDefault="00BB3126" w:rsidP="00BB3126">
      <w:pPr>
        <w:rPr>
          <w:b/>
        </w:rPr>
      </w:pPr>
      <w:r w:rsidRPr="004C4B75">
        <w:rPr>
          <w:b/>
        </w:rPr>
        <w:t>Commonwealth payments</w:t>
      </w:r>
    </w:p>
    <w:p w:rsidR="00BB3126" w:rsidRPr="004C4B75" w:rsidRDefault="00BB3126" w:rsidP="00BB3126">
      <w:r w:rsidRPr="004C4B75">
        <w:t>Payments to States made by the Australian Government, including general revenue grants (other than GST revenue), payments for specific purposes (PSPs) and Commonwealth own purpose expenses. The Commission examines the purpose of each payment using established guidelines to decide whether the payment has an impact on State fiscal capacities.</w:t>
      </w:r>
    </w:p>
    <w:p w:rsidR="00BB3126" w:rsidRPr="004C4B75" w:rsidRDefault="00BB3126" w:rsidP="00BB3126">
      <w:pPr>
        <w:rPr>
          <w:b/>
        </w:rPr>
      </w:pPr>
      <w:r w:rsidRPr="004C4B75">
        <w:rPr>
          <w:b/>
        </w:rPr>
        <w:t>component</w:t>
      </w:r>
    </w:p>
    <w:p w:rsidR="00BB3126" w:rsidRPr="004C4B75" w:rsidRDefault="00BB3126" w:rsidP="00BB3126">
      <w:r w:rsidRPr="004C4B75">
        <w:t>A part of an expense or revenue category that is separated from others in the category because different disability factors apply to it.</w:t>
      </w:r>
    </w:p>
    <w:p w:rsidR="00BB3126" w:rsidRPr="004C4B75" w:rsidRDefault="00BB3126" w:rsidP="00BB3126">
      <w:pPr>
        <w:rPr>
          <w:b/>
        </w:rPr>
      </w:pPr>
      <w:r w:rsidRPr="004C4B75">
        <w:rPr>
          <w:b/>
        </w:rPr>
        <w:t>cross-border factor</w:t>
      </w:r>
    </w:p>
    <w:p w:rsidR="00BB3126" w:rsidRPr="004C4B75" w:rsidRDefault="00BB3126" w:rsidP="00BB3126">
      <w:r w:rsidRPr="004C4B75">
        <w:t xml:space="preserve">A disability factor that measures the net effects on a State’s costs of the use of its services by residents of other States and vice versa. </w:t>
      </w:r>
    </w:p>
    <w:p w:rsidR="00BB3126" w:rsidRPr="004C4B75" w:rsidRDefault="00BB3126" w:rsidP="00BB3126">
      <w:pPr>
        <w:rPr>
          <w:b/>
        </w:rPr>
      </w:pPr>
      <w:r w:rsidRPr="004C4B75">
        <w:rPr>
          <w:b/>
        </w:rPr>
        <w:t>disability</w:t>
      </w:r>
    </w:p>
    <w:p w:rsidR="00BB3126" w:rsidRPr="004C4B75" w:rsidRDefault="00BB3126" w:rsidP="00BB3126">
      <w:r w:rsidRPr="004C4B75">
        <w:t>An influence beyond a State’s control that requires it:</w:t>
      </w:r>
    </w:p>
    <w:p w:rsidR="00BB3126" w:rsidRPr="004C4B75" w:rsidRDefault="00BB3126" w:rsidP="00BB3126">
      <w:pPr>
        <w:ind w:left="564" w:hanging="564"/>
      </w:pPr>
      <w:r w:rsidRPr="004C4B75">
        <w:lastRenderedPageBreak/>
        <w:t>•</w:t>
      </w:r>
      <w:r w:rsidRPr="004C4B75">
        <w:tab/>
      </w:r>
      <w:r w:rsidRPr="004C4B75">
        <w:rPr>
          <w:rStyle w:val="CGCBulletlistChar"/>
        </w:rPr>
        <w:t xml:space="preserve">to spend more (or less) per capita than the average to provide the average level of service, or </w:t>
      </w:r>
    </w:p>
    <w:p w:rsidR="00BB3126" w:rsidRPr="004C4B75" w:rsidRDefault="00BB3126" w:rsidP="00BB3126">
      <w:pPr>
        <w:ind w:left="564" w:hanging="564"/>
      </w:pPr>
      <w:r w:rsidRPr="004C4B75">
        <w:t>•</w:t>
      </w:r>
      <w:r w:rsidRPr="004C4B75">
        <w:tab/>
        <w:t xml:space="preserve">to make a greater (or lesser) effort than the average to raise the average amount of revenue per capita. </w:t>
      </w:r>
    </w:p>
    <w:p w:rsidR="00BB3126" w:rsidRPr="004C4B75" w:rsidRDefault="00BB3126" w:rsidP="00BB3126">
      <w:pPr>
        <w:rPr>
          <w:b/>
        </w:rPr>
      </w:pPr>
      <w:r w:rsidRPr="004C4B75">
        <w:rPr>
          <w:b/>
        </w:rPr>
        <w:t>disability factor</w:t>
      </w:r>
    </w:p>
    <w:p w:rsidR="00BB3126" w:rsidRPr="004C4B75" w:rsidRDefault="00BB3126" w:rsidP="00BB3126">
      <w:r w:rsidRPr="004C4B75">
        <w:t>A measure of a State’s use, cost or revenue raising disability, expressed as a ratio of the State's assessed expense or assessed revenue over the corresponding average figure. Policy differences between States are specifically excluded when calculating disability factors. The population weighted average of a disability factor is 1.0.</w:t>
      </w:r>
    </w:p>
    <w:p w:rsidR="00BB3126" w:rsidRPr="004C4B75" w:rsidRDefault="00BB3126" w:rsidP="00BB3126">
      <w:pPr>
        <w:rPr>
          <w:b/>
        </w:rPr>
      </w:pPr>
      <w:r w:rsidRPr="004C4B75">
        <w:rPr>
          <w:b/>
        </w:rPr>
        <w:t>discounting</w:t>
      </w:r>
    </w:p>
    <w:p w:rsidR="00BB3126" w:rsidRPr="004C4B75" w:rsidRDefault="00BB3126" w:rsidP="00BB3126">
      <w:r w:rsidRPr="004C4B75">
        <w:t xml:space="preserve">Where a case for including a disability in a category is established by the Commission, but the measure of that disability is affected by imperfect data or methods, the Commission may decide to apply a discount. When an assessment is to be discounted, a uniform set of discounts is used (12.5%, 25% or 50%), with higher discounts being applied where there is less confidence in the outcome of the assessment or more concern attached to the data. </w:t>
      </w:r>
    </w:p>
    <w:p w:rsidR="00BB3126" w:rsidRPr="004C4B75" w:rsidRDefault="00BB3126" w:rsidP="00BB3126">
      <w:pPr>
        <w:rPr>
          <w:b/>
        </w:rPr>
      </w:pPr>
      <w:r w:rsidRPr="004C4B75">
        <w:rPr>
          <w:b/>
        </w:rPr>
        <w:t>distribution</w:t>
      </w:r>
    </w:p>
    <w:p w:rsidR="00BB3126" w:rsidRPr="004C4B75" w:rsidRDefault="00BB3126" w:rsidP="00BB3126">
      <w:r w:rsidRPr="004C4B75">
        <w:t>State shares of GST revenue based on the principle of horizontal fiscal equalisation.</w:t>
      </w:r>
    </w:p>
    <w:p w:rsidR="00BB3126" w:rsidRPr="004C4B75" w:rsidRDefault="00BB3126" w:rsidP="00BB3126">
      <w:pPr>
        <w:rPr>
          <w:b/>
        </w:rPr>
      </w:pPr>
      <w:r w:rsidRPr="004C4B75">
        <w:rPr>
          <w:b/>
        </w:rPr>
        <w:t>distribution model</w:t>
      </w:r>
    </w:p>
    <w:p w:rsidR="00BB3126" w:rsidRPr="004C4B75" w:rsidRDefault="00BB3126" w:rsidP="00BB3126">
      <w:r w:rsidRPr="004C4B75">
        <w:t xml:space="preserve">A formulation, mathematical or otherwise, of the way in which State GST shares (and relativities) are calculated. A mathematical presentation of the model is provided on the </w:t>
      </w:r>
      <w:hyperlink r:id="rId114" w:history="1">
        <w:r w:rsidRPr="004C4B75">
          <w:rPr>
            <w:rStyle w:val="Hyperlink"/>
          </w:rPr>
          <w:t>Commission’s website</w:t>
        </w:r>
      </w:hyperlink>
      <w:r w:rsidRPr="004C4B75">
        <w:t xml:space="preserve"> (https://</w:t>
      </w:r>
      <w:r w:rsidR="00E769C5">
        <w:t>www.</w:t>
      </w:r>
      <w:r w:rsidRPr="004C4B75">
        <w:t>cgc.gov.au/).</w:t>
      </w:r>
    </w:p>
    <w:p w:rsidR="00BB3126" w:rsidRPr="004C4B75" w:rsidRDefault="00BB3126" w:rsidP="00BB3126">
      <w:pPr>
        <w:rPr>
          <w:b/>
        </w:rPr>
      </w:pPr>
      <w:r w:rsidRPr="004C4B75">
        <w:rPr>
          <w:b/>
        </w:rPr>
        <w:t xml:space="preserve">equal per capita (EPC) assessment method </w:t>
      </w:r>
    </w:p>
    <w:p w:rsidR="00BB3126" w:rsidRPr="004C4B75" w:rsidRDefault="00BB3126" w:rsidP="00BB3126">
      <w:r w:rsidRPr="004C4B75">
        <w:t>Each State’s assessed expense or assessed revenue in a category is set equal to the Australian average per capita amount. It is typically used when there are judged to be no material disabilities between the States, or no reliable assessments could be developed due to data or other limitations. Such an assessment means that no needs are assessed for any State and that there is no impact on the GST distribution.</w:t>
      </w:r>
    </w:p>
    <w:p w:rsidR="00BB3126" w:rsidRPr="004C4B75" w:rsidRDefault="00BB3126" w:rsidP="00BB3126">
      <w:pPr>
        <w:rPr>
          <w:b/>
        </w:rPr>
      </w:pPr>
      <w:r w:rsidRPr="004C4B75">
        <w:rPr>
          <w:b/>
        </w:rPr>
        <w:t>equalisation</w:t>
      </w:r>
    </w:p>
    <w:p w:rsidR="00BB3126" w:rsidRPr="004C4B75" w:rsidRDefault="00BB3126" w:rsidP="00BB3126">
      <w:r w:rsidRPr="004C4B75">
        <w:t>See horizontal fiscal equalisation (HFE).</w:t>
      </w:r>
    </w:p>
    <w:p w:rsidR="00BB3126" w:rsidRPr="004C4B75" w:rsidRDefault="00BB3126" w:rsidP="00BB3126">
      <w:pPr>
        <w:rPr>
          <w:b/>
        </w:rPr>
      </w:pPr>
      <w:r w:rsidRPr="004C4B75">
        <w:rPr>
          <w:b/>
        </w:rPr>
        <w:t>expenditure</w:t>
      </w:r>
    </w:p>
    <w:p w:rsidR="00BB3126" w:rsidRPr="004C4B75" w:rsidRDefault="00BB3126" w:rsidP="00BB3126">
      <w:r w:rsidRPr="004C4B75">
        <w:t>This term is used to refer to expenses and capital expenditure.</w:t>
      </w:r>
    </w:p>
    <w:p w:rsidR="00BB3126" w:rsidRPr="004C4B75" w:rsidRDefault="00BB3126" w:rsidP="00BB3126">
      <w:pPr>
        <w:rPr>
          <w:b/>
        </w:rPr>
      </w:pPr>
      <w:r w:rsidRPr="004C4B75">
        <w:rPr>
          <w:b/>
        </w:rPr>
        <w:t>expenses</w:t>
      </w:r>
    </w:p>
    <w:p w:rsidR="00BB3126" w:rsidRPr="004C4B75" w:rsidRDefault="00BB3126" w:rsidP="00BB3126">
      <w:r w:rsidRPr="004C4B75">
        <w:t>Operating outlays under an accrual budgeting framework.</w:t>
      </w:r>
    </w:p>
    <w:p w:rsidR="00BB3126" w:rsidRPr="004C4B75" w:rsidRDefault="00BB3126" w:rsidP="00BB3126">
      <w:pPr>
        <w:rPr>
          <w:b/>
        </w:rPr>
      </w:pPr>
      <w:r w:rsidRPr="004C4B75">
        <w:rPr>
          <w:b/>
        </w:rPr>
        <w:t>fiscal capacity</w:t>
      </w:r>
    </w:p>
    <w:p w:rsidR="00BB3126" w:rsidRPr="004C4B75" w:rsidRDefault="00BB3126" w:rsidP="00BB3126">
      <w:r w:rsidRPr="004C4B75">
        <w:t xml:space="preserve">The fiscal capacity of a State is a measure of its ability to provide average services, including infrastructure, to its population if it raised revenue from its own revenue bases at average rates and received its actual Commonwealth payments, excluding the GST. Once the GST </w:t>
      </w:r>
      <w:r w:rsidRPr="004C4B75">
        <w:lastRenderedPageBreak/>
        <w:t>has been distributed using the Commission’s recommendations, State fiscal capacities should be equal.</w:t>
      </w:r>
    </w:p>
    <w:p w:rsidR="00BB3126" w:rsidRPr="004C4B75" w:rsidRDefault="00BB3126" w:rsidP="00BB3126">
      <w:r w:rsidRPr="004C4B75">
        <w:t xml:space="preserve">The relative capacity of each State is a comparison of its fiscal capacity with the average capacity. </w:t>
      </w:r>
    </w:p>
    <w:p w:rsidR="00BB3126" w:rsidRPr="004C4B75" w:rsidRDefault="00BB3126" w:rsidP="00BB3126">
      <w:pPr>
        <w:rPr>
          <w:b/>
        </w:rPr>
      </w:pPr>
      <w:r w:rsidRPr="004C4B75">
        <w:rPr>
          <w:b/>
        </w:rPr>
        <w:t>Goods and Services Tax (GST) revenue or GST pool</w:t>
      </w:r>
    </w:p>
    <w:p w:rsidR="00BB3126" w:rsidRPr="004C4B75" w:rsidRDefault="00BB3126" w:rsidP="00BB3126">
      <w:r w:rsidRPr="004C4B75">
        <w:t>The funds made available by the Australian Government for transfer to the States as untied financial assistance, consistent with the principle of horizontal fiscal equalisation.</w:t>
      </w:r>
    </w:p>
    <w:p w:rsidR="00BB3126" w:rsidRPr="004C4B75" w:rsidRDefault="00BB3126" w:rsidP="00BB3126">
      <w:pPr>
        <w:rPr>
          <w:b/>
        </w:rPr>
      </w:pPr>
      <w:r w:rsidRPr="004C4B75">
        <w:rPr>
          <w:b/>
        </w:rPr>
        <w:t>grant design inefficiency</w:t>
      </w:r>
    </w:p>
    <w:p w:rsidR="00BB3126" w:rsidRPr="004C4B75" w:rsidRDefault="00BB3126" w:rsidP="00BB3126">
      <w:r w:rsidRPr="004C4B75">
        <w:t>A flaw in a method of assessment which would allow a State to influence its relativity by changing its expense or revenue policies (apart from any effect of these policies on the average).</w:t>
      </w:r>
    </w:p>
    <w:p w:rsidR="00BB3126" w:rsidRPr="004C4B75" w:rsidRDefault="00BB3126" w:rsidP="00BB3126">
      <w:pPr>
        <w:rPr>
          <w:b/>
        </w:rPr>
      </w:pPr>
      <w:r w:rsidRPr="004C4B75">
        <w:rPr>
          <w:b/>
        </w:rPr>
        <w:t>horizontal fiscal equalisation (equalisation)</w:t>
      </w:r>
    </w:p>
    <w:p w:rsidR="00BB3126" w:rsidRPr="004C4B75" w:rsidRDefault="00BB3126" w:rsidP="00BB3126">
      <w:r w:rsidRPr="004C4B75">
        <w:t>A distribution of GST revenue to State governments such that, after allowing for material factors affecting revenues and expenditures, each would have the fiscal capacity to provide services and their associated infrastructure at the same standard, if each made the same effort to raise revenue from its own sources, operated at the same level of efficiency and maintained the average per capita net financial worth.</w:t>
      </w:r>
    </w:p>
    <w:p w:rsidR="00BB3126" w:rsidRPr="004C4B75" w:rsidRDefault="00BB3126" w:rsidP="00BB3126">
      <w:pPr>
        <w:rPr>
          <w:b/>
        </w:rPr>
      </w:pPr>
      <w:r w:rsidRPr="004C4B75">
        <w:rPr>
          <w:b/>
        </w:rPr>
        <w:t>impact on relativities (previously called inclusion), see also no impact on relativities</w:t>
      </w:r>
    </w:p>
    <w:p w:rsidR="00BB3126" w:rsidRPr="004C4B75" w:rsidRDefault="00BB3126" w:rsidP="00BB3126">
      <w:r w:rsidRPr="004C4B75">
        <w:t xml:space="preserve">Treatment applied to a Commonwealth payment that provides budget support for State services for which expenditure needs are assessed. The expenses funded by payments that affect the relativities are assessed in relevant categories and the revenue is assessed on an actual per capita basis. </w:t>
      </w:r>
    </w:p>
    <w:p w:rsidR="00BB3126" w:rsidRPr="004C4B75" w:rsidRDefault="00BB3126" w:rsidP="00BB3126">
      <w:pPr>
        <w:rPr>
          <w:b/>
        </w:rPr>
      </w:pPr>
      <w:r w:rsidRPr="004C4B75">
        <w:rPr>
          <w:b/>
        </w:rPr>
        <w:t>infrastructure</w:t>
      </w:r>
    </w:p>
    <w:p w:rsidR="00BB3126" w:rsidRPr="004C4B75" w:rsidRDefault="00BB3126" w:rsidP="00BB3126">
      <w:r w:rsidRPr="004C4B75">
        <w:t>Infrastructure refers to the stock of physical assets owned by a State’s general government sector and its urban public transport and housing public non-financial corporations for the purpose of delivering services. It includes buildings, non-building construction (such as roads) and plant and equipment for economic and social purposes.</w:t>
      </w:r>
    </w:p>
    <w:p w:rsidR="00BB3126" w:rsidRPr="004C4B75" w:rsidRDefault="00BB3126" w:rsidP="00BB3126">
      <w:pPr>
        <w:rPr>
          <w:b/>
        </w:rPr>
      </w:pPr>
      <w:r w:rsidRPr="004C4B75">
        <w:rPr>
          <w:b/>
        </w:rPr>
        <w:t>investment</w:t>
      </w:r>
    </w:p>
    <w:p w:rsidR="00BB3126" w:rsidRPr="004C4B75" w:rsidRDefault="00BB3126" w:rsidP="00BB3126">
      <w:r w:rsidRPr="004C4B75">
        <w:t>Investment refers to capital expenditure less depreciation expenses. It is conceptually equivalent to ‘net acquisition of non-financial assets’ that appears in the Australian Bureau of Statistics Government Finance Statistics State operating statement.</w:t>
      </w:r>
    </w:p>
    <w:p w:rsidR="00BB3126" w:rsidRPr="004C4B75" w:rsidRDefault="00BB3126" w:rsidP="00BB3126">
      <w:pPr>
        <w:rPr>
          <w:b/>
        </w:rPr>
      </w:pPr>
      <w:r w:rsidRPr="004C4B75">
        <w:rPr>
          <w:b/>
        </w:rPr>
        <w:t xml:space="preserve">material, materiality </w:t>
      </w:r>
    </w:p>
    <w:p w:rsidR="00BB3126" w:rsidRPr="004C4B75" w:rsidRDefault="00BB3126" w:rsidP="00BB3126">
      <w:r w:rsidRPr="004C4B75">
        <w:t>A test used to assist decisions about whether a separate assessment of disabilities should be undertaken or data adjusted. The materiality levels are defined in terms of the amount of GST redistributed per capita for any State. Different thresholds are used for each. An assessment or adjustment is said to be material if it exceeds the threshold set for it. (See the Assessment Guidelines, Chapter 1 of the 2015 Review Report, Volume 2.)</w:t>
      </w:r>
    </w:p>
    <w:p w:rsidR="00BB3126" w:rsidRPr="004C4B75" w:rsidRDefault="00BB3126" w:rsidP="00BB3126">
      <w:pPr>
        <w:rPr>
          <w:b/>
        </w:rPr>
      </w:pPr>
      <w:r w:rsidRPr="004C4B75">
        <w:rPr>
          <w:b/>
        </w:rPr>
        <w:lastRenderedPageBreak/>
        <w:t>national capital disability</w:t>
      </w:r>
    </w:p>
    <w:p w:rsidR="00BB3126" w:rsidRPr="004C4B75" w:rsidRDefault="00BB3126" w:rsidP="00BB3126">
      <w:r w:rsidRPr="004C4B75">
        <w:t xml:space="preserve">A disability that measures the additional costs that the ACT incurs because of Canberra’s status as the national capital. </w:t>
      </w:r>
    </w:p>
    <w:p w:rsidR="00BB3126" w:rsidRPr="004C4B75" w:rsidRDefault="00BB3126" w:rsidP="00BB3126">
      <w:pPr>
        <w:rPr>
          <w:b/>
        </w:rPr>
      </w:pPr>
      <w:r w:rsidRPr="004C4B75">
        <w:rPr>
          <w:b/>
        </w:rPr>
        <w:t>national partnership payments (NPPs)</w:t>
      </w:r>
    </w:p>
    <w:p w:rsidR="00BB3126" w:rsidRPr="004C4B75" w:rsidRDefault="00BB3126" w:rsidP="00BB3126">
      <w:r w:rsidRPr="004C4B75">
        <w:t xml:space="preserve">Commonwealth payments to States that support the delivery of specified projects, facilitate reforms, or reward those jurisdictions that deliver on nationally-significant reforms. </w:t>
      </w:r>
    </w:p>
    <w:p w:rsidR="00BB3126" w:rsidRPr="004C4B75" w:rsidRDefault="00BB3126" w:rsidP="00BB3126">
      <w:pPr>
        <w:rPr>
          <w:b/>
        </w:rPr>
      </w:pPr>
      <w:r w:rsidRPr="004C4B75">
        <w:rPr>
          <w:b/>
        </w:rPr>
        <w:t>National specific purpose payments (SPPs)</w:t>
      </w:r>
    </w:p>
    <w:p w:rsidR="00BB3126" w:rsidRPr="004C4B75" w:rsidRDefault="00BB3126" w:rsidP="00BB3126">
      <w:r w:rsidRPr="004C4B75">
        <w:t>Commonwealth payments to States for specific purposes that enable national policy objectives to be achieved in areas that may be administered by States.</w:t>
      </w:r>
    </w:p>
    <w:p w:rsidR="00BB3126" w:rsidRPr="004C4B75" w:rsidRDefault="00BB3126" w:rsidP="00BB3126">
      <w:pPr>
        <w:rPr>
          <w:b/>
        </w:rPr>
      </w:pPr>
      <w:r w:rsidRPr="004C4B75">
        <w:rPr>
          <w:b/>
        </w:rPr>
        <w:t>native title and land rights disability</w:t>
      </w:r>
    </w:p>
    <w:p w:rsidR="00BB3126" w:rsidRPr="004C4B75" w:rsidRDefault="00BB3126" w:rsidP="00BB3126">
      <w:r w:rsidRPr="004C4B75">
        <w:t xml:space="preserve">A disability that measures differences in costs that States incur because of the operation of the Australian Government’s Native Title Act 1993 or the additional and unique costs that the Northern Territory incurs because of the operation of the Australian Government’s Aboriginal Land Rights (Northern Territory) Act 1976. </w:t>
      </w:r>
    </w:p>
    <w:p w:rsidR="00BB3126" w:rsidRPr="004C4B75" w:rsidRDefault="00BB3126" w:rsidP="00BB3126">
      <w:pPr>
        <w:rPr>
          <w:b/>
        </w:rPr>
      </w:pPr>
      <w:r w:rsidRPr="004C4B75">
        <w:rPr>
          <w:b/>
        </w:rPr>
        <w:t>needs</w:t>
      </w:r>
    </w:p>
    <w:p w:rsidR="00BB3126" w:rsidRPr="004C4B75" w:rsidRDefault="00BB3126" w:rsidP="00BB3126">
      <w:r w:rsidRPr="004C4B75">
        <w:t>See assessed differences.</w:t>
      </w:r>
    </w:p>
    <w:p w:rsidR="00BB3126" w:rsidRPr="004C4B75" w:rsidRDefault="00BB3126" w:rsidP="00BB3126">
      <w:pPr>
        <w:rPr>
          <w:b/>
        </w:rPr>
      </w:pPr>
      <w:r w:rsidRPr="004C4B75">
        <w:rPr>
          <w:b/>
        </w:rPr>
        <w:t>net financial worth</w:t>
      </w:r>
    </w:p>
    <w:p w:rsidR="00BB3126" w:rsidRPr="004C4B75" w:rsidRDefault="00BB3126" w:rsidP="00BB3126">
      <w:r w:rsidRPr="004C4B75">
        <w:t>Net financial worth is the sum of financial assets minus the sum of liabilities.</w:t>
      </w:r>
    </w:p>
    <w:p w:rsidR="00BB3126" w:rsidRPr="004C4B75" w:rsidRDefault="00BB3126" w:rsidP="00BB3126">
      <w:pPr>
        <w:rPr>
          <w:b/>
        </w:rPr>
      </w:pPr>
      <w:r w:rsidRPr="004C4B75">
        <w:rPr>
          <w:b/>
        </w:rPr>
        <w:t>net borrowing</w:t>
      </w:r>
    </w:p>
    <w:p w:rsidR="00BB3126" w:rsidRPr="004C4B75" w:rsidRDefault="00BB3126" w:rsidP="00BB3126">
      <w:r w:rsidRPr="004C4B75">
        <w:t>The outcome of an operating budget calculated as expenses and expenditure on non</w:t>
      </w:r>
      <w:r w:rsidR="004A2B2F">
        <w:noBreakHyphen/>
      </w:r>
      <w:r w:rsidRPr="004C4B75">
        <w:t>financial assets less State own source revenues and revenues received from the Australian Government.</w:t>
      </w:r>
    </w:p>
    <w:p w:rsidR="00BB3126" w:rsidRPr="004C4B75" w:rsidRDefault="00BB3126" w:rsidP="00BB3126">
      <w:pPr>
        <w:rPr>
          <w:b/>
        </w:rPr>
      </w:pPr>
      <w:r w:rsidRPr="004C4B75">
        <w:rPr>
          <w:b/>
        </w:rPr>
        <w:t>no impact on relativities (previously called exclusion or out of scope)</w:t>
      </w:r>
    </w:p>
    <w:p w:rsidR="00BB3126" w:rsidRPr="004C4B75" w:rsidRDefault="00BB3126" w:rsidP="00BB3126">
      <w:r w:rsidRPr="004C4B75">
        <w:t>Treatment applied to a Commonwealth payment that does not provide budget support for State services or for which expenditure needs are not assessed. Both the payment and the expenses relating to it have no impact on a State’s fiscal capacity. Occasionally the terms of reference instruct the Commission to ensure a particular payment has no impact on relativities. (See quarantine.)</w:t>
      </w:r>
    </w:p>
    <w:p w:rsidR="00BB3126" w:rsidRPr="004C4B75" w:rsidRDefault="00BB3126" w:rsidP="00BB3126">
      <w:pPr>
        <w:rPr>
          <w:b/>
        </w:rPr>
      </w:pPr>
      <w:r w:rsidRPr="004C4B75">
        <w:rPr>
          <w:b/>
        </w:rPr>
        <w:t>payments for specific purposes (PSPs)</w:t>
      </w:r>
    </w:p>
    <w:p w:rsidR="00BB3126" w:rsidRPr="004C4B75" w:rsidRDefault="00BB3126" w:rsidP="00BB3126">
      <w:r w:rsidRPr="004C4B75">
        <w:t>Australian government payments to the States for specific purposes in policy areas for which the States have primary responsibility. These payments cover most functional areas of State (and local government) activity, including health, education, skills and workforce development, community services, housing, Indigenous affairs, infrastructure and the environment. PSPs include SPPs, National Health Reform funding, Students First funding and NPPs.</w:t>
      </w:r>
    </w:p>
    <w:p w:rsidR="00BB3126" w:rsidRPr="004C4B75" w:rsidRDefault="00BB3126" w:rsidP="00BB3126">
      <w:pPr>
        <w:keepNext/>
        <w:rPr>
          <w:b/>
        </w:rPr>
      </w:pPr>
      <w:r w:rsidRPr="004C4B75">
        <w:rPr>
          <w:b/>
        </w:rPr>
        <w:lastRenderedPageBreak/>
        <w:t>policy average</w:t>
      </w:r>
    </w:p>
    <w:p w:rsidR="00BB3126" w:rsidRPr="004C4B75" w:rsidRDefault="00BB3126" w:rsidP="00BB3126">
      <w:r w:rsidRPr="004C4B75">
        <w:t xml:space="preserve">The average policies as reflected in the practices of the States in the collection of revenue and the provision of services. These averages are usually weighted according to the size of the user or revenue bases in each State. </w:t>
      </w:r>
    </w:p>
    <w:p w:rsidR="00BB3126" w:rsidRPr="004C4B75" w:rsidRDefault="00BB3126" w:rsidP="00BB3126">
      <w:pPr>
        <w:rPr>
          <w:b/>
        </w:rPr>
      </w:pPr>
      <w:r w:rsidRPr="004C4B75">
        <w:rPr>
          <w:b/>
        </w:rPr>
        <w:t>policy neutral assessment</w:t>
      </w:r>
    </w:p>
    <w:p w:rsidR="00BB3126" w:rsidRPr="004C4B75" w:rsidRDefault="00BB3126" w:rsidP="00BB3126">
      <w:r w:rsidRPr="004C4B75">
        <w:t>An assessment in which the policy average is applied to every State. The resultant assessment is, therefore, unaffected by the policies of individual States, other than through the influence of those policies on the averages.</w:t>
      </w:r>
    </w:p>
    <w:p w:rsidR="00BB3126" w:rsidRPr="004C4B75" w:rsidRDefault="00BB3126" w:rsidP="00BB3126">
      <w:pPr>
        <w:rPr>
          <w:b/>
        </w:rPr>
      </w:pPr>
      <w:r w:rsidRPr="004C4B75">
        <w:rPr>
          <w:b/>
        </w:rPr>
        <w:t>quarantine</w:t>
      </w:r>
    </w:p>
    <w:p w:rsidR="00BB3126" w:rsidRPr="004C4B75" w:rsidRDefault="00BB3126" w:rsidP="00BB3126">
      <w:r w:rsidRPr="004C4B75">
        <w:t>The treatment of a Commonwealth payment, and where possible the expense for which it is used, in such a way as to have no impact on the relativities. Quarantining always results from instructions given directly to the Commission in its terms of reference and the term is used only in this context.</w:t>
      </w:r>
    </w:p>
    <w:p w:rsidR="00BB3126" w:rsidRPr="004C4B75" w:rsidRDefault="00BB3126" w:rsidP="00BB3126">
      <w:pPr>
        <w:rPr>
          <w:b/>
        </w:rPr>
      </w:pPr>
      <w:r w:rsidRPr="004C4B75">
        <w:rPr>
          <w:b/>
        </w:rPr>
        <w:t>ratio of actual expenses to assessed expenses</w:t>
      </w:r>
    </w:p>
    <w:p w:rsidR="00BB3126" w:rsidRPr="004C4B75" w:rsidRDefault="00BB3126" w:rsidP="00BB3126">
      <w:r w:rsidRPr="004C4B75">
        <w:t xml:space="preserve">A ratio that reflects how a State’s policies on the level of services provided and the relative efficiency with which they are provided vary from the average policies. It is measured by dividing actual expense per capita by assessed expense per capita. </w:t>
      </w:r>
    </w:p>
    <w:p w:rsidR="00BB3126" w:rsidRPr="004C4B75" w:rsidRDefault="00BB3126" w:rsidP="00BB3126">
      <w:pPr>
        <w:rPr>
          <w:b/>
        </w:rPr>
      </w:pPr>
      <w:r w:rsidRPr="004C4B75">
        <w:rPr>
          <w:b/>
        </w:rPr>
        <w:t>ratio of actual investment to assessed investment</w:t>
      </w:r>
    </w:p>
    <w:p w:rsidR="00BB3126" w:rsidRPr="004C4B75" w:rsidRDefault="00BB3126" w:rsidP="00BB3126">
      <w:r w:rsidRPr="004C4B75">
        <w:t xml:space="preserve">A ratio that reflects how a State’s policies on the level of capital provided varies from average policies. It is measured by dividing actual expense per capita by assessed expense per capita. </w:t>
      </w:r>
    </w:p>
    <w:p w:rsidR="00BB3126" w:rsidRPr="004C4B75" w:rsidRDefault="00BB3126" w:rsidP="00BB3126">
      <w:pPr>
        <w:rPr>
          <w:b/>
        </w:rPr>
      </w:pPr>
      <w:r w:rsidRPr="004C4B75">
        <w:rPr>
          <w:b/>
        </w:rPr>
        <w:t>ratio of actual revenue to assessed revenue</w:t>
      </w:r>
    </w:p>
    <w:p w:rsidR="00BB3126" w:rsidRPr="004C4B75" w:rsidRDefault="00BB3126" w:rsidP="00BB3126">
      <w:r w:rsidRPr="004C4B75">
        <w:t>A ratio which indicates the actual effort made by a State to raise revenue relative to the average effort. It is primarily a measure of the deviation of a State's tax rates and effort put into ensuring compliance from average rates and average compliance efficiency. It is measured by dividing actual revenue per capita by assessed revenue per capita.</w:t>
      </w:r>
    </w:p>
    <w:p w:rsidR="00BB3126" w:rsidRPr="004C4B75" w:rsidRDefault="00BB3126" w:rsidP="00BB3126">
      <w:pPr>
        <w:rPr>
          <w:b/>
        </w:rPr>
      </w:pPr>
      <w:r w:rsidRPr="004C4B75">
        <w:rPr>
          <w:b/>
        </w:rPr>
        <w:t xml:space="preserve">ratio of assessed expenses to average expenses </w:t>
      </w:r>
    </w:p>
    <w:p w:rsidR="00BB3126" w:rsidRPr="004C4B75" w:rsidRDefault="00BB3126" w:rsidP="00BB3126">
      <w:r>
        <w:t>A</w:t>
      </w:r>
      <w:r w:rsidRPr="004C4B75">
        <w:t xml:space="preserve"> ratio of a State’s assessed per capita cost of providing services at average standards, relative to average per capita cost. It is calculated by dividing per capita assessed expenses by per capita average expenses.</w:t>
      </w:r>
    </w:p>
    <w:p w:rsidR="00BB3126" w:rsidRPr="004C4B75" w:rsidRDefault="00BB3126" w:rsidP="00BB3126">
      <w:pPr>
        <w:rPr>
          <w:b/>
        </w:rPr>
      </w:pPr>
      <w:r w:rsidRPr="004C4B75">
        <w:rPr>
          <w:b/>
        </w:rPr>
        <w:t xml:space="preserve">ratio of assessed capital to average capital </w:t>
      </w:r>
    </w:p>
    <w:p w:rsidR="00BB3126" w:rsidRPr="004C4B75" w:rsidRDefault="00BB3126" w:rsidP="00BB3126">
      <w:r>
        <w:t>A</w:t>
      </w:r>
      <w:r w:rsidRPr="004C4B75">
        <w:t xml:space="preserve"> ratio of a State’s assessed capital requirements per capita to the Australian average capital requirement per capita. The assessed capital requirements are what a State would have needed to invest or lend/borrow to have the Australian average level of capital. It is measured by dividing per capita assessed capital by per capita average capital.</w:t>
      </w:r>
    </w:p>
    <w:p w:rsidR="00BB3126" w:rsidRPr="004C4B75" w:rsidRDefault="00BB3126" w:rsidP="00BB3126">
      <w:pPr>
        <w:keepNext/>
        <w:rPr>
          <w:b/>
        </w:rPr>
      </w:pPr>
      <w:r w:rsidRPr="004C4B75">
        <w:rPr>
          <w:b/>
        </w:rPr>
        <w:lastRenderedPageBreak/>
        <w:t>ratio of assessed revenue to average revenue</w:t>
      </w:r>
    </w:p>
    <w:p w:rsidR="00BB3126" w:rsidRPr="004C4B75" w:rsidRDefault="00BB3126" w:rsidP="00BB3126">
      <w:r w:rsidRPr="004C4B75">
        <w:t>A ratio which indicates the capacity of a State to raise revenue relative to the average. It reflects the size of a State’s revenue base per capita relative to the average and is measured by dividing assessed revenue per capita by average revenue per capita.</w:t>
      </w:r>
    </w:p>
    <w:p w:rsidR="00BB3126" w:rsidRPr="004C4B75" w:rsidRDefault="00BB3126" w:rsidP="00BB3126">
      <w:pPr>
        <w:rPr>
          <w:b/>
        </w:rPr>
      </w:pPr>
      <w:r w:rsidRPr="004C4B75">
        <w:rPr>
          <w:b/>
        </w:rPr>
        <w:t>redistribution</w:t>
      </w:r>
    </w:p>
    <w:p w:rsidR="00BB3126" w:rsidRPr="004C4B75" w:rsidRDefault="00BB3126" w:rsidP="00BB3126">
      <w:r w:rsidRPr="004C4B75">
        <w:t>The difference between an equal per capita distribution of GST revenue and one based on the principle of horizontal fiscal equalisation.</w:t>
      </w:r>
    </w:p>
    <w:p w:rsidR="00BB3126" w:rsidRPr="004C4B75" w:rsidRDefault="00BB3126" w:rsidP="00BB3126">
      <w:pPr>
        <w:rPr>
          <w:b/>
        </w:rPr>
      </w:pPr>
      <w:r w:rsidRPr="004C4B75">
        <w:rPr>
          <w:b/>
        </w:rPr>
        <w:t>regional costs disability</w:t>
      </w:r>
    </w:p>
    <w:p w:rsidR="00BB3126" w:rsidRPr="004C4B75" w:rsidRDefault="00BB3126" w:rsidP="00BB3126">
      <w:r w:rsidRPr="004C4B75">
        <w:t>A disability that measures cost differences within a State due to differences in the wages paid and in the price and quantity of other inputs to State services.</w:t>
      </w:r>
    </w:p>
    <w:p w:rsidR="00BB3126" w:rsidRPr="004C4B75" w:rsidRDefault="00BB3126" w:rsidP="00BB3126">
      <w:pPr>
        <w:rPr>
          <w:b/>
        </w:rPr>
      </w:pPr>
      <w:r w:rsidRPr="004C4B75">
        <w:rPr>
          <w:b/>
        </w:rPr>
        <w:t>relativity</w:t>
      </w:r>
    </w:p>
    <w:p w:rsidR="00BB3126" w:rsidRPr="004C4B75" w:rsidRDefault="00BB3126" w:rsidP="00BB3126">
      <w:r w:rsidRPr="004C4B75">
        <w:t xml:space="preserve">A per capita weight assessed by the Commission for use by the Commonwealth Treasury in calculating the share of the GST revenue a State requires to achieve horizontal fiscal equalisation. </w:t>
      </w:r>
    </w:p>
    <w:p w:rsidR="00BB3126" w:rsidRPr="004C4B75" w:rsidRDefault="00BB3126" w:rsidP="00BB3126">
      <w:pPr>
        <w:rPr>
          <w:b/>
        </w:rPr>
      </w:pPr>
      <w:r w:rsidRPr="004C4B75">
        <w:rPr>
          <w:b/>
        </w:rPr>
        <w:t>revenue base</w:t>
      </w:r>
    </w:p>
    <w:p w:rsidR="00BB3126" w:rsidRPr="004C4B75" w:rsidRDefault="00BB3126" w:rsidP="00BB3126">
      <w:r w:rsidRPr="004C4B75">
        <w:t xml:space="preserve">A measure of the transactions, activities, or assets that are taxed by the States. Differences between the revenue bases of each State are used by the Commission to determine the relative capacities of each to raise a particular type of revenue. </w:t>
      </w:r>
    </w:p>
    <w:p w:rsidR="00BB3126" w:rsidRPr="004C4B75" w:rsidRDefault="00BB3126" w:rsidP="00BB3126">
      <w:pPr>
        <w:rPr>
          <w:b/>
        </w:rPr>
      </w:pPr>
      <w:r w:rsidRPr="004C4B75">
        <w:rPr>
          <w:b/>
        </w:rPr>
        <w:t>revenue effort</w:t>
      </w:r>
    </w:p>
    <w:p w:rsidR="00BB3126" w:rsidRPr="004C4B75" w:rsidRDefault="00BB3126" w:rsidP="00BB3126">
      <w:r w:rsidRPr="004C4B75">
        <w:t xml:space="preserve">The intensity of use of a revenue base (the implied tax rate) measured as actual revenue divided by the assessed revenue. It is influenced by the rate of tax or charge, the exemptions, and concessions provided, actual scope of the revenue base in a State, and the effort it put into ensuring compliance. </w:t>
      </w:r>
    </w:p>
    <w:p w:rsidR="00BB3126" w:rsidRPr="004C4B75" w:rsidRDefault="00BB3126" w:rsidP="00BB3126">
      <w:pPr>
        <w:rPr>
          <w:b/>
        </w:rPr>
      </w:pPr>
      <w:r w:rsidRPr="004C4B75">
        <w:rPr>
          <w:b/>
        </w:rPr>
        <w:t>review</w:t>
      </w:r>
    </w:p>
    <w:p w:rsidR="00BB3126" w:rsidRPr="004C4B75" w:rsidRDefault="00BB3126" w:rsidP="00BB3126">
      <w:r w:rsidRPr="004C4B75">
        <w:t>The process in which the Commission reconsiders the methods used to calculate the GST distribution, according to terms of reference given to it. From 1988 onwards, reviews have usually been done every five years. By contrast, an update is conducted every year other than a review year and updates the GST distribution using the methods determined in the last review and the latest financial data.</w:t>
      </w:r>
    </w:p>
    <w:p w:rsidR="00BB3126" w:rsidRPr="004C4B75" w:rsidRDefault="00BB3126" w:rsidP="00BB3126">
      <w:pPr>
        <w:rPr>
          <w:b/>
        </w:rPr>
      </w:pPr>
      <w:r w:rsidRPr="004C4B75">
        <w:rPr>
          <w:b/>
        </w:rPr>
        <w:t>service delivery scale disability</w:t>
      </w:r>
    </w:p>
    <w:p w:rsidR="00BB3126" w:rsidRPr="004C4B75" w:rsidRDefault="00BB3126" w:rsidP="00BB3126">
      <w:r w:rsidRPr="004C4B75">
        <w:t xml:space="preserve">A disability that measures the additional costs of providing a service where it needs to be delivered but where the delivery is more costly because the population served is small and isolated from other points of service delivery. </w:t>
      </w:r>
    </w:p>
    <w:p w:rsidR="00BB3126" w:rsidRPr="004C4B75" w:rsidRDefault="00BB3126" w:rsidP="00BB3126">
      <w:pPr>
        <w:rPr>
          <w:b/>
        </w:rPr>
      </w:pPr>
      <w:r>
        <w:rPr>
          <w:b/>
        </w:rPr>
        <w:t>s</w:t>
      </w:r>
      <w:r w:rsidRPr="004C4B75">
        <w:rPr>
          <w:b/>
        </w:rPr>
        <w:t>ocio-demographic composition disability</w:t>
      </w:r>
    </w:p>
    <w:p w:rsidR="00BB3126" w:rsidRPr="004C4B75" w:rsidRDefault="00BB3126" w:rsidP="00BB3126">
      <w:r w:rsidRPr="004C4B75">
        <w:t xml:space="preserve">A disability that measures differences in both the average use and cost of providing services due to differences between States in the relative size of various socio-demographic groups. </w:t>
      </w:r>
      <w:r w:rsidRPr="004C4B75">
        <w:lastRenderedPageBreak/>
        <w:t>It can reflect differences between States in some or all population characteristics such as age sex structure, socio</w:t>
      </w:r>
      <w:r w:rsidR="004A2B2F">
        <w:t>-</w:t>
      </w:r>
      <w:r w:rsidRPr="004C4B75">
        <w:t xml:space="preserve">economic status, Indigenous status and location. </w:t>
      </w:r>
    </w:p>
    <w:p w:rsidR="00BB3126" w:rsidRPr="004C4B75" w:rsidRDefault="00BB3126" w:rsidP="00BB3126">
      <w:pPr>
        <w:rPr>
          <w:b/>
        </w:rPr>
      </w:pPr>
      <w:r w:rsidRPr="004C4B75">
        <w:rPr>
          <w:b/>
        </w:rPr>
        <w:t>State(s)</w:t>
      </w:r>
    </w:p>
    <w:p w:rsidR="00BB3126" w:rsidRPr="004C4B75" w:rsidRDefault="00BB3126" w:rsidP="00BB3126">
      <w:r w:rsidRPr="004C4B75">
        <w:t>Unless the context indicates otherwise, the term ‘St</w:t>
      </w:r>
      <w:r w:rsidR="00E90DBF">
        <w:t xml:space="preserve">ate(s)’ includes the Australian </w:t>
      </w:r>
      <w:r w:rsidRPr="004C4B75">
        <w:t>Capital</w:t>
      </w:r>
      <w:r w:rsidR="00E90DBF">
        <w:t xml:space="preserve"> </w:t>
      </w:r>
      <w:r w:rsidRPr="004C4B75">
        <w:t>Territory and the Northern Territory.</w:t>
      </w:r>
    </w:p>
    <w:p w:rsidR="00BB3126" w:rsidRPr="004C4B75" w:rsidRDefault="00BB3126" w:rsidP="00BB3126">
      <w:pPr>
        <w:rPr>
          <w:b/>
        </w:rPr>
      </w:pPr>
      <w:r w:rsidRPr="004C4B75">
        <w:rPr>
          <w:b/>
        </w:rPr>
        <w:t>tax base</w:t>
      </w:r>
    </w:p>
    <w:p w:rsidR="00BB3126" w:rsidRPr="004C4B75" w:rsidRDefault="00BB3126" w:rsidP="00BB3126">
      <w:r w:rsidRPr="004C4B75">
        <w:t xml:space="preserve">See revenue base. </w:t>
      </w:r>
    </w:p>
    <w:p w:rsidR="00BB3126" w:rsidRPr="004C4B75" w:rsidRDefault="00BB3126" w:rsidP="00BB3126">
      <w:pPr>
        <w:rPr>
          <w:b/>
        </w:rPr>
      </w:pPr>
      <w:r w:rsidRPr="004C4B75">
        <w:rPr>
          <w:b/>
        </w:rPr>
        <w:t>update</w:t>
      </w:r>
    </w:p>
    <w:p w:rsidR="00BB3126" w:rsidRPr="004C4B75" w:rsidRDefault="00BB3126" w:rsidP="00BB3126">
      <w:r w:rsidRPr="004C4B75">
        <w:t xml:space="preserve">The annual assessment of the GST distribution undertaken by the Commission between reviews. Update assessments incorporate new budgetary developments and the most recent available data. In general, the methods used to calculate the GST distribution are those adopted in the most recent review. </w:t>
      </w:r>
    </w:p>
    <w:p w:rsidR="00BB3126" w:rsidRPr="004C4B75" w:rsidRDefault="00BB3126" w:rsidP="00BB3126">
      <w:pPr>
        <w:rPr>
          <w:b/>
        </w:rPr>
      </w:pPr>
      <w:r w:rsidRPr="004C4B75">
        <w:rPr>
          <w:b/>
        </w:rPr>
        <w:t>user charges</w:t>
      </w:r>
    </w:p>
    <w:p w:rsidR="00BB3126" w:rsidRPr="004C4B75" w:rsidRDefault="00BB3126" w:rsidP="00BB3126">
      <w:r w:rsidRPr="004C4B75">
        <w:t>Fees and charges raised by States through the provision of goods or services. In the adjusted budget, user charges for health, post-secondary education, electricity, water and protection of the environment, mining regulation and public transport are deducted from related expenses. Housing user charges are assessed in a separate component in the Housing category. Other user charges are included in the Other revenue category.</w:t>
      </w:r>
    </w:p>
    <w:p w:rsidR="00BB3126" w:rsidRPr="004C4B75" w:rsidRDefault="00BB3126" w:rsidP="00BB3126">
      <w:pPr>
        <w:rPr>
          <w:b/>
        </w:rPr>
      </w:pPr>
      <w:r w:rsidRPr="004C4B75">
        <w:rPr>
          <w:b/>
        </w:rPr>
        <w:t>wage costs disability</w:t>
      </w:r>
    </w:p>
    <w:p w:rsidR="00BB3126" w:rsidRPr="004C4B75" w:rsidRDefault="00BB3126" w:rsidP="00BB3126">
      <w:r w:rsidRPr="004C4B75">
        <w:t>A disability that recognises that otherwise comparable public sector employees in different States are paid different wages, in large part due to differences in labour markets beyond the control of State governments.</w:t>
      </w:r>
    </w:p>
    <w:p w:rsidR="00BB3126" w:rsidRPr="00F124C4" w:rsidRDefault="00BB3126" w:rsidP="00BB3126">
      <w:pPr>
        <w:rPr>
          <w:highlight w:val="yellow"/>
        </w:rPr>
      </w:pPr>
    </w:p>
    <w:p w:rsidR="00BB3126" w:rsidRPr="00F124C4" w:rsidRDefault="00BB3126" w:rsidP="00BB3126">
      <w:pPr>
        <w:rPr>
          <w:highlight w:val="yellow"/>
        </w:rPr>
        <w:sectPr w:rsidR="00BB3126" w:rsidRPr="00F124C4" w:rsidSect="0004123E">
          <w:headerReference w:type="even" r:id="rId115"/>
          <w:headerReference w:type="default" r:id="rId116"/>
          <w:footerReference w:type="default" r:id="rId117"/>
          <w:headerReference w:type="first" r:id="rId118"/>
          <w:footerReference w:type="first" r:id="rId119"/>
          <w:pgSz w:w="11899" w:h="16838" w:code="9"/>
          <w:pgMar w:top="1701" w:right="1474" w:bottom="1701" w:left="1474" w:header="709" w:footer="709" w:gutter="0"/>
          <w:cols w:space="708"/>
          <w:titlePg/>
          <w:docGrid w:linePitch="299"/>
        </w:sectPr>
      </w:pPr>
    </w:p>
    <w:p w:rsidR="00BB3126" w:rsidRPr="0091384D" w:rsidRDefault="00BB3126" w:rsidP="00BB3126">
      <w:pPr>
        <w:pStyle w:val="Heading2"/>
      </w:pPr>
      <w:bookmarkStart w:id="897" w:name="_Toc474923807"/>
      <w:bookmarkStart w:id="898" w:name="_Toc536519667"/>
      <w:bookmarkStart w:id="899" w:name="_Toc536631377"/>
      <w:bookmarkStart w:id="900" w:name="_Toc536803222"/>
      <w:bookmarkStart w:id="901" w:name="_Toc536803310"/>
      <w:bookmarkStart w:id="902" w:name="_Toc1115182"/>
      <w:r w:rsidRPr="0091384D">
        <w:lastRenderedPageBreak/>
        <w:t>Acronyms</w:t>
      </w:r>
      <w:bookmarkEnd w:id="897"/>
      <w:bookmarkEnd w:id="898"/>
      <w:bookmarkEnd w:id="899"/>
      <w:bookmarkEnd w:id="900"/>
      <w:bookmarkEnd w:id="901"/>
      <w:bookmarkEnd w:id="902"/>
    </w:p>
    <w:tbl>
      <w:tblPr>
        <w:tblW w:w="9180" w:type="dxa"/>
        <w:tblInd w:w="93" w:type="dxa"/>
        <w:tblLook w:val="04A0" w:firstRow="1" w:lastRow="0" w:firstColumn="1" w:lastColumn="0" w:noHBand="0" w:noVBand="1"/>
      </w:tblPr>
      <w:tblGrid>
        <w:gridCol w:w="1460"/>
        <w:gridCol w:w="7720"/>
      </w:tblGrid>
      <w:tr w:rsidR="00BB3126" w:rsidRPr="00F124C4" w:rsidTr="00C7618F">
        <w:trPr>
          <w:trHeight w:val="315"/>
        </w:trPr>
        <w:tc>
          <w:tcPr>
            <w:tcW w:w="146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ABS</w:t>
            </w:r>
          </w:p>
        </w:tc>
        <w:tc>
          <w:tcPr>
            <w:tcW w:w="772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Australian Bureau of Statistics</w:t>
            </w:r>
          </w:p>
        </w:tc>
      </w:tr>
      <w:tr w:rsidR="00BB3126" w:rsidRPr="00F124C4" w:rsidTr="00C7618F">
        <w:trPr>
          <w:trHeight w:val="315"/>
        </w:trPr>
        <w:tc>
          <w:tcPr>
            <w:tcW w:w="146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APC</w:t>
            </w:r>
          </w:p>
        </w:tc>
        <w:tc>
          <w:tcPr>
            <w:tcW w:w="7720" w:type="dxa"/>
            <w:tcBorders>
              <w:top w:val="nil"/>
              <w:left w:val="nil"/>
              <w:bottom w:val="nil"/>
              <w:right w:val="nil"/>
            </w:tcBorders>
            <w:shd w:val="clear" w:color="auto" w:fill="auto"/>
            <w:noWrap/>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Actual per capita</w:t>
            </w:r>
          </w:p>
        </w:tc>
      </w:tr>
      <w:tr w:rsidR="00BB3126" w:rsidRPr="00F124C4" w:rsidTr="00C7618F">
        <w:trPr>
          <w:trHeight w:val="315"/>
        </w:trPr>
        <w:tc>
          <w:tcPr>
            <w:tcW w:w="1460" w:type="dxa"/>
            <w:tcBorders>
              <w:top w:val="nil"/>
              <w:left w:val="nil"/>
              <w:bottom w:val="nil"/>
              <w:right w:val="nil"/>
            </w:tcBorders>
            <w:shd w:val="clear" w:color="auto" w:fill="auto"/>
            <w:vAlign w:val="center"/>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Pr>
                <w:rFonts w:ascii="Calibri" w:eastAsia="Times New Roman" w:hAnsi="Calibri" w:cs="Times New Roman"/>
                <w:color w:val="000000"/>
                <w:szCs w:val="24"/>
                <w:lang w:eastAsia="en-AU"/>
              </w:rPr>
              <w:t>ARTC</w:t>
            </w:r>
          </w:p>
        </w:tc>
        <w:tc>
          <w:tcPr>
            <w:tcW w:w="7720" w:type="dxa"/>
            <w:tcBorders>
              <w:top w:val="nil"/>
              <w:left w:val="nil"/>
              <w:bottom w:val="nil"/>
              <w:right w:val="nil"/>
            </w:tcBorders>
            <w:shd w:val="clear" w:color="auto" w:fill="auto"/>
            <w:noWrap/>
            <w:vAlign w:val="center"/>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FC10C4">
              <w:rPr>
                <w:rFonts w:ascii="Calibri" w:eastAsia="Times New Roman" w:hAnsi="Calibri" w:cs="Times New Roman"/>
                <w:color w:val="000000"/>
                <w:szCs w:val="24"/>
                <w:lang w:eastAsia="en-AU"/>
              </w:rPr>
              <w:t>Australian Rail Track Corporation</w:t>
            </w:r>
          </w:p>
        </w:tc>
      </w:tr>
      <w:tr w:rsidR="00BB3126" w:rsidRPr="00F124C4" w:rsidTr="00C7618F">
        <w:trPr>
          <w:trHeight w:val="315"/>
        </w:trPr>
        <w:tc>
          <w:tcPr>
            <w:tcW w:w="146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CGC</w:t>
            </w:r>
          </w:p>
        </w:tc>
        <w:tc>
          <w:tcPr>
            <w:tcW w:w="772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Commonwealth Grants Commission</w:t>
            </w:r>
          </w:p>
        </w:tc>
      </w:tr>
      <w:tr w:rsidR="00BB3126" w:rsidRPr="00F124C4" w:rsidTr="00C7618F">
        <w:trPr>
          <w:trHeight w:val="315"/>
        </w:trPr>
        <w:tc>
          <w:tcPr>
            <w:tcW w:w="146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CoE</w:t>
            </w:r>
          </w:p>
        </w:tc>
        <w:tc>
          <w:tcPr>
            <w:tcW w:w="772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Compensation of Employees</w:t>
            </w:r>
          </w:p>
        </w:tc>
      </w:tr>
      <w:tr w:rsidR="00BB3126" w:rsidRPr="00F124C4" w:rsidTr="00C7618F">
        <w:trPr>
          <w:trHeight w:val="315"/>
        </w:trPr>
        <w:tc>
          <w:tcPr>
            <w:tcW w:w="146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CoES</w:t>
            </w:r>
          </w:p>
        </w:tc>
        <w:tc>
          <w:tcPr>
            <w:tcW w:w="7720" w:type="dxa"/>
            <w:tcBorders>
              <w:top w:val="nil"/>
              <w:left w:val="nil"/>
              <w:bottom w:val="nil"/>
              <w:right w:val="nil"/>
            </w:tcBorders>
            <w:shd w:val="clear" w:color="auto" w:fill="auto"/>
            <w:noWrap/>
            <w:vAlign w:val="bottom"/>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 xml:space="preserve">Characteristics of Employment Survey </w:t>
            </w:r>
          </w:p>
        </w:tc>
      </w:tr>
      <w:tr w:rsidR="00BB3126" w:rsidRPr="00F124C4" w:rsidTr="00C7618F">
        <w:trPr>
          <w:trHeight w:val="315"/>
        </w:trPr>
        <w:tc>
          <w:tcPr>
            <w:tcW w:w="1460" w:type="dxa"/>
            <w:tcBorders>
              <w:top w:val="nil"/>
              <w:left w:val="nil"/>
              <w:bottom w:val="nil"/>
              <w:right w:val="nil"/>
            </w:tcBorders>
            <w:shd w:val="clear" w:color="auto" w:fill="auto"/>
            <w:vAlign w:val="center"/>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Pr>
                <w:rFonts w:ascii="Calibri" w:eastAsia="Times New Roman" w:hAnsi="Calibri" w:cs="Times New Roman"/>
                <w:color w:val="000000"/>
                <w:szCs w:val="24"/>
                <w:lang w:eastAsia="en-AU"/>
              </w:rPr>
              <w:t>DIRDC</w:t>
            </w:r>
          </w:p>
        </w:tc>
        <w:tc>
          <w:tcPr>
            <w:tcW w:w="7720" w:type="dxa"/>
            <w:tcBorders>
              <w:top w:val="nil"/>
              <w:left w:val="nil"/>
              <w:bottom w:val="nil"/>
              <w:right w:val="nil"/>
            </w:tcBorders>
            <w:shd w:val="clear" w:color="auto" w:fill="auto"/>
            <w:noWrap/>
            <w:vAlign w:val="bottom"/>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FC10C4">
              <w:rPr>
                <w:rFonts w:ascii="Calibri" w:eastAsia="Times New Roman" w:hAnsi="Calibri" w:cs="Times New Roman"/>
                <w:color w:val="000000"/>
                <w:szCs w:val="24"/>
                <w:lang w:eastAsia="en-AU"/>
              </w:rPr>
              <w:t>Department of Infrastructure, Regional Development and Cities</w:t>
            </w:r>
          </w:p>
        </w:tc>
      </w:tr>
      <w:tr w:rsidR="00BB3126" w:rsidRPr="00F124C4" w:rsidTr="00C7618F">
        <w:trPr>
          <w:trHeight w:val="315"/>
        </w:trPr>
        <w:tc>
          <w:tcPr>
            <w:tcW w:w="146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EPC</w:t>
            </w:r>
          </w:p>
        </w:tc>
        <w:tc>
          <w:tcPr>
            <w:tcW w:w="772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Equal per capita</w:t>
            </w:r>
          </w:p>
        </w:tc>
      </w:tr>
      <w:tr w:rsidR="00BB3126" w:rsidRPr="00F124C4" w:rsidTr="00C7618F">
        <w:trPr>
          <w:trHeight w:val="315"/>
        </w:trPr>
        <w:tc>
          <w:tcPr>
            <w:tcW w:w="1460" w:type="dxa"/>
            <w:tcBorders>
              <w:top w:val="nil"/>
              <w:left w:val="nil"/>
              <w:bottom w:val="nil"/>
              <w:right w:val="nil"/>
            </w:tcBorders>
            <w:shd w:val="clear" w:color="auto" w:fill="auto"/>
            <w:noWrap/>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ERP</w:t>
            </w:r>
          </w:p>
        </w:tc>
        <w:tc>
          <w:tcPr>
            <w:tcW w:w="7720" w:type="dxa"/>
            <w:tcBorders>
              <w:top w:val="nil"/>
              <w:left w:val="nil"/>
              <w:bottom w:val="nil"/>
              <w:right w:val="nil"/>
            </w:tcBorders>
            <w:shd w:val="clear" w:color="auto" w:fill="auto"/>
            <w:noWrap/>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Estimated Resident Population</w:t>
            </w:r>
          </w:p>
        </w:tc>
      </w:tr>
      <w:tr w:rsidR="00BB3126" w:rsidRPr="00F124C4" w:rsidTr="00C7618F">
        <w:trPr>
          <w:trHeight w:val="315"/>
        </w:trPr>
        <w:tc>
          <w:tcPr>
            <w:tcW w:w="1460" w:type="dxa"/>
            <w:tcBorders>
              <w:top w:val="nil"/>
              <w:left w:val="nil"/>
              <w:bottom w:val="nil"/>
              <w:right w:val="nil"/>
            </w:tcBorders>
            <w:shd w:val="clear" w:color="auto" w:fill="auto"/>
            <w:noWrap/>
            <w:vAlign w:val="center"/>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Pr>
                <w:rFonts w:ascii="Calibri" w:eastAsia="Times New Roman" w:hAnsi="Calibri" w:cs="Times New Roman"/>
                <w:color w:val="000000"/>
                <w:szCs w:val="24"/>
                <w:lang w:eastAsia="en-AU"/>
              </w:rPr>
              <w:t>FBO</w:t>
            </w:r>
          </w:p>
        </w:tc>
        <w:tc>
          <w:tcPr>
            <w:tcW w:w="7720" w:type="dxa"/>
            <w:tcBorders>
              <w:top w:val="nil"/>
              <w:left w:val="nil"/>
              <w:bottom w:val="nil"/>
              <w:right w:val="nil"/>
            </w:tcBorders>
            <w:shd w:val="clear" w:color="auto" w:fill="auto"/>
            <w:noWrap/>
            <w:vAlign w:val="center"/>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FC10C4">
              <w:rPr>
                <w:rFonts w:ascii="Calibri" w:eastAsia="Times New Roman" w:hAnsi="Calibri" w:cs="Times New Roman"/>
                <w:color w:val="000000"/>
                <w:szCs w:val="24"/>
                <w:lang w:eastAsia="en-AU"/>
              </w:rPr>
              <w:t>Final Budget Outcome</w:t>
            </w:r>
          </w:p>
        </w:tc>
      </w:tr>
      <w:tr w:rsidR="00BB3126" w:rsidRPr="00F124C4" w:rsidTr="00C7618F">
        <w:trPr>
          <w:trHeight w:val="315"/>
        </w:trPr>
        <w:tc>
          <w:tcPr>
            <w:tcW w:w="1460" w:type="dxa"/>
            <w:tcBorders>
              <w:top w:val="nil"/>
              <w:left w:val="nil"/>
              <w:bottom w:val="nil"/>
              <w:right w:val="nil"/>
            </w:tcBorders>
            <w:shd w:val="clear" w:color="auto" w:fill="auto"/>
            <w:noWrap/>
            <w:vAlign w:val="center"/>
          </w:tcPr>
          <w:p w:rsidR="00BB3126" w:rsidRDefault="00BB3126" w:rsidP="00C7618F">
            <w:pPr>
              <w:tabs>
                <w:tab w:val="clear" w:pos="567"/>
              </w:tabs>
              <w:spacing w:after="0" w:line="240" w:lineRule="auto"/>
              <w:rPr>
                <w:rFonts w:ascii="Calibri" w:eastAsia="Times New Roman" w:hAnsi="Calibri" w:cs="Times New Roman"/>
                <w:color w:val="000000"/>
                <w:szCs w:val="24"/>
                <w:lang w:eastAsia="en-AU"/>
              </w:rPr>
            </w:pPr>
            <w:r>
              <w:rPr>
                <w:rFonts w:ascii="Calibri" w:eastAsia="Times New Roman" w:hAnsi="Calibri" w:cs="Times New Roman"/>
                <w:color w:val="000000"/>
                <w:szCs w:val="24"/>
                <w:lang w:eastAsia="en-AU"/>
              </w:rPr>
              <w:t>GFS</w:t>
            </w:r>
          </w:p>
        </w:tc>
        <w:tc>
          <w:tcPr>
            <w:tcW w:w="7720" w:type="dxa"/>
            <w:tcBorders>
              <w:top w:val="nil"/>
              <w:left w:val="nil"/>
              <w:bottom w:val="nil"/>
              <w:right w:val="nil"/>
            </w:tcBorders>
            <w:shd w:val="clear" w:color="auto" w:fill="auto"/>
            <w:noWrap/>
            <w:vAlign w:val="center"/>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FC10C4">
              <w:rPr>
                <w:rFonts w:ascii="Calibri" w:eastAsia="Times New Roman" w:hAnsi="Calibri" w:cs="Times New Roman"/>
                <w:color w:val="000000"/>
                <w:szCs w:val="24"/>
                <w:lang w:eastAsia="en-AU"/>
              </w:rPr>
              <w:t>Government Finance Statistics</w:t>
            </w:r>
          </w:p>
        </w:tc>
      </w:tr>
      <w:tr w:rsidR="00BB3126" w:rsidRPr="00F124C4" w:rsidTr="00C7618F">
        <w:trPr>
          <w:trHeight w:val="315"/>
        </w:trPr>
        <w:tc>
          <w:tcPr>
            <w:tcW w:w="146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GST</w:t>
            </w:r>
          </w:p>
        </w:tc>
        <w:tc>
          <w:tcPr>
            <w:tcW w:w="772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Goods and Services Tax</w:t>
            </w:r>
          </w:p>
        </w:tc>
      </w:tr>
      <w:tr w:rsidR="00BB3126" w:rsidRPr="00F124C4" w:rsidTr="00C7618F">
        <w:trPr>
          <w:trHeight w:val="315"/>
        </w:trPr>
        <w:tc>
          <w:tcPr>
            <w:tcW w:w="146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HFE</w:t>
            </w:r>
          </w:p>
        </w:tc>
        <w:tc>
          <w:tcPr>
            <w:tcW w:w="772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Horizontal fiscal equalisation</w:t>
            </w:r>
          </w:p>
        </w:tc>
      </w:tr>
      <w:tr w:rsidR="00BB3126" w:rsidRPr="00F124C4" w:rsidTr="00C7618F">
        <w:trPr>
          <w:trHeight w:val="315"/>
        </w:trPr>
        <w:tc>
          <w:tcPr>
            <w:tcW w:w="1460" w:type="dxa"/>
            <w:tcBorders>
              <w:top w:val="nil"/>
              <w:left w:val="nil"/>
              <w:bottom w:val="nil"/>
              <w:right w:val="nil"/>
            </w:tcBorders>
            <w:shd w:val="clear" w:color="auto" w:fill="auto"/>
            <w:vAlign w:val="center"/>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Pr>
                <w:rFonts w:ascii="Calibri" w:eastAsia="Times New Roman" w:hAnsi="Calibri" w:cs="Times New Roman"/>
                <w:color w:val="000000"/>
                <w:szCs w:val="24"/>
                <w:lang w:eastAsia="en-AU"/>
              </w:rPr>
              <w:t>HESC</w:t>
            </w:r>
          </w:p>
        </w:tc>
        <w:tc>
          <w:tcPr>
            <w:tcW w:w="7720" w:type="dxa"/>
            <w:tcBorders>
              <w:top w:val="nil"/>
              <w:left w:val="nil"/>
              <w:bottom w:val="nil"/>
              <w:right w:val="nil"/>
            </w:tcBorders>
            <w:shd w:val="clear" w:color="auto" w:fill="auto"/>
            <w:vAlign w:val="center"/>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FC10C4">
              <w:rPr>
                <w:rFonts w:ascii="Calibri" w:eastAsia="Times New Roman" w:hAnsi="Calibri" w:cs="Times New Roman"/>
                <w:color w:val="000000"/>
                <w:szCs w:val="24"/>
                <w:lang w:eastAsia="en-AU"/>
              </w:rPr>
              <w:t>Hydrogen Energy Supply Chain</w:t>
            </w:r>
          </w:p>
        </w:tc>
      </w:tr>
      <w:tr w:rsidR="00BB3126" w:rsidRPr="00F124C4" w:rsidTr="00C7618F">
        <w:trPr>
          <w:trHeight w:val="315"/>
        </w:trPr>
        <w:tc>
          <w:tcPr>
            <w:tcW w:w="146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IHPA</w:t>
            </w:r>
          </w:p>
        </w:tc>
        <w:tc>
          <w:tcPr>
            <w:tcW w:w="772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Independent Hospital Pricing Authority</w:t>
            </w:r>
          </w:p>
        </w:tc>
      </w:tr>
      <w:tr w:rsidR="00BB3126" w:rsidRPr="00F124C4" w:rsidTr="00C7618F">
        <w:trPr>
          <w:trHeight w:val="315"/>
        </w:trPr>
        <w:tc>
          <w:tcPr>
            <w:tcW w:w="146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NDIS</w:t>
            </w:r>
          </w:p>
        </w:tc>
        <w:tc>
          <w:tcPr>
            <w:tcW w:w="772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National Disability Insurance Scheme</w:t>
            </w:r>
          </w:p>
        </w:tc>
      </w:tr>
      <w:tr w:rsidR="00BB3126" w:rsidRPr="00F124C4" w:rsidTr="00C7618F">
        <w:trPr>
          <w:trHeight w:val="315"/>
        </w:trPr>
        <w:tc>
          <w:tcPr>
            <w:tcW w:w="146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NPARH</w:t>
            </w:r>
          </w:p>
        </w:tc>
        <w:tc>
          <w:tcPr>
            <w:tcW w:w="772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National Partnership Agreement on Remote Housing</w:t>
            </w:r>
          </w:p>
        </w:tc>
      </w:tr>
      <w:tr w:rsidR="00BB3126" w:rsidRPr="00F124C4" w:rsidTr="00C7618F">
        <w:trPr>
          <w:trHeight w:val="315"/>
        </w:trPr>
        <w:tc>
          <w:tcPr>
            <w:tcW w:w="146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NPARIH</w:t>
            </w:r>
          </w:p>
        </w:tc>
        <w:tc>
          <w:tcPr>
            <w:tcW w:w="772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National Partnership Agreement on Remote Indigenous Housing</w:t>
            </w:r>
          </w:p>
        </w:tc>
      </w:tr>
      <w:tr w:rsidR="00BB3126" w:rsidRPr="00F124C4" w:rsidTr="00C7618F">
        <w:trPr>
          <w:trHeight w:val="315"/>
        </w:trPr>
        <w:tc>
          <w:tcPr>
            <w:tcW w:w="146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NPP</w:t>
            </w:r>
          </w:p>
        </w:tc>
        <w:tc>
          <w:tcPr>
            <w:tcW w:w="772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National partnership payment</w:t>
            </w:r>
          </w:p>
        </w:tc>
      </w:tr>
      <w:tr w:rsidR="00BB3126" w:rsidRPr="00F124C4" w:rsidTr="00C7618F">
        <w:trPr>
          <w:trHeight w:val="315"/>
        </w:trPr>
        <w:tc>
          <w:tcPr>
            <w:tcW w:w="1460" w:type="dxa"/>
            <w:tcBorders>
              <w:top w:val="nil"/>
              <w:left w:val="nil"/>
              <w:bottom w:val="nil"/>
              <w:right w:val="nil"/>
            </w:tcBorders>
            <w:shd w:val="clear" w:color="auto" w:fill="auto"/>
            <w:vAlign w:val="center"/>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Pr>
                <w:rFonts w:ascii="Calibri" w:eastAsia="Times New Roman" w:hAnsi="Calibri" w:cs="Times New Roman"/>
                <w:color w:val="000000"/>
                <w:szCs w:val="24"/>
                <w:lang w:eastAsia="en-AU"/>
              </w:rPr>
              <w:t>NPSAF</w:t>
            </w:r>
          </w:p>
        </w:tc>
        <w:tc>
          <w:tcPr>
            <w:tcW w:w="7720" w:type="dxa"/>
            <w:tcBorders>
              <w:top w:val="nil"/>
              <w:left w:val="nil"/>
              <w:bottom w:val="nil"/>
              <w:right w:val="nil"/>
            </w:tcBorders>
            <w:shd w:val="clear" w:color="auto" w:fill="auto"/>
            <w:vAlign w:val="center"/>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FC10C4">
              <w:rPr>
                <w:rFonts w:ascii="Calibri" w:eastAsia="Times New Roman" w:hAnsi="Calibri" w:cs="Times New Roman"/>
                <w:color w:val="000000"/>
                <w:szCs w:val="24"/>
                <w:lang w:eastAsia="en-AU"/>
              </w:rPr>
              <w:t>National Partnership Agreement for the Skilling of Australians Fund</w:t>
            </w:r>
          </w:p>
        </w:tc>
      </w:tr>
      <w:tr w:rsidR="00BB3126" w:rsidRPr="00F124C4" w:rsidTr="00C7618F">
        <w:trPr>
          <w:trHeight w:val="315"/>
        </w:trPr>
        <w:tc>
          <w:tcPr>
            <w:tcW w:w="1460" w:type="dxa"/>
            <w:tcBorders>
              <w:top w:val="nil"/>
              <w:left w:val="nil"/>
              <w:bottom w:val="nil"/>
              <w:right w:val="nil"/>
            </w:tcBorders>
            <w:shd w:val="clear" w:color="auto" w:fill="auto"/>
            <w:vAlign w:val="center"/>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PSP</w:t>
            </w:r>
          </w:p>
        </w:tc>
        <w:tc>
          <w:tcPr>
            <w:tcW w:w="7720" w:type="dxa"/>
            <w:tcBorders>
              <w:top w:val="nil"/>
              <w:left w:val="nil"/>
              <w:bottom w:val="nil"/>
              <w:right w:val="nil"/>
            </w:tcBorders>
            <w:shd w:val="clear" w:color="auto" w:fill="auto"/>
            <w:vAlign w:val="center"/>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Payments for specific purposes</w:t>
            </w:r>
          </w:p>
        </w:tc>
      </w:tr>
      <w:tr w:rsidR="00BB3126" w:rsidRPr="00F124C4" w:rsidTr="00C7618F">
        <w:trPr>
          <w:trHeight w:val="315"/>
        </w:trPr>
        <w:tc>
          <w:tcPr>
            <w:tcW w:w="1460" w:type="dxa"/>
            <w:tcBorders>
              <w:top w:val="nil"/>
              <w:left w:val="nil"/>
              <w:bottom w:val="nil"/>
              <w:right w:val="nil"/>
            </w:tcBorders>
            <w:shd w:val="clear" w:color="auto" w:fill="auto"/>
            <w:noWrap/>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SDC</w:t>
            </w:r>
          </w:p>
        </w:tc>
        <w:tc>
          <w:tcPr>
            <w:tcW w:w="772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Socio-demographic composition</w:t>
            </w:r>
          </w:p>
        </w:tc>
      </w:tr>
      <w:tr w:rsidR="00BB3126" w:rsidRPr="00F124C4" w:rsidTr="00C7618F">
        <w:trPr>
          <w:trHeight w:val="315"/>
        </w:trPr>
        <w:tc>
          <w:tcPr>
            <w:tcW w:w="146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SPP</w:t>
            </w:r>
          </w:p>
        </w:tc>
        <w:tc>
          <w:tcPr>
            <w:tcW w:w="7720" w:type="dxa"/>
            <w:tcBorders>
              <w:top w:val="nil"/>
              <w:left w:val="nil"/>
              <w:bottom w:val="nil"/>
              <w:right w:val="nil"/>
            </w:tcBorders>
            <w:shd w:val="clear" w:color="auto" w:fill="auto"/>
            <w:vAlign w:val="center"/>
            <w:hideMark/>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sidRPr="00AA74FB">
              <w:rPr>
                <w:rFonts w:ascii="Calibri" w:eastAsia="Times New Roman" w:hAnsi="Calibri" w:cs="Times New Roman"/>
                <w:color w:val="000000"/>
                <w:szCs w:val="24"/>
                <w:lang w:eastAsia="en-AU"/>
              </w:rPr>
              <w:t>Specific purpose payment</w:t>
            </w:r>
          </w:p>
        </w:tc>
      </w:tr>
      <w:tr w:rsidR="00BB3126" w:rsidRPr="00F124C4" w:rsidTr="00C7618F">
        <w:trPr>
          <w:trHeight w:val="315"/>
        </w:trPr>
        <w:tc>
          <w:tcPr>
            <w:tcW w:w="1460" w:type="dxa"/>
            <w:tcBorders>
              <w:top w:val="nil"/>
              <w:left w:val="nil"/>
              <w:bottom w:val="nil"/>
              <w:right w:val="nil"/>
            </w:tcBorders>
            <w:shd w:val="clear" w:color="auto" w:fill="auto"/>
            <w:vAlign w:val="center"/>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Pr>
                <w:rFonts w:ascii="Calibri" w:eastAsia="Times New Roman" w:hAnsi="Calibri" w:cs="Times New Roman"/>
                <w:color w:val="000000"/>
                <w:szCs w:val="24"/>
                <w:lang w:eastAsia="en-AU"/>
              </w:rPr>
              <w:t>ToR</w:t>
            </w:r>
          </w:p>
        </w:tc>
        <w:tc>
          <w:tcPr>
            <w:tcW w:w="7720" w:type="dxa"/>
            <w:tcBorders>
              <w:top w:val="nil"/>
              <w:left w:val="nil"/>
              <w:bottom w:val="nil"/>
              <w:right w:val="nil"/>
            </w:tcBorders>
            <w:shd w:val="clear" w:color="auto" w:fill="auto"/>
            <w:vAlign w:val="center"/>
          </w:tcPr>
          <w:p w:rsidR="00BB3126" w:rsidRPr="00AA74FB" w:rsidRDefault="00BB3126" w:rsidP="00C7618F">
            <w:pPr>
              <w:tabs>
                <w:tab w:val="clear" w:pos="567"/>
              </w:tabs>
              <w:spacing w:after="0" w:line="240" w:lineRule="auto"/>
              <w:rPr>
                <w:rFonts w:ascii="Calibri" w:eastAsia="Times New Roman" w:hAnsi="Calibri" w:cs="Times New Roman"/>
                <w:color w:val="000000"/>
                <w:szCs w:val="24"/>
                <w:lang w:eastAsia="en-AU"/>
              </w:rPr>
            </w:pPr>
            <w:r>
              <w:rPr>
                <w:rFonts w:ascii="Calibri" w:eastAsia="Times New Roman" w:hAnsi="Calibri" w:cs="Times New Roman"/>
                <w:color w:val="000000"/>
                <w:szCs w:val="24"/>
                <w:lang w:eastAsia="en-AU"/>
              </w:rPr>
              <w:t>Terms of Reference</w:t>
            </w:r>
          </w:p>
        </w:tc>
      </w:tr>
    </w:tbl>
    <w:p w:rsidR="00BB3126" w:rsidRPr="00C21EF9" w:rsidRDefault="00BB3126" w:rsidP="00BB3126"/>
    <w:p w:rsidR="00DC0F02" w:rsidRPr="00C21EF9" w:rsidRDefault="00DC0F02" w:rsidP="00DB38D3"/>
    <w:sectPr w:rsidR="00DC0F02" w:rsidRPr="00C21EF9" w:rsidSect="0004123E">
      <w:pgSz w:w="11899" w:h="16838" w:code="9"/>
      <w:pgMar w:top="1701" w:right="1474" w:bottom="1701" w:left="1474"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1DA" w:rsidRDefault="00FF11DA">
      <w:r>
        <w:separator/>
      </w:r>
    </w:p>
  </w:endnote>
  <w:endnote w:type="continuationSeparator" w:id="0">
    <w:p w:rsidR="00FF11DA" w:rsidRDefault="00FF1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1E3FFA" w:rsidRDefault="00FF11DA" w:rsidP="00C7618F">
    <w:pPr>
      <w:pStyle w:val="Footer"/>
      <w:jc w:val="righ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11178C" w:rsidRDefault="00FF11DA" w:rsidP="003929D2">
    <w:pPr>
      <w:pStyle w:val="Footer"/>
      <w:jc w:val="right"/>
    </w:pPr>
    <w:r>
      <w:fldChar w:fldCharType="begin"/>
    </w:r>
    <w:r>
      <w:instrText xml:space="preserve"> PAGE  \* Arabic  \* MERGEFORMAT </w:instrText>
    </w:r>
    <w:r>
      <w:fldChar w:fldCharType="separate"/>
    </w:r>
    <w:r>
      <w:rPr>
        <w:noProof/>
      </w:rPr>
      <w:t>12</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11178C" w:rsidRDefault="00FF11DA" w:rsidP="003929D2">
    <w:pPr>
      <w:pStyle w:val="Footer"/>
      <w:jc w:val="right"/>
    </w:pPr>
    <w:r>
      <w:fldChar w:fldCharType="begin"/>
    </w:r>
    <w:r>
      <w:instrText xml:space="preserve"> PAGE  \* Arabic  \* MERGEFORMAT </w:instrText>
    </w:r>
    <w:r>
      <w:fldChar w:fldCharType="separate"/>
    </w:r>
    <w:r>
      <w:rPr>
        <w:noProof/>
      </w:rPr>
      <w:t>13</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11178C" w:rsidRDefault="00FF11DA" w:rsidP="003929D2">
    <w:pPr>
      <w:pStyle w:val="Footer"/>
      <w:jc w:val="right"/>
    </w:pPr>
    <w:r>
      <w:fldChar w:fldCharType="begin"/>
    </w:r>
    <w:r>
      <w:instrText xml:space="preserve"> PAGE  \* Arabic  \* MERGEFORMAT </w:instrText>
    </w:r>
    <w:r>
      <w:fldChar w:fldCharType="separate"/>
    </w:r>
    <w:r>
      <w:rPr>
        <w:noProof/>
      </w:rPr>
      <w:t>15</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11178C" w:rsidRDefault="00FF11DA" w:rsidP="003929D2">
    <w:pPr>
      <w:pStyle w:val="Footer"/>
      <w:jc w:val="right"/>
    </w:pPr>
    <w:r>
      <w:fldChar w:fldCharType="begin"/>
    </w:r>
    <w:r>
      <w:instrText xml:space="preserve"> PAGE  \* Arabic  \* MERGEFORMAT </w:instrText>
    </w:r>
    <w:r>
      <w:fldChar w:fldCharType="separate"/>
    </w:r>
    <w:r>
      <w:rPr>
        <w:noProof/>
      </w:rPr>
      <w:t>16</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11178C" w:rsidRDefault="00FF11DA" w:rsidP="003929D2">
    <w:pPr>
      <w:pStyle w:val="Footer"/>
      <w:jc w:val="right"/>
    </w:pPr>
    <w:r>
      <w:fldChar w:fldCharType="begin"/>
    </w:r>
    <w:r>
      <w:instrText xml:space="preserve"> PAGE  \* Arabic  \* MERGEFORMAT </w:instrText>
    </w:r>
    <w:r>
      <w:fldChar w:fldCharType="separate"/>
    </w:r>
    <w:r>
      <w:rPr>
        <w:noProof/>
      </w:rPr>
      <w:t>17</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11178C" w:rsidRDefault="00FF11DA" w:rsidP="003929D2">
    <w:pPr>
      <w:pStyle w:val="Footer"/>
      <w:jc w:val="right"/>
    </w:pPr>
    <w:r>
      <w:fldChar w:fldCharType="begin"/>
    </w:r>
    <w:r>
      <w:instrText xml:space="preserve"> PAGE  \* Arabic  \* MERGEFORMAT </w:instrText>
    </w:r>
    <w:r>
      <w:fldChar w:fldCharType="separate"/>
    </w:r>
    <w:r>
      <w:rPr>
        <w:noProof/>
      </w:rPr>
      <w:t>17</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Default="00FF11DA" w:rsidP="00C7618F">
    <w:pPr>
      <w:pStyle w:val="Footer"/>
      <w:jc w:val="center"/>
    </w:pPr>
    <w:r>
      <w:fldChar w:fldCharType="begin"/>
    </w:r>
    <w:r>
      <w:instrText xml:space="preserve"> PAGE  \* Arabic  \* MERGEFORMAT </w:instrText>
    </w:r>
    <w:r>
      <w:fldChar w:fldCharType="separate"/>
    </w:r>
    <w:r>
      <w:rPr>
        <w:noProof/>
      </w:rPr>
      <w:t>16</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5A0FC4" w:rsidRDefault="00FF11DA" w:rsidP="00C7618F">
    <w:pPr>
      <w:pStyle w:val="Footer"/>
      <w:tabs>
        <w:tab w:val="clear" w:pos="4513"/>
        <w:tab w:val="clear" w:pos="9026"/>
        <w:tab w:val="right" w:pos="8931"/>
      </w:tabs>
    </w:pPr>
    <w:r w:rsidRPr="00931883">
      <w:rPr>
        <w:i/>
      </w:rPr>
      <w:t xml:space="preserve">Chapter 1 </w:t>
    </w:r>
    <w:r w:rsidRPr="00931883">
      <w:rPr>
        <w:i/>
      </w:rPr>
      <w:fldChar w:fldCharType="begin"/>
    </w:r>
    <w:r w:rsidRPr="00931883">
      <w:rPr>
        <w:i/>
      </w:rPr>
      <w:instrText xml:space="preserve"> REF _Ref473625499 \h </w:instrText>
    </w:r>
    <w:r>
      <w:rPr>
        <w:i/>
      </w:rPr>
      <w:instrText xml:space="preserve"> \* MERGEFORMAT </w:instrText>
    </w:r>
    <w:r w:rsidRPr="00931883">
      <w:rPr>
        <w:i/>
      </w:rPr>
    </w:r>
    <w:r w:rsidRPr="00931883">
      <w:rPr>
        <w:i/>
      </w:rPr>
      <w:fldChar w:fldCharType="separate"/>
    </w:r>
    <w:r w:rsidRPr="00366211">
      <w:rPr>
        <w:i/>
      </w:rPr>
      <w:t>Changes in the GST distribution</w:t>
    </w:r>
    <w:r w:rsidRPr="00931883">
      <w:rPr>
        <w:i/>
      </w:rPr>
      <w:fldChar w:fldCharType="end"/>
    </w:r>
    <w:r w:rsidRPr="00C86815">
      <w:rPr>
        <w:i/>
      </w:rPr>
      <w:tab/>
    </w:r>
    <w:r>
      <w:fldChar w:fldCharType="begin"/>
    </w:r>
    <w:r>
      <w:instrText xml:space="preserve"> PAGE  \* Arabic  \* MERGEFORMAT </w:instrText>
    </w:r>
    <w:r>
      <w:fldChar w:fldCharType="separate"/>
    </w:r>
    <w:r w:rsidR="00B91233">
      <w:rPr>
        <w:noProof/>
      </w:rPr>
      <w:t>35</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11178C" w:rsidRDefault="00FF11DA" w:rsidP="00C7618F">
    <w:pPr>
      <w:pStyle w:val="Footer"/>
      <w:tabs>
        <w:tab w:val="clear" w:pos="4513"/>
        <w:tab w:val="clear" w:pos="9026"/>
        <w:tab w:val="right" w:pos="8931"/>
      </w:tabs>
    </w:pPr>
    <w:r w:rsidRPr="00C86815">
      <w:rPr>
        <w:i/>
      </w:rPr>
      <w:tab/>
    </w:r>
    <w:r>
      <w:fldChar w:fldCharType="begin"/>
    </w:r>
    <w:r>
      <w:instrText xml:space="preserve"> PAGE  \* Arabic  \* MERGEFORMAT </w:instrText>
    </w:r>
    <w:r>
      <w:fldChar w:fldCharType="separate"/>
    </w:r>
    <w:r w:rsidR="00B91233">
      <w:rPr>
        <w:noProof/>
      </w:rPr>
      <w:t>17</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5A0FC4" w:rsidRDefault="00FF11DA" w:rsidP="00C7618F">
    <w:pPr>
      <w:pStyle w:val="Footer"/>
      <w:tabs>
        <w:tab w:val="clear" w:pos="4513"/>
        <w:tab w:val="clear" w:pos="9026"/>
        <w:tab w:val="right" w:pos="8931"/>
      </w:tabs>
    </w:pPr>
    <w:r w:rsidRPr="00AC2929">
      <w:rPr>
        <w:i/>
      </w:rPr>
      <w:t>Chapter 2</w:t>
    </w:r>
    <w:r>
      <w:rPr>
        <w:i/>
      </w:rPr>
      <w:t xml:space="preserve"> </w:t>
    </w:r>
    <w:r w:rsidRPr="00146346">
      <w:rPr>
        <w:i/>
      </w:rPr>
      <w:fldChar w:fldCharType="begin"/>
    </w:r>
    <w:r w:rsidRPr="00146346">
      <w:rPr>
        <w:i/>
      </w:rPr>
      <w:instrText xml:space="preserve"> REF _Ref536525627 \h  \* MERGEFORMAT </w:instrText>
    </w:r>
    <w:r w:rsidRPr="00146346">
      <w:rPr>
        <w:i/>
      </w:rPr>
    </w:r>
    <w:r w:rsidRPr="00146346">
      <w:rPr>
        <w:i/>
      </w:rPr>
      <w:fldChar w:fldCharType="separate"/>
    </w:r>
    <w:r w:rsidRPr="00366211">
      <w:rPr>
        <w:i/>
      </w:rPr>
      <w:t>New Issues in this update</w:t>
    </w:r>
    <w:r w:rsidRPr="00146346">
      <w:rPr>
        <w:i/>
      </w:rPr>
      <w:fldChar w:fldCharType="end"/>
    </w:r>
    <w:r w:rsidRPr="00C86815">
      <w:rPr>
        <w:i/>
      </w:rPr>
      <w:tab/>
    </w:r>
    <w:r>
      <w:fldChar w:fldCharType="begin"/>
    </w:r>
    <w:r>
      <w:instrText xml:space="preserve"> PAGE  \* Arabic  \* MERGEFORMAT </w:instrText>
    </w:r>
    <w:r>
      <w:fldChar w:fldCharType="separate"/>
    </w:r>
    <w:r w:rsidR="00B91233">
      <w:rPr>
        <w:noProof/>
      </w:rPr>
      <w:t>56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7E487F" w:rsidRDefault="00FF11DA" w:rsidP="00C7618F">
    <w:pPr>
      <w:pStyle w:val="Footer"/>
      <w:tabs>
        <w:tab w:val="right" w:pos="8931"/>
      </w:tabs>
      <w:jc w:val="right"/>
      <w:rPr>
        <w:sz w:val="20"/>
        <w:szCs w:val="20"/>
      </w:rPr>
    </w:pPr>
    <w:r>
      <w:rPr>
        <w:sz w:val="20"/>
        <w:szCs w:val="20"/>
      </w:rPr>
      <w:tab/>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11178C" w:rsidRDefault="00FF11DA" w:rsidP="00C7618F">
    <w:pPr>
      <w:pStyle w:val="Footer"/>
      <w:tabs>
        <w:tab w:val="clear" w:pos="4513"/>
        <w:tab w:val="clear" w:pos="9026"/>
        <w:tab w:val="right" w:pos="8931"/>
      </w:tabs>
    </w:pPr>
    <w:r w:rsidRPr="00C86815">
      <w:rPr>
        <w:i/>
      </w:rPr>
      <w:tab/>
    </w:r>
    <w:r>
      <w:fldChar w:fldCharType="begin"/>
    </w:r>
    <w:r>
      <w:instrText xml:space="preserve"> PAGE  \* Arabic  \* MERGEFORMAT </w:instrText>
    </w:r>
    <w:r>
      <w:fldChar w:fldCharType="separate"/>
    </w:r>
    <w:r w:rsidR="00B91233">
      <w:rPr>
        <w:noProof/>
      </w:rPr>
      <w:t>57</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5A0FC4" w:rsidRDefault="00FF11DA" w:rsidP="00C7618F">
    <w:pPr>
      <w:pStyle w:val="Footer"/>
      <w:tabs>
        <w:tab w:val="clear" w:pos="4513"/>
        <w:tab w:val="clear" w:pos="9026"/>
        <w:tab w:val="right" w:pos="8931"/>
      </w:tabs>
    </w:pPr>
    <w:r w:rsidRPr="00AC2929">
      <w:rPr>
        <w:i/>
      </w:rPr>
      <w:t xml:space="preserve">Attachment A </w:t>
    </w:r>
    <w:r w:rsidRPr="00AC2929">
      <w:rPr>
        <w:i/>
      </w:rPr>
      <w:fldChar w:fldCharType="begin"/>
    </w:r>
    <w:r w:rsidRPr="00AC2929">
      <w:rPr>
        <w:i/>
      </w:rPr>
      <w:instrText xml:space="preserve"> REF _Ref473105340 \h </w:instrText>
    </w:r>
    <w:r>
      <w:rPr>
        <w:i/>
      </w:rPr>
      <w:instrText xml:space="preserve"> \* MERGEFORMAT </w:instrText>
    </w:r>
    <w:r w:rsidRPr="00AC2929">
      <w:rPr>
        <w:i/>
      </w:rPr>
    </w:r>
    <w:r w:rsidRPr="00AC2929">
      <w:rPr>
        <w:i/>
      </w:rPr>
      <w:fldChar w:fldCharType="separate"/>
    </w:r>
    <w:r w:rsidRPr="00366211">
      <w:rPr>
        <w:i/>
      </w:rPr>
      <w:t>Quality assurance</w:t>
    </w:r>
    <w:r w:rsidRPr="00AC2929">
      <w:rPr>
        <w:i/>
      </w:rPr>
      <w:fldChar w:fldCharType="end"/>
    </w:r>
    <w:r w:rsidRPr="00C86815">
      <w:rPr>
        <w:i/>
      </w:rPr>
      <w:tab/>
    </w:r>
    <w:r>
      <w:fldChar w:fldCharType="begin"/>
    </w:r>
    <w:r>
      <w:instrText xml:space="preserve"> PAGE  \* Arabic  \* MERGEFORMAT </w:instrText>
    </w:r>
    <w:r>
      <w:fldChar w:fldCharType="separate"/>
    </w:r>
    <w:r w:rsidR="00B91233">
      <w:rPr>
        <w:noProof/>
      </w:rPr>
      <w:t>58</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5A0FC4" w:rsidRDefault="00FF11DA" w:rsidP="00C7618F">
    <w:pPr>
      <w:pStyle w:val="Footer"/>
      <w:tabs>
        <w:tab w:val="clear" w:pos="4513"/>
        <w:tab w:val="clear" w:pos="9026"/>
        <w:tab w:val="right" w:pos="8931"/>
      </w:tabs>
    </w:pPr>
    <w:r>
      <w:rPr>
        <w:i/>
      </w:rPr>
      <w:t>Commission Terminology</w:t>
    </w:r>
    <w:r w:rsidRPr="00C86815">
      <w:rPr>
        <w:i/>
      </w:rPr>
      <w:tab/>
    </w:r>
    <w:r>
      <w:fldChar w:fldCharType="begin"/>
    </w:r>
    <w:r>
      <w:instrText xml:space="preserve"> PAGE  \* Arabic  \* MERGEFORMAT </w:instrText>
    </w:r>
    <w:r>
      <w:fldChar w:fldCharType="separate"/>
    </w:r>
    <w:r w:rsidR="00B91233">
      <w:rPr>
        <w:noProof/>
      </w:rPr>
      <w:t>67</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11178C" w:rsidRDefault="00FF11DA" w:rsidP="00C7618F">
    <w:pPr>
      <w:pStyle w:val="Footer"/>
      <w:tabs>
        <w:tab w:val="clear" w:pos="4513"/>
        <w:tab w:val="clear" w:pos="9026"/>
        <w:tab w:val="right" w:pos="8931"/>
      </w:tabs>
    </w:pPr>
    <w:r w:rsidRPr="00C86815">
      <w:rPr>
        <w:i/>
      </w:rPr>
      <w:tab/>
    </w:r>
    <w:r>
      <w:fldChar w:fldCharType="begin"/>
    </w:r>
    <w:r>
      <w:instrText xml:space="preserve"> PAGE  \* Arabic  \* MERGEFORMAT </w:instrText>
    </w:r>
    <w:r>
      <w:fldChar w:fldCharType="separate"/>
    </w:r>
    <w:r w:rsidR="00B91233">
      <w:rPr>
        <w:noProof/>
      </w:rPr>
      <w:t>68</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11178C" w:rsidRDefault="00FF11DA" w:rsidP="003929D2">
    <w:pPr>
      <w:pStyle w:val="Footer"/>
      <w:jc w:val="right"/>
    </w:pPr>
    <w:r>
      <w:fldChar w:fldCharType="begin"/>
    </w:r>
    <w:r>
      <w:instrText xml:space="preserve"> PAGE  \* Arabic  \* MERGEFORMAT </w:instrText>
    </w:r>
    <w:r>
      <w:fldChar w:fldCharType="separate"/>
    </w:r>
    <w:r w:rsidR="00B40128">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7E487F" w:rsidRDefault="00FF11DA" w:rsidP="00DC0F02">
    <w:pPr>
      <w:pStyle w:val="Footer"/>
      <w:tabs>
        <w:tab w:val="right" w:pos="8931"/>
      </w:tabs>
      <w:rPr>
        <w:sz w:val="20"/>
        <w:szCs w:val="20"/>
      </w:rPr>
    </w:pPr>
    <w:r>
      <w:rPr>
        <w:sz w:val="20"/>
        <w:szCs w:val="20"/>
      </w:rPr>
      <w:tab/>
    </w:r>
    <w:r>
      <w:rPr>
        <w:sz w:val="20"/>
        <w:szCs w:val="20"/>
      </w:rPr>
      <w:tab/>
    </w:r>
    <w:r>
      <w:fldChar w:fldCharType="begin"/>
    </w:r>
    <w:r>
      <w:instrText xml:space="preserve"> PAGE   \* MERGEFORMAT </w:instrText>
    </w:r>
    <w:r>
      <w:fldChar w:fldCharType="separate"/>
    </w:r>
    <w:r w:rsidR="00B91233">
      <w:rPr>
        <w:noProof/>
      </w:rPr>
      <w:t>ii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11178C" w:rsidRDefault="00FF11DA" w:rsidP="003929D2">
    <w:pPr>
      <w:pStyle w:val="Footer"/>
      <w:jc w:val="right"/>
    </w:pPr>
    <w:r>
      <w:fldChar w:fldCharType="begin"/>
    </w:r>
    <w:r>
      <w:instrText xml:space="preserve"> PAGE   \* MERGEFORMAT </w:instrText>
    </w:r>
    <w:r>
      <w:fldChar w:fldCharType="separate"/>
    </w:r>
    <w:r w:rsidR="00B91233">
      <w:rPr>
        <w:noProof/>
      </w:rPr>
      <w:t>ix</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3E2F38" w:rsidRDefault="00FF11DA" w:rsidP="003E2F38">
    <w:pPr>
      <w:pStyle w:val="Footer"/>
      <w:jc w:val="right"/>
      <w:rPr>
        <w:szCs w:val="24"/>
      </w:rPr>
    </w:pPr>
    <w:r w:rsidRPr="003E2F38">
      <w:rPr>
        <w:szCs w:val="24"/>
      </w:rPr>
      <w:tab/>
    </w:r>
    <w:r w:rsidRPr="003E2F38">
      <w:rPr>
        <w:szCs w:val="24"/>
      </w:rPr>
      <w:tab/>
    </w:r>
    <w:r w:rsidRPr="003E2F38">
      <w:rPr>
        <w:szCs w:val="24"/>
      </w:rPr>
      <w:fldChar w:fldCharType="begin"/>
    </w:r>
    <w:r w:rsidRPr="003E2F38">
      <w:rPr>
        <w:szCs w:val="24"/>
      </w:rPr>
      <w:instrText xml:space="preserve"> PAGE   \* MERGEFORMAT </w:instrText>
    </w:r>
    <w:r w:rsidRPr="003E2F38">
      <w:rPr>
        <w:szCs w:val="24"/>
      </w:rPr>
      <w:fldChar w:fldCharType="separate"/>
    </w:r>
    <w:r w:rsidR="00B91233">
      <w:rPr>
        <w:noProof/>
        <w:szCs w:val="24"/>
      </w:rPr>
      <w:t>1</w:t>
    </w:r>
    <w:r w:rsidRPr="003E2F38">
      <w:rPr>
        <w:noProof/>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11178C" w:rsidRDefault="00FF11DA" w:rsidP="003929D2">
    <w:pPr>
      <w:pStyle w:val="Footer"/>
      <w:jc w:val="right"/>
    </w:pPr>
    <w:r w:rsidRPr="009C2468">
      <w:rPr>
        <w:i/>
      </w:rPr>
      <w:fldChar w:fldCharType="begin"/>
    </w:r>
    <w:r w:rsidRPr="009C2468">
      <w:rPr>
        <w:i/>
      </w:rPr>
      <w:instrText xml:space="preserve"> REF _Ref536517175 \h  \* MERGEFORMAT </w:instrText>
    </w:r>
    <w:r w:rsidRPr="009C2468">
      <w:rPr>
        <w:i/>
      </w:rPr>
    </w:r>
    <w:r w:rsidRPr="009C2468">
      <w:rPr>
        <w:i/>
      </w:rPr>
      <w:fldChar w:fldCharType="separate"/>
    </w:r>
    <w:r w:rsidRPr="00366211">
      <w:rPr>
        <w:i/>
      </w:rPr>
      <w:t>Overview</w:t>
    </w:r>
    <w:r w:rsidRPr="009C2468">
      <w:rPr>
        <w:i/>
      </w:rPr>
      <w:fldChar w:fldCharType="end"/>
    </w:r>
    <w:r>
      <w:tab/>
    </w:r>
    <w:r>
      <w:tab/>
    </w:r>
    <w:r>
      <w:fldChar w:fldCharType="begin"/>
    </w:r>
    <w:r>
      <w:instrText xml:space="preserve"> PAGE  \* Arabic  \* MERGEFORMAT </w:instrText>
    </w:r>
    <w:r>
      <w:fldChar w:fldCharType="separate"/>
    </w:r>
    <w:r w:rsidR="00B91233">
      <w:rPr>
        <w:noProof/>
      </w:rPr>
      <w:t>8</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11178C" w:rsidRDefault="00FF11DA" w:rsidP="00C7618F">
    <w:pPr>
      <w:pStyle w:val="Footer"/>
      <w:tabs>
        <w:tab w:val="clear" w:pos="4513"/>
        <w:tab w:val="clear" w:pos="9026"/>
        <w:tab w:val="right" w:pos="10065"/>
      </w:tabs>
    </w:pPr>
    <w:r w:rsidRPr="009C2468">
      <w:rPr>
        <w:i/>
      </w:rPr>
      <w:fldChar w:fldCharType="begin"/>
    </w:r>
    <w:r w:rsidRPr="009C2468">
      <w:rPr>
        <w:i/>
      </w:rPr>
      <w:instrText xml:space="preserve"> REF _Ref536517175 \h  \* MERGEFORMAT </w:instrText>
    </w:r>
    <w:r w:rsidRPr="009C2468">
      <w:rPr>
        <w:i/>
      </w:rPr>
    </w:r>
    <w:r w:rsidRPr="009C2468">
      <w:rPr>
        <w:i/>
      </w:rPr>
      <w:fldChar w:fldCharType="separate"/>
    </w:r>
    <w:r w:rsidRPr="00366211">
      <w:rPr>
        <w:i/>
      </w:rPr>
      <w:t>Overview</w:t>
    </w:r>
    <w:r w:rsidRPr="009C2468">
      <w:rPr>
        <w:i/>
      </w:rPr>
      <w:fldChar w:fldCharType="end"/>
    </w:r>
    <w:r w:rsidRPr="00C86815">
      <w:rPr>
        <w:i/>
      </w:rPr>
      <w:tab/>
    </w:r>
    <w:r>
      <w:fldChar w:fldCharType="begin"/>
    </w:r>
    <w:r>
      <w:instrText xml:space="preserve"> PAGE  \* Arabic  \* MERGEFORMAT </w:instrText>
    </w:r>
    <w:r>
      <w:fldChar w:fldCharType="separate"/>
    </w:r>
    <w:r w:rsidR="00B91233">
      <w:rPr>
        <w:noProof/>
      </w:rPr>
      <w:t>11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Pr="0011178C" w:rsidRDefault="00FF11DA" w:rsidP="00C7618F">
    <w:pPr>
      <w:pStyle w:val="Footer"/>
      <w:tabs>
        <w:tab w:val="clear" w:pos="9026"/>
        <w:tab w:val="right" w:pos="10065"/>
      </w:tabs>
      <w:jc w:val="center"/>
    </w:pPr>
    <w:r w:rsidRPr="009C2468">
      <w:rPr>
        <w:i/>
      </w:rPr>
      <w:fldChar w:fldCharType="begin"/>
    </w:r>
    <w:r w:rsidRPr="009C2468">
      <w:rPr>
        <w:i/>
      </w:rPr>
      <w:instrText xml:space="preserve"> REF _Ref536517175 \h  \* MERGEFORMAT </w:instrText>
    </w:r>
    <w:r w:rsidRPr="009C2468">
      <w:rPr>
        <w:i/>
      </w:rPr>
    </w:r>
    <w:r w:rsidRPr="009C2468">
      <w:rPr>
        <w:i/>
      </w:rPr>
      <w:fldChar w:fldCharType="separate"/>
    </w:r>
    <w:r w:rsidRPr="00366211">
      <w:rPr>
        <w:i/>
      </w:rPr>
      <w:t>Overview</w:t>
    </w:r>
    <w:r w:rsidRPr="009C2468">
      <w:rPr>
        <w:i/>
      </w:rPr>
      <w:fldChar w:fldCharType="end"/>
    </w:r>
    <w:r>
      <w:tab/>
    </w:r>
    <w:r>
      <w:tab/>
    </w:r>
    <w:r>
      <w:fldChar w:fldCharType="begin"/>
    </w:r>
    <w:r>
      <w:instrText xml:space="preserve"> PAGE  \* Arabic  \* MERGEFORMAT </w:instrText>
    </w:r>
    <w:r>
      <w:fldChar w:fldCharType="separate"/>
    </w:r>
    <w:r w:rsidR="00B91233">
      <w:rPr>
        <w:noProof/>
      </w:rPr>
      <w:t>10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1DA" w:rsidRDefault="00FF11DA">
      <w:r>
        <w:separator/>
      </w:r>
    </w:p>
  </w:footnote>
  <w:footnote w:type="continuationSeparator" w:id="0">
    <w:p w:rsidR="00FF11DA" w:rsidRDefault="00FF11DA">
      <w:r>
        <w:continuationSeparator/>
      </w:r>
    </w:p>
  </w:footnote>
  <w:footnote w:id="1">
    <w:p w:rsidR="00FF11DA" w:rsidRPr="002A48E0" w:rsidRDefault="00FF11DA" w:rsidP="007C23EB">
      <w:pPr>
        <w:pStyle w:val="FootnoteText"/>
        <w:keepLines/>
      </w:pPr>
      <w:r w:rsidRPr="002A48E0">
        <w:rPr>
          <w:rStyle w:val="FootnoteReference"/>
        </w:rPr>
        <w:footnoteRef/>
      </w:r>
      <w:r w:rsidRPr="002A48E0">
        <w:t xml:space="preserve"> </w:t>
      </w:r>
      <w:r w:rsidRPr="002A48E0">
        <w:tab/>
        <w:t xml:space="preserve">The procedure used by the Commission to derive the recommended GST distribution using State revenue, expenditure and </w:t>
      </w:r>
      <w:r>
        <w:t>payments for specific purposes (</w:t>
      </w:r>
      <w:r w:rsidRPr="002A48E0">
        <w:t>PSPs</w:t>
      </w:r>
      <w:r>
        <w:t>)</w:t>
      </w:r>
      <w:r w:rsidRPr="002A48E0">
        <w:t xml:space="preserve"> is called the distribution model. Information about the distribution model is available on the </w:t>
      </w:r>
      <w:hyperlink r:id="rId1" w:history="1">
        <w:r w:rsidRPr="002A48E0">
          <w:rPr>
            <w:rStyle w:val="Hyperlink"/>
          </w:rPr>
          <w:t>Commission’s website</w:t>
        </w:r>
      </w:hyperlink>
      <w:r w:rsidRPr="002A48E0">
        <w:t xml:space="preserve"> (</w:t>
      </w:r>
      <w:r w:rsidRPr="00103485">
        <w:t>https://</w:t>
      </w:r>
      <w:r>
        <w:t>www.</w:t>
      </w:r>
      <w:r w:rsidRPr="00103485">
        <w:t>cgc.gov.au/</w:t>
      </w:r>
      <w:r w:rsidRPr="002A48E0">
        <w:t>).</w:t>
      </w:r>
    </w:p>
  </w:footnote>
  <w:footnote w:id="2">
    <w:p w:rsidR="00FF11DA" w:rsidRPr="002A48E0" w:rsidRDefault="00FF11DA" w:rsidP="00BB3126">
      <w:pPr>
        <w:pStyle w:val="FootnoteText"/>
      </w:pPr>
      <w:r w:rsidRPr="002A48E0">
        <w:rPr>
          <w:rStyle w:val="FootnoteReference"/>
          <w:sz w:val="24"/>
          <w:szCs w:val="24"/>
        </w:rPr>
        <w:footnoteRef/>
      </w:r>
      <w:r w:rsidRPr="002A48E0">
        <w:t xml:space="preserve"> </w:t>
      </w:r>
      <w:r w:rsidRPr="002A48E0">
        <w:tab/>
        <w:t xml:space="preserve">References to changes over time generally reflect the change over the assessment years, from </w:t>
      </w:r>
      <w:r>
        <w:t xml:space="preserve">dropping </w:t>
      </w:r>
      <w:r w:rsidRPr="002A48E0">
        <w:t>201</w:t>
      </w:r>
      <w:r>
        <w:t>4</w:t>
      </w:r>
      <w:r>
        <w:noBreakHyphen/>
      </w:r>
      <w:r w:rsidRPr="002A48E0">
        <w:t>1</w:t>
      </w:r>
      <w:r>
        <w:t>5</w:t>
      </w:r>
      <w:r w:rsidRPr="002A48E0">
        <w:t xml:space="preserve"> </w:t>
      </w:r>
      <w:r>
        <w:t>and including</w:t>
      </w:r>
      <w:r w:rsidRPr="002A48E0">
        <w:t xml:space="preserve"> 201</w:t>
      </w:r>
      <w:r>
        <w:t>7</w:t>
      </w:r>
      <w:r>
        <w:noBreakHyphen/>
      </w:r>
      <w:r w:rsidRPr="002A48E0">
        <w:t>1</w:t>
      </w:r>
      <w:r>
        <w:t>8</w:t>
      </w:r>
      <w:r w:rsidRPr="002A48E0">
        <w:t>. They are not intended to imply current or prospective movements.</w:t>
      </w:r>
    </w:p>
  </w:footnote>
  <w:footnote w:id="3">
    <w:p w:rsidR="00FF11DA" w:rsidRDefault="00FF11DA" w:rsidP="00BB3126">
      <w:pPr>
        <w:pStyle w:val="FootnoteText"/>
      </w:pPr>
      <w:r>
        <w:rPr>
          <w:rStyle w:val="FootnoteReference"/>
        </w:rPr>
        <w:footnoteRef/>
      </w:r>
      <w:r>
        <w:t xml:space="preserve"> </w:t>
      </w:r>
      <w:r>
        <w:tab/>
        <w:t>The Northern Territory also had above average local government expenses, but this was overshadowed by the removal of a one-off correction to natural disaster relief expenses that was made in the 2018 Update.</w:t>
      </w:r>
    </w:p>
  </w:footnote>
  <w:footnote w:id="4">
    <w:p w:rsidR="00FF11DA" w:rsidRPr="002A48E0" w:rsidRDefault="00FF11DA" w:rsidP="00BB3126">
      <w:pPr>
        <w:pStyle w:val="FootnoteText"/>
      </w:pPr>
      <w:r w:rsidRPr="002A48E0">
        <w:rPr>
          <w:rStyle w:val="FootnoteReference"/>
        </w:rPr>
        <w:footnoteRef/>
      </w:r>
      <w:r w:rsidRPr="002A48E0">
        <w:t xml:space="preserve"> </w:t>
      </w:r>
      <w:r w:rsidRPr="002A48E0">
        <w:tab/>
      </w:r>
      <w:r>
        <w:t>The Commission</w:t>
      </w:r>
      <w:r w:rsidRPr="002A48E0">
        <w:t xml:space="preserve"> exclude</w:t>
      </w:r>
      <w:r>
        <w:t>s</w:t>
      </w:r>
      <w:r w:rsidRPr="002A48E0">
        <w:t xml:space="preserve"> revenue received through PSPs under certain circumstances, including when directed to </w:t>
      </w:r>
      <w:r>
        <w:t>do so by the terms of reference</w:t>
      </w:r>
      <w:r w:rsidRPr="002A48E0">
        <w:t>.</w:t>
      </w:r>
      <w:r>
        <w:t xml:space="preserve"> Commonwealth payments that have no impact on the relativities are discussed in Chapter 2.</w:t>
      </w:r>
    </w:p>
  </w:footnote>
  <w:footnote w:id="5">
    <w:p w:rsidR="00FF11DA" w:rsidRDefault="00FF11DA" w:rsidP="00BB3126">
      <w:pPr>
        <w:pStyle w:val="FootnoteText"/>
      </w:pPr>
      <w:r>
        <w:rPr>
          <w:rStyle w:val="FootnoteReference"/>
        </w:rPr>
        <w:footnoteRef/>
      </w:r>
      <w:r>
        <w:t xml:space="preserve"> </w:t>
      </w:r>
      <w:r>
        <w:tab/>
        <w:t xml:space="preserve">Commission staff sent the discussion paper </w:t>
      </w:r>
      <w:r w:rsidRPr="00AC0D59">
        <w:rPr>
          <w:i/>
        </w:rPr>
        <w:t xml:space="preserve">CGC 2018-04-S New issues for the 2019 Update </w:t>
      </w:r>
      <w:r>
        <w:t xml:space="preserve">to the States and asked for comments. This paper is referred to in this chapter as the New issues paper. </w:t>
      </w:r>
    </w:p>
  </w:footnote>
  <w:footnote w:id="6">
    <w:p w:rsidR="00FF11DA" w:rsidRDefault="00FF11DA" w:rsidP="00BB3126">
      <w:pPr>
        <w:pStyle w:val="FootnoteText"/>
      </w:pPr>
      <w:r>
        <w:rPr>
          <w:rStyle w:val="FootnoteReference"/>
        </w:rPr>
        <w:footnoteRef/>
      </w:r>
      <w:r>
        <w:t xml:space="preserve"> </w:t>
      </w:r>
      <w:r>
        <w:tab/>
        <w:t>There is one minor exception. Medicare data, which are used in the Health assessment, are still based on 2011 Census based classifications. Revised data were not available in time for the update.</w:t>
      </w:r>
    </w:p>
  </w:footnote>
  <w:footnote w:id="7">
    <w:p w:rsidR="00FF11DA" w:rsidRDefault="00FF11DA" w:rsidP="00BB3126">
      <w:pPr>
        <w:pStyle w:val="FootnoteText"/>
      </w:pPr>
      <w:r>
        <w:rPr>
          <w:rStyle w:val="FootnoteReference"/>
        </w:rPr>
        <w:footnoteRef/>
      </w:r>
      <w:r>
        <w:t xml:space="preserve"> </w:t>
      </w:r>
      <w:r>
        <w:tab/>
        <w:t xml:space="preserve">Commonwealth Grants Commission, </w:t>
      </w:r>
      <w:r w:rsidRPr="008C2F38">
        <w:rPr>
          <w:i/>
        </w:rPr>
        <w:t>Report on GST revenue sharing relativities, 2015 Review, Volume</w:t>
      </w:r>
      <w:r>
        <w:rPr>
          <w:i/>
        </w:rPr>
        <w:t> </w:t>
      </w:r>
      <w:r w:rsidRPr="008C2F38">
        <w:rPr>
          <w:i/>
        </w:rPr>
        <w:t>2 Assessment of State fiscal capacities</w:t>
      </w:r>
      <w:r>
        <w:t>, page 106, paragraph 14.</w:t>
      </w:r>
    </w:p>
  </w:footnote>
  <w:footnote w:id="8">
    <w:p w:rsidR="00FF11DA" w:rsidRDefault="00FF11DA" w:rsidP="00BB3126">
      <w:pPr>
        <w:pStyle w:val="FootnoteText"/>
      </w:pPr>
      <w:r>
        <w:rPr>
          <w:rStyle w:val="FootnoteReference"/>
        </w:rPr>
        <w:footnoteRef/>
      </w:r>
      <w:r>
        <w:t xml:space="preserve"> </w:t>
      </w:r>
      <w:r>
        <w:tab/>
      </w:r>
      <w:r w:rsidRPr="003C6EDF">
        <w:rPr>
          <w:i/>
        </w:rPr>
        <w:t>Western Australia, State Budget 2018-19, Budget Paper No 3, Economic and Fiscal Outlook</w:t>
      </w:r>
      <w:r w:rsidRPr="00CF114F">
        <w:t>, Table 7, page 85</w:t>
      </w:r>
      <w:r>
        <w:t>.</w:t>
      </w:r>
    </w:p>
  </w:footnote>
  <w:footnote w:id="9">
    <w:p w:rsidR="00FF11DA" w:rsidRDefault="00FF11DA">
      <w:pPr>
        <w:pStyle w:val="FootnoteText"/>
      </w:pPr>
      <w:r>
        <w:rPr>
          <w:rStyle w:val="FootnoteReference"/>
        </w:rPr>
        <w:footnoteRef/>
      </w:r>
      <w:r>
        <w:t xml:space="preserve"> </w:t>
      </w:r>
      <w:r>
        <w:tab/>
        <w:t xml:space="preserve">The Commission notes that </w:t>
      </w:r>
      <w:r w:rsidRPr="009D7DBC">
        <w:t xml:space="preserve">if the amounts are of the order reported </w:t>
      </w:r>
      <w:r>
        <w:t xml:space="preserve">in the media </w:t>
      </w:r>
      <w:r w:rsidRPr="009D7DBC">
        <w:t>at the time, they would not be big enough to have had a material effect on Queensland’s GST share</w:t>
      </w:r>
      <w:r>
        <w:t>.</w:t>
      </w:r>
    </w:p>
  </w:footnote>
  <w:footnote w:id="10">
    <w:p w:rsidR="00FF11DA" w:rsidRDefault="00FF11DA" w:rsidP="00BB3126">
      <w:pPr>
        <w:pStyle w:val="FootnoteText"/>
      </w:pPr>
      <w:r>
        <w:rPr>
          <w:rStyle w:val="FootnoteReference"/>
        </w:rPr>
        <w:footnoteRef/>
      </w:r>
      <w:r>
        <w:t xml:space="preserve"> </w:t>
      </w:r>
      <w:r>
        <w:tab/>
        <w:t xml:space="preserve">Australian Government, Disaster Assist, </w:t>
      </w:r>
      <w:hyperlink r:id="rId2" w:history="1">
        <w:r w:rsidRPr="00DF0FE7">
          <w:rPr>
            <w:rStyle w:val="Hyperlink"/>
          </w:rPr>
          <w:t>Disaster Recovery Funding Arrangements 2018</w:t>
        </w:r>
      </w:hyperlink>
      <w:r>
        <w:t>, (</w:t>
      </w:r>
      <w:r w:rsidRPr="00DF0FE7">
        <w:t>https://www.disasterassist.gov.au/Pages/related-links/disaster-recovery-funding-arrangements-2018.aspx</w:t>
      </w:r>
      <w:r>
        <w:t>), [accessed December 2018].</w:t>
      </w:r>
    </w:p>
  </w:footnote>
  <w:footnote w:id="11">
    <w:p w:rsidR="00FF11DA" w:rsidRDefault="00FF11DA" w:rsidP="00BB3126">
      <w:pPr>
        <w:pStyle w:val="FootnoteText"/>
      </w:pPr>
      <w:r>
        <w:rPr>
          <w:rStyle w:val="FootnoteReference"/>
        </w:rPr>
        <w:footnoteRef/>
      </w:r>
      <w:r>
        <w:t xml:space="preserve"> </w:t>
      </w:r>
      <w:r>
        <w:tab/>
        <w:t>The Commission’s policy is described in the 2017 Update report, page 38.</w:t>
      </w:r>
    </w:p>
  </w:footnote>
  <w:footnote w:id="12">
    <w:p w:rsidR="00FF11DA" w:rsidRDefault="00FF11DA" w:rsidP="00BB3126">
      <w:pPr>
        <w:pStyle w:val="FootnoteText"/>
      </w:pPr>
      <w:r>
        <w:rPr>
          <w:rStyle w:val="FootnoteReference"/>
        </w:rPr>
        <w:footnoteRef/>
      </w:r>
      <w:r>
        <w:t xml:space="preserve"> </w:t>
      </w:r>
      <w:r>
        <w:tab/>
        <w:t xml:space="preserve">See </w:t>
      </w:r>
      <w:r w:rsidRPr="00F2799C">
        <w:rPr>
          <w:i/>
        </w:rPr>
        <w:t>Report on GST Revenue Sharing Relativities, 2015 Review, Volume 1 — Main Report</w:t>
      </w:r>
      <w:r>
        <w:t xml:space="preserve">, pp 54-57. </w:t>
      </w:r>
    </w:p>
  </w:footnote>
  <w:footnote w:id="13">
    <w:p w:rsidR="00FF11DA" w:rsidRDefault="00FF11DA" w:rsidP="00BB3126">
      <w:pPr>
        <w:pStyle w:val="FootnoteText"/>
      </w:pPr>
      <w:r>
        <w:rPr>
          <w:rStyle w:val="FootnoteReference"/>
        </w:rPr>
        <w:footnoteRef/>
      </w:r>
      <w:r>
        <w:t xml:space="preserve"> </w:t>
      </w:r>
      <w:r>
        <w:tab/>
        <w:t>An APC assessment would have the additional benefit of addressing differential population growth between censuses.</w:t>
      </w:r>
    </w:p>
  </w:footnote>
  <w:footnote w:id="14">
    <w:p w:rsidR="00FF11DA" w:rsidRDefault="00FF11DA" w:rsidP="00BB3126">
      <w:pPr>
        <w:pStyle w:val="FootnoteText"/>
      </w:pPr>
      <w:r>
        <w:rPr>
          <w:rStyle w:val="FootnoteReference"/>
        </w:rPr>
        <w:footnoteRef/>
      </w:r>
      <w:r>
        <w:t xml:space="preserve"> </w:t>
      </w:r>
      <w:r>
        <w:tab/>
        <w:t>In-kind contributions refer to State disability spending on education, health and other functions that substitute for NDIS services.</w:t>
      </w:r>
    </w:p>
  </w:footnote>
  <w:footnote w:id="15">
    <w:p w:rsidR="00FF11DA" w:rsidRDefault="00FF11DA" w:rsidP="00BB3126">
      <w:pPr>
        <w:pStyle w:val="FootnoteText"/>
      </w:pPr>
      <w:r>
        <w:rPr>
          <w:rStyle w:val="FootnoteReference"/>
        </w:rPr>
        <w:footnoteRef/>
      </w:r>
      <w:r>
        <w:t xml:space="preserve"> </w:t>
      </w:r>
      <w:r>
        <w:tab/>
        <w:t>2021 Census data will be available in June 2023. The December 2021 population will be used to determine State funding contributions from 2023-24 to 2027-28.</w:t>
      </w:r>
    </w:p>
  </w:footnote>
  <w:footnote w:id="16">
    <w:p w:rsidR="00FF11DA" w:rsidRDefault="00FF11DA" w:rsidP="00BB3126">
      <w:pPr>
        <w:pStyle w:val="FootnoteText"/>
      </w:pPr>
      <w:r>
        <w:rPr>
          <w:rStyle w:val="FootnoteReference"/>
        </w:rPr>
        <w:footnoteRef/>
      </w:r>
      <w:r>
        <w:t xml:space="preserve"> </w:t>
      </w:r>
      <w:r>
        <w:tab/>
        <w:t>Clause 6(d) of the terms of reference also says the Commission may determine to treat particular (facilitation) payments differently, reflecting the nature of the payment and the role of State governments in providing particular services. It has no discretion in the treatment of reward payments, which the 2012 Update ToR quarantined. The Australian Treasury provides the Commission with advice on which payments qualify as reward payments.</w:t>
      </w:r>
    </w:p>
  </w:footnote>
  <w:footnote w:id="17">
    <w:p w:rsidR="00FF11DA" w:rsidRDefault="00FF11DA" w:rsidP="00BB3126">
      <w:pPr>
        <w:pStyle w:val="FootnoteText"/>
      </w:pPr>
      <w:r>
        <w:rPr>
          <w:rStyle w:val="FootnoteReference"/>
        </w:rPr>
        <w:footnoteRef/>
      </w:r>
      <w:r>
        <w:t xml:space="preserve">   </w:t>
      </w:r>
      <w:r>
        <w:tab/>
        <w:t>The Other expenses category includes communications expenses that cover outlays on administration, provision, construction, regulation, operation, etc of communication affairs and services including postal, telephone, telegraph, cable and wireless communication systems and communication satellites.</w:t>
      </w:r>
    </w:p>
  </w:footnote>
  <w:footnote w:id="18">
    <w:p w:rsidR="00FF11DA" w:rsidRDefault="00FF11DA" w:rsidP="00BB3126">
      <w:pPr>
        <w:pStyle w:val="FootnoteText"/>
      </w:pPr>
      <w:r>
        <w:rPr>
          <w:rStyle w:val="FootnoteReference"/>
        </w:rPr>
        <w:footnoteRef/>
      </w:r>
      <w:r>
        <w:t xml:space="preserve"> </w:t>
      </w:r>
      <w:r>
        <w:tab/>
        <w:t xml:space="preserve">Media release, Ministers for the Department of Industry, Innovation and Science, 12 April 2018, </w:t>
      </w:r>
      <w:hyperlink r:id="rId3" w:history="1">
        <w:r w:rsidRPr="005F309A">
          <w:rPr>
            <w:rStyle w:val="Hyperlink"/>
          </w:rPr>
          <w:t>Department of Industry website</w:t>
        </w:r>
      </w:hyperlink>
      <w:r>
        <w:t>, (</w:t>
      </w:r>
      <w:r w:rsidRPr="005F309A">
        <w:t>https://www.minister.industry.gov.au/ministers/cash/media-releases/local-jobs-and-new-energy-industry-latrobe-valley</w:t>
      </w:r>
      <w:r>
        <w:t>, [accessed 10 January 2019].</w:t>
      </w:r>
    </w:p>
  </w:footnote>
  <w:footnote w:id="19">
    <w:p w:rsidR="00FF11DA" w:rsidRDefault="00FF11DA" w:rsidP="00BB3126">
      <w:pPr>
        <w:pStyle w:val="FootnoteText"/>
      </w:pPr>
      <w:r>
        <w:rPr>
          <w:rStyle w:val="FootnoteReference"/>
        </w:rPr>
        <w:footnoteRef/>
      </w:r>
      <w:r>
        <w:t xml:space="preserve"> </w:t>
      </w:r>
      <w:r>
        <w:tab/>
      </w:r>
      <w:hyperlink r:id="rId4" w:history="1">
        <w:r w:rsidRPr="005F309A">
          <w:rPr>
            <w:rStyle w:val="Hyperlink"/>
          </w:rPr>
          <w:t>Project Agreement for Hydrogen Energy Supply Chain Pilot Project</w:t>
        </w:r>
      </w:hyperlink>
      <w:r>
        <w:t>, (</w:t>
      </w:r>
      <w:hyperlink r:id="rId5" w:history="1">
        <w:r w:rsidRPr="005F309A">
          <w:t>http://www.federalfinancialrelations.gov.au/content/npa/environment/project-agreement/HESC_Project_Agreement_PDF.pdf</w:t>
        </w:r>
      </w:hyperlink>
      <w:r>
        <w:t>, [accessed 10 January 2019].</w:t>
      </w:r>
    </w:p>
  </w:footnote>
  <w:footnote w:id="20">
    <w:p w:rsidR="00FF11DA" w:rsidRDefault="00FF11DA" w:rsidP="00BB3126">
      <w:pPr>
        <w:pStyle w:val="FootnoteText"/>
      </w:pPr>
      <w:r>
        <w:rPr>
          <w:rStyle w:val="FootnoteReference"/>
        </w:rPr>
        <w:footnoteRef/>
      </w:r>
      <w:r>
        <w:t xml:space="preserve"> </w:t>
      </w:r>
      <w:r>
        <w:tab/>
        <w:t>The ABS advised that final remapped data will be available in 2019.</w:t>
      </w:r>
    </w:p>
  </w:footnote>
  <w:footnote w:id="21">
    <w:p w:rsidR="00FF11DA" w:rsidRPr="00425EEC" w:rsidRDefault="00FF11DA" w:rsidP="00BB3126">
      <w:pPr>
        <w:pStyle w:val="FootnoteText"/>
        <w:rPr>
          <w:i/>
        </w:rPr>
      </w:pPr>
      <w:r>
        <w:rPr>
          <w:rStyle w:val="FootnoteReference"/>
        </w:rPr>
        <w:footnoteRef/>
      </w:r>
      <w:r>
        <w:t xml:space="preserve"> </w:t>
      </w:r>
      <w:r>
        <w:tab/>
        <w:t xml:space="preserve">See </w:t>
      </w:r>
      <w:r>
        <w:rPr>
          <w:i/>
        </w:rPr>
        <w:t>Report on GST Revenue Sharing Relativities – 2010 Review, Volume 2, Attachment 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Default="00FF11DA" w:rsidP="00C7618F">
    <w:pPr>
      <w:pStyle w:val="Header"/>
      <w:jc w:val="cent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Default="00FF11DA" w:rsidP="00C7618F">
    <w:pPr>
      <w:pStyle w:val="Header"/>
      <w:jc w:val="cent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986" w:rsidRDefault="00AD598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1DA" w:rsidRDefault="00FF11DA" w:rsidP="00C761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4679"/>
    <w:multiLevelType w:val="multilevel"/>
    <w:tmpl w:val="87ECD5DE"/>
    <w:lvl w:ilvl="0">
      <w:start w:val="1"/>
      <w:numFmt w:val="lowerRoman"/>
      <w:lvlText w:val="(%1)"/>
      <w:lvlJc w:val="right"/>
      <w:pPr>
        <w:tabs>
          <w:tab w:val="num" w:pos="1701"/>
        </w:tabs>
        <w:ind w:left="1701" w:hanging="45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7810CE2"/>
    <w:multiLevelType w:val="hybridMultilevel"/>
    <w:tmpl w:val="E66EA58E"/>
    <w:lvl w:ilvl="0" w:tplc="DD28DB72">
      <w:start w:val="1"/>
      <w:numFmt w:val="decimal"/>
      <w:pStyle w:val="11para"/>
      <w:lvlText w:val="1.%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53D7BB4"/>
    <w:multiLevelType w:val="multilevel"/>
    <w:tmpl w:val="410E2C24"/>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6C95DEC"/>
    <w:multiLevelType w:val="multilevel"/>
    <w:tmpl w:val="09E854D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C66C66"/>
    <w:multiLevelType w:val="multilevel"/>
    <w:tmpl w:val="5B74CF8C"/>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6" w15:restartNumberingAfterBreak="0">
    <w:nsid w:val="317A6023"/>
    <w:multiLevelType w:val="hybridMultilevel"/>
    <w:tmpl w:val="1262912E"/>
    <w:lvl w:ilvl="0" w:tplc="9B9083DC">
      <w:start w:val="1"/>
      <w:numFmt w:val="lowerRoman"/>
      <w:pStyle w:val="CGCNumeralList"/>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9CB5609"/>
    <w:multiLevelType w:val="hybridMultilevel"/>
    <w:tmpl w:val="24484DBE"/>
    <w:lvl w:ilvl="0" w:tplc="A1CEF810">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D0A6680"/>
    <w:multiLevelType w:val="multilevel"/>
    <w:tmpl w:val="646E338E"/>
    <w:lvl w:ilvl="0">
      <w:start w:val="1"/>
      <w:numFmt w:val="bullet"/>
      <w:lvlText w:val=""/>
      <w:lvlJc w:val="left"/>
      <w:pPr>
        <w:tabs>
          <w:tab w:val="num" w:pos="1494"/>
        </w:tabs>
        <w:ind w:left="1701"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E32354"/>
    <w:multiLevelType w:val="hybridMultilevel"/>
    <w:tmpl w:val="7D6053A6"/>
    <w:lvl w:ilvl="0" w:tplc="5FE44A6C">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755A0B"/>
    <w:multiLevelType w:val="hybridMultilevel"/>
    <w:tmpl w:val="4ADC5AF2"/>
    <w:lvl w:ilvl="0" w:tplc="B4ACBAB0">
      <w:start w:val="1"/>
      <w:numFmt w:val="decimal"/>
      <w:pStyle w:val="21para"/>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85F16F4"/>
    <w:multiLevelType w:val="hybridMultilevel"/>
    <w:tmpl w:val="8D22B1EE"/>
    <w:lvl w:ilvl="0" w:tplc="AE7EAED4">
      <w:start w:val="1"/>
      <w:numFmt w:val="decimal"/>
      <w:pStyle w:val="A1AttachmentAlist"/>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124923"/>
    <w:multiLevelType w:val="multilevel"/>
    <w:tmpl w:val="DA6AC07E"/>
    <w:lvl w:ilvl="0">
      <w:start w:val="1"/>
      <w:numFmt w:val="bullet"/>
      <w:lvlText w:val=""/>
      <w:lvlJc w:val="left"/>
      <w:pPr>
        <w:tabs>
          <w:tab w:val="num" w:pos="1627"/>
        </w:tabs>
        <w:ind w:left="1627"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120A6F"/>
    <w:multiLevelType w:val="multilevel"/>
    <w:tmpl w:val="EC6A24FE"/>
    <w:lvl w:ilvl="0">
      <w:start w:val="1"/>
      <w:numFmt w:val="bullet"/>
      <w:lvlText w:val=""/>
      <w:lvlJc w:val="left"/>
      <w:pPr>
        <w:tabs>
          <w:tab w:val="num" w:pos="927"/>
        </w:tabs>
        <w:ind w:left="1134"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FE42A7"/>
    <w:multiLevelType w:val="hybridMultilevel"/>
    <w:tmpl w:val="E4B8FB9A"/>
    <w:lvl w:ilvl="0" w:tplc="18EA3C62">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552687"/>
    <w:multiLevelType w:val="multilevel"/>
    <w:tmpl w:val="76E0CFF8"/>
    <w:lvl w:ilvl="0">
      <w:start w:val="1"/>
      <w:numFmt w:val="bullet"/>
      <w:lvlText w:val=""/>
      <w:lvlJc w:val="left"/>
      <w:pPr>
        <w:tabs>
          <w:tab w:val="num" w:pos="1503"/>
        </w:tabs>
        <w:ind w:left="171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18" w15:restartNumberingAfterBreak="0">
    <w:nsid w:val="77D62F87"/>
    <w:multiLevelType w:val="hybridMultilevel"/>
    <w:tmpl w:val="E332B1EE"/>
    <w:lvl w:ilvl="0" w:tplc="7898E74C">
      <w:start w:val="1"/>
      <w:numFmt w:val="bullet"/>
      <w:pStyle w:val="CGCSubbulletlist"/>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6"/>
  </w:num>
  <w:num w:numId="3">
    <w:abstractNumId w:val="2"/>
  </w:num>
  <w:num w:numId="4">
    <w:abstractNumId w:val="18"/>
  </w:num>
  <w:num w:numId="5">
    <w:abstractNumId w:val="18"/>
  </w:num>
  <w:num w:numId="6">
    <w:abstractNumId w:val="5"/>
  </w:num>
  <w:num w:numId="7">
    <w:abstractNumId w:val="5"/>
  </w:num>
  <w:num w:numId="8">
    <w:abstractNumId w:val="5"/>
  </w:num>
  <w:num w:numId="9">
    <w:abstractNumId w:val="5"/>
  </w:num>
  <w:num w:numId="10">
    <w:abstractNumId w:val="17"/>
  </w:num>
  <w:num w:numId="11">
    <w:abstractNumId w:val="6"/>
  </w:num>
  <w:num w:numId="12">
    <w:abstractNumId w:val="2"/>
  </w:num>
  <w:num w:numId="13">
    <w:abstractNumId w:val="18"/>
  </w:num>
  <w:num w:numId="14">
    <w:abstractNumId w:val="5"/>
  </w:num>
  <w:num w:numId="15">
    <w:abstractNumId w:val="5"/>
  </w:num>
  <w:num w:numId="16">
    <w:abstractNumId w:val="5"/>
  </w:num>
  <w:num w:numId="17">
    <w:abstractNumId w:val="5"/>
  </w:num>
  <w:num w:numId="18">
    <w:abstractNumId w:val="0"/>
  </w:num>
  <w:num w:numId="19">
    <w:abstractNumId w:val="12"/>
  </w:num>
  <w:num w:numId="20">
    <w:abstractNumId w:val="13"/>
  </w:num>
  <w:num w:numId="21">
    <w:abstractNumId w:val="3"/>
  </w:num>
  <w:num w:numId="22">
    <w:abstractNumId w:val="8"/>
  </w:num>
  <w:num w:numId="23">
    <w:abstractNumId w:val="16"/>
  </w:num>
  <w:num w:numId="24">
    <w:abstractNumId w:val="4"/>
  </w:num>
  <w:num w:numId="25">
    <w:abstractNumId w:val="14"/>
  </w:num>
  <w:num w:numId="26">
    <w:abstractNumId w:val="2"/>
  </w:num>
  <w:num w:numId="27">
    <w:abstractNumId w:val="9"/>
  </w:num>
  <w:num w:numId="28">
    <w:abstractNumId w:val="15"/>
  </w:num>
  <w:num w:numId="29">
    <w:abstractNumId w:val="7"/>
  </w:num>
  <w:num w:numId="30">
    <w:abstractNumId w:val="6"/>
    <w:lvlOverride w:ilvl="0">
      <w:startOverride w:val="1"/>
    </w:lvlOverride>
  </w:num>
  <w:num w:numId="31">
    <w:abstractNumId w:val="17"/>
  </w:num>
  <w:num w:numId="32">
    <w:abstractNumId w:val="2"/>
  </w:num>
  <w:num w:numId="33">
    <w:abstractNumId w:val="6"/>
  </w:num>
  <w:num w:numId="34">
    <w:abstractNumId w:val="18"/>
  </w:num>
  <w:num w:numId="35">
    <w:abstractNumId w:val="12"/>
  </w:num>
  <w:num w:numId="36">
    <w:abstractNumId w:val="17"/>
  </w:num>
  <w:num w:numId="37">
    <w:abstractNumId w:val="2"/>
  </w:num>
  <w:num w:numId="38">
    <w:abstractNumId w:val="6"/>
  </w:num>
  <w:num w:numId="39">
    <w:abstractNumId w:val="18"/>
  </w:num>
  <w:num w:numId="40">
    <w:abstractNumId w:val="12"/>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num>
  <w:num w:numId="43">
    <w:abstractNumId w:val="10"/>
  </w:num>
  <w:num w:numId="44">
    <w:abstractNumId w:val="11"/>
  </w:num>
  <w:num w:numId="4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103"/>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HorizontalDrawingGridEvery w:val="2"/>
  <w:displayVerticalDrawingGridEvery w:val="2"/>
  <w:characterSpacingControl w:val="doNotCompress"/>
  <w:hdrShapeDefaults>
    <o:shapedefaults v:ext="edit" spidmax="43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8D3"/>
    <w:rsid w:val="00016D63"/>
    <w:rsid w:val="00016FE0"/>
    <w:rsid w:val="00022EA9"/>
    <w:rsid w:val="00024745"/>
    <w:rsid w:val="00032F41"/>
    <w:rsid w:val="0004123E"/>
    <w:rsid w:val="00041748"/>
    <w:rsid w:val="00041E84"/>
    <w:rsid w:val="000424EA"/>
    <w:rsid w:val="00056373"/>
    <w:rsid w:val="00061111"/>
    <w:rsid w:val="000624BB"/>
    <w:rsid w:val="000648E8"/>
    <w:rsid w:val="0008187C"/>
    <w:rsid w:val="00093796"/>
    <w:rsid w:val="000A3898"/>
    <w:rsid w:val="000A52A1"/>
    <w:rsid w:val="000B2942"/>
    <w:rsid w:val="000B3557"/>
    <w:rsid w:val="000B64E3"/>
    <w:rsid w:val="000C6CD9"/>
    <w:rsid w:val="000D1354"/>
    <w:rsid w:val="000D7C54"/>
    <w:rsid w:val="000E0210"/>
    <w:rsid w:val="000E1FE2"/>
    <w:rsid w:val="000E6AA5"/>
    <w:rsid w:val="000E7F56"/>
    <w:rsid w:val="000F1CDA"/>
    <w:rsid w:val="000F3151"/>
    <w:rsid w:val="001000DA"/>
    <w:rsid w:val="001039C2"/>
    <w:rsid w:val="001040AD"/>
    <w:rsid w:val="00105FE8"/>
    <w:rsid w:val="0011178C"/>
    <w:rsid w:val="00112CF0"/>
    <w:rsid w:val="001211AB"/>
    <w:rsid w:val="001218B8"/>
    <w:rsid w:val="00122877"/>
    <w:rsid w:val="00124ED1"/>
    <w:rsid w:val="00131030"/>
    <w:rsid w:val="00131668"/>
    <w:rsid w:val="00136497"/>
    <w:rsid w:val="00136798"/>
    <w:rsid w:val="00141BD1"/>
    <w:rsid w:val="001441DA"/>
    <w:rsid w:val="00147115"/>
    <w:rsid w:val="001477CE"/>
    <w:rsid w:val="00160351"/>
    <w:rsid w:val="0016723A"/>
    <w:rsid w:val="00170DC9"/>
    <w:rsid w:val="00171A05"/>
    <w:rsid w:val="00172F3A"/>
    <w:rsid w:val="001730FD"/>
    <w:rsid w:val="00173798"/>
    <w:rsid w:val="00173BE6"/>
    <w:rsid w:val="00173E72"/>
    <w:rsid w:val="001752AF"/>
    <w:rsid w:val="001807C0"/>
    <w:rsid w:val="001811DE"/>
    <w:rsid w:val="00187145"/>
    <w:rsid w:val="00193A58"/>
    <w:rsid w:val="001A4336"/>
    <w:rsid w:val="001A531E"/>
    <w:rsid w:val="001B0110"/>
    <w:rsid w:val="001B3048"/>
    <w:rsid w:val="001B696E"/>
    <w:rsid w:val="001B6A56"/>
    <w:rsid w:val="001C469B"/>
    <w:rsid w:val="001C6A71"/>
    <w:rsid w:val="001D638B"/>
    <w:rsid w:val="001D6DFA"/>
    <w:rsid w:val="001E6180"/>
    <w:rsid w:val="001E674B"/>
    <w:rsid w:val="001E68FC"/>
    <w:rsid w:val="001E72B6"/>
    <w:rsid w:val="001F3A9A"/>
    <w:rsid w:val="001F4F5A"/>
    <w:rsid w:val="00202A43"/>
    <w:rsid w:val="00204026"/>
    <w:rsid w:val="00212948"/>
    <w:rsid w:val="00217839"/>
    <w:rsid w:val="00225A3B"/>
    <w:rsid w:val="0023081D"/>
    <w:rsid w:val="0023329C"/>
    <w:rsid w:val="00236DC0"/>
    <w:rsid w:val="002373A2"/>
    <w:rsid w:val="00242517"/>
    <w:rsid w:val="0024260B"/>
    <w:rsid w:val="002430FD"/>
    <w:rsid w:val="0024401F"/>
    <w:rsid w:val="0024569B"/>
    <w:rsid w:val="00255B5A"/>
    <w:rsid w:val="002671A2"/>
    <w:rsid w:val="00267496"/>
    <w:rsid w:val="00275B68"/>
    <w:rsid w:val="00277C24"/>
    <w:rsid w:val="002845EA"/>
    <w:rsid w:val="00286EBE"/>
    <w:rsid w:val="00295B70"/>
    <w:rsid w:val="002A2A08"/>
    <w:rsid w:val="002A2D93"/>
    <w:rsid w:val="002A4E42"/>
    <w:rsid w:val="002A77C3"/>
    <w:rsid w:val="002B10B0"/>
    <w:rsid w:val="002B169C"/>
    <w:rsid w:val="002B6EFD"/>
    <w:rsid w:val="002B6F33"/>
    <w:rsid w:val="002B79F0"/>
    <w:rsid w:val="002B7F3E"/>
    <w:rsid w:val="002C1D9C"/>
    <w:rsid w:val="002C366F"/>
    <w:rsid w:val="002C4CA9"/>
    <w:rsid w:val="002D2270"/>
    <w:rsid w:val="002E25A8"/>
    <w:rsid w:val="002E627F"/>
    <w:rsid w:val="002F04DE"/>
    <w:rsid w:val="002F1CD3"/>
    <w:rsid w:val="002F1ECF"/>
    <w:rsid w:val="002F6E28"/>
    <w:rsid w:val="002F7E68"/>
    <w:rsid w:val="002F7F96"/>
    <w:rsid w:val="00302E5E"/>
    <w:rsid w:val="00306EAD"/>
    <w:rsid w:val="00307DEF"/>
    <w:rsid w:val="00311D33"/>
    <w:rsid w:val="00313664"/>
    <w:rsid w:val="00314F90"/>
    <w:rsid w:val="0033102E"/>
    <w:rsid w:val="00331401"/>
    <w:rsid w:val="00333234"/>
    <w:rsid w:val="00335ED1"/>
    <w:rsid w:val="00337109"/>
    <w:rsid w:val="00337EF8"/>
    <w:rsid w:val="0034129F"/>
    <w:rsid w:val="00342A60"/>
    <w:rsid w:val="0034379D"/>
    <w:rsid w:val="0034646D"/>
    <w:rsid w:val="00347BE5"/>
    <w:rsid w:val="003522E0"/>
    <w:rsid w:val="0035267F"/>
    <w:rsid w:val="0035580D"/>
    <w:rsid w:val="003639FB"/>
    <w:rsid w:val="00363BF7"/>
    <w:rsid w:val="00365CBF"/>
    <w:rsid w:val="00366211"/>
    <w:rsid w:val="00382AE5"/>
    <w:rsid w:val="003929D2"/>
    <w:rsid w:val="00393E3E"/>
    <w:rsid w:val="00393FA5"/>
    <w:rsid w:val="003A27BB"/>
    <w:rsid w:val="003B673D"/>
    <w:rsid w:val="003C2577"/>
    <w:rsid w:val="003C4448"/>
    <w:rsid w:val="003D22D2"/>
    <w:rsid w:val="003D2A99"/>
    <w:rsid w:val="003D3D91"/>
    <w:rsid w:val="003D4708"/>
    <w:rsid w:val="003D477A"/>
    <w:rsid w:val="003D68AF"/>
    <w:rsid w:val="003E2F38"/>
    <w:rsid w:val="003E35E7"/>
    <w:rsid w:val="003E6615"/>
    <w:rsid w:val="003E79F9"/>
    <w:rsid w:val="003F12E9"/>
    <w:rsid w:val="003F59F4"/>
    <w:rsid w:val="00404A77"/>
    <w:rsid w:val="00404DCD"/>
    <w:rsid w:val="004077D6"/>
    <w:rsid w:val="004121E7"/>
    <w:rsid w:val="00414E51"/>
    <w:rsid w:val="00420F04"/>
    <w:rsid w:val="00423099"/>
    <w:rsid w:val="00424E79"/>
    <w:rsid w:val="0042661C"/>
    <w:rsid w:val="004274B3"/>
    <w:rsid w:val="00443EC1"/>
    <w:rsid w:val="00450C1E"/>
    <w:rsid w:val="00453264"/>
    <w:rsid w:val="004620E7"/>
    <w:rsid w:val="00462B54"/>
    <w:rsid w:val="00463064"/>
    <w:rsid w:val="00466208"/>
    <w:rsid w:val="00472461"/>
    <w:rsid w:val="00475369"/>
    <w:rsid w:val="004809B8"/>
    <w:rsid w:val="004821B9"/>
    <w:rsid w:val="00484FD2"/>
    <w:rsid w:val="00491D88"/>
    <w:rsid w:val="0049605C"/>
    <w:rsid w:val="004965F7"/>
    <w:rsid w:val="004A03AA"/>
    <w:rsid w:val="004A05D6"/>
    <w:rsid w:val="004A2B2F"/>
    <w:rsid w:val="004A7048"/>
    <w:rsid w:val="004B0A0A"/>
    <w:rsid w:val="004B1C4B"/>
    <w:rsid w:val="004B60CB"/>
    <w:rsid w:val="004C1CB5"/>
    <w:rsid w:val="004E769A"/>
    <w:rsid w:val="00500ACD"/>
    <w:rsid w:val="00504061"/>
    <w:rsid w:val="00505BAE"/>
    <w:rsid w:val="00506956"/>
    <w:rsid w:val="00512ED1"/>
    <w:rsid w:val="00515380"/>
    <w:rsid w:val="005176CA"/>
    <w:rsid w:val="005252A8"/>
    <w:rsid w:val="005321DC"/>
    <w:rsid w:val="00532A29"/>
    <w:rsid w:val="00532D10"/>
    <w:rsid w:val="00537A77"/>
    <w:rsid w:val="00541A14"/>
    <w:rsid w:val="00543F9C"/>
    <w:rsid w:val="00546398"/>
    <w:rsid w:val="00546D39"/>
    <w:rsid w:val="00550E84"/>
    <w:rsid w:val="00551368"/>
    <w:rsid w:val="005577B0"/>
    <w:rsid w:val="00560AC7"/>
    <w:rsid w:val="00562084"/>
    <w:rsid w:val="00570EED"/>
    <w:rsid w:val="005716FC"/>
    <w:rsid w:val="00575DEF"/>
    <w:rsid w:val="00577B74"/>
    <w:rsid w:val="00583A33"/>
    <w:rsid w:val="005867D2"/>
    <w:rsid w:val="00592B45"/>
    <w:rsid w:val="00593C43"/>
    <w:rsid w:val="005963CC"/>
    <w:rsid w:val="00596E19"/>
    <w:rsid w:val="005A241E"/>
    <w:rsid w:val="005A6FED"/>
    <w:rsid w:val="005B1BC4"/>
    <w:rsid w:val="005B6894"/>
    <w:rsid w:val="005B7121"/>
    <w:rsid w:val="005C13B2"/>
    <w:rsid w:val="005C27E3"/>
    <w:rsid w:val="005C37CB"/>
    <w:rsid w:val="005C459C"/>
    <w:rsid w:val="005D1A9F"/>
    <w:rsid w:val="005D4CC7"/>
    <w:rsid w:val="005D52FA"/>
    <w:rsid w:val="005E266F"/>
    <w:rsid w:val="005E5734"/>
    <w:rsid w:val="005E73CE"/>
    <w:rsid w:val="005F07DC"/>
    <w:rsid w:val="005F5FE9"/>
    <w:rsid w:val="005F64FB"/>
    <w:rsid w:val="0060251E"/>
    <w:rsid w:val="00602DDE"/>
    <w:rsid w:val="00611737"/>
    <w:rsid w:val="00612904"/>
    <w:rsid w:val="00614DE8"/>
    <w:rsid w:val="00622388"/>
    <w:rsid w:val="00622669"/>
    <w:rsid w:val="00622FE1"/>
    <w:rsid w:val="00625CE5"/>
    <w:rsid w:val="00635027"/>
    <w:rsid w:val="00644A7B"/>
    <w:rsid w:val="006556D9"/>
    <w:rsid w:val="00661C46"/>
    <w:rsid w:val="006652D3"/>
    <w:rsid w:val="00667CF3"/>
    <w:rsid w:val="006769C4"/>
    <w:rsid w:val="00676E09"/>
    <w:rsid w:val="00677627"/>
    <w:rsid w:val="00677BD5"/>
    <w:rsid w:val="0068025E"/>
    <w:rsid w:val="006819E4"/>
    <w:rsid w:val="00693C87"/>
    <w:rsid w:val="006A05C7"/>
    <w:rsid w:val="006A607B"/>
    <w:rsid w:val="006A6E27"/>
    <w:rsid w:val="006A72B0"/>
    <w:rsid w:val="006B3E4D"/>
    <w:rsid w:val="006B6C2F"/>
    <w:rsid w:val="006C52B9"/>
    <w:rsid w:val="006D04F4"/>
    <w:rsid w:val="006D1DFE"/>
    <w:rsid w:val="006D6DCB"/>
    <w:rsid w:val="006D788F"/>
    <w:rsid w:val="006E6BC2"/>
    <w:rsid w:val="006E77BB"/>
    <w:rsid w:val="0070150E"/>
    <w:rsid w:val="00705DB8"/>
    <w:rsid w:val="00713225"/>
    <w:rsid w:val="00722F87"/>
    <w:rsid w:val="0072512A"/>
    <w:rsid w:val="00731EE6"/>
    <w:rsid w:val="007355A6"/>
    <w:rsid w:val="00740560"/>
    <w:rsid w:val="00740A71"/>
    <w:rsid w:val="007477C5"/>
    <w:rsid w:val="00747938"/>
    <w:rsid w:val="00762AFB"/>
    <w:rsid w:val="00765BA8"/>
    <w:rsid w:val="00766007"/>
    <w:rsid w:val="00770A26"/>
    <w:rsid w:val="00774569"/>
    <w:rsid w:val="0078748C"/>
    <w:rsid w:val="007A1364"/>
    <w:rsid w:val="007A197C"/>
    <w:rsid w:val="007A24A0"/>
    <w:rsid w:val="007A4AB2"/>
    <w:rsid w:val="007A5E68"/>
    <w:rsid w:val="007B15C1"/>
    <w:rsid w:val="007B1BF7"/>
    <w:rsid w:val="007B29A6"/>
    <w:rsid w:val="007C23EB"/>
    <w:rsid w:val="007C404B"/>
    <w:rsid w:val="007C4BAE"/>
    <w:rsid w:val="007C5316"/>
    <w:rsid w:val="007C6F2E"/>
    <w:rsid w:val="007D1D3B"/>
    <w:rsid w:val="007D5960"/>
    <w:rsid w:val="007D7364"/>
    <w:rsid w:val="007E114E"/>
    <w:rsid w:val="007E487F"/>
    <w:rsid w:val="007E4B2D"/>
    <w:rsid w:val="007E587D"/>
    <w:rsid w:val="007E6757"/>
    <w:rsid w:val="007E71E9"/>
    <w:rsid w:val="007E7B6B"/>
    <w:rsid w:val="007F0A7C"/>
    <w:rsid w:val="007F1873"/>
    <w:rsid w:val="007F1D06"/>
    <w:rsid w:val="00800008"/>
    <w:rsid w:val="008010D7"/>
    <w:rsid w:val="00803443"/>
    <w:rsid w:val="0080680D"/>
    <w:rsid w:val="00812C05"/>
    <w:rsid w:val="0081322A"/>
    <w:rsid w:val="008157EC"/>
    <w:rsid w:val="008162AB"/>
    <w:rsid w:val="008404E2"/>
    <w:rsid w:val="00843E6F"/>
    <w:rsid w:val="00846E4A"/>
    <w:rsid w:val="00851AF5"/>
    <w:rsid w:val="00851FB5"/>
    <w:rsid w:val="00854DAA"/>
    <w:rsid w:val="008565BF"/>
    <w:rsid w:val="00856DCD"/>
    <w:rsid w:val="00857AB7"/>
    <w:rsid w:val="008647DE"/>
    <w:rsid w:val="00864B95"/>
    <w:rsid w:val="00876EAD"/>
    <w:rsid w:val="008800D3"/>
    <w:rsid w:val="0088179B"/>
    <w:rsid w:val="00886CDD"/>
    <w:rsid w:val="0089214D"/>
    <w:rsid w:val="00893C0D"/>
    <w:rsid w:val="008A20DA"/>
    <w:rsid w:val="008B54DF"/>
    <w:rsid w:val="008B5C8F"/>
    <w:rsid w:val="008B5F16"/>
    <w:rsid w:val="008B7722"/>
    <w:rsid w:val="008C0E5C"/>
    <w:rsid w:val="008C2AF4"/>
    <w:rsid w:val="008D348B"/>
    <w:rsid w:val="008E2BE4"/>
    <w:rsid w:val="008E6B4E"/>
    <w:rsid w:val="008E7970"/>
    <w:rsid w:val="008E7C34"/>
    <w:rsid w:val="008F0C36"/>
    <w:rsid w:val="008F377B"/>
    <w:rsid w:val="00911553"/>
    <w:rsid w:val="009126BF"/>
    <w:rsid w:val="009153C0"/>
    <w:rsid w:val="00915512"/>
    <w:rsid w:val="009233CC"/>
    <w:rsid w:val="009240D8"/>
    <w:rsid w:val="0092523D"/>
    <w:rsid w:val="009328A0"/>
    <w:rsid w:val="009360D7"/>
    <w:rsid w:val="009362C9"/>
    <w:rsid w:val="00942387"/>
    <w:rsid w:val="0094626F"/>
    <w:rsid w:val="009462D2"/>
    <w:rsid w:val="009462ED"/>
    <w:rsid w:val="009652D5"/>
    <w:rsid w:val="009677F8"/>
    <w:rsid w:val="00970148"/>
    <w:rsid w:val="00971146"/>
    <w:rsid w:val="00972A9A"/>
    <w:rsid w:val="00984CED"/>
    <w:rsid w:val="00991675"/>
    <w:rsid w:val="00992008"/>
    <w:rsid w:val="00996409"/>
    <w:rsid w:val="00996D00"/>
    <w:rsid w:val="009A03DC"/>
    <w:rsid w:val="009A6CF3"/>
    <w:rsid w:val="009B43BF"/>
    <w:rsid w:val="009B4A2D"/>
    <w:rsid w:val="009B5A07"/>
    <w:rsid w:val="009C1E0B"/>
    <w:rsid w:val="009C5324"/>
    <w:rsid w:val="009D2031"/>
    <w:rsid w:val="009D545A"/>
    <w:rsid w:val="009D6D44"/>
    <w:rsid w:val="009D7DBC"/>
    <w:rsid w:val="009E22FA"/>
    <w:rsid w:val="009E46A0"/>
    <w:rsid w:val="009E4744"/>
    <w:rsid w:val="009E4EC9"/>
    <w:rsid w:val="009E5D5A"/>
    <w:rsid w:val="009F2262"/>
    <w:rsid w:val="009F4ADA"/>
    <w:rsid w:val="009F6A0D"/>
    <w:rsid w:val="00A03892"/>
    <w:rsid w:val="00A07991"/>
    <w:rsid w:val="00A10CDE"/>
    <w:rsid w:val="00A11601"/>
    <w:rsid w:val="00A1680D"/>
    <w:rsid w:val="00A213C8"/>
    <w:rsid w:val="00A23AB0"/>
    <w:rsid w:val="00A266C5"/>
    <w:rsid w:val="00A309C6"/>
    <w:rsid w:val="00A32E4E"/>
    <w:rsid w:val="00A505DE"/>
    <w:rsid w:val="00A5327C"/>
    <w:rsid w:val="00A5721C"/>
    <w:rsid w:val="00A67913"/>
    <w:rsid w:val="00A67EE3"/>
    <w:rsid w:val="00A81A94"/>
    <w:rsid w:val="00A81FB8"/>
    <w:rsid w:val="00A85D0F"/>
    <w:rsid w:val="00A87181"/>
    <w:rsid w:val="00A9681E"/>
    <w:rsid w:val="00AA007A"/>
    <w:rsid w:val="00AA35B4"/>
    <w:rsid w:val="00AB073E"/>
    <w:rsid w:val="00AB1A13"/>
    <w:rsid w:val="00AB4E9F"/>
    <w:rsid w:val="00AC210F"/>
    <w:rsid w:val="00AC319E"/>
    <w:rsid w:val="00AD152A"/>
    <w:rsid w:val="00AD4AD0"/>
    <w:rsid w:val="00AD5986"/>
    <w:rsid w:val="00AE3A1E"/>
    <w:rsid w:val="00AE734F"/>
    <w:rsid w:val="00AF2656"/>
    <w:rsid w:val="00AF6110"/>
    <w:rsid w:val="00AF6AC6"/>
    <w:rsid w:val="00B00611"/>
    <w:rsid w:val="00B04354"/>
    <w:rsid w:val="00B1789D"/>
    <w:rsid w:val="00B249FC"/>
    <w:rsid w:val="00B317E7"/>
    <w:rsid w:val="00B33A57"/>
    <w:rsid w:val="00B34083"/>
    <w:rsid w:val="00B34848"/>
    <w:rsid w:val="00B37728"/>
    <w:rsid w:val="00B40128"/>
    <w:rsid w:val="00B41038"/>
    <w:rsid w:val="00B45C64"/>
    <w:rsid w:val="00B46A32"/>
    <w:rsid w:val="00B46B29"/>
    <w:rsid w:val="00B5265E"/>
    <w:rsid w:val="00B53547"/>
    <w:rsid w:val="00B53597"/>
    <w:rsid w:val="00B55D3E"/>
    <w:rsid w:val="00B601D9"/>
    <w:rsid w:val="00B62590"/>
    <w:rsid w:val="00B6729F"/>
    <w:rsid w:val="00B706E2"/>
    <w:rsid w:val="00B82627"/>
    <w:rsid w:val="00B8405F"/>
    <w:rsid w:val="00B90AA7"/>
    <w:rsid w:val="00B91233"/>
    <w:rsid w:val="00B94335"/>
    <w:rsid w:val="00BA38F6"/>
    <w:rsid w:val="00BA4164"/>
    <w:rsid w:val="00BA65E5"/>
    <w:rsid w:val="00BB09DF"/>
    <w:rsid w:val="00BB3126"/>
    <w:rsid w:val="00BB3FC5"/>
    <w:rsid w:val="00BC2B3B"/>
    <w:rsid w:val="00BC4579"/>
    <w:rsid w:val="00BC7532"/>
    <w:rsid w:val="00BD3D24"/>
    <w:rsid w:val="00BF5524"/>
    <w:rsid w:val="00C0018A"/>
    <w:rsid w:val="00C00905"/>
    <w:rsid w:val="00C035B5"/>
    <w:rsid w:val="00C11ABD"/>
    <w:rsid w:val="00C14FB2"/>
    <w:rsid w:val="00C176AC"/>
    <w:rsid w:val="00C21EF9"/>
    <w:rsid w:val="00C222F7"/>
    <w:rsid w:val="00C24839"/>
    <w:rsid w:val="00C27C23"/>
    <w:rsid w:val="00C41C84"/>
    <w:rsid w:val="00C51779"/>
    <w:rsid w:val="00C5496E"/>
    <w:rsid w:val="00C554D4"/>
    <w:rsid w:val="00C61B02"/>
    <w:rsid w:val="00C61F1C"/>
    <w:rsid w:val="00C719A2"/>
    <w:rsid w:val="00C72165"/>
    <w:rsid w:val="00C7618F"/>
    <w:rsid w:val="00C83041"/>
    <w:rsid w:val="00C87121"/>
    <w:rsid w:val="00C90B42"/>
    <w:rsid w:val="00C9475D"/>
    <w:rsid w:val="00C95056"/>
    <w:rsid w:val="00C951FD"/>
    <w:rsid w:val="00CA7F28"/>
    <w:rsid w:val="00CB0768"/>
    <w:rsid w:val="00CB131F"/>
    <w:rsid w:val="00CB4DCD"/>
    <w:rsid w:val="00CB4F2D"/>
    <w:rsid w:val="00CC1690"/>
    <w:rsid w:val="00CC665A"/>
    <w:rsid w:val="00CE04A0"/>
    <w:rsid w:val="00CE2784"/>
    <w:rsid w:val="00CE34DC"/>
    <w:rsid w:val="00D0066D"/>
    <w:rsid w:val="00D06146"/>
    <w:rsid w:val="00D07FB4"/>
    <w:rsid w:val="00D16091"/>
    <w:rsid w:val="00D21FA8"/>
    <w:rsid w:val="00D236B7"/>
    <w:rsid w:val="00D23E48"/>
    <w:rsid w:val="00D244BE"/>
    <w:rsid w:val="00D37F21"/>
    <w:rsid w:val="00D43096"/>
    <w:rsid w:val="00D45A67"/>
    <w:rsid w:val="00D46AB2"/>
    <w:rsid w:val="00D47815"/>
    <w:rsid w:val="00D53491"/>
    <w:rsid w:val="00D656EB"/>
    <w:rsid w:val="00D71CD1"/>
    <w:rsid w:val="00D771FD"/>
    <w:rsid w:val="00D7796D"/>
    <w:rsid w:val="00D81B18"/>
    <w:rsid w:val="00D83541"/>
    <w:rsid w:val="00D93A16"/>
    <w:rsid w:val="00D9496D"/>
    <w:rsid w:val="00DA0768"/>
    <w:rsid w:val="00DA161A"/>
    <w:rsid w:val="00DA5A94"/>
    <w:rsid w:val="00DB2355"/>
    <w:rsid w:val="00DB38D3"/>
    <w:rsid w:val="00DB3BB4"/>
    <w:rsid w:val="00DB6EAF"/>
    <w:rsid w:val="00DC0F02"/>
    <w:rsid w:val="00DC0F8D"/>
    <w:rsid w:val="00DC2284"/>
    <w:rsid w:val="00DC3CA4"/>
    <w:rsid w:val="00DD0643"/>
    <w:rsid w:val="00DD4DC3"/>
    <w:rsid w:val="00DD5E89"/>
    <w:rsid w:val="00DE1C0E"/>
    <w:rsid w:val="00DE4578"/>
    <w:rsid w:val="00DF04EE"/>
    <w:rsid w:val="00DF3E35"/>
    <w:rsid w:val="00DF53D2"/>
    <w:rsid w:val="00E03ED5"/>
    <w:rsid w:val="00E06243"/>
    <w:rsid w:val="00E07169"/>
    <w:rsid w:val="00E162A4"/>
    <w:rsid w:val="00E1688C"/>
    <w:rsid w:val="00E22665"/>
    <w:rsid w:val="00E30499"/>
    <w:rsid w:val="00E307CF"/>
    <w:rsid w:val="00E30B51"/>
    <w:rsid w:val="00E324BB"/>
    <w:rsid w:val="00E377E8"/>
    <w:rsid w:val="00E43464"/>
    <w:rsid w:val="00E47A69"/>
    <w:rsid w:val="00E50C89"/>
    <w:rsid w:val="00E571BB"/>
    <w:rsid w:val="00E74435"/>
    <w:rsid w:val="00E758AD"/>
    <w:rsid w:val="00E769C5"/>
    <w:rsid w:val="00E77D4E"/>
    <w:rsid w:val="00E82224"/>
    <w:rsid w:val="00E90DBF"/>
    <w:rsid w:val="00E91860"/>
    <w:rsid w:val="00E954B7"/>
    <w:rsid w:val="00E96FDB"/>
    <w:rsid w:val="00E970CE"/>
    <w:rsid w:val="00EA107B"/>
    <w:rsid w:val="00EA6754"/>
    <w:rsid w:val="00EB4A21"/>
    <w:rsid w:val="00EB6D31"/>
    <w:rsid w:val="00EC06CC"/>
    <w:rsid w:val="00EC16E0"/>
    <w:rsid w:val="00EC16F1"/>
    <w:rsid w:val="00ED05D6"/>
    <w:rsid w:val="00ED0C6F"/>
    <w:rsid w:val="00ED2FCC"/>
    <w:rsid w:val="00EE14CC"/>
    <w:rsid w:val="00EE5F75"/>
    <w:rsid w:val="00EE6EF4"/>
    <w:rsid w:val="00EF2722"/>
    <w:rsid w:val="00EF6805"/>
    <w:rsid w:val="00F00508"/>
    <w:rsid w:val="00F01E52"/>
    <w:rsid w:val="00F03815"/>
    <w:rsid w:val="00F042DC"/>
    <w:rsid w:val="00F04309"/>
    <w:rsid w:val="00F07099"/>
    <w:rsid w:val="00F105EA"/>
    <w:rsid w:val="00F11117"/>
    <w:rsid w:val="00F12541"/>
    <w:rsid w:val="00F136A5"/>
    <w:rsid w:val="00F22035"/>
    <w:rsid w:val="00F22D18"/>
    <w:rsid w:val="00F314F4"/>
    <w:rsid w:val="00F36C87"/>
    <w:rsid w:val="00F46927"/>
    <w:rsid w:val="00F55854"/>
    <w:rsid w:val="00F56813"/>
    <w:rsid w:val="00F70110"/>
    <w:rsid w:val="00F711DA"/>
    <w:rsid w:val="00F724FA"/>
    <w:rsid w:val="00F72C93"/>
    <w:rsid w:val="00F80A88"/>
    <w:rsid w:val="00F823F5"/>
    <w:rsid w:val="00F9170D"/>
    <w:rsid w:val="00F94368"/>
    <w:rsid w:val="00F9494C"/>
    <w:rsid w:val="00FA15C8"/>
    <w:rsid w:val="00FA2D86"/>
    <w:rsid w:val="00FA348C"/>
    <w:rsid w:val="00FB0AD8"/>
    <w:rsid w:val="00FB4DBB"/>
    <w:rsid w:val="00FC09C7"/>
    <w:rsid w:val="00FE2C17"/>
    <w:rsid w:val="00FE459E"/>
    <w:rsid w:val="00FF072F"/>
    <w:rsid w:val="00FF07EF"/>
    <w:rsid w:val="00FF11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66"/>
    <o:shapelayout v:ext="edit">
      <o:idmap v:ext="edit" data="1"/>
    </o:shapelayout>
  </w:shapeDefaults>
  <w:decimalSymbol w:val="."/>
  <w:listSeparator w:val=","/>
  <w15:docId w15:val="{BDBD46E2-CA2C-4EFE-9FDF-C63B33A6E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D10"/>
    <w:pPr>
      <w:tabs>
        <w:tab w:val="left" w:pos="567"/>
      </w:tabs>
      <w:spacing w:after="80" w:line="320" w:lineRule="atLeast"/>
    </w:pPr>
    <w:rPr>
      <w:sz w:val="24"/>
    </w:rPr>
  </w:style>
  <w:style w:type="paragraph" w:styleId="Heading1">
    <w:name w:val="heading 1"/>
    <w:basedOn w:val="Normal"/>
    <w:next w:val="Heading2"/>
    <w:link w:val="Heading1Char"/>
    <w:uiPriority w:val="9"/>
    <w:qFormat/>
    <w:rsid w:val="00622669"/>
    <w:pPr>
      <w:keepNext/>
      <w:widowControl w:val="0"/>
      <w:pBdr>
        <w:bottom w:val="single" w:sz="4" w:space="1" w:color="auto"/>
      </w:pBdr>
      <w:spacing w:before="800" w:after="0" w:line="240" w:lineRule="auto"/>
      <w:outlineLvl w:val="0"/>
    </w:pPr>
    <w:rPr>
      <w:rFonts w:eastAsiaTheme="majorEastAsia" w:cstheme="majorBidi"/>
      <w:b/>
      <w:bCs/>
      <w:caps/>
      <w:color w:val="2C8558"/>
      <w:sz w:val="40"/>
      <w:szCs w:val="28"/>
    </w:rPr>
  </w:style>
  <w:style w:type="paragraph" w:styleId="Heading2">
    <w:name w:val="heading 2"/>
    <w:basedOn w:val="Normal"/>
    <w:next w:val="Heading3"/>
    <w:link w:val="Heading2Char"/>
    <w:uiPriority w:val="9"/>
    <w:qFormat/>
    <w:rsid w:val="00622669"/>
    <w:pPr>
      <w:keepNext/>
      <w:widowControl w:val="0"/>
      <w:spacing w:before="100" w:after="720" w:line="240" w:lineRule="auto"/>
      <w:outlineLvl w:val="1"/>
    </w:pPr>
    <w:rPr>
      <w:rFonts w:eastAsiaTheme="majorEastAsia" w:cstheme="majorBidi"/>
      <w:b/>
      <w:bCs/>
      <w:caps/>
      <w:color w:val="2C8558"/>
      <w:sz w:val="40"/>
      <w:szCs w:val="26"/>
    </w:rPr>
  </w:style>
  <w:style w:type="paragraph" w:styleId="Heading3">
    <w:name w:val="heading 3"/>
    <w:basedOn w:val="Normal"/>
    <w:next w:val="Heading4"/>
    <w:link w:val="Heading3Char"/>
    <w:uiPriority w:val="9"/>
    <w:qFormat/>
    <w:rsid w:val="00622669"/>
    <w:pPr>
      <w:keepNext/>
      <w:widowControl w:val="0"/>
      <w:spacing w:before="600" w:after="200" w:line="240" w:lineRule="auto"/>
      <w:outlineLvl w:val="2"/>
    </w:pPr>
    <w:rPr>
      <w:rFonts w:eastAsiaTheme="majorEastAsia" w:cstheme="majorBidi"/>
      <w:b/>
      <w:bCs/>
      <w:caps/>
      <w:color w:val="2C8558"/>
      <w:sz w:val="32"/>
    </w:rPr>
  </w:style>
  <w:style w:type="paragraph" w:styleId="Heading4">
    <w:name w:val="heading 4"/>
    <w:basedOn w:val="Normal"/>
    <w:next w:val="Heading5"/>
    <w:link w:val="Heading4Char"/>
    <w:uiPriority w:val="9"/>
    <w:qFormat/>
    <w:rsid w:val="00622669"/>
    <w:pPr>
      <w:keepNext/>
      <w:widowControl w:val="0"/>
      <w:spacing w:before="300" w:after="40" w:line="240" w:lineRule="auto"/>
      <w:outlineLvl w:val="3"/>
    </w:pPr>
    <w:rPr>
      <w:rFonts w:eastAsiaTheme="majorEastAsia" w:cstheme="majorBidi"/>
      <w:b/>
      <w:bCs/>
      <w:iCs/>
      <w:color w:val="2C8558"/>
      <w:sz w:val="32"/>
    </w:rPr>
  </w:style>
  <w:style w:type="paragraph" w:styleId="Heading5">
    <w:name w:val="heading 5"/>
    <w:basedOn w:val="Normal"/>
    <w:next w:val="Heading6"/>
    <w:link w:val="Heading5Char"/>
    <w:uiPriority w:val="9"/>
    <w:qFormat/>
    <w:rsid w:val="00622669"/>
    <w:pPr>
      <w:keepNext/>
      <w:tabs>
        <w:tab w:val="clear" w:pos="567"/>
      </w:tabs>
      <w:spacing w:before="300" w:after="40" w:line="240" w:lineRule="auto"/>
      <w:outlineLvl w:val="4"/>
    </w:pPr>
    <w:rPr>
      <w:rFonts w:eastAsiaTheme="majorEastAsia" w:cstheme="majorBidi"/>
      <w:b/>
      <w:i/>
      <w:color w:val="2C8558"/>
      <w:sz w:val="28"/>
    </w:rPr>
  </w:style>
  <w:style w:type="paragraph" w:styleId="Heading6">
    <w:name w:val="heading 6"/>
    <w:basedOn w:val="Normal"/>
    <w:next w:val="Normal"/>
    <w:link w:val="Heading6Char"/>
    <w:uiPriority w:val="9"/>
    <w:qFormat/>
    <w:rsid w:val="00622669"/>
    <w:pPr>
      <w:keepNext/>
      <w:keepLines/>
      <w:spacing w:before="120"/>
      <w:outlineLvl w:val="5"/>
    </w:pPr>
    <w:rPr>
      <w:rFonts w:eastAsiaTheme="majorEastAsia" w:cstheme="majorBidi"/>
      <w:b/>
      <w:i/>
      <w:iCs/>
      <w:color w:val="2C8558"/>
      <w:sz w:val="28"/>
    </w:rPr>
  </w:style>
  <w:style w:type="paragraph" w:styleId="Heading7">
    <w:name w:val="heading 7"/>
    <w:basedOn w:val="Normal"/>
    <w:next w:val="Normal"/>
    <w:link w:val="Heading7Char"/>
    <w:uiPriority w:val="9"/>
    <w:rsid w:val="0062266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Do not use),(Sub-section Nos)"/>
    <w:basedOn w:val="Normal"/>
    <w:next w:val="Normal"/>
    <w:link w:val="Heading8Char"/>
    <w:rsid w:val="00765BA8"/>
    <w:pPr>
      <w:numPr>
        <w:ilvl w:val="7"/>
        <w:numId w:val="17"/>
      </w:numPr>
      <w:spacing w:before="240" w:after="60"/>
      <w:outlineLvl w:val="7"/>
    </w:pPr>
    <w:rPr>
      <w:rFonts w:ascii="Arial" w:hAnsi="Arial"/>
      <w:i/>
      <w:sz w:val="20"/>
      <w:szCs w:val="20"/>
    </w:rPr>
  </w:style>
  <w:style w:type="paragraph" w:styleId="Heading9">
    <w:name w:val="heading 9"/>
    <w:aliases w:val="Heading 9 (Do not use),(Subsubsection Nos)"/>
    <w:basedOn w:val="Normal"/>
    <w:next w:val="Normal"/>
    <w:link w:val="Heading9Char"/>
    <w:rsid w:val="00765BA8"/>
    <w:pPr>
      <w:numPr>
        <w:ilvl w:val="8"/>
        <w:numId w:val="17"/>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622669"/>
    <w:pPr>
      <w:spacing w:after="0" w:line="240" w:lineRule="auto"/>
    </w:pPr>
    <w:rPr>
      <w:rFonts w:ascii="Tahoma" w:hAnsi="Tahoma" w:cs="Tahoma"/>
      <w:sz w:val="16"/>
      <w:szCs w:val="16"/>
    </w:rPr>
  </w:style>
  <w:style w:type="paragraph" w:styleId="Caption">
    <w:name w:val="caption"/>
    <w:basedOn w:val="Normal"/>
    <w:next w:val="Normal"/>
    <w:link w:val="CaptionChar"/>
    <w:qFormat/>
    <w:rsid w:val="00622669"/>
    <w:pPr>
      <w:keepNext/>
      <w:keepLines/>
      <w:tabs>
        <w:tab w:val="clear" w:pos="567"/>
        <w:tab w:val="left" w:pos="1418"/>
      </w:tabs>
      <w:spacing w:before="240" w:after="120" w:line="240" w:lineRule="auto"/>
      <w:ind w:left="1418" w:hanging="1418"/>
    </w:pPr>
    <w:rPr>
      <w:b/>
      <w:bCs/>
      <w:szCs w:val="20"/>
    </w:rPr>
  </w:style>
  <w:style w:type="paragraph" w:customStyle="1" w:styleId="CGCBulletlist">
    <w:name w:val="CGC Bullet list"/>
    <w:aliases w:val="CGC List 1"/>
    <w:basedOn w:val="Normal"/>
    <w:link w:val="CGCBulletlistChar"/>
    <w:qFormat/>
    <w:rsid w:val="00DC0F02"/>
    <w:pPr>
      <w:numPr>
        <w:numId w:val="36"/>
      </w:numPr>
      <w:tabs>
        <w:tab w:val="clear" w:pos="567"/>
        <w:tab w:val="clear" w:pos="927"/>
        <w:tab w:val="left" w:pos="1134"/>
      </w:tabs>
      <w:spacing w:before="80" w:line="300" w:lineRule="atLeast"/>
      <w:ind w:left="1134" w:hanging="567"/>
    </w:pPr>
    <w:rPr>
      <w:szCs w:val="20"/>
    </w:rPr>
  </w:style>
  <w:style w:type="paragraph" w:customStyle="1" w:styleId="CGCNumeralList">
    <w:name w:val="CGC Numeral List"/>
    <w:aliases w:val="CGC List 3"/>
    <w:basedOn w:val="Normal"/>
    <w:qFormat/>
    <w:rsid w:val="00622669"/>
    <w:pPr>
      <w:numPr>
        <w:numId w:val="38"/>
      </w:numPr>
      <w:tabs>
        <w:tab w:val="clear" w:pos="567"/>
      </w:tabs>
      <w:spacing w:line="300" w:lineRule="atLeast"/>
    </w:pPr>
    <w:rPr>
      <w:szCs w:val="20"/>
    </w:rPr>
  </w:style>
  <w:style w:type="paragraph" w:customStyle="1" w:styleId="CGCNumberedPara">
    <w:name w:val="CGC Numbered Para"/>
    <w:aliases w:val="CGC Para No"/>
    <w:basedOn w:val="Normal"/>
    <w:link w:val="CGCParaNoChar"/>
    <w:qFormat/>
    <w:rsid w:val="00622669"/>
    <w:pPr>
      <w:numPr>
        <w:ilvl w:val="1"/>
        <w:numId w:val="37"/>
      </w:numPr>
      <w:spacing w:before="120"/>
    </w:pPr>
    <w:rPr>
      <w:szCs w:val="24"/>
    </w:rPr>
  </w:style>
  <w:style w:type="paragraph" w:customStyle="1" w:styleId="CGCQuotation">
    <w:name w:val="CGC Quotation"/>
    <w:basedOn w:val="Normal"/>
    <w:next w:val="CGCNumberedPara"/>
    <w:qFormat/>
    <w:rsid w:val="00622669"/>
    <w:pPr>
      <w:tabs>
        <w:tab w:val="clear" w:pos="567"/>
      </w:tabs>
      <w:spacing w:before="120" w:after="120" w:line="240" w:lineRule="auto"/>
      <w:ind w:left="1134" w:right="1134"/>
    </w:pPr>
    <w:rPr>
      <w:sz w:val="22"/>
      <w:szCs w:val="24"/>
    </w:rPr>
  </w:style>
  <w:style w:type="paragraph" w:customStyle="1" w:styleId="CGCSubbulletlist">
    <w:name w:val="CGC Sub bullet list"/>
    <w:aliases w:val="CGC List 2"/>
    <w:basedOn w:val="Normal"/>
    <w:link w:val="CGCSubbulletlistChar"/>
    <w:qFormat/>
    <w:rsid w:val="00C21EF9"/>
    <w:pPr>
      <w:numPr>
        <w:numId w:val="39"/>
      </w:numPr>
      <w:tabs>
        <w:tab w:val="clear" w:pos="567"/>
        <w:tab w:val="clear" w:pos="927"/>
        <w:tab w:val="left" w:pos="1701"/>
      </w:tabs>
      <w:spacing w:line="300" w:lineRule="atLeast"/>
      <w:ind w:left="1701" w:hanging="567"/>
    </w:pPr>
    <w:rPr>
      <w:szCs w:val="20"/>
    </w:rPr>
  </w:style>
  <w:style w:type="paragraph" w:customStyle="1" w:styleId="CGCQuotationBullet">
    <w:name w:val="CGC Quotation Bullet"/>
    <w:basedOn w:val="CGCSubbulletlist"/>
    <w:rsid w:val="00622669"/>
    <w:pPr>
      <w:numPr>
        <w:numId w:val="40"/>
      </w:numPr>
      <w:ind w:right="1134"/>
    </w:pPr>
    <w:rPr>
      <w:sz w:val="22"/>
    </w:rPr>
  </w:style>
  <w:style w:type="paragraph" w:customStyle="1" w:styleId="CGCTableFootnote">
    <w:name w:val="CGC Table Footnote"/>
    <w:basedOn w:val="CGCNumberedPara"/>
    <w:next w:val="NoSpacing"/>
    <w:link w:val="CGCTableFootnoteChar"/>
    <w:qFormat/>
    <w:rsid w:val="00622669"/>
    <w:pPr>
      <w:numPr>
        <w:ilvl w:val="0"/>
        <w:numId w:val="0"/>
      </w:numPr>
      <w:tabs>
        <w:tab w:val="left" w:pos="851"/>
      </w:tabs>
      <w:spacing w:before="0" w:after="0" w:line="240" w:lineRule="auto"/>
      <w:ind w:left="851" w:hanging="851"/>
    </w:pPr>
    <w:rPr>
      <w:sz w:val="20"/>
    </w:rPr>
  </w:style>
  <w:style w:type="paragraph" w:customStyle="1" w:styleId="CGCTableHeading">
    <w:name w:val="CGC Table Heading"/>
    <w:basedOn w:val="Normal"/>
    <w:next w:val="Normal"/>
    <w:link w:val="CGCTableHeadingChar"/>
    <w:qFormat/>
    <w:rsid w:val="00622669"/>
    <w:pPr>
      <w:keepNext/>
      <w:keepLines/>
      <w:tabs>
        <w:tab w:val="clear" w:pos="567"/>
        <w:tab w:val="left" w:pos="1420"/>
      </w:tabs>
      <w:spacing w:before="240" w:after="120" w:line="240" w:lineRule="auto"/>
      <w:ind w:left="1418" w:hanging="1418"/>
    </w:pPr>
    <w:rPr>
      <w:b/>
      <w:szCs w:val="20"/>
    </w:rPr>
  </w:style>
  <w:style w:type="paragraph" w:customStyle="1" w:styleId="TableRowNormal">
    <w:name w:val="TableRowNormal"/>
    <w:basedOn w:val="Normal"/>
    <w:link w:val="TableRowNormalChar"/>
    <w:rsid w:val="00765BA8"/>
    <w:pPr>
      <w:keepNext/>
      <w:keepLines/>
      <w:tabs>
        <w:tab w:val="left" w:pos="475"/>
        <w:tab w:val="left" w:pos="1440"/>
        <w:tab w:val="left" w:pos="2160"/>
        <w:tab w:val="left" w:pos="2880"/>
      </w:tabs>
      <w:spacing w:before="60" w:after="60" w:line="200" w:lineRule="atLeast"/>
      <w:ind w:left="144" w:hanging="144"/>
      <w:jc w:val="right"/>
    </w:pPr>
    <w:rPr>
      <w:sz w:val="20"/>
      <w:szCs w:val="20"/>
    </w:rPr>
  </w:style>
  <w:style w:type="paragraph" w:customStyle="1" w:styleId="CGCTableStub">
    <w:name w:val="CGC Table Stub"/>
    <w:basedOn w:val="Normal"/>
    <w:link w:val="CGCTableStubChar"/>
    <w:rsid w:val="00622669"/>
    <w:pPr>
      <w:keepNext/>
      <w:keepLines/>
      <w:tabs>
        <w:tab w:val="left" w:pos="284"/>
      </w:tabs>
      <w:spacing w:before="60" w:after="60" w:line="200" w:lineRule="atLeast"/>
    </w:pPr>
    <w:rPr>
      <w:sz w:val="20"/>
      <w:szCs w:val="20"/>
    </w:rPr>
  </w:style>
  <w:style w:type="character" w:styleId="CommentReference">
    <w:name w:val="annotation reference"/>
    <w:basedOn w:val="DefaultParagraphFont"/>
    <w:rsid w:val="00765BA8"/>
    <w:rPr>
      <w:sz w:val="16"/>
      <w:szCs w:val="16"/>
    </w:rPr>
  </w:style>
  <w:style w:type="paragraph" w:styleId="CommentText">
    <w:name w:val="annotation text"/>
    <w:basedOn w:val="Normal"/>
    <w:link w:val="CommentTextChar"/>
    <w:rsid w:val="00765BA8"/>
    <w:rPr>
      <w:sz w:val="20"/>
      <w:szCs w:val="20"/>
    </w:rPr>
  </w:style>
  <w:style w:type="paragraph" w:styleId="CommentSubject">
    <w:name w:val="annotation subject"/>
    <w:basedOn w:val="CommentText"/>
    <w:next w:val="CommentText"/>
    <w:link w:val="CommentSubjectChar"/>
    <w:rsid w:val="00765BA8"/>
    <w:rPr>
      <w:b/>
      <w:bCs/>
    </w:rPr>
  </w:style>
  <w:style w:type="paragraph" w:styleId="DocumentMap">
    <w:name w:val="Document Map"/>
    <w:basedOn w:val="Normal"/>
    <w:link w:val="DocumentMapChar"/>
    <w:rsid w:val="00765BA8"/>
    <w:pPr>
      <w:shd w:val="clear" w:color="auto" w:fill="000080"/>
    </w:pPr>
    <w:rPr>
      <w:rFonts w:ascii="Tahoma" w:hAnsi="Tahoma" w:cs="Tahoma"/>
      <w:sz w:val="20"/>
      <w:szCs w:val="20"/>
    </w:rPr>
  </w:style>
  <w:style w:type="character" w:styleId="EndnoteReference">
    <w:name w:val="endnote reference"/>
    <w:basedOn w:val="DefaultParagraphFont"/>
    <w:rsid w:val="00765BA8"/>
    <w:rPr>
      <w:vertAlign w:val="superscript"/>
    </w:rPr>
  </w:style>
  <w:style w:type="paragraph" w:styleId="EndnoteText">
    <w:name w:val="endnote text"/>
    <w:basedOn w:val="Normal"/>
    <w:link w:val="EndnoteTextChar"/>
    <w:rsid w:val="00765BA8"/>
    <w:rPr>
      <w:sz w:val="20"/>
      <w:szCs w:val="20"/>
    </w:rPr>
  </w:style>
  <w:style w:type="paragraph" w:styleId="Footer">
    <w:name w:val="footer"/>
    <w:basedOn w:val="Normal"/>
    <w:link w:val="FooterChar"/>
    <w:uiPriority w:val="99"/>
    <w:unhideWhenUsed/>
    <w:rsid w:val="00622669"/>
    <w:pPr>
      <w:tabs>
        <w:tab w:val="clear" w:pos="567"/>
        <w:tab w:val="center" w:pos="4513"/>
        <w:tab w:val="right" w:pos="9026"/>
      </w:tabs>
      <w:spacing w:after="0" w:line="240" w:lineRule="auto"/>
    </w:pPr>
  </w:style>
  <w:style w:type="character" w:styleId="FootnoteReference">
    <w:name w:val="footnote reference"/>
    <w:basedOn w:val="DefaultParagraphFont"/>
    <w:qFormat/>
    <w:rsid w:val="00765BA8"/>
    <w:rPr>
      <w:vertAlign w:val="superscript"/>
    </w:rPr>
  </w:style>
  <w:style w:type="paragraph" w:styleId="FootnoteText">
    <w:name w:val="footnote text"/>
    <w:basedOn w:val="Normal"/>
    <w:link w:val="FootnoteTextChar"/>
    <w:qFormat/>
    <w:rsid w:val="00622669"/>
    <w:pPr>
      <w:spacing w:after="0" w:line="240" w:lineRule="auto"/>
      <w:ind w:left="567" w:hanging="567"/>
    </w:pPr>
    <w:rPr>
      <w:sz w:val="20"/>
      <w:szCs w:val="20"/>
    </w:rPr>
  </w:style>
  <w:style w:type="paragraph" w:styleId="Header">
    <w:name w:val="header"/>
    <w:basedOn w:val="Normal"/>
    <w:link w:val="HeaderChar"/>
    <w:uiPriority w:val="99"/>
    <w:unhideWhenUsed/>
    <w:rsid w:val="00622669"/>
    <w:pPr>
      <w:tabs>
        <w:tab w:val="clear" w:pos="567"/>
        <w:tab w:val="center" w:pos="4513"/>
        <w:tab w:val="right" w:pos="9026"/>
      </w:tabs>
      <w:spacing w:after="0" w:line="240" w:lineRule="auto"/>
    </w:pPr>
  </w:style>
  <w:style w:type="character" w:styleId="Hyperlink">
    <w:name w:val="Hyperlink"/>
    <w:basedOn w:val="DefaultParagraphFont"/>
    <w:uiPriority w:val="99"/>
    <w:rsid w:val="00765BA8"/>
    <w:rPr>
      <w:color w:val="0000FF"/>
      <w:u w:val="single"/>
    </w:rPr>
  </w:style>
  <w:style w:type="paragraph" w:styleId="Index1">
    <w:name w:val="index 1"/>
    <w:basedOn w:val="Normal"/>
    <w:rsid w:val="00212948"/>
  </w:style>
  <w:style w:type="paragraph" w:styleId="Index2">
    <w:name w:val="index 2"/>
    <w:basedOn w:val="Normal"/>
    <w:next w:val="Index1"/>
    <w:rsid w:val="00212948"/>
    <w:pPr>
      <w:ind w:left="284"/>
    </w:pPr>
  </w:style>
  <w:style w:type="paragraph" w:styleId="Index3">
    <w:name w:val="index 3"/>
    <w:basedOn w:val="Normal"/>
    <w:next w:val="Index1"/>
    <w:rsid w:val="00212948"/>
    <w:pPr>
      <w:ind w:left="567"/>
    </w:pPr>
  </w:style>
  <w:style w:type="paragraph" w:styleId="Index4">
    <w:name w:val="index 4"/>
    <w:basedOn w:val="Normal"/>
    <w:next w:val="Normal"/>
    <w:rsid w:val="00765BA8"/>
    <w:pPr>
      <w:ind w:left="880" w:hanging="220"/>
    </w:pPr>
  </w:style>
  <w:style w:type="paragraph" w:styleId="Index5">
    <w:name w:val="index 5"/>
    <w:basedOn w:val="Normal"/>
    <w:next w:val="Normal"/>
    <w:rsid w:val="00765BA8"/>
    <w:pPr>
      <w:ind w:left="1100" w:hanging="220"/>
    </w:pPr>
  </w:style>
  <w:style w:type="paragraph" w:styleId="Index6">
    <w:name w:val="index 6"/>
    <w:basedOn w:val="Normal"/>
    <w:next w:val="Normal"/>
    <w:rsid w:val="00765BA8"/>
    <w:pPr>
      <w:ind w:left="1320" w:hanging="220"/>
    </w:pPr>
  </w:style>
  <w:style w:type="paragraph" w:styleId="Index7">
    <w:name w:val="index 7"/>
    <w:basedOn w:val="Normal"/>
    <w:next w:val="Normal"/>
    <w:rsid w:val="00765BA8"/>
    <w:pPr>
      <w:ind w:left="1540" w:hanging="220"/>
    </w:pPr>
  </w:style>
  <w:style w:type="paragraph" w:styleId="Index8">
    <w:name w:val="index 8"/>
    <w:basedOn w:val="Normal"/>
    <w:next w:val="Normal"/>
    <w:rsid w:val="00765BA8"/>
    <w:pPr>
      <w:ind w:left="1760" w:hanging="220"/>
    </w:pPr>
  </w:style>
  <w:style w:type="paragraph" w:styleId="Index9">
    <w:name w:val="index 9"/>
    <w:basedOn w:val="Normal"/>
    <w:next w:val="Normal"/>
    <w:rsid w:val="00765BA8"/>
    <w:pPr>
      <w:ind w:left="1980" w:hanging="220"/>
    </w:pPr>
  </w:style>
  <w:style w:type="paragraph" w:styleId="IndexHeading">
    <w:name w:val="index heading"/>
    <w:basedOn w:val="Normal"/>
    <w:next w:val="Index1"/>
    <w:rsid w:val="00765BA8"/>
  </w:style>
  <w:style w:type="paragraph" w:styleId="List">
    <w:name w:val="List"/>
    <w:basedOn w:val="Normal"/>
    <w:rsid w:val="003A27BB"/>
    <w:pPr>
      <w:spacing w:line="300" w:lineRule="atLeast"/>
    </w:pPr>
  </w:style>
  <w:style w:type="paragraph" w:styleId="MacroText">
    <w:name w:val="macro"/>
    <w:link w:val="MacroTextChar"/>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765BA8"/>
  </w:style>
  <w:style w:type="paragraph" w:customStyle="1" w:styleId="Single">
    <w:name w:val="Single"/>
    <w:basedOn w:val="Normal"/>
    <w:next w:val="CGCNumberedPara"/>
    <w:link w:val="SingleChar"/>
    <w:rsid w:val="00765BA8"/>
    <w:pPr>
      <w:spacing w:after="0" w:line="240" w:lineRule="auto"/>
    </w:pPr>
  </w:style>
  <w:style w:type="table" w:styleId="TableGrid">
    <w:name w:val="Table Grid"/>
    <w:basedOn w:val="TableNormal"/>
    <w:uiPriority w:val="5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765BA8"/>
    <w:pPr>
      <w:tabs>
        <w:tab w:val="clear" w:pos="567"/>
      </w:tabs>
      <w:ind w:left="220" w:hanging="220"/>
    </w:pPr>
  </w:style>
  <w:style w:type="paragraph" w:styleId="TableofFigures">
    <w:name w:val="table of figures"/>
    <w:basedOn w:val="Normal"/>
    <w:next w:val="Normal"/>
    <w:rsid w:val="00765BA8"/>
    <w:pPr>
      <w:tabs>
        <w:tab w:val="clear" w:pos="567"/>
      </w:tabs>
    </w:pPr>
  </w:style>
  <w:style w:type="paragraph" w:customStyle="1" w:styleId="TableColHeadings">
    <w:name w:val="TableColHeadings"/>
    <w:basedOn w:val="Normal"/>
    <w:rsid w:val="00765BA8"/>
    <w:pPr>
      <w:keepNext/>
      <w:keepLines/>
      <w:tabs>
        <w:tab w:val="left" w:pos="475"/>
        <w:tab w:val="left" w:pos="1440"/>
        <w:tab w:val="left" w:pos="2160"/>
        <w:tab w:val="left" w:pos="2880"/>
      </w:tabs>
      <w:spacing w:before="60" w:after="60" w:line="240" w:lineRule="auto"/>
      <w:jc w:val="right"/>
    </w:pPr>
    <w:rPr>
      <w:sz w:val="20"/>
      <w:szCs w:val="20"/>
    </w:rPr>
  </w:style>
  <w:style w:type="paragraph" w:customStyle="1" w:styleId="TableRowUnits">
    <w:name w:val="TableRowUnits"/>
    <w:basedOn w:val="Normal"/>
    <w:rsid w:val="00765BA8"/>
    <w:pPr>
      <w:keepNext/>
      <w:keepLines/>
      <w:tabs>
        <w:tab w:val="left" w:pos="475"/>
        <w:tab w:val="left" w:pos="1440"/>
        <w:tab w:val="left" w:pos="2160"/>
        <w:tab w:val="left" w:pos="2880"/>
      </w:tabs>
      <w:spacing w:after="0" w:line="240" w:lineRule="auto"/>
      <w:jc w:val="right"/>
    </w:pPr>
    <w:rPr>
      <w:sz w:val="20"/>
      <w:szCs w:val="20"/>
    </w:rPr>
  </w:style>
  <w:style w:type="paragraph" w:styleId="TOAHeading">
    <w:name w:val="toa heading"/>
    <w:basedOn w:val="Normal"/>
    <w:next w:val="Normal"/>
    <w:rsid w:val="003A27BB"/>
    <w:pPr>
      <w:spacing w:before="120"/>
    </w:pPr>
    <w:rPr>
      <w:rFonts w:cs="Arial"/>
      <w:b/>
      <w:bCs/>
    </w:rPr>
  </w:style>
  <w:style w:type="paragraph" w:styleId="TOC1">
    <w:name w:val="toc 1"/>
    <w:basedOn w:val="Normal"/>
    <w:next w:val="Normal"/>
    <w:uiPriority w:val="39"/>
    <w:qFormat/>
    <w:rsid w:val="00996409"/>
    <w:pPr>
      <w:tabs>
        <w:tab w:val="clear" w:pos="567"/>
        <w:tab w:val="right" w:pos="8942"/>
      </w:tabs>
      <w:spacing w:before="120" w:after="120"/>
    </w:pPr>
    <w:rPr>
      <w:b/>
      <w:bCs/>
      <w:caps/>
      <w:szCs w:val="20"/>
    </w:rPr>
  </w:style>
  <w:style w:type="paragraph" w:styleId="TOC2">
    <w:name w:val="toc 2"/>
    <w:basedOn w:val="Normal"/>
    <w:next w:val="Normal"/>
    <w:uiPriority w:val="39"/>
    <w:qFormat/>
    <w:rsid w:val="00DE1C0E"/>
    <w:pPr>
      <w:tabs>
        <w:tab w:val="clear" w:pos="567"/>
        <w:tab w:val="right" w:pos="8942"/>
      </w:tabs>
      <w:spacing w:after="0"/>
      <w:ind w:left="284"/>
    </w:pPr>
    <w:rPr>
      <w:szCs w:val="20"/>
    </w:rPr>
  </w:style>
  <w:style w:type="paragraph" w:styleId="TOC3">
    <w:name w:val="toc 3"/>
    <w:basedOn w:val="Normal"/>
    <w:next w:val="Normal"/>
    <w:uiPriority w:val="39"/>
    <w:qFormat/>
    <w:rsid w:val="00DE1C0E"/>
    <w:pPr>
      <w:tabs>
        <w:tab w:val="clear" w:pos="567"/>
        <w:tab w:val="right" w:pos="8942"/>
      </w:tabs>
      <w:spacing w:after="0"/>
      <w:ind w:left="567"/>
    </w:pPr>
    <w:rPr>
      <w:iCs/>
    </w:rPr>
  </w:style>
  <w:style w:type="paragraph" w:styleId="TOC4">
    <w:name w:val="toc 4"/>
    <w:basedOn w:val="Normal"/>
    <w:next w:val="Normal"/>
    <w:uiPriority w:val="39"/>
    <w:rsid w:val="00996409"/>
    <w:pPr>
      <w:tabs>
        <w:tab w:val="clear" w:pos="567"/>
        <w:tab w:val="right" w:pos="8942"/>
      </w:tabs>
      <w:spacing w:after="0"/>
      <w:ind w:left="1134"/>
    </w:pPr>
  </w:style>
  <w:style w:type="paragraph" w:styleId="TOC5">
    <w:name w:val="toc 5"/>
    <w:basedOn w:val="Normal"/>
    <w:next w:val="Normal"/>
    <w:uiPriority w:val="39"/>
    <w:rsid w:val="00765BA8"/>
    <w:pPr>
      <w:tabs>
        <w:tab w:val="clear" w:pos="567"/>
      </w:tabs>
      <w:spacing w:after="0"/>
      <w:ind w:left="1701"/>
    </w:pPr>
    <w:rPr>
      <w:sz w:val="18"/>
      <w:szCs w:val="18"/>
    </w:rPr>
  </w:style>
  <w:style w:type="paragraph" w:styleId="TOC6">
    <w:name w:val="toc 6"/>
    <w:basedOn w:val="Normal"/>
    <w:next w:val="Normal"/>
    <w:rsid w:val="00765BA8"/>
    <w:pPr>
      <w:tabs>
        <w:tab w:val="clear" w:pos="567"/>
      </w:tabs>
      <w:spacing w:after="0"/>
      <w:ind w:left="1100"/>
    </w:pPr>
    <w:rPr>
      <w:sz w:val="18"/>
      <w:szCs w:val="18"/>
    </w:rPr>
  </w:style>
  <w:style w:type="paragraph" w:styleId="TOC7">
    <w:name w:val="toc 7"/>
    <w:basedOn w:val="Normal"/>
    <w:next w:val="Normal"/>
    <w:rsid w:val="00765BA8"/>
    <w:pPr>
      <w:tabs>
        <w:tab w:val="clear" w:pos="567"/>
      </w:tabs>
      <w:spacing w:after="0"/>
      <w:ind w:left="1320"/>
    </w:pPr>
    <w:rPr>
      <w:sz w:val="18"/>
      <w:szCs w:val="18"/>
    </w:rPr>
  </w:style>
  <w:style w:type="paragraph" w:styleId="TOC8">
    <w:name w:val="toc 8"/>
    <w:basedOn w:val="Normal"/>
    <w:next w:val="Normal"/>
    <w:rsid w:val="00765BA8"/>
    <w:pPr>
      <w:tabs>
        <w:tab w:val="clear" w:pos="567"/>
      </w:tabs>
      <w:spacing w:after="0"/>
      <w:ind w:left="1540"/>
    </w:pPr>
    <w:rPr>
      <w:sz w:val="18"/>
      <w:szCs w:val="18"/>
    </w:rPr>
  </w:style>
  <w:style w:type="paragraph" w:styleId="TOC9">
    <w:name w:val="toc 9"/>
    <w:basedOn w:val="Normal"/>
    <w:next w:val="Normal"/>
    <w:rsid w:val="00765BA8"/>
    <w:pPr>
      <w:tabs>
        <w:tab w:val="clear" w:pos="567"/>
      </w:tabs>
      <w:spacing w:after="0"/>
      <w:ind w:left="1760"/>
    </w:pPr>
    <w:rPr>
      <w:sz w:val="18"/>
      <w:szCs w:val="18"/>
    </w:rPr>
  </w:style>
  <w:style w:type="character" w:customStyle="1" w:styleId="Heading1Char">
    <w:name w:val="Heading 1 Char"/>
    <w:basedOn w:val="DefaultParagraphFont"/>
    <w:link w:val="Heading1"/>
    <w:uiPriority w:val="9"/>
    <w:rsid w:val="00622669"/>
    <w:rPr>
      <w:rFonts w:eastAsiaTheme="majorEastAsia" w:cstheme="majorBidi"/>
      <w:b/>
      <w:bCs/>
      <w:caps/>
      <w:color w:val="2C8558"/>
      <w:sz w:val="40"/>
      <w:szCs w:val="28"/>
    </w:rPr>
  </w:style>
  <w:style w:type="character" w:customStyle="1" w:styleId="Heading2Char">
    <w:name w:val="Heading 2 Char"/>
    <w:basedOn w:val="DefaultParagraphFont"/>
    <w:link w:val="Heading2"/>
    <w:uiPriority w:val="9"/>
    <w:rsid w:val="00622669"/>
    <w:rPr>
      <w:rFonts w:eastAsiaTheme="majorEastAsia" w:cstheme="majorBidi"/>
      <w:b/>
      <w:bCs/>
      <w:caps/>
      <w:color w:val="2C8558"/>
      <w:sz w:val="40"/>
      <w:szCs w:val="26"/>
    </w:rPr>
  </w:style>
  <w:style w:type="character" w:customStyle="1" w:styleId="Heading3Char">
    <w:name w:val="Heading 3 Char"/>
    <w:basedOn w:val="DefaultParagraphFont"/>
    <w:link w:val="Heading3"/>
    <w:uiPriority w:val="9"/>
    <w:rsid w:val="00622669"/>
    <w:rPr>
      <w:rFonts w:eastAsiaTheme="majorEastAsia" w:cstheme="majorBidi"/>
      <w:b/>
      <w:bCs/>
      <w:caps/>
      <w:color w:val="2C8558"/>
      <w:sz w:val="32"/>
    </w:rPr>
  </w:style>
  <w:style w:type="character" w:customStyle="1" w:styleId="Heading4Char">
    <w:name w:val="Heading 4 Char"/>
    <w:basedOn w:val="DefaultParagraphFont"/>
    <w:link w:val="Heading4"/>
    <w:uiPriority w:val="9"/>
    <w:rsid w:val="00622669"/>
    <w:rPr>
      <w:rFonts w:eastAsiaTheme="majorEastAsia" w:cstheme="majorBidi"/>
      <w:b/>
      <w:bCs/>
      <w:iCs/>
      <w:color w:val="2C8558"/>
      <w:sz w:val="32"/>
    </w:rPr>
  </w:style>
  <w:style w:type="character" w:customStyle="1" w:styleId="Heading5Char">
    <w:name w:val="Heading 5 Char"/>
    <w:basedOn w:val="DefaultParagraphFont"/>
    <w:link w:val="Heading5"/>
    <w:uiPriority w:val="9"/>
    <w:rsid w:val="00622669"/>
    <w:rPr>
      <w:rFonts w:eastAsiaTheme="majorEastAsia" w:cstheme="majorBidi"/>
      <w:b/>
      <w:i/>
      <w:color w:val="2C8558"/>
      <w:sz w:val="28"/>
    </w:rPr>
  </w:style>
  <w:style w:type="paragraph" w:styleId="NoSpacing">
    <w:name w:val="No Spacing"/>
    <w:link w:val="NoSpacingChar"/>
    <w:uiPriority w:val="1"/>
    <w:qFormat/>
    <w:rsid w:val="00622669"/>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F9170D"/>
    <w:rPr>
      <w:sz w:val="24"/>
    </w:rPr>
  </w:style>
  <w:style w:type="paragraph" w:styleId="ListParagraph">
    <w:name w:val="List Paragraph"/>
    <w:basedOn w:val="Normal"/>
    <w:uiPriority w:val="34"/>
    <w:qFormat/>
    <w:rsid w:val="00622669"/>
    <w:pPr>
      <w:tabs>
        <w:tab w:val="clear" w:pos="567"/>
      </w:tabs>
      <w:spacing w:line="300" w:lineRule="atLeast"/>
      <w:ind w:left="1134"/>
    </w:pPr>
    <w:rPr>
      <w:szCs w:val="24"/>
    </w:rPr>
  </w:style>
  <w:style w:type="paragraph" w:styleId="TOCHeading">
    <w:name w:val="TOC Heading"/>
    <w:basedOn w:val="Heading1"/>
    <w:next w:val="Normal"/>
    <w:uiPriority w:val="39"/>
    <w:unhideWhenUsed/>
    <w:qFormat/>
    <w:rsid w:val="00F9170D"/>
    <w:pPr>
      <w:keepLines/>
      <w:pBdr>
        <w:bottom w:val="none" w:sz="0" w:space="0" w:color="auto"/>
      </w:pBdr>
      <w:spacing w:before="480" w:line="320" w:lineRule="atLeast"/>
      <w:outlineLvl w:val="9"/>
    </w:pPr>
    <w:rPr>
      <w:rFonts w:asciiTheme="majorHAnsi" w:hAnsiTheme="majorHAnsi"/>
      <w:caps w:val="0"/>
      <w:color w:val="365F91" w:themeColor="accent1" w:themeShade="BF"/>
      <w:sz w:val="28"/>
    </w:rPr>
  </w:style>
  <w:style w:type="character" w:customStyle="1" w:styleId="FooterChar">
    <w:name w:val="Footer Char"/>
    <w:basedOn w:val="DefaultParagraphFont"/>
    <w:link w:val="Footer"/>
    <w:uiPriority w:val="99"/>
    <w:rsid w:val="00622669"/>
    <w:rPr>
      <w:sz w:val="24"/>
    </w:rPr>
  </w:style>
  <w:style w:type="character" w:customStyle="1" w:styleId="HeaderChar">
    <w:name w:val="Header Char"/>
    <w:basedOn w:val="DefaultParagraphFont"/>
    <w:link w:val="Header"/>
    <w:uiPriority w:val="99"/>
    <w:rsid w:val="00622669"/>
    <w:rPr>
      <w:sz w:val="24"/>
    </w:rPr>
  </w:style>
  <w:style w:type="paragraph" w:customStyle="1" w:styleId="CGCDataCaption">
    <w:name w:val="CGC Data Caption"/>
    <w:basedOn w:val="CGCTableFootnote"/>
    <w:next w:val="NoSpacing"/>
    <w:link w:val="DataCaptionChar"/>
    <w:qFormat/>
    <w:rsid w:val="00622669"/>
  </w:style>
  <w:style w:type="character" w:customStyle="1" w:styleId="CaptionChar">
    <w:name w:val="Caption Char"/>
    <w:basedOn w:val="DefaultParagraphFont"/>
    <w:link w:val="Caption"/>
    <w:rsid w:val="00622669"/>
    <w:rPr>
      <w:b/>
      <w:bCs/>
      <w:sz w:val="24"/>
      <w:szCs w:val="20"/>
    </w:rPr>
  </w:style>
  <w:style w:type="character" w:customStyle="1" w:styleId="DataCaptionChar">
    <w:name w:val="Data Caption Char"/>
    <w:basedOn w:val="DefaultParagraphFont"/>
    <w:link w:val="CGCDataCaption"/>
    <w:rsid w:val="00622669"/>
    <w:rPr>
      <w:sz w:val="20"/>
      <w:szCs w:val="24"/>
    </w:rPr>
  </w:style>
  <w:style w:type="character" w:customStyle="1" w:styleId="BalloonTextChar">
    <w:name w:val="Balloon Text Char"/>
    <w:basedOn w:val="DefaultParagraphFont"/>
    <w:link w:val="BalloonText"/>
    <w:uiPriority w:val="99"/>
    <w:rsid w:val="00622669"/>
    <w:rPr>
      <w:rFonts w:ascii="Tahoma" w:hAnsi="Tahoma" w:cs="Tahoma"/>
      <w:sz w:val="16"/>
      <w:szCs w:val="16"/>
    </w:rPr>
  </w:style>
  <w:style w:type="character" w:customStyle="1" w:styleId="FootnoteTextChar">
    <w:name w:val="Footnote Text Char"/>
    <w:basedOn w:val="DefaultParagraphFont"/>
    <w:link w:val="FootnoteText"/>
    <w:rsid w:val="00622669"/>
    <w:rPr>
      <w:sz w:val="20"/>
      <w:szCs w:val="20"/>
    </w:rPr>
  </w:style>
  <w:style w:type="character" w:customStyle="1" w:styleId="Heading6Char">
    <w:name w:val="Heading 6 Char"/>
    <w:basedOn w:val="DefaultParagraphFont"/>
    <w:link w:val="Heading6"/>
    <w:uiPriority w:val="9"/>
    <w:rsid w:val="00622669"/>
    <w:rPr>
      <w:rFonts w:eastAsiaTheme="majorEastAsia" w:cstheme="majorBidi"/>
      <w:b/>
      <w:i/>
      <w:iCs/>
      <w:color w:val="2C8558"/>
      <w:sz w:val="28"/>
    </w:rPr>
  </w:style>
  <w:style w:type="character" w:customStyle="1" w:styleId="Heading7Char">
    <w:name w:val="Heading 7 Char"/>
    <w:basedOn w:val="DefaultParagraphFont"/>
    <w:link w:val="Heading7"/>
    <w:uiPriority w:val="9"/>
    <w:rsid w:val="00622669"/>
    <w:rPr>
      <w:rFonts w:asciiTheme="majorHAnsi" w:eastAsiaTheme="majorEastAsia" w:hAnsiTheme="majorHAnsi" w:cstheme="majorBidi"/>
      <w:i/>
      <w:iCs/>
      <w:color w:val="404040" w:themeColor="text1" w:themeTint="BF"/>
      <w:sz w:val="24"/>
    </w:rPr>
  </w:style>
  <w:style w:type="paragraph" w:customStyle="1" w:styleId="H3notoc">
    <w:name w:val="H3 no toc"/>
    <w:basedOn w:val="NoSpacing"/>
    <w:link w:val="H3notocChar"/>
    <w:qFormat/>
    <w:rsid w:val="00BB3126"/>
    <w:pPr>
      <w:spacing w:before="240"/>
    </w:pPr>
    <w:rPr>
      <w:rFonts w:eastAsiaTheme="majorEastAsia" w:cstheme="majorBidi"/>
      <w:b/>
      <w:color w:val="2C8558"/>
      <w:sz w:val="32"/>
    </w:rPr>
  </w:style>
  <w:style w:type="paragraph" w:customStyle="1" w:styleId="H1notoc">
    <w:name w:val="H1 no toc"/>
    <w:basedOn w:val="NoSpacing"/>
    <w:next w:val="Normal"/>
    <w:link w:val="H1notocChar"/>
    <w:qFormat/>
    <w:rsid w:val="00BB3126"/>
    <w:pPr>
      <w:pBdr>
        <w:bottom w:val="single" w:sz="4" w:space="1" w:color="auto"/>
      </w:pBdr>
      <w:spacing w:before="800"/>
    </w:pPr>
    <w:rPr>
      <w:rFonts w:eastAsiaTheme="majorEastAsia" w:cstheme="majorBidi"/>
      <w:b/>
      <w:caps/>
      <w:color w:val="2C8558"/>
      <w:sz w:val="40"/>
      <w:szCs w:val="28"/>
    </w:rPr>
  </w:style>
  <w:style w:type="character" w:customStyle="1" w:styleId="H3notocChar">
    <w:name w:val="H3 no toc Char"/>
    <w:basedOn w:val="Heading3Char"/>
    <w:link w:val="H3notoc"/>
    <w:rsid w:val="00BB3126"/>
    <w:rPr>
      <w:rFonts w:eastAsiaTheme="majorEastAsia" w:cstheme="majorBidi"/>
      <w:b/>
      <w:bCs w:val="0"/>
      <w:caps w:val="0"/>
      <w:color w:val="2C8558"/>
      <w:sz w:val="32"/>
    </w:rPr>
  </w:style>
  <w:style w:type="character" w:customStyle="1" w:styleId="H1notocChar">
    <w:name w:val="H1 no toc Char"/>
    <w:basedOn w:val="Heading1Char"/>
    <w:link w:val="H1notoc"/>
    <w:rsid w:val="00BB3126"/>
    <w:rPr>
      <w:rFonts w:eastAsiaTheme="majorEastAsia" w:cstheme="majorBidi"/>
      <w:b/>
      <w:bCs w:val="0"/>
      <w:caps/>
      <w:color w:val="2C8558"/>
      <w:sz w:val="40"/>
      <w:szCs w:val="28"/>
    </w:rPr>
  </w:style>
  <w:style w:type="character" w:customStyle="1" w:styleId="CGCBulletlistChar">
    <w:name w:val="CGC Bullet list Char"/>
    <w:aliases w:val="CGC List 1 Char,CGC Bullet list Char1"/>
    <w:basedOn w:val="DefaultParagraphFont"/>
    <w:link w:val="CGCBulletlist"/>
    <w:locked/>
    <w:rsid w:val="00BB3126"/>
    <w:rPr>
      <w:sz w:val="24"/>
      <w:szCs w:val="20"/>
    </w:rPr>
  </w:style>
  <w:style w:type="character" w:customStyle="1" w:styleId="CGCParaNoChar">
    <w:name w:val="CGC Para No Char"/>
    <w:aliases w:val="CGC Numbered Para Char"/>
    <w:basedOn w:val="DefaultParagraphFont"/>
    <w:link w:val="CGCNumberedPara"/>
    <w:rsid w:val="00BB3126"/>
    <w:rPr>
      <w:sz w:val="24"/>
      <w:szCs w:val="24"/>
    </w:rPr>
  </w:style>
  <w:style w:type="character" w:customStyle="1" w:styleId="CGCTableFootnoteChar">
    <w:name w:val="CGC Table Footnote Char"/>
    <w:basedOn w:val="DefaultParagraphFont"/>
    <w:link w:val="CGCTableFootnote"/>
    <w:locked/>
    <w:rsid w:val="00BB3126"/>
    <w:rPr>
      <w:sz w:val="20"/>
      <w:szCs w:val="24"/>
    </w:rPr>
  </w:style>
  <w:style w:type="character" w:customStyle="1" w:styleId="CGCTableStubChar">
    <w:name w:val="CGC Table Stub Char"/>
    <w:basedOn w:val="DefaultParagraphFont"/>
    <w:link w:val="CGCTableStub"/>
    <w:locked/>
    <w:rsid w:val="00BB3126"/>
    <w:rPr>
      <w:sz w:val="20"/>
      <w:szCs w:val="20"/>
    </w:rPr>
  </w:style>
  <w:style w:type="paragraph" w:customStyle="1" w:styleId="A1AttachmentAlist">
    <w:name w:val="A.1 Attachment A list"/>
    <w:basedOn w:val="CGCNumberedPara"/>
    <w:link w:val="A1AttachmentAlistChar"/>
    <w:qFormat/>
    <w:rsid w:val="00BB3126"/>
    <w:pPr>
      <w:numPr>
        <w:ilvl w:val="0"/>
        <w:numId w:val="44"/>
      </w:numPr>
      <w:tabs>
        <w:tab w:val="left" w:pos="567"/>
      </w:tabs>
      <w:ind w:left="567" w:hanging="567"/>
    </w:pPr>
  </w:style>
  <w:style w:type="paragraph" w:customStyle="1" w:styleId="CGCterminologylabel">
    <w:name w:val="CGC terminology label"/>
    <w:basedOn w:val="Normal"/>
    <w:link w:val="CGCterminologylabelChar"/>
    <w:qFormat/>
    <w:rsid w:val="00BB3126"/>
    <w:pPr>
      <w:keepNext/>
    </w:pPr>
    <w:rPr>
      <w:b/>
    </w:rPr>
  </w:style>
  <w:style w:type="character" w:customStyle="1" w:styleId="CGCterminologylabelChar">
    <w:name w:val="CGC terminology label Char"/>
    <w:basedOn w:val="DefaultParagraphFont"/>
    <w:link w:val="CGCterminologylabel"/>
    <w:rsid w:val="00BB3126"/>
    <w:rPr>
      <w:b/>
      <w:sz w:val="24"/>
    </w:rPr>
  </w:style>
  <w:style w:type="character" w:customStyle="1" w:styleId="TableRowNormalChar">
    <w:name w:val="TableRowNormal Char"/>
    <w:basedOn w:val="DefaultParagraphFont"/>
    <w:link w:val="TableRowNormal"/>
    <w:locked/>
    <w:rsid w:val="00BB3126"/>
    <w:rPr>
      <w:sz w:val="20"/>
      <w:szCs w:val="20"/>
    </w:rPr>
  </w:style>
  <w:style w:type="character" w:customStyle="1" w:styleId="CGCTableHeadingChar">
    <w:name w:val="CGC Table Heading Char"/>
    <w:basedOn w:val="DefaultParagraphFont"/>
    <w:link w:val="CGCTableHeading"/>
    <w:locked/>
    <w:rsid w:val="00BB3126"/>
    <w:rPr>
      <w:b/>
      <w:sz w:val="24"/>
      <w:szCs w:val="20"/>
    </w:rPr>
  </w:style>
  <w:style w:type="paragraph" w:customStyle="1" w:styleId="Default">
    <w:name w:val="Default"/>
    <w:rsid w:val="00BB3126"/>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Heading8Char">
    <w:name w:val="Heading 8 Char"/>
    <w:aliases w:val="(Do not use) Char,(Sub-section Nos) Char"/>
    <w:basedOn w:val="DefaultParagraphFont"/>
    <w:link w:val="Heading8"/>
    <w:rsid w:val="00BB3126"/>
    <w:rPr>
      <w:rFonts w:ascii="Arial" w:hAnsi="Arial"/>
      <w:i/>
      <w:sz w:val="20"/>
      <w:szCs w:val="20"/>
    </w:rPr>
  </w:style>
  <w:style w:type="character" w:customStyle="1" w:styleId="Heading9Char">
    <w:name w:val="Heading 9 Char"/>
    <w:aliases w:val="Heading 9 (Do not use) Char,(Subsubsection Nos) Char"/>
    <w:basedOn w:val="DefaultParagraphFont"/>
    <w:link w:val="Heading9"/>
    <w:rsid w:val="00BB3126"/>
    <w:rPr>
      <w:rFonts w:ascii="Arial" w:hAnsi="Arial"/>
      <w:b/>
      <w:i/>
      <w:sz w:val="18"/>
      <w:szCs w:val="20"/>
    </w:rPr>
  </w:style>
  <w:style w:type="character" w:customStyle="1" w:styleId="CommentTextChar">
    <w:name w:val="Comment Text Char"/>
    <w:basedOn w:val="DefaultParagraphFont"/>
    <w:link w:val="CommentText"/>
    <w:rsid w:val="00BB3126"/>
    <w:rPr>
      <w:sz w:val="20"/>
      <w:szCs w:val="20"/>
    </w:rPr>
  </w:style>
  <w:style w:type="character" w:customStyle="1" w:styleId="CommentSubjectChar">
    <w:name w:val="Comment Subject Char"/>
    <w:basedOn w:val="CommentTextChar"/>
    <w:link w:val="CommentSubject"/>
    <w:rsid w:val="00BB3126"/>
    <w:rPr>
      <w:b/>
      <w:bCs/>
      <w:sz w:val="20"/>
      <w:szCs w:val="20"/>
    </w:rPr>
  </w:style>
  <w:style w:type="character" w:customStyle="1" w:styleId="DocumentMapChar">
    <w:name w:val="Document Map Char"/>
    <w:basedOn w:val="DefaultParagraphFont"/>
    <w:link w:val="DocumentMap"/>
    <w:rsid w:val="00BB3126"/>
    <w:rPr>
      <w:rFonts w:ascii="Tahoma" w:hAnsi="Tahoma" w:cs="Tahoma"/>
      <w:sz w:val="20"/>
      <w:szCs w:val="20"/>
      <w:shd w:val="clear" w:color="auto" w:fill="000080"/>
    </w:rPr>
  </w:style>
  <w:style w:type="character" w:customStyle="1" w:styleId="EndnoteTextChar">
    <w:name w:val="Endnote Text Char"/>
    <w:basedOn w:val="DefaultParagraphFont"/>
    <w:link w:val="EndnoteText"/>
    <w:rsid w:val="00BB3126"/>
    <w:rPr>
      <w:sz w:val="20"/>
      <w:szCs w:val="20"/>
    </w:rPr>
  </w:style>
  <w:style w:type="character" w:customStyle="1" w:styleId="MacroTextChar">
    <w:name w:val="Macro Text Char"/>
    <w:basedOn w:val="DefaultParagraphFont"/>
    <w:link w:val="MacroText"/>
    <w:rsid w:val="00BB3126"/>
    <w:rPr>
      <w:rFonts w:ascii="Courier New" w:hAnsi="Courier New" w:cs="Courier New"/>
    </w:rPr>
  </w:style>
  <w:style w:type="character" w:customStyle="1" w:styleId="CGCSubbulletlistChar">
    <w:name w:val="CGC Sub bullet list Char"/>
    <w:aliases w:val="CGC List 2 Char"/>
    <w:basedOn w:val="DefaultParagraphFont"/>
    <w:link w:val="CGCSubbulletlist"/>
    <w:locked/>
    <w:rsid w:val="00BB3126"/>
    <w:rPr>
      <w:sz w:val="24"/>
      <w:szCs w:val="20"/>
    </w:rPr>
  </w:style>
  <w:style w:type="character" w:customStyle="1" w:styleId="SingleChar">
    <w:name w:val="Single Char"/>
    <w:basedOn w:val="DefaultParagraphFont"/>
    <w:link w:val="Single"/>
    <w:locked/>
    <w:rsid w:val="00BB3126"/>
    <w:rPr>
      <w:sz w:val="24"/>
    </w:rPr>
  </w:style>
  <w:style w:type="paragraph" w:styleId="Revision">
    <w:name w:val="Revision"/>
    <w:hidden/>
    <w:uiPriority w:val="99"/>
    <w:semiHidden/>
    <w:rsid w:val="00BB3126"/>
    <w:pPr>
      <w:spacing w:after="0" w:line="240" w:lineRule="auto"/>
    </w:pPr>
    <w:rPr>
      <w:sz w:val="24"/>
      <w:szCs w:val="24"/>
    </w:rPr>
  </w:style>
  <w:style w:type="paragraph" w:customStyle="1" w:styleId="Crest">
    <w:name w:val="Crest"/>
    <w:basedOn w:val="Normal"/>
    <w:rsid w:val="00BB3126"/>
    <w:pPr>
      <w:tabs>
        <w:tab w:val="clear" w:pos="567"/>
      </w:tabs>
      <w:spacing w:before="480" w:after="120" w:line="240" w:lineRule="auto"/>
      <w:jc w:val="center"/>
    </w:pPr>
    <w:rPr>
      <w:rFonts w:ascii="Times New Roman" w:eastAsia="Times New Roman" w:hAnsi="Times New Roman" w:cs="Times New Roman"/>
      <w:szCs w:val="24"/>
      <w:lang w:eastAsia="en-AU"/>
    </w:rPr>
  </w:style>
  <w:style w:type="paragraph" w:customStyle="1" w:styleId="Contact">
    <w:name w:val="Contact"/>
    <w:basedOn w:val="Normal"/>
    <w:rsid w:val="00BB3126"/>
    <w:pPr>
      <w:tabs>
        <w:tab w:val="clear" w:pos="567"/>
      </w:tabs>
      <w:spacing w:after="120" w:line="240" w:lineRule="auto"/>
      <w:contextualSpacing/>
      <w:jc w:val="right"/>
    </w:pPr>
    <w:rPr>
      <w:rFonts w:ascii="Times" w:eastAsia="Times New Roman" w:hAnsi="Times" w:cs="Times New Roman"/>
      <w:b/>
      <w:sz w:val="16"/>
      <w:szCs w:val="16"/>
      <w:lang w:eastAsia="en-AU"/>
    </w:rPr>
  </w:style>
  <w:style w:type="paragraph" w:customStyle="1" w:styleId="URL">
    <w:name w:val="URL"/>
    <w:basedOn w:val="Normal"/>
    <w:rsid w:val="00BB3126"/>
    <w:pPr>
      <w:tabs>
        <w:tab w:val="clear" w:pos="567"/>
      </w:tabs>
      <w:spacing w:after="120" w:line="240" w:lineRule="auto"/>
      <w:jc w:val="right"/>
    </w:pPr>
    <w:rPr>
      <w:rFonts w:ascii="Times New Roman" w:eastAsia="Times New Roman" w:hAnsi="Times New Roman" w:cs="Times New Roman"/>
      <w:b/>
      <w:sz w:val="16"/>
      <w:szCs w:val="16"/>
      <w:lang w:eastAsia="en-AU"/>
    </w:rPr>
  </w:style>
  <w:style w:type="numbering" w:customStyle="1" w:styleId="NoList1">
    <w:name w:val="No List1"/>
    <w:next w:val="NoList"/>
    <w:uiPriority w:val="99"/>
    <w:semiHidden/>
    <w:unhideWhenUsed/>
    <w:rsid w:val="00BB3126"/>
  </w:style>
  <w:style w:type="table" w:customStyle="1" w:styleId="TableGrid1">
    <w:name w:val="Table Grid1"/>
    <w:basedOn w:val="TableNormal"/>
    <w:next w:val="TableGrid"/>
    <w:rsid w:val="00BB3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BB3126"/>
    <w:rPr>
      <w:color w:val="800080" w:themeColor="followedHyperlink"/>
      <w:u w:val="single"/>
    </w:rPr>
  </w:style>
  <w:style w:type="paragraph" w:customStyle="1" w:styleId="11para">
    <w:name w:val="1.1 para"/>
    <w:basedOn w:val="Normal"/>
    <w:qFormat/>
    <w:rsid w:val="00BB3126"/>
    <w:pPr>
      <w:numPr>
        <w:numId w:val="42"/>
      </w:numPr>
      <w:tabs>
        <w:tab w:val="clear" w:pos="567"/>
      </w:tabs>
      <w:spacing w:before="120"/>
      <w:ind w:left="567" w:hanging="567"/>
    </w:pPr>
    <w:rPr>
      <w:szCs w:val="24"/>
    </w:rPr>
  </w:style>
  <w:style w:type="paragraph" w:customStyle="1" w:styleId="21para">
    <w:name w:val="2.1 para"/>
    <w:basedOn w:val="Normal"/>
    <w:qFormat/>
    <w:rsid w:val="00BB3126"/>
    <w:pPr>
      <w:numPr>
        <w:numId w:val="43"/>
      </w:numPr>
      <w:tabs>
        <w:tab w:val="clear" w:pos="567"/>
      </w:tabs>
      <w:spacing w:before="120"/>
      <w:ind w:left="567" w:hanging="567"/>
    </w:pPr>
    <w:rPr>
      <w:szCs w:val="24"/>
    </w:rPr>
  </w:style>
  <w:style w:type="character" w:customStyle="1" w:styleId="A1AttachmentAlistChar">
    <w:name w:val="A.1 Attachment A list Char"/>
    <w:basedOn w:val="CGCParaNoChar"/>
    <w:link w:val="A1AttachmentAlist"/>
    <w:rsid w:val="00BB312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381098">
      <w:bodyDiv w:val="1"/>
      <w:marLeft w:val="0"/>
      <w:marRight w:val="0"/>
      <w:marTop w:val="0"/>
      <w:marBottom w:val="0"/>
      <w:divBdr>
        <w:top w:val="none" w:sz="0" w:space="0" w:color="auto"/>
        <w:left w:val="none" w:sz="0" w:space="0" w:color="auto"/>
        <w:bottom w:val="none" w:sz="0" w:space="0" w:color="auto"/>
        <w:right w:val="none" w:sz="0" w:space="0" w:color="auto"/>
      </w:divBdr>
    </w:div>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footer" Target="footer22.xml"/><Relationship Id="rId21" Type="http://schemas.openxmlformats.org/officeDocument/2006/relationships/header" Target="header4.xml"/><Relationship Id="rId42" Type="http://schemas.openxmlformats.org/officeDocument/2006/relationships/header" Target="header14.xml"/><Relationship Id="rId47" Type="http://schemas.openxmlformats.org/officeDocument/2006/relationships/header" Target="header18.xml"/><Relationship Id="rId63" Type="http://schemas.openxmlformats.org/officeDocument/2006/relationships/header" Target="header30.xml"/><Relationship Id="rId68" Type="http://schemas.openxmlformats.org/officeDocument/2006/relationships/footer" Target="footer13.xml"/><Relationship Id="rId84" Type="http://schemas.openxmlformats.org/officeDocument/2006/relationships/image" Target="media/image9.emf"/><Relationship Id="rId89" Type="http://schemas.openxmlformats.org/officeDocument/2006/relationships/image" Target="media/image13.emf"/><Relationship Id="rId112" Type="http://schemas.openxmlformats.org/officeDocument/2006/relationships/footer" Target="footer21.xml"/><Relationship Id="rId16" Type="http://schemas.openxmlformats.org/officeDocument/2006/relationships/hyperlink" Target="http://creativecommons.org/licenses/by/4.0/legalcode" TargetMode="External"/><Relationship Id="rId107" Type="http://schemas.openxmlformats.org/officeDocument/2006/relationships/header" Target="header49.xml"/><Relationship Id="rId11" Type="http://schemas.openxmlformats.org/officeDocument/2006/relationships/footer" Target="footer2.xml"/><Relationship Id="rId32" Type="http://schemas.openxmlformats.org/officeDocument/2006/relationships/header" Target="header10.xml"/><Relationship Id="rId37" Type="http://schemas.openxmlformats.org/officeDocument/2006/relationships/header" Target="header11.xml"/><Relationship Id="rId53" Type="http://schemas.openxmlformats.org/officeDocument/2006/relationships/header" Target="header22.xml"/><Relationship Id="rId58" Type="http://schemas.openxmlformats.org/officeDocument/2006/relationships/header" Target="header26.xml"/><Relationship Id="rId74" Type="http://schemas.openxmlformats.org/officeDocument/2006/relationships/header" Target="header38.xml"/><Relationship Id="rId79" Type="http://schemas.openxmlformats.org/officeDocument/2006/relationships/header" Target="header42.xml"/><Relationship Id="rId102" Type="http://schemas.openxmlformats.org/officeDocument/2006/relationships/hyperlink" Target="https://www.cgc.gov.au/inquiries/2019-update" TargetMode="External"/><Relationship Id="rId5" Type="http://schemas.openxmlformats.org/officeDocument/2006/relationships/webSettings" Target="webSettings.xml"/><Relationship Id="rId90" Type="http://schemas.openxmlformats.org/officeDocument/2006/relationships/image" Target="media/image14.emf"/><Relationship Id="rId95" Type="http://schemas.openxmlformats.org/officeDocument/2006/relationships/header" Target="header44.xml"/><Relationship Id="rId22" Type="http://schemas.openxmlformats.org/officeDocument/2006/relationships/hyperlink" Target="https://www.cgc.gov.au/inquiries/2019-update" TargetMode="External"/><Relationship Id="rId27" Type="http://schemas.openxmlformats.org/officeDocument/2006/relationships/header" Target="header7.xml"/><Relationship Id="rId43" Type="http://schemas.openxmlformats.org/officeDocument/2006/relationships/header" Target="header15.xml"/><Relationship Id="rId48" Type="http://schemas.openxmlformats.org/officeDocument/2006/relationships/header" Target="header19.xml"/><Relationship Id="rId64" Type="http://schemas.openxmlformats.org/officeDocument/2006/relationships/footer" Target="footer12.xml"/><Relationship Id="rId69" Type="http://schemas.openxmlformats.org/officeDocument/2006/relationships/header" Target="header34.xml"/><Relationship Id="rId113" Type="http://schemas.openxmlformats.org/officeDocument/2006/relationships/header" Target="header52.xml"/><Relationship Id="rId118" Type="http://schemas.openxmlformats.org/officeDocument/2006/relationships/header" Target="header55.xml"/><Relationship Id="rId80" Type="http://schemas.openxmlformats.org/officeDocument/2006/relationships/footer" Target="footer16.xml"/><Relationship Id="rId85" Type="http://schemas.openxmlformats.org/officeDocument/2006/relationships/image" Target="media/image10.emf"/><Relationship Id="rId12" Type="http://schemas.openxmlformats.org/officeDocument/2006/relationships/hyperlink" Target="http://creativecommons.org/licenses/by/4.0" TargetMode="External"/><Relationship Id="rId17" Type="http://schemas.openxmlformats.org/officeDocument/2006/relationships/hyperlink" Target="http://www.itsanhonour.gov.au/coat-arms/" TargetMode="External"/><Relationship Id="rId33" Type="http://schemas.openxmlformats.org/officeDocument/2006/relationships/image" Target="media/image4.png"/><Relationship Id="rId38" Type="http://schemas.openxmlformats.org/officeDocument/2006/relationships/header" Target="header12.xml"/><Relationship Id="rId59" Type="http://schemas.openxmlformats.org/officeDocument/2006/relationships/header" Target="header27.xml"/><Relationship Id="rId103" Type="http://schemas.openxmlformats.org/officeDocument/2006/relationships/hyperlink" Target="https://docs.education.gov.au/node/51466" TargetMode="External"/><Relationship Id="rId108" Type="http://schemas.openxmlformats.org/officeDocument/2006/relationships/footer" Target="footer20.xml"/><Relationship Id="rId54" Type="http://schemas.openxmlformats.org/officeDocument/2006/relationships/header" Target="header23.xml"/><Relationship Id="rId70" Type="http://schemas.openxmlformats.org/officeDocument/2006/relationships/header" Target="header35.xml"/><Relationship Id="rId75" Type="http://schemas.openxmlformats.org/officeDocument/2006/relationships/header" Target="header39.xml"/><Relationship Id="rId91" Type="http://schemas.openxmlformats.org/officeDocument/2006/relationships/hyperlink" Target="https://www.cgc.gov.au/inquiries/2015-review" TargetMode="External"/><Relationship Id="rId96"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footer" Target="footer4.xml"/><Relationship Id="rId49" Type="http://schemas.openxmlformats.org/officeDocument/2006/relationships/footer" Target="footer8.xml"/><Relationship Id="rId114" Type="http://schemas.openxmlformats.org/officeDocument/2006/relationships/hyperlink" Target="https://www.cgc.gov.au/about-us/fiscal-equalisation" TargetMode="External"/><Relationship Id="rId119" Type="http://schemas.openxmlformats.org/officeDocument/2006/relationships/footer" Target="footer23.xml"/><Relationship Id="rId44"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31.xml"/><Relationship Id="rId81" Type="http://schemas.openxmlformats.org/officeDocument/2006/relationships/header" Target="header43.xml"/><Relationship Id="rId86"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mailto:secretary@cgc.gov.au" TargetMode="External"/><Relationship Id="rId39" Type="http://schemas.openxmlformats.org/officeDocument/2006/relationships/header" Target="header13.xml"/><Relationship Id="rId109" Type="http://schemas.openxmlformats.org/officeDocument/2006/relationships/hyperlink" Target="https://cgc.gov.au/" TargetMode="External"/><Relationship Id="rId34" Type="http://schemas.openxmlformats.org/officeDocument/2006/relationships/image" Target="media/image5.png"/><Relationship Id="rId50" Type="http://schemas.openxmlformats.org/officeDocument/2006/relationships/header" Target="header20.xml"/><Relationship Id="rId55" Type="http://schemas.openxmlformats.org/officeDocument/2006/relationships/header" Target="header24.xml"/><Relationship Id="rId76" Type="http://schemas.openxmlformats.org/officeDocument/2006/relationships/footer" Target="footer15.xml"/><Relationship Id="rId97" Type="http://schemas.openxmlformats.org/officeDocument/2006/relationships/footer" Target="footer17.xml"/><Relationship Id="rId104" Type="http://schemas.openxmlformats.org/officeDocument/2006/relationships/header" Target="header47.xm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6.xml"/><Relationship Id="rId92" Type="http://schemas.openxmlformats.org/officeDocument/2006/relationships/hyperlink" Target="https://www.cgc.gov.au/inquiries/2019-update" TargetMode="Externa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footer" Target="footer6.xml"/><Relationship Id="rId45" Type="http://schemas.openxmlformats.org/officeDocument/2006/relationships/header" Target="header16.xml"/><Relationship Id="rId66" Type="http://schemas.openxmlformats.org/officeDocument/2006/relationships/header" Target="header32.xml"/><Relationship Id="rId87" Type="http://schemas.openxmlformats.org/officeDocument/2006/relationships/image" Target="media/image12.emf"/><Relationship Id="rId110" Type="http://schemas.openxmlformats.org/officeDocument/2006/relationships/header" Target="header50.xml"/><Relationship Id="rId115" Type="http://schemas.openxmlformats.org/officeDocument/2006/relationships/header" Target="header53.xml"/><Relationship Id="rId61" Type="http://schemas.openxmlformats.org/officeDocument/2006/relationships/header" Target="header28.xml"/><Relationship Id="rId82" Type="http://schemas.openxmlformats.org/officeDocument/2006/relationships/hyperlink" Target="https://www.cgc.gov.au/inquiries/2019-update" TargetMode="External"/><Relationship Id="rId19" Type="http://schemas.openxmlformats.org/officeDocument/2006/relationships/header" Target="header2.xml"/><Relationship Id="rId14" Type="http://schemas.openxmlformats.org/officeDocument/2006/relationships/hyperlink" Target="http://creativecommons.org/licenses/by/3.0" TargetMode="External"/><Relationship Id="rId30" Type="http://schemas.openxmlformats.org/officeDocument/2006/relationships/header" Target="header9.xml"/><Relationship Id="rId35" Type="http://schemas.openxmlformats.org/officeDocument/2006/relationships/image" Target="media/image6.png"/><Relationship Id="rId56" Type="http://schemas.openxmlformats.org/officeDocument/2006/relationships/footer" Target="footer10.xml"/><Relationship Id="rId77" Type="http://schemas.openxmlformats.org/officeDocument/2006/relationships/header" Target="header40.xml"/><Relationship Id="rId100" Type="http://schemas.openxmlformats.org/officeDocument/2006/relationships/hyperlink" Target="https://www.cgc.gov.au/about-us/fiscal-equalisation" TargetMode="External"/><Relationship Id="rId105" Type="http://schemas.openxmlformats.org/officeDocument/2006/relationships/header" Target="header48.xml"/><Relationship Id="rId8" Type="http://schemas.openxmlformats.org/officeDocument/2006/relationships/image" Target="media/image1.png"/><Relationship Id="rId51" Type="http://schemas.openxmlformats.org/officeDocument/2006/relationships/header" Target="header21.xml"/><Relationship Id="rId72" Type="http://schemas.openxmlformats.org/officeDocument/2006/relationships/footer" Target="footer14.xml"/><Relationship Id="rId93" Type="http://schemas.openxmlformats.org/officeDocument/2006/relationships/image" Target="media/image15.emf"/><Relationship Id="rId98" Type="http://schemas.openxmlformats.org/officeDocument/2006/relationships/header" Target="header46.xm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header" Target="header17.xml"/><Relationship Id="rId67" Type="http://schemas.openxmlformats.org/officeDocument/2006/relationships/header" Target="header33.xml"/><Relationship Id="rId116" Type="http://schemas.openxmlformats.org/officeDocument/2006/relationships/header" Target="header54.xml"/><Relationship Id="rId20" Type="http://schemas.openxmlformats.org/officeDocument/2006/relationships/header" Target="header3.xml"/><Relationship Id="rId41" Type="http://schemas.openxmlformats.org/officeDocument/2006/relationships/image" Target="media/image7.emf"/><Relationship Id="rId62" Type="http://schemas.openxmlformats.org/officeDocument/2006/relationships/header" Target="header29.xml"/><Relationship Id="rId83" Type="http://schemas.openxmlformats.org/officeDocument/2006/relationships/image" Target="media/image8.emf"/><Relationship Id="rId88" Type="http://schemas.openxmlformats.org/officeDocument/2006/relationships/hyperlink" Target="https://www.cgc.gov.au/inquiries/2019-update" TargetMode="External"/><Relationship Id="rId111" Type="http://schemas.openxmlformats.org/officeDocument/2006/relationships/header" Target="header51.xml"/><Relationship Id="rId15" Type="http://schemas.openxmlformats.org/officeDocument/2006/relationships/hyperlink" Target="http://creativecommons.org/licenses/by/4.0" TargetMode="External"/><Relationship Id="rId36" Type="http://schemas.openxmlformats.org/officeDocument/2006/relationships/hyperlink" Target="https://www.cgc.gov.au/inquiries/2015-review" TargetMode="External"/><Relationship Id="rId57" Type="http://schemas.openxmlformats.org/officeDocument/2006/relationships/header" Target="header25.xml"/><Relationship Id="rId106" Type="http://schemas.openxmlformats.org/officeDocument/2006/relationships/footer" Target="footer19.xml"/><Relationship Id="rId10" Type="http://schemas.openxmlformats.org/officeDocument/2006/relationships/footer" Target="footer1.xml"/><Relationship Id="rId31" Type="http://schemas.openxmlformats.org/officeDocument/2006/relationships/footer" Target="footer5.xml"/><Relationship Id="rId52" Type="http://schemas.openxmlformats.org/officeDocument/2006/relationships/footer" Target="footer9.xml"/><Relationship Id="rId73" Type="http://schemas.openxmlformats.org/officeDocument/2006/relationships/header" Target="header37.xml"/><Relationship Id="rId78" Type="http://schemas.openxmlformats.org/officeDocument/2006/relationships/header" Target="header41.xml"/><Relationship Id="rId94" Type="http://schemas.openxmlformats.org/officeDocument/2006/relationships/image" Target="media/image16.emf"/><Relationship Id="rId99" Type="http://schemas.openxmlformats.org/officeDocument/2006/relationships/footer" Target="footer18.xml"/><Relationship Id="rId101" Type="http://schemas.openxmlformats.org/officeDocument/2006/relationships/hyperlink" Target="https://www.cgc.gov.au/inquiries/2019-updat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minister.industry.gov.au/ministers/cash/media-releases/local-jobs-and-new-energy-industry-latrobe-valley" TargetMode="External"/><Relationship Id="rId2" Type="http://schemas.openxmlformats.org/officeDocument/2006/relationships/hyperlink" Target="https://www.disasterassist.gov.au/Pages/related-links/disaster-recovery-funding-arrangements-2018.aspx" TargetMode="External"/><Relationship Id="rId1" Type="http://schemas.openxmlformats.org/officeDocument/2006/relationships/hyperlink" Target="https://www.cgc.gov.au/about-us/fiscal-equalisation" TargetMode="External"/><Relationship Id="rId5" Type="http://schemas.openxmlformats.org/officeDocument/2006/relationships/hyperlink" Target="http://www.federalfinancialrelations.gov.au/content/npa/environment/project-agreement/HESC_Project_Agreement_PDF.pdf" TargetMode="External"/><Relationship Id="rId4" Type="http://schemas.openxmlformats.org/officeDocument/2006/relationships/hyperlink" Target="http://www.federalfinancialrelations.gov.au/content/npa/environment/project-agreement/HESC_Project_Agreement_PDF.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gcfs\ODrive\Word%20Templates\Official%20Template\Document%20Templates\Agenda%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8C41A-6A38-4E35-943D-BAE78CE9B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Paper.dotx</Template>
  <TotalTime>1</TotalTime>
  <Pages>79</Pages>
  <Words>23693</Words>
  <Characters>133281</Characters>
  <Application>Microsoft Office Word</Application>
  <DocSecurity>0</DocSecurity>
  <Lines>1110</Lines>
  <Paragraphs>313</Paragraphs>
  <ScaleCrop>false</ScaleCrop>
  <HeadingPairs>
    <vt:vector size="2" baseType="variant">
      <vt:variant>
        <vt:lpstr>Title</vt:lpstr>
      </vt:variant>
      <vt:variant>
        <vt:i4>1</vt:i4>
      </vt:variant>
    </vt:vector>
  </HeadingPairs>
  <TitlesOfParts>
    <vt:vector size="1" baseType="lpstr">
      <vt:lpstr>•</vt:lpstr>
    </vt:vector>
  </TitlesOfParts>
  <Company>Hewlett-Packard Company</Company>
  <LinksUpToDate>false</LinksUpToDate>
  <CharactersWithSpaces>156661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Kathleen Morris</dc:creator>
  <cp:lastModifiedBy>Kathleen Morris</cp:lastModifiedBy>
  <cp:revision>3</cp:revision>
  <cp:lastPrinted>2019-02-14T22:07:00Z</cp:lastPrinted>
  <dcterms:created xsi:type="dcterms:W3CDTF">2019-02-26T02:57:00Z</dcterms:created>
  <dcterms:modified xsi:type="dcterms:W3CDTF">2019-02-26T02:57:00Z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-436647393</vt:i4>
  </property>
  <property fmtid="{D5CDD505-2E9C-101B-9397-08002B2CF9AE}" pid="3" name="_NewReviewCycle">
    <vt:lpwstr/>
  </property>
  <property fmtid="{D5CDD505-2E9C-101B-9397-08002B2CF9AE}" pid="4" name="_EmailSubject">
    <vt:lpwstr>Finished going through the report - use this version</vt:lpwstr>
  </property>
  <property fmtid="{D5CDD505-2E9C-101B-9397-08002B2CF9AE}" pid="5" name="_AuthorEmail">
    <vt:lpwstr>Alison.Harper@cgc.gov.au</vt:lpwstr>
  </property>
  <property fmtid="{D5CDD505-2E9C-101B-9397-08002B2CF9AE}" pid="6" name="_AuthorEmailDisplayName">
    <vt:lpwstr>Alison Harper</vt:lpwstr>
  </property>
  <property fmtid="{D5CDD505-2E9C-101B-9397-08002B2CF9AE}" pid="7" name="_ReviewingToolsShownOnce">
    <vt:lpwstr/>
  </property>
</Properties>
</file>