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7939F4" w14:textId="50422F61" w:rsidR="001E303D" w:rsidRPr="00984B47" w:rsidRDefault="008204B2" w:rsidP="001E303D">
      <w:pPr>
        <w:pStyle w:val="Heading3"/>
        <w:jc w:val="center"/>
        <w:rPr>
          <w:rFonts w:eastAsia="MS Gothic"/>
          <w:sz w:val="40"/>
          <w:szCs w:val="28"/>
          <w:lang w:val="en-US"/>
        </w:rPr>
      </w:pPr>
      <w:r>
        <w:rPr>
          <w:rFonts w:eastAsia="MS Gothic"/>
          <w:sz w:val="40"/>
          <w:szCs w:val="28"/>
          <w:lang w:val="en-US"/>
        </w:rPr>
        <w:t xml:space="preserve">Executive </w:t>
      </w:r>
      <w:r w:rsidR="007C6AFD">
        <w:rPr>
          <w:rFonts w:eastAsia="MS Gothic"/>
          <w:sz w:val="40"/>
          <w:szCs w:val="28"/>
          <w:lang w:val="en-US"/>
        </w:rPr>
        <w:t>summary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BF3F5"/>
        <w:tblLook w:val="04A0" w:firstRow="1" w:lastRow="0" w:firstColumn="1" w:lastColumn="0" w:noHBand="0" w:noVBand="1"/>
      </w:tblPr>
      <w:tblGrid>
        <w:gridCol w:w="9175"/>
      </w:tblGrid>
      <w:tr w:rsidR="007C6AFD" w:rsidRPr="007C6AFD" w14:paraId="7C6F9C78" w14:textId="77777777" w:rsidTr="003330C1">
        <w:tc>
          <w:tcPr>
            <w:tcW w:w="9175" w:type="dxa"/>
            <w:shd w:val="clear" w:color="auto" w:fill="EBF3F5"/>
          </w:tcPr>
          <w:p w14:paraId="4D01B68D" w14:textId="77777777" w:rsidR="007C6AFD" w:rsidRPr="007C6AFD" w:rsidRDefault="007C6AFD" w:rsidP="007C6AFD">
            <w:pPr>
              <w:keepNext/>
              <w:keepLines/>
              <w:outlineLvl w:val="5"/>
              <w:rPr>
                <w:rFonts w:ascii="Montserrat Semi Bold" w:eastAsiaTheme="majorEastAsia" w:hAnsi="Montserrat Semi Bold" w:cstheme="majorBidi"/>
                <w:i/>
                <w:iCs/>
                <w:color w:val="636466"/>
              </w:rPr>
            </w:pPr>
            <w:r w:rsidRPr="007C6AFD">
              <w:rPr>
                <w:rFonts w:ascii="Montserrat Semi Bold" w:eastAsiaTheme="majorEastAsia" w:hAnsi="Montserrat Semi Bold" w:cstheme="majorBidi"/>
                <w:i/>
                <w:iCs/>
                <w:color w:val="636466"/>
              </w:rPr>
              <w:t>Horizontal fiscal equalisation and the distribution of GST</w:t>
            </w:r>
          </w:p>
          <w:p w14:paraId="55C52A12" w14:textId="77777777" w:rsidR="007C6AFD" w:rsidRPr="007C6AFD" w:rsidRDefault="007C6AFD" w:rsidP="007C6AFD">
            <w:pPr>
              <w:widowControl w:val="0"/>
            </w:pPr>
            <w:r w:rsidRPr="007C6AFD">
              <w:t>This report presents the Commission’s recommendations from its 2021 Update for the distribution of the GST pool among the States and Territories (States) in 2021-22. This provides States the capacity to deliver services at a similar level (referred to as horizontal fiscal equalisation). It takes account of States’ different abilities to raise revenue and their different costs of service provision. The GST pool comprises GST revenue and the top-up payment, which is $600 million in 2021-22.</w:t>
            </w:r>
          </w:p>
          <w:p w14:paraId="07EBCF22" w14:textId="77777777" w:rsidR="007C6AFD" w:rsidRPr="007C6AFD" w:rsidRDefault="007C6AFD" w:rsidP="007C6AFD">
            <w:pPr>
              <w:widowControl w:val="0"/>
            </w:pPr>
            <w:r w:rsidRPr="007C6AFD">
              <w:t xml:space="preserve">Drivers of revenue differences include mineral royalties, land values and property transactions, and payroll taxes. States also receive different levels of Commonwealth payments. Costs can vary by State for a range of reasons, including sociodemographic characteristics, wage pressures, population dispersion or density, and rates of population growth. </w:t>
            </w:r>
          </w:p>
          <w:p w14:paraId="7C75EF9D" w14:textId="77777777" w:rsidR="007C6AFD" w:rsidRPr="007C6AFD" w:rsidRDefault="007C6AFD" w:rsidP="007C6AFD">
            <w:pPr>
              <w:widowControl w:val="0"/>
            </w:pPr>
            <w:r w:rsidRPr="007C6AFD">
              <w:t>The Commission finalised its 5-yearly review of the methods for quantifying the relative fiscal requirements of the States in February 2020 (2020 Review). The 2021 Update applied the methods from the 2020 Review and assessed the changes in States’ relative GST requirements over 2017-18, 2018-19 and 2019-20. The rolling 3-year assessment period was updated with the addition of the latest year for which data were available (2019-20).</w:t>
            </w:r>
          </w:p>
          <w:p w14:paraId="537656F1" w14:textId="77777777" w:rsidR="007C6AFD" w:rsidRPr="007C6AFD" w:rsidRDefault="007C6AFD" w:rsidP="007C6AFD">
            <w:pPr>
              <w:widowControl w:val="0"/>
            </w:pPr>
            <w:r w:rsidRPr="007C6AFD">
              <w:t xml:space="preserve">Changes in States’ relative GST requirements, as outlined in this update, can be driven by changes in States’ </w:t>
            </w:r>
            <w:r w:rsidRPr="007C6AFD">
              <w:rPr>
                <w:i/>
                <w:iCs/>
              </w:rPr>
              <w:t>circumstances</w:t>
            </w:r>
            <w:r w:rsidRPr="007C6AFD">
              <w:t xml:space="preserve"> (such as increased iron ore royalties, growth in the value of property transfers, growth in a State’s share of Commonwealth payments); or </w:t>
            </w:r>
            <w:r w:rsidRPr="007C6AFD">
              <w:rPr>
                <w:i/>
                <w:iCs/>
              </w:rPr>
              <w:t>data revisions</w:t>
            </w:r>
            <w:r w:rsidRPr="007C6AFD">
              <w:t xml:space="preserve"> (such as improved data on the value of taxable payrolls).</w:t>
            </w:r>
          </w:p>
          <w:p w14:paraId="7DF22D98" w14:textId="77777777" w:rsidR="007C6AFD" w:rsidRPr="007C6AFD" w:rsidRDefault="007C6AFD" w:rsidP="007C6AFD">
            <w:pPr>
              <w:keepNext/>
              <w:keepLines/>
              <w:outlineLvl w:val="5"/>
              <w:rPr>
                <w:rFonts w:ascii="Montserrat Semi Bold" w:eastAsiaTheme="majorEastAsia" w:hAnsi="Montserrat Semi Bold" w:cstheme="majorBidi"/>
                <w:i/>
                <w:iCs/>
                <w:color w:val="636466"/>
              </w:rPr>
            </w:pPr>
            <w:r w:rsidRPr="007C6AFD">
              <w:rPr>
                <w:rFonts w:ascii="Montserrat Semi Bold" w:eastAsiaTheme="majorEastAsia" w:hAnsi="Montserrat Semi Bold" w:cstheme="majorBidi"/>
                <w:i/>
                <w:iCs/>
                <w:color w:val="636466"/>
              </w:rPr>
              <w:t>Transition to new equalisation arrangements</w:t>
            </w:r>
          </w:p>
          <w:p w14:paraId="4ECC1C73" w14:textId="77777777" w:rsidR="007C6AFD" w:rsidRPr="007C6AFD" w:rsidRDefault="007C6AFD" w:rsidP="007C6AFD">
            <w:r w:rsidRPr="007C6AFD">
              <w:t>Under legislated changes to equalisation arrangements, 2021-22 will be the first year in a 6-year transition away from distributing the GST pool based solely on the Commission’s assessment of States’ relative fiscal capacities.</w:t>
            </w:r>
            <w:r w:rsidRPr="007C6AFD">
              <w:rPr>
                <w:vertAlign w:val="superscript"/>
              </w:rPr>
              <w:footnoteReference w:id="2"/>
            </w:r>
            <w:r w:rsidRPr="007C6AFD">
              <w:t xml:space="preserve"> Over these 6 years, the Commission’s assessment will be adjusted to new arrangements where no State will have a per capita GST share lower than the fiscally stronger of New South Wales or Victoria. The transition will be completed in 2026-27. </w:t>
            </w:r>
          </w:p>
          <w:p w14:paraId="076C47EA" w14:textId="77777777" w:rsidR="007C6AFD" w:rsidRPr="007C6AFD" w:rsidRDefault="007C6AFD" w:rsidP="007C6AFD">
            <w:pPr>
              <w:widowControl w:val="0"/>
            </w:pPr>
            <w:r w:rsidRPr="007C6AFD">
              <w:t xml:space="preserve">The GST relativities for 2021-22 to 2025-26 will be blends of the previous approach (providing States with the same ability to provide services) and the new approach (ensuring no State has a per capita GST share less than the lower of New South Wales or Victoria). For 2021-22, the GST relativities are a weighted average of the former (5/6ths) and the latter (1/6th). </w:t>
            </w:r>
          </w:p>
          <w:p w14:paraId="267F4B11" w14:textId="5F0799D3" w:rsidR="007C6AFD" w:rsidRPr="007C6AFD" w:rsidRDefault="007C6AFD" w:rsidP="003330C1">
            <w:pPr>
              <w:widowControl w:val="0"/>
            </w:pPr>
            <w:r w:rsidRPr="007C6AFD">
              <w:t>The biggest effect of the transition to the new arrangements in this update was to increase Western Australia’s GST distribution by $629 million, partially offsetting other developments, such as strong growth in iron ore royalties, which reduced its relative GST requirement.</w:t>
            </w:r>
            <w:r w:rsidRPr="007C6AFD">
              <w:rPr>
                <w:vertAlign w:val="superscript"/>
              </w:rPr>
              <w:t xml:space="preserve"> </w:t>
            </w:r>
            <w:r w:rsidRPr="007C6AFD">
              <w:t xml:space="preserve"> Under the new arrangements, the Commonwealth will make supplementary payments outside the GST pool to Western Australia to give it an outcome equivalent to a relativity of 0.70.</w:t>
            </w:r>
            <w:r w:rsidRPr="007C6AFD">
              <w:rPr>
                <w:vertAlign w:val="superscript"/>
              </w:rPr>
              <w:footnoteReference w:id="3"/>
            </w:r>
            <w:r w:rsidRPr="007C6AFD">
              <w:t xml:space="preserve"> This is the third year of this approach. From 2022-23, any such payment to a State will be funded from within the GST pool. The transition includes a ‘no worse off’ guarantee to ensure that no State receives less GST than it would have received in the absence of the new arrangements. The guarantee starts in 2021-22 and runs until 2026-27. Any ‘no worse off’ amounts will be calculated in accordance with the legislation and funded by the Commonwealth. </w:t>
            </w:r>
            <w:bookmarkStart w:id="0" w:name="x__GoBack"/>
            <w:bookmarkEnd w:id="0"/>
          </w:p>
        </w:tc>
      </w:tr>
      <w:tr w:rsidR="007C6AFD" w:rsidRPr="007C6AFD" w14:paraId="282414EA" w14:textId="77777777" w:rsidTr="003330C1">
        <w:tc>
          <w:tcPr>
            <w:tcW w:w="9175" w:type="dxa"/>
            <w:shd w:val="clear" w:color="auto" w:fill="FFFFFF" w:themeFill="background1"/>
          </w:tcPr>
          <w:p w14:paraId="2F9FFFC6" w14:textId="3FA410D4" w:rsidR="007C6AFD" w:rsidRPr="007C6AFD" w:rsidRDefault="007C6AFD" w:rsidP="0096098C">
            <w:pPr>
              <w:spacing w:before="0"/>
            </w:pPr>
          </w:p>
        </w:tc>
      </w:tr>
      <w:tr w:rsidR="003330C1" w:rsidRPr="007C6AFD" w14:paraId="335A3791" w14:textId="77777777" w:rsidTr="00821A4C">
        <w:tc>
          <w:tcPr>
            <w:tcW w:w="9175" w:type="dxa"/>
            <w:shd w:val="clear" w:color="auto" w:fill="EBF3F5"/>
          </w:tcPr>
          <w:p w14:paraId="271294FD" w14:textId="77777777" w:rsidR="003330C1" w:rsidRPr="007C6AFD" w:rsidRDefault="003330C1" w:rsidP="003330C1">
            <w:pPr>
              <w:widowControl w:val="0"/>
              <w:outlineLvl w:val="5"/>
              <w:rPr>
                <w:rFonts w:ascii="Montserrat Semi Bold" w:eastAsiaTheme="majorEastAsia" w:hAnsi="Montserrat Semi Bold" w:cstheme="majorBidi"/>
                <w:i/>
                <w:iCs/>
                <w:color w:val="636466"/>
              </w:rPr>
            </w:pPr>
            <w:r w:rsidRPr="007C6AFD">
              <w:rPr>
                <w:rFonts w:ascii="Montserrat Semi Bold" w:eastAsiaTheme="majorEastAsia" w:hAnsi="Montserrat Semi Bold" w:cstheme="majorBidi"/>
                <w:i/>
                <w:iCs/>
                <w:color w:val="636466"/>
              </w:rPr>
              <w:t>Overview of the 2021 Update</w:t>
            </w:r>
          </w:p>
          <w:p w14:paraId="0EEA6330" w14:textId="77777777" w:rsidR="003330C1" w:rsidRPr="007C6AFD" w:rsidRDefault="003330C1" w:rsidP="003330C1">
            <w:pPr>
              <w:widowControl w:val="0"/>
            </w:pPr>
            <w:r w:rsidRPr="007C6AFD">
              <w:t>The table below shows the impact of the recommended changes in this update on the State distribution of the estimated GST pool from 2020-21 to 2021-22. The change between years includes the impact of changes in States’ circumstances, data revisions and the introduction of the new arrangements.</w:t>
            </w:r>
          </w:p>
          <w:p w14:paraId="50EBE188" w14:textId="77777777" w:rsidR="003330C1" w:rsidRPr="007C6AFD" w:rsidRDefault="003330C1" w:rsidP="003330C1">
            <w:pPr>
              <w:keepNext/>
              <w:keepLines/>
              <w:tabs>
                <w:tab w:val="clear" w:pos="567"/>
                <w:tab w:val="left" w:pos="1134"/>
                <w:tab w:val="left" w:pos="1418"/>
              </w:tabs>
              <w:spacing w:after="120" w:line="240" w:lineRule="auto"/>
              <w:ind w:left="1134" w:hanging="1134"/>
              <w:rPr>
                <w:rFonts w:ascii="Montserrat Ultra Light" w:hAnsi="Montserrat Ultra Light"/>
                <w:b/>
                <w:bCs/>
                <w:szCs w:val="20"/>
              </w:rPr>
            </w:pPr>
            <w:r w:rsidRPr="007C6AFD">
              <w:rPr>
                <w:rFonts w:ascii="Montserrat Ultra Light" w:hAnsi="Montserrat Ultra Light"/>
                <w:b/>
                <w:bCs/>
                <w:szCs w:val="20"/>
              </w:rPr>
              <w:t>Change in distribution of GST from 2020-21 to 2021-22</w:t>
            </w:r>
          </w:p>
          <w:tbl>
            <w:tblPr>
              <w:tblW w:w="8810" w:type="dxa"/>
              <w:tblCellMar>
                <w:left w:w="28" w:type="dxa"/>
                <w:right w:w="28" w:type="dxa"/>
              </w:tblCellMar>
              <w:tblLook w:val="04A0" w:firstRow="1" w:lastRow="0" w:firstColumn="1" w:lastColumn="0" w:noHBand="0" w:noVBand="1"/>
            </w:tblPr>
            <w:tblGrid>
              <w:gridCol w:w="2305"/>
              <w:gridCol w:w="709"/>
              <w:gridCol w:w="805"/>
              <w:gridCol w:w="713"/>
              <w:gridCol w:w="713"/>
              <w:gridCol w:w="713"/>
              <w:gridCol w:w="713"/>
              <w:gridCol w:w="713"/>
              <w:gridCol w:w="713"/>
              <w:gridCol w:w="713"/>
            </w:tblGrid>
            <w:tr w:rsidR="003330C1" w:rsidRPr="007C6AFD" w14:paraId="19D299E5" w14:textId="77777777" w:rsidTr="00B30BC5">
              <w:trPr>
                <w:cantSplit/>
                <w:trHeight w:val="375"/>
              </w:trPr>
              <w:tc>
                <w:tcPr>
                  <w:tcW w:w="2305" w:type="dxa"/>
                  <w:tcBorders>
                    <w:top w:val="single" w:sz="4" w:space="0" w:color="ADD6EA"/>
                    <w:left w:val="nil"/>
                    <w:bottom w:val="single" w:sz="4" w:space="0" w:color="ADD6EA"/>
                    <w:right w:val="nil"/>
                  </w:tcBorders>
                  <w:shd w:val="clear" w:color="000000" w:fill="006991"/>
                  <w:noWrap/>
                  <w:vAlign w:val="center"/>
                  <w:hideMark/>
                </w:tcPr>
                <w:p w14:paraId="043807FC" w14:textId="77777777" w:rsidR="003330C1" w:rsidRPr="007C6AFD" w:rsidRDefault="003330C1" w:rsidP="003330C1">
                  <w:pPr>
                    <w:keepNext/>
                    <w:keepLines/>
                    <w:tabs>
                      <w:tab w:val="clear" w:pos="567"/>
                      <w:tab w:val="left" w:pos="1134"/>
                      <w:tab w:val="left" w:pos="1420"/>
                    </w:tabs>
                    <w:spacing w:before="0" w:line="240" w:lineRule="auto"/>
                    <w:rPr>
                      <w:rFonts w:ascii="Cambria" w:eastAsia="MS Mincho" w:hAnsi="Cambria" w:cs="Cambria"/>
                      <w:b/>
                      <w:color w:val="FFFFFF"/>
                      <w:sz w:val="16"/>
                      <w:szCs w:val="16"/>
                      <w:lang w:eastAsia="en-AU"/>
                    </w:rPr>
                  </w:pPr>
                  <w:r w:rsidRPr="007C6AFD">
                    <w:rPr>
                      <w:rFonts w:ascii="Open Sans Semibold" w:hAnsi="Open Sans Semibold"/>
                      <w:color w:val="FFFFFF" w:themeColor="background1"/>
                      <w:sz w:val="16"/>
                      <w:szCs w:val="20"/>
                      <w:lang w:eastAsia="en-AU"/>
                    </w:rPr>
                    <w:t> </w:t>
                  </w:r>
                </w:p>
              </w:tc>
              <w:tc>
                <w:tcPr>
                  <w:tcW w:w="709" w:type="dxa"/>
                  <w:tcBorders>
                    <w:top w:val="single" w:sz="4" w:space="0" w:color="ADD6EA"/>
                    <w:left w:val="nil"/>
                    <w:bottom w:val="single" w:sz="4" w:space="0" w:color="ADD6EA"/>
                    <w:right w:val="nil"/>
                  </w:tcBorders>
                  <w:shd w:val="clear" w:color="000000" w:fill="006991"/>
                  <w:noWrap/>
                  <w:vAlign w:val="center"/>
                  <w:hideMark/>
                </w:tcPr>
                <w:p w14:paraId="7496FF66" w14:textId="77777777" w:rsidR="003330C1" w:rsidRPr="007C6AFD" w:rsidRDefault="003330C1" w:rsidP="003330C1">
                  <w:pPr>
                    <w:keepNext/>
                    <w:keepLines/>
                    <w:tabs>
                      <w:tab w:val="clear" w:pos="567"/>
                      <w:tab w:val="left" w:pos="1134"/>
                      <w:tab w:val="left" w:pos="1420"/>
                    </w:tabs>
                    <w:spacing w:before="0" w:line="240" w:lineRule="auto"/>
                    <w:jc w:val="right"/>
                    <w:rPr>
                      <w:rFonts w:ascii="Cambria" w:eastAsia="MS Mincho" w:hAnsi="Cambria" w:cs="Cambria"/>
                      <w:b/>
                      <w:color w:val="FFFFFF"/>
                      <w:sz w:val="16"/>
                      <w:szCs w:val="16"/>
                      <w:lang w:eastAsia="en-AU"/>
                    </w:rPr>
                  </w:pPr>
                  <w:r w:rsidRPr="007C6AFD">
                    <w:rPr>
                      <w:rFonts w:ascii="Open Sans Semibold" w:hAnsi="Open Sans Semibold"/>
                      <w:color w:val="FFFFFF" w:themeColor="background1"/>
                      <w:sz w:val="16"/>
                      <w:szCs w:val="20"/>
                      <w:lang w:eastAsia="en-AU"/>
                    </w:rPr>
                    <w:t>NSW</w:t>
                  </w:r>
                </w:p>
              </w:tc>
              <w:tc>
                <w:tcPr>
                  <w:tcW w:w="805" w:type="dxa"/>
                  <w:tcBorders>
                    <w:top w:val="single" w:sz="4" w:space="0" w:color="ADD6EA"/>
                    <w:left w:val="nil"/>
                    <w:bottom w:val="single" w:sz="4" w:space="0" w:color="ADD6EA"/>
                    <w:right w:val="nil"/>
                  </w:tcBorders>
                  <w:shd w:val="clear" w:color="000000" w:fill="006991"/>
                  <w:noWrap/>
                  <w:vAlign w:val="center"/>
                  <w:hideMark/>
                </w:tcPr>
                <w:p w14:paraId="5FD0D660" w14:textId="77777777" w:rsidR="003330C1" w:rsidRPr="007C6AFD" w:rsidRDefault="003330C1" w:rsidP="003330C1">
                  <w:pPr>
                    <w:keepNext/>
                    <w:keepLines/>
                    <w:tabs>
                      <w:tab w:val="clear" w:pos="567"/>
                      <w:tab w:val="left" w:pos="1134"/>
                      <w:tab w:val="left" w:pos="1420"/>
                    </w:tabs>
                    <w:spacing w:before="0" w:line="240" w:lineRule="auto"/>
                    <w:jc w:val="right"/>
                    <w:rPr>
                      <w:rFonts w:ascii="Cambria" w:eastAsia="MS Mincho" w:hAnsi="Cambria" w:cs="Cambria"/>
                      <w:b/>
                      <w:color w:val="FFFFFF"/>
                      <w:sz w:val="16"/>
                      <w:szCs w:val="16"/>
                      <w:lang w:eastAsia="en-AU"/>
                    </w:rPr>
                  </w:pPr>
                  <w:r w:rsidRPr="007C6AFD">
                    <w:rPr>
                      <w:rFonts w:ascii="Open Sans Semibold" w:hAnsi="Open Sans Semibold"/>
                      <w:color w:val="FFFFFF" w:themeColor="background1"/>
                      <w:sz w:val="16"/>
                      <w:szCs w:val="20"/>
                      <w:lang w:eastAsia="en-AU"/>
                    </w:rPr>
                    <w:t>Vic</w:t>
                  </w:r>
                </w:p>
              </w:tc>
              <w:tc>
                <w:tcPr>
                  <w:tcW w:w="713" w:type="dxa"/>
                  <w:tcBorders>
                    <w:top w:val="single" w:sz="4" w:space="0" w:color="ADD6EA"/>
                    <w:left w:val="nil"/>
                    <w:bottom w:val="single" w:sz="4" w:space="0" w:color="ADD6EA"/>
                    <w:right w:val="nil"/>
                  </w:tcBorders>
                  <w:shd w:val="clear" w:color="000000" w:fill="006991"/>
                  <w:noWrap/>
                  <w:vAlign w:val="center"/>
                  <w:hideMark/>
                </w:tcPr>
                <w:p w14:paraId="69BD177C" w14:textId="77777777" w:rsidR="003330C1" w:rsidRPr="007C6AFD" w:rsidRDefault="003330C1" w:rsidP="003330C1">
                  <w:pPr>
                    <w:keepNext/>
                    <w:keepLines/>
                    <w:tabs>
                      <w:tab w:val="clear" w:pos="567"/>
                      <w:tab w:val="left" w:pos="1134"/>
                      <w:tab w:val="left" w:pos="1420"/>
                    </w:tabs>
                    <w:spacing w:before="0" w:line="240" w:lineRule="auto"/>
                    <w:jc w:val="right"/>
                    <w:rPr>
                      <w:rFonts w:ascii="Cambria" w:eastAsia="MS Mincho" w:hAnsi="Cambria" w:cs="Cambria"/>
                      <w:b/>
                      <w:color w:val="FFFFFF"/>
                      <w:sz w:val="16"/>
                      <w:szCs w:val="16"/>
                      <w:lang w:eastAsia="en-AU"/>
                    </w:rPr>
                  </w:pPr>
                  <w:r w:rsidRPr="007C6AFD">
                    <w:rPr>
                      <w:rFonts w:ascii="Open Sans Semibold" w:hAnsi="Open Sans Semibold"/>
                      <w:color w:val="FFFFFF" w:themeColor="background1"/>
                      <w:sz w:val="16"/>
                      <w:szCs w:val="20"/>
                      <w:lang w:eastAsia="en-AU"/>
                    </w:rPr>
                    <w:t>Qld</w:t>
                  </w:r>
                </w:p>
              </w:tc>
              <w:tc>
                <w:tcPr>
                  <w:tcW w:w="713" w:type="dxa"/>
                  <w:tcBorders>
                    <w:top w:val="single" w:sz="4" w:space="0" w:color="ADD6EA"/>
                    <w:left w:val="nil"/>
                    <w:bottom w:val="single" w:sz="4" w:space="0" w:color="ADD6EA"/>
                    <w:right w:val="nil"/>
                  </w:tcBorders>
                  <w:shd w:val="clear" w:color="000000" w:fill="006991"/>
                  <w:noWrap/>
                  <w:vAlign w:val="center"/>
                  <w:hideMark/>
                </w:tcPr>
                <w:p w14:paraId="163ADE7E" w14:textId="77777777" w:rsidR="003330C1" w:rsidRPr="007C6AFD" w:rsidRDefault="003330C1" w:rsidP="003330C1">
                  <w:pPr>
                    <w:keepNext/>
                    <w:keepLines/>
                    <w:tabs>
                      <w:tab w:val="clear" w:pos="567"/>
                      <w:tab w:val="left" w:pos="1134"/>
                      <w:tab w:val="left" w:pos="1420"/>
                    </w:tabs>
                    <w:spacing w:before="0" w:line="240" w:lineRule="auto"/>
                    <w:jc w:val="right"/>
                    <w:rPr>
                      <w:rFonts w:ascii="Cambria" w:eastAsia="MS Mincho" w:hAnsi="Cambria" w:cs="Cambria"/>
                      <w:b/>
                      <w:color w:val="FFFFFF"/>
                      <w:sz w:val="16"/>
                      <w:szCs w:val="16"/>
                      <w:lang w:eastAsia="en-AU"/>
                    </w:rPr>
                  </w:pPr>
                  <w:r w:rsidRPr="007C6AFD">
                    <w:rPr>
                      <w:rFonts w:ascii="Open Sans Semibold" w:hAnsi="Open Sans Semibold"/>
                      <w:color w:val="FFFFFF" w:themeColor="background1"/>
                      <w:sz w:val="16"/>
                      <w:szCs w:val="20"/>
                      <w:lang w:eastAsia="en-AU"/>
                    </w:rPr>
                    <w:t>WA</w:t>
                  </w:r>
                </w:p>
              </w:tc>
              <w:tc>
                <w:tcPr>
                  <w:tcW w:w="713" w:type="dxa"/>
                  <w:tcBorders>
                    <w:top w:val="single" w:sz="4" w:space="0" w:color="ADD6EA"/>
                    <w:left w:val="nil"/>
                    <w:bottom w:val="single" w:sz="4" w:space="0" w:color="ADD6EA"/>
                    <w:right w:val="nil"/>
                  </w:tcBorders>
                  <w:shd w:val="clear" w:color="000000" w:fill="006991"/>
                  <w:noWrap/>
                  <w:vAlign w:val="center"/>
                  <w:hideMark/>
                </w:tcPr>
                <w:p w14:paraId="6B765792" w14:textId="77777777" w:rsidR="003330C1" w:rsidRPr="007C6AFD" w:rsidRDefault="003330C1" w:rsidP="003330C1">
                  <w:pPr>
                    <w:keepNext/>
                    <w:keepLines/>
                    <w:tabs>
                      <w:tab w:val="clear" w:pos="567"/>
                      <w:tab w:val="left" w:pos="1134"/>
                      <w:tab w:val="left" w:pos="1420"/>
                    </w:tabs>
                    <w:spacing w:before="0" w:line="240" w:lineRule="auto"/>
                    <w:jc w:val="right"/>
                    <w:rPr>
                      <w:rFonts w:ascii="Cambria" w:eastAsia="MS Mincho" w:hAnsi="Cambria" w:cs="Cambria"/>
                      <w:b/>
                      <w:color w:val="FFFFFF"/>
                      <w:sz w:val="16"/>
                      <w:szCs w:val="16"/>
                      <w:lang w:eastAsia="en-AU"/>
                    </w:rPr>
                  </w:pPr>
                  <w:r w:rsidRPr="007C6AFD">
                    <w:rPr>
                      <w:rFonts w:ascii="Open Sans Semibold" w:hAnsi="Open Sans Semibold"/>
                      <w:color w:val="FFFFFF" w:themeColor="background1"/>
                      <w:sz w:val="16"/>
                      <w:szCs w:val="20"/>
                      <w:lang w:eastAsia="en-AU"/>
                    </w:rPr>
                    <w:t>SA</w:t>
                  </w:r>
                </w:p>
              </w:tc>
              <w:tc>
                <w:tcPr>
                  <w:tcW w:w="713" w:type="dxa"/>
                  <w:tcBorders>
                    <w:top w:val="single" w:sz="4" w:space="0" w:color="ADD6EA"/>
                    <w:left w:val="nil"/>
                    <w:bottom w:val="single" w:sz="4" w:space="0" w:color="ADD6EA"/>
                    <w:right w:val="nil"/>
                  </w:tcBorders>
                  <w:shd w:val="clear" w:color="000000" w:fill="006991"/>
                  <w:noWrap/>
                  <w:vAlign w:val="center"/>
                  <w:hideMark/>
                </w:tcPr>
                <w:p w14:paraId="360A670A" w14:textId="77777777" w:rsidR="003330C1" w:rsidRPr="007C6AFD" w:rsidRDefault="003330C1" w:rsidP="003330C1">
                  <w:pPr>
                    <w:keepNext/>
                    <w:keepLines/>
                    <w:tabs>
                      <w:tab w:val="clear" w:pos="567"/>
                      <w:tab w:val="left" w:pos="1134"/>
                      <w:tab w:val="left" w:pos="1420"/>
                    </w:tabs>
                    <w:spacing w:before="0" w:line="240" w:lineRule="auto"/>
                    <w:jc w:val="right"/>
                    <w:rPr>
                      <w:rFonts w:ascii="Cambria" w:eastAsia="MS Mincho" w:hAnsi="Cambria" w:cs="Cambria"/>
                      <w:b/>
                      <w:color w:val="FFFFFF"/>
                      <w:sz w:val="16"/>
                      <w:szCs w:val="16"/>
                      <w:lang w:eastAsia="en-AU"/>
                    </w:rPr>
                  </w:pPr>
                  <w:r w:rsidRPr="007C6AFD">
                    <w:rPr>
                      <w:rFonts w:ascii="Open Sans Semibold" w:hAnsi="Open Sans Semibold"/>
                      <w:color w:val="FFFFFF" w:themeColor="background1"/>
                      <w:sz w:val="16"/>
                      <w:szCs w:val="20"/>
                      <w:lang w:eastAsia="en-AU"/>
                    </w:rPr>
                    <w:t>Tas</w:t>
                  </w:r>
                </w:p>
              </w:tc>
              <w:tc>
                <w:tcPr>
                  <w:tcW w:w="713" w:type="dxa"/>
                  <w:tcBorders>
                    <w:top w:val="single" w:sz="4" w:space="0" w:color="ADD6EA"/>
                    <w:left w:val="nil"/>
                    <w:bottom w:val="single" w:sz="4" w:space="0" w:color="ADD6EA"/>
                    <w:right w:val="nil"/>
                  </w:tcBorders>
                  <w:shd w:val="clear" w:color="000000" w:fill="006991"/>
                  <w:noWrap/>
                  <w:vAlign w:val="center"/>
                  <w:hideMark/>
                </w:tcPr>
                <w:p w14:paraId="481FACCB" w14:textId="77777777" w:rsidR="003330C1" w:rsidRPr="007C6AFD" w:rsidRDefault="003330C1" w:rsidP="003330C1">
                  <w:pPr>
                    <w:keepNext/>
                    <w:keepLines/>
                    <w:tabs>
                      <w:tab w:val="clear" w:pos="567"/>
                      <w:tab w:val="left" w:pos="1134"/>
                      <w:tab w:val="left" w:pos="1420"/>
                    </w:tabs>
                    <w:spacing w:before="0" w:line="240" w:lineRule="auto"/>
                    <w:jc w:val="right"/>
                    <w:rPr>
                      <w:rFonts w:ascii="Cambria" w:eastAsia="MS Mincho" w:hAnsi="Cambria" w:cs="Cambria"/>
                      <w:b/>
                      <w:color w:val="FFFFFF"/>
                      <w:sz w:val="16"/>
                      <w:szCs w:val="16"/>
                      <w:lang w:eastAsia="en-AU"/>
                    </w:rPr>
                  </w:pPr>
                  <w:r w:rsidRPr="007C6AFD">
                    <w:rPr>
                      <w:rFonts w:ascii="Open Sans Semibold" w:hAnsi="Open Sans Semibold"/>
                      <w:color w:val="FFFFFF" w:themeColor="background1"/>
                      <w:sz w:val="16"/>
                      <w:szCs w:val="20"/>
                      <w:lang w:eastAsia="en-AU"/>
                    </w:rPr>
                    <w:t>ACT</w:t>
                  </w:r>
                </w:p>
              </w:tc>
              <w:tc>
                <w:tcPr>
                  <w:tcW w:w="713" w:type="dxa"/>
                  <w:tcBorders>
                    <w:top w:val="single" w:sz="4" w:space="0" w:color="ADD6EA"/>
                    <w:left w:val="nil"/>
                    <w:bottom w:val="single" w:sz="4" w:space="0" w:color="ADD6EA"/>
                    <w:right w:val="nil"/>
                  </w:tcBorders>
                  <w:shd w:val="clear" w:color="000000" w:fill="006991"/>
                  <w:noWrap/>
                  <w:vAlign w:val="center"/>
                  <w:hideMark/>
                </w:tcPr>
                <w:p w14:paraId="0234D080" w14:textId="77777777" w:rsidR="003330C1" w:rsidRPr="007C6AFD" w:rsidRDefault="003330C1" w:rsidP="003330C1">
                  <w:pPr>
                    <w:keepNext/>
                    <w:keepLines/>
                    <w:tabs>
                      <w:tab w:val="clear" w:pos="567"/>
                      <w:tab w:val="left" w:pos="1134"/>
                      <w:tab w:val="left" w:pos="1420"/>
                    </w:tabs>
                    <w:spacing w:before="0" w:line="240" w:lineRule="auto"/>
                    <w:jc w:val="right"/>
                    <w:rPr>
                      <w:rFonts w:ascii="Cambria" w:eastAsia="MS Mincho" w:hAnsi="Cambria" w:cs="Cambria"/>
                      <w:b/>
                      <w:color w:val="FFFFFF"/>
                      <w:sz w:val="16"/>
                      <w:szCs w:val="16"/>
                      <w:lang w:eastAsia="en-AU"/>
                    </w:rPr>
                  </w:pPr>
                  <w:r w:rsidRPr="007C6AFD">
                    <w:rPr>
                      <w:rFonts w:ascii="Open Sans Semibold" w:hAnsi="Open Sans Semibold"/>
                      <w:color w:val="FFFFFF" w:themeColor="background1"/>
                      <w:sz w:val="16"/>
                      <w:szCs w:val="20"/>
                      <w:lang w:eastAsia="en-AU"/>
                    </w:rPr>
                    <w:t>NT</w:t>
                  </w:r>
                </w:p>
              </w:tc>
              <w:tc>
                <w:tcPr>
                  <w:tcW w:w="713" w:type="dxa"/>
                  <w:tcBorders>
                    <w:top w:val="single" w:sz="4" w:space="0" w:color="ADD6EA"/>
                    <w:left w:val="nil"/>
                    <w:bottom w:val="single" w:sz="4" w:space="0" w:color="ADD6EA"/>
                    <w:right w:val="nil"/>
                  </w:tcBorders>
                  <w:shd w:val="clear" w:color="000000" w:fill="006991"/>
                  <w:noWrap/>
                  <w:vAlign w:val="center"/>
                  <w:hideMark/>
                </w:tcPr>
                <w:p w14:paraId="3F2F6F6E" w14:textId="77777777" w:rsidR="003330C1" w:rsidRPr="007C6AFD" w:rsidRDefault="003330C1" w:rsidP="003330C1">
                  <w:pPr>
                    <w:keepNext/>
                    <w:keepLines/>
                    <w:tabs>
                      <w:tab w:val="clear" w:pos="567"/>
                      <w:tab w:val="left" w:pos="1134"/>
                      <w:tab w:val="left" w:pos="1420"/>
                    </w:tabs>
                    <w:spacing w:before="0" w:line="240" w:lineRule="auto"/>
                    <w:jc w:val="right"/>
                    <w:rPr>
                      <w:rFonts w:ascii="Cambria" w:eastAsia="MS Mincho" w:hAnsi="Cambria" w:cs="Cambria"/>
                      <w:b/>
                      <w:color w:val="FFFFFF"/>
                      <w:sz w:val="16"/>
                      <w:szCs w:val="16"/>
                      <w:lang w:eastAsia="en-AU"/>
                    </w:rPr>
                  </w:pPr>
                  <w:r w:rsidRPr="007C6AFD">
                    <w:rPr>
                      <w:rFonts w:ascii="Open Sans Semibold" w:hAnsi="Open Sans Semibold"/>
                      <w:color w:val="FFFFFF" w:themeColor="background1"/>
                      <w:sz w:val="16"/>
                      <w:szCs w:val="20"/>
                      <w:lang w:eastAsia="en-AU"/>
                    </w:rPr>
                    <w:t>Total</w:t>
                  </w:r>
                </w:p>
              </w:tc>
            </w:tr>
            <w:tr w:rsidR="003330C1" w:rsidRPr="007C6AFD" w14:paraId="05C397B2" w14:textId="77777777" w:rsidTr="00B30BC5">
              <w:trPr>
                <w:cantSplit/>
                <w:trHeight w:val="259"/>
              </w:trPr>
              <w:tc>
                <w:tcPr>
                  <w:tcW w:w="2305" w:type="dxa"/>
                  <w:tcBorders>
                    <w:top w:val="nil"/>
                    <w:left w:val="nil"/>
                    <w:bottom w:val="single" w:sz="4" w:space="0" w:color="ADD6EA"/>
                    <w:right w:val="nil"/>
                  </w:tcBorders>
                  <w:shd w:val="clear" w:color="000000" w:fill="B6D5E4"/>
                  <w:noWrap/>
                  <w:vAlign w:val="bottom"/>
                  <w:hideMark/>
                </w:tcPr>
                <w:p w14:paraId="3F66A2E2" w14:textId="77777777" w:rsidR="003330C1" w:rsidRPr="007C6AFD" w:rsidRDefault="003330C1" w:rsidP="003330C1">
                  <w:pPr>
                    <w:keepNext/>
                    <w:keepLines/>
                    <w:tabs>
                      <w:tab w:val="clear" w:pos="567"/>
                      <w:tab w:val="left" w:pos="1134"/>
                      <w:tab w:val="left" w:pos="1420"/>
                    </w:tabs>
                    <w:spacing w:before="0" w:line="240" w:lineRule="auto"/>
                    <w:rPr>
                      <w:rFonts w:ascii="Open Sans Semibold" w:hAnsi="Open Sans Semibold"/>
                      <w:sz w:val="16"/>
                      <w:szCs w:val="20"/>
                    </w:rPr>
                  </w:pPr>
                  <w:r w:rsidRPr="007C6AFD">
                    <w:rPr>
                      <w:rFonts w:ascii="Open Sans Semibold" w:hAnsi="Open Sans Semibold"/>
                      <w:sz w:val="16"/>
                      <w:szCs w:val="20"/>
                    </w:rPr>
                    <w:t> </w:t>
                  </w:r>
                </w:p>
              </w:tc>
              <w:tc>
                <w:tcPr>
                  <w:tcW w:w="709" w:type="dxa"/>
                  <w:tcBorders>
                    <w:top w:val="nil"/>
                    <w:left w:val="nil"/>
                    <w:bottom w:val="single" w:sz="4" w:space="0" w:color="ADD6EA"/>
                    <w:right w:val="nil"/>
                  </w:tcBorders>
                  <w:shd w:val="clear" w:color="000000" w:fill="B6D5E4"/>
                  <w:noWrap/>
                  <w:vAlign w:val="center"/>
                  <w:hideMark/>
                </w:tcPr>
                <w:p w14:paraId="5F8396E2" w14:textId="77777777" w:rsidR="003330C1" w:rsidRPr="007C6AFD" w:rsidRDefault="003330C1" w:rsidP="003330C1">
                  <w:pPr>
                    <w:keepNext/>
                    <w:keepLines/>
                    <w:tabs>
                      <w:tab w:val="clear" w:pos="567"/>
                      <w:tab w:val="left" w:pos="1134"/>
                      <w:tab w:val="left" w:pos="1420"/>
                    </w:tabs>
                    <w:spacing w:before="0" w:line="240" w:lineRule="auto"/>
                    <w:jc w:val="right"/>
                    <w:rPr>
                      <w:rFonts w:ascii="Open Sans Semibold" w:hAnsi="Open Sans Semibold"/>
                      <w:sz w:val="16"/>
                      <w:szCs w:val="20"/>
                    </w:rPr>
                  </w:pPr>
                  <w:r w:rsidRPr="007C6AFD">
                    <w:rPr>
                      <w:rFonts w:ascii="Open Sans Semibold" w:hAnsi="Open Sans Semibold"/>
                      <w:sz w:val="16"/>
                      <w:szCs w:val="20"/>
                    </w:rPr>
                    <w:t>$m</w:t>
                  </w:r>
                </w:p>
              </w:tc>
              <w:tc>
                <w:tcPr>
                  <w:tcW w:w="805" w:type="dxa"/>
                  <w:tcBorders>
                    <w:top w:val="nil"/>
                    <w:left w:val="nil"/>
                    <w:bottom w:val="single" w:sz="4" w:space="0" w:color="ADD6EA"/>
                    <w:right w:val="nil"/>
                  </w:tcBorders>
                  <w:shd w:val="clear" w:color="000000" w:fill="B6D5E4"/>
                  <w:noWrap/>
                  <w:vAlign w:val="center"/>
                  <w:hideMark/>
                </w:tcPr>
                <w:p w14:paraId="564053B0" w14:textId="77777777" w:rsidR="003330C1" w:rsidRPr="007C6AFD" w:rsidRDefault="003330C1" w:rsidP="003330C1">
                  <w:pPr>
                    <w:keepNext/>
                    <w:keepLines/>
                    <w:tabs>
                      <w:tab w:val="clear" w:pos="567"/>
                      <w:tab w:val="left" w:pos="1134"/>
                      <w:tab w:val="left" w:pos="1420"/>
                    </w:tabs>
                    <w:spacing w:before="0" w:line="240" w:lineRule="auto"/>
                    <w:jc w:val="right"/>
                    <w:rPr>
                      <w:rFonts w:ascii="Open Sans Semibold" w:hAnsi="Open Sans Semibold"/>
                      <w:sz w:val="16"/>
                      <w:szCs w:val="20"/>
                    </w:rPr>
                  </w:pPr>
                  <w:r w:rsidRPr="007C6AFD">
                    <w:rPr>
                      <w:rFonts w:ascii="Open Sans Semibold" w:hAnsi="Open Sans Semibold"/>
                      <w:sz w:val="16"/>
                      <w:szCs w:val="20"/>
                    </w:rPr>
                    <w:t>$m</w:t>
                  </w:r>
                </w:p>
              </w:tc>
              <w:tc>
                <w:tcPr>
                  <w:tcW w:w="713" w:type="dxa"/>
                  <w:tcBorders>
                    <w:top w:val="nil"/>
                    <w:left w:val="nil"/>
                    <w:bottom w:val="single" w:sz="4" w:space="0" w:color="ADD6EA"/>
                    <w:right w:val="nil"/>
                  </w:tcBorders>
                  <w:shd w:val="clear" w:color="000000" w:fill="B6D5E4"/>
                  <w:noWrap/>
                  <w:vAlign w:val="center"/>
                  <w:hideMark/>
                </w:tcPr>
                <w:p w14:paraId="7CD75CE0" w14:textId="77777777" w:rsidR="003330C1" w:rsidRPr="007C6AFD" w:rsidRDefault="003330C1" w:rsidP="003330C1">
                  <w:pPr>
                    <w:keepNext/>
                    <w:keepLines/>
                    <w:tabs>
                      <w:tab w:val="clear" w:pos="567"/>
                      <w:tab w:val="left" w:pos="1134"/>
                      <w:tab w:val="left" w:pos="1420"/>
                    </w:tabs>
                    <w:spacing w:before="0" w:line="240" w:lineRule="auto"/>
                    <w:jc w:val="right"/>
                    <w:rPr>
                      <w:rFonts w:ascii="Open Sans Semibold" w:hAnsi="Open Sans Semibold"/>
                      <w:sz w:val="16"/>
                      <w:szCs w:val="20"/>
                    </w:rPr>
                  </w:pPr>
                  <w:r w:rsidRPr="007C6AFD">
                    <w:rPr>
                      <w:rFonts w:ascii="Open Sans Semibold" w:hAnsi="Open Sans Semibold"/>
                      <w:sz w:val="16"/>
                      <w:szCs w:val="20"/>
                    </w:rPr>
                    <w:t>$m</w:t>
                  </w:r>
                </w:p>
              </w:tc>
              <w:tc>
                <w:tcPr>
                  <w:tcW w:w="713" w:type="dxa"/>
                  <w:tcBorders>
                    <w:top w:val="nil"/>
                    <w:left w:val="nil"/>
                    <w:bottom w:val="single" w:sz="4" w:space="0" w:color="ADD6EA"/>
                    <w:right w:val="nil"/>
                  </w:tcBorders>
                  <w:shd w:val="clear" w:color="000000" w:fill="B6D5E4"/>
                  <w:noWrap/>
                  <w:vAlign w:val="center"/>
                  <w:hideMark/>
                </w:tcPr>
                <w:p w14:paraId="6D130AB0" w14:textId="77777777" w:rsidR="003330C1" w:rsidRPr="007C6AFD" w:rsidRDefault="003330C1" w:rsidP="003330C1">
                  <w:pPr>
                    <w:keepNext/>
                    <w:keepLines/>
                    <w:tabs>
                      <w:tab w:val="clear" w:pos="567"/>
                      <w:tab w:val="left" w:pos="1134"/>
                      <w:tab w:val="left" w:pos="1420"/>
                    </w:tabs>
                    <w:spacing w:before="0" w:line="240" w:lineRule="auto"/>
                    <w:jc w:val="right"/>
                    <w:rPr>
                      <w:rFonts w:ascii="Open Sans Semibold" w:hAnsi="Open Sans Semibold"/>
                      <w:sz w:val="16"/>
                      <w:szCs w:val="20"/>
                    </w:rPr>
                  </w:pPr>
                  <w:r w:rsidRPr="007C6AFD">
                    <w:rPr>
                      <w:rFonts w:ascii="Open Sans Semibold" w:hAnsi="Open Sans Semibold"/>
                      <w:sz w:val="16"/>
                      <w:szCs w:val="20"/>
                    </w:rPr>
                    <w:t>$m</w:t>
                  </w:r>
                </w:p>
              </w:tc>
              <w:tc>
                <w:tcPr>
                  <w:tcW w:w="713" w:type="dxa"/>
                  <w:tcBorders>
                    <w:top w:val="nil"/>
                    <w:left w:val="nil"/>
                    <w:bottom w:val="single" w:sz="4" w:space="0" w:color="ADD6EA"/>
                    <w:right w:val="nil"/>
                  </w:tcBorders>
                  <w:shd w:val="clear" w:color="000000" w:fill="B6D5E4"/>
                  <w:noWrap/>
                  <w:vAlign w:val="center"/>
                  <w:hideMark/>
                </w:tcPr>
                <w:p w14:paraId="0E8DF1F5" w14:textId="77777777" w:rsidR="003330C1" w:rsidRPr="007C6AFD" w:rsidRDefault="003330C1" w:rsidP="003330C1">
                  <w:pPr>
                    <w:keepNext/>
                    <w:keepLines/>
                    <w:tabs>
                      <w:tab w:val="clear" w:pos="567"/>
                      <w:tab w:val="left" w:pos="1134"/>
                      <w:tab w:val="left" w:pos="1420"/>
                    </w:tabs>
                    <w:spacing w:before="0" w:line="240" w:lineRule="auto"/>
                    <w:jc w:val="right"/>
                    <w:rPr>
                      <w:rFonts w:ascii="Open Sans Semibold" w:hAnsi="Open Sans Semibold"/>
                      <w:sz w:val="16"/>
                      <w:szCs w:val="20"/>
                    </w:rPr>
                  </w:pPr>
                  <w:r w:rsidRPr="007C6AFD">
                    <w:rPr>
                      <w:rFonts w:ascii="Open Sans Semibold" w:hAnsi="Open Sans Semibold"/>
                      <w:sz w:val="16"/>
                      <w:szCs w:val="20"/>
                    </w:rPr>
                    <w:t>$m</w:t>
                  </w:r>
                </w:p>
              </w:tc>
              <w:tc>
                <w:tcPr>
                  <w:tcW w:w="713" w:type="dxa"/>
                  <w:tcBorders>
                    <w:top w:val="nil"/>
                    <w:left w:val="nil"/>
                    <w:bottom w:val="single" w:sz="4" w:space="0" w:color="ADD6EA"/>
                    <w:right w:val="nil"/>
                  </w:tcBorders>
                  <w:shd w:val="clear" w:color="000000" w:fill="B6D5E4"/>
                  <w:noWrap/>
                  <w:vAlign w:val="center"/>
                  <w:hideMark/>
                </w:tcPr>
                <w:p w14:paraId="76880CC2" w14:textId="77777777" w:rsidR="003330C1" w:rsidRPr="007C6AFD" w:rsidRDefault="003330C1" w:rsidP="003330C1">
                  <w:pPr>
                    <w:keepNext/>
                    <w:keepLines/>
                    <w:tabs>
                      <w:tab w:val="clear" w:pos="567"/>
                      <w:tab w:val="left" w:pos="1134"/>
                      <w:tab w:val="left" w:pos="1420"/>
                    </w:tabs>
                    <w:spacing w:before="0" w:line="240" w:lineRule="auto"/>
                    <w:jc w:val="right"/>
                    <w:rPr>
                      <w:rFonts w:ascii="Open Sans Semibold" w:hAnsi="Open Sans Semibold"/>
                      <w:sz w:val="16"/>
                      <w:szCs w:val="20"/>
                    </w:rPr>
                  </w:pPr>
                  <w:r w:rsidRPr="007C6AFD">
                    <w:rPr>
                      <w:rFonts w:ascii="Open Sans Semibold" w:hAnsi="Open Sans Semibold"/>
                      <w:sz w:val="16"/>
                      <w:szCs w:val="20"/>
                    </w:rPr>
                    <w:t>$m</w:t>
                  </w:r>
                </w:p>
              </w:tc>
              <w:tc>
                <w:tcPr>
                  <w:tcW w:w="713" w:type="dxa"/>
                  <w:tcBorders>
                    <w:top w:val="nil"/>
                    <w:left w:val="nil"/>
                    <w:bottom w:val="single" w:sz="4" w:space="0" w:color="ADD6EA"/>
                    <w:right w:val="nil"/>
                  </w:tcBorders>
                  <w:shd w:val="clear" w:color="000000" w:fill="B6D5E4"/>
                  <w:noWrap/>
                  <w:vAlign w:val="center"/>
                  <w:hideMark/>
                </w:tcPr>
                <w:p w14:paraId="5C5E56A0" w14:textId="77777777" w:rsidR="003330C1" w:rsidRPr="007C6AFD" w:rsidRDefault="003330C1" w:rsidP="003330C1">
                  <w:pPr>
                    <w:keepNext/>
                    <w:keepLines/>
                    <w:tabs>
                      <w:tab w:val="clear" w:pos="567"/>
                      <w:tab w:val="left" w:pos="1134"/>
                      <w:tab w:val="left" w:pos="1420"/>
                    </w:tabs>
                    <w:spacing w:before="0" w:line="240" w:lineRule="auto"/>
                    <w:jc w:val="right"/>
                    <w:rPr>
                      <w:rFonts w:ascii="Open Sans Semibold" w:hAnsi="Open Sans Semibold"/>
                      <w:sz w:val="16"/>
                      <w:szCs w:val="20"/>
                    </w:rPr>
                  </w:pPr>
                  <w:r w:rsidRPr="007C6AFD">
                    <w:rPr>
                      <w:rFonts w:ascii="Open Sans Semibold" w:hAnsi="Open Sans Semibold"/>
                      <w:sz w:val="16"/>
                      <w:szCs w:val="20"/>
                    </w:rPr>
                    <w:t>$m</w:t>
                  </w:r>
                </w:p>
              </w:tc>
              <w:tc>
                <w:tcPr>
                  <w:tcW w:w="713" w:type="dxa"/>
                  <w:tcBorders>
                    <w:top w:val="nil"/>
                    <w:left w:val="nil"/>
                    <w:bottom w:val="single" w:sz="4" w:space="0" w:color="ADD6EA"/>
                    <w:right w:val="nil"/>
                  </w:tcBorders>
                  <w:shd w:val="clear" w:color="000000" w:fill="B6D5E4"/>
                  <w:noWrap/>
                  <w:vAlign w:val="center"/>
                  <w:hideMark/>
                </w:tcPr>
                <w:p w14:paraId="2A2E248C" w14:textId="77777777" w:rsidR="003330C1" w:rsidRPr="007C6AFD" w:rsidRDefault="003330C1" w:rsidP="003330C1">
                  <w:pPr>
                    <w:keepNext/>
                    <w:keepLines/>
                    <w:tabs>
                      <w:tab w:val="clear" w:pos="567"/>
                      <w:tab w:val="left" w:pos="1134"/>
                      <w:tab w:val="left" w:pos="1420"/>
                    </w:tabs>
                    <w:spacing w:before="0" w:line="240" w:lineRule="auto"/>
                    <w:jc w:val="right"/>
                    <w:rPr>
                      <w:rFonts w:ascii="Open Sans Semibold" w:hAnsi="Open Sans Semibold"/>
                      <w:sz w:val="16"/>
                      <w:szCs w:val="20"/>
                    </w:rPr>
                  </w:pPr>
                  <w:r w:rsidRPr="007C6AFD">
                    <w:rPr>
                      <w:rFonts w:ascii="Open Sans Semibold" w:hAnsi="Open Sans Semibold"/>
                      <w:sz w:val="16"/>
                      <w:szCs w:val="20"/>
                    </w:rPr>
                    <w:t>$m</w:t>
                  </w:r>
                </w:p>
              </w:tc>
              <w:tc>
                <w:tcPr>
                  <w:tcW w:w="713" w:type="dxa"/>
                  <w:tcBorders>
                    <w:top w:val="nil"/>
                    <w:left w:val="nil"/>
                    <w:bottom w:val="single" w:sz="4" w:space="0" w:color="ADD6EA"/>
                    <w:right w:val="nil"/>
                  </w:tcBorders>
                  <w:shd w:val="clear" w:color="000000" w:fill="B6D5E4"/>
                  <w:noWrap/>
                  <w:vAlign w:val="center"/>
                  <w:hideMark/>
                </w:tcPr>
                <w:p w14:paraId="473CE254" w14:textId="77777777" w:rsidR="003330C1" w:rsidRPr="007C6AFD" w:rsidRDefault="003330C1" w:rsidP="003330C1">
                  <w:pPr>
                    <w:keepNext/>
                    <w:keepLines/>
                    <w:tabs>
                      <w:tab w:val="clear" w:pos="567"/>
                      <w:tab w:val="left" w:pos="1134"/>
                      <w:tab w:val="left" w:pos="1420"/>
                    </w:tabs>
                    <w:spacing w:before="0" w:line="240" w:lineRule="auto"/>
                    <w:jc w:val="right"/>
                    <w:rPr>
                      <w:rFonts w:ascii="Open Sans Semibold" w:hAnsi="Open Sans Semibold"/>
                      <w:sz w:val="16"/>
                      <w:szCs w:val="20"/>
                    </w:rPr>
                  </w:pPr>
                  <w:r w:rsidRPr="007C6AFD">
                    <w:rPr>
                      <w:rFonts w:ascii="Open Sans Semibold" w:hAnsi="Open Sans Semibold"/>
                      <w:sz w:val="16"/>
                      <w:szCs w:val="20"/>
                    </w:rPr>
                    <w:t>$m</w:t>
                  </w:r>
                </w:p>
              </w:tc>
            </w:tr>
            <w:tr w:rsidR="003330C1" w:rsidRPr="007C6AFD" w14:paraId="26B1EDFB" w14:textId="77777777" w:rsidTr="00B30BC5">
              <w:trPr>
                <w:cantSplit/>
                <w:trHeight w:val="315"/>
              </w:trPr>
              <w:tc>
                <w:tcPr>
                  <w:tcW w:w="2305" w:type="dxa"/>
                  <w:tcBorders>
                    <w:top w:val="nil"/>
                    <w:left w:val="nil"/>
                    <w:bottom w:val="single" w:sz="4" w:space="0" w:color="ADD6EA"/>
                    <w:right w:val="nil"/>
                  </w:tcBorders>
                  <w:shd w:val="clear" w:color="auto" w:fill="auto"/>
                  <w:vAlign w:val="bottom"/>
                  <w:hideMark/>
                </w:tcPr>
                <w:p w14:paraId="3B9F3FB6" w14:textId="77777777" w:rsidR="003330C1" w:rsidRPr="007C6AFD" w:rsidRDefault="003330C1" w:rsidP="003330C1">
                  <w:pPr>
                    <w:keepNext/>
                    <w:keepLines/>
                    <w:pageBreakBefore/>
                    <w:tabs>
                      <w:tab w:val="clear" w:pos="567"/>
                    </w:tabs>
                    <w:spacing w:before="0" w:line="240" w:lineRule="auto"/>
                    <w:rPr>
                      <w:rFonts w:eastAsia="Times New Roman" w:cs="Open Sans Light"/>
                      <w:sz w:val="16"/>
                      <w:szCs w:val="16"/>
                      <w:lang w:eastAsia="en-AU"/>
                    </w:rPr>
                  </w:pPr>
                  <w:r w:rsidRPr="007C6AFD">
                    <w:rPr>
                      <w:rFonts w:eastAsia="Times New Roman" w:cs="Open Sans Light"/>
                      <w:sz w:val="16"/>
                      <w:szCs w:val="16"/>
                      <w:lang w:eastAsia="en-AU"/>
                    </w:rPr>
                    <w:t>Estimated 2020-21 distribution</w:t>
                  </w:r>
                </w:p>
              </w:tc>
              <w:tc>
                <w:tcPr>
                  <w:tcW w:w="709" w:type="dxa"/>
                  <w:tcBorders>
                    <w:top w:val="nil"/>
                    <w:left w:val="nil"/>
                    <w:bottom w:val="single" w:sz="4" w:space="0" w:color="ADD6EA"/>
                    <w:right w:val="nil"/>
                  </w:tcBorders>
                  <w:shd w:val="clear" w:color="auto" w:fill="auto"/>
                  <w:vAlign w:val="bottom"/>
                  <w:hideMark/>
                </w:tcPr>
                <w:p w14:paraId="675BFDDC" w14:textId="77777777" w:rsidR="003330C1" w:rsidRPr="007C6AFD" w:rsidRDefault="003330C1" w:rsidP="003330C1">
                  <w:pPr>
                    <w:keepNext/>
                    <w:keepLines/>
                    <w:pageBreakBefore/>
                    <w:tabs>
                      <w:tab w:val="clear" w:pos="567"/>
                    </w:tabs>
                    <w:spacing w:before="0" w:line="240" w:lineRule="auto"/>
                    <w:jc w:val="right"/>
                    <w:rPr>
                      <w:rFonts w:eastAsia="Times New Roman" w:cs="Open Sans Light"/>
                      <w:sz w:val="16"/>
                      <w:szCs w:val="16"/>
                      <w:lang w:eastAsia="en-AU"/>
                    </w:rPr>
                  </w:pPr>
                  <w:r w:rsidRPr="007C6AFD">
                    <w:rPr>
                      <w:rFonts w:eastAsia="Times New Roman" w:cs="Open Sans Light"/>
                      <w:sz w:val="16"/>
                      <w:szCs w:val="16"/>
                      <w:lang w:eastAsia="en-AU"/>
                    </w:rPr>
                    <w:t>18,453</w:t>
                  </w:r>
                </w:p>
              </w:tc>
              <w:tc>
                <w:tcPr>
                  <w:tcW w:w="805" w:type="dxa"/>
                  <w:tcBorders>
                    <w:top w:val="nil"/>
                    <w:left w:val="nil"/>
                    <w:bottom w:val="single" w:sz="4" w:space="0" w:color="ADD6EA"/>
                    <w:right w:val="nil"/>
                  </w:tcBorders>
                  <w:shd w:val="clear" w:color="auto" w:fill="auto"/>
                  <w:vAlign w:val="bottom"/>
                  <w:hideMark/>
                </w:tcPr>
                <w:p w14:paraId="4F26CB78" w14:textId="77777777" w:rsidR="003330C1" w:rsidRPr="007C6AFD" w:rsidRDefault="003330C1" w:rsidP="003330C1">
                  <w:pPr>
                    <w:keepNext/>
                    <w:keepLines/>
                    <w:pageBreakBefore/>
                    <w:tabs>
                      <w:tab w:val="clear" w:pos="567"/>
                    </w:tabs>
                    <w:spacing w:before="0" w:line="240" w:lineRule="auto"/>
                    <w:jc w:val="right"/>
                    <w:rPr>
                      <w:rFonts w:eastAsia="Times New Roman" w:cs="Open Sans Light"/>
                      <w:sz w:val="16"/>
                      <w:szCs w:val="16"/>
                      <w:lang w:eastAsia="en-AU"/>
                    </w:rPr>
                  </w:pPr>
                  <w:r w:rsidRPr="007C6AFD">
                    <w:rPr>
                      <w:rFonts w:eastAsia="Times New Roman" w:cs="Open Sans Light"/>
                      <w:sz w:val="16"/>
                      <w:szCs w:val="16"/>
                      <w:lang w:eastAsia="en-AU"/>
                    </w:rPr>
                    <w:t>15,876</w:t>
                  </w:r>
                </w:p>
              </w:tc>
              <w:tc>
                <w:tcPr>
                  <w:tcW w:w="713" w:type="dxa"/>
                  <w:tcBorders>
                    <w:top w:val="nil"/>
                    <w:left w:val="nil"/>
                    <w:bottom w:val="single" w:sz="4" w:space="0" w:color="ADD6EA"/>
                    <w:right w:val="nil"/>
                  </w:tcBorders>
                  <w:shd w:val="clear" w:color="auto" w:fill="auto"/>
                  <w:vAlign w:val="bottom"/>
                  <w:hideMark/>
                </w:tcPr>
                <w:p w14:paraId="1E589FAD" w14:textId="77777777" w:rsidR="003330C1" w:rsidRPr="007C6AFD" w:rsidRDefault="003330C1" w:rsidP="003330C1">
                  <w:pPr>
                    <w:keepNext/>
                    <w:keepLines/>
                    <w:pageBreakBefore/>
                    <w:tabs>
                      <w:tab w:val="clear" w:pos="567"/>
                    </w:tabs>
                    <w:spacing w:before="0" w:line="240" w:lineRule="auto"/>
                    <w:jc w:val="right"/>
                    <w:rPr>
                      <w:rFonts w:eastAsia="Times New Roman" w:cs="Open Sans Light"/>
                      <w:sz w:val="16"/>
                      <w:szCs w:val="16"/>
                      <w:lang w:eastAsia="en-AU"/>
                    </w:rPr>
                  </w:pPr>
                  <w:r w:rsidRPr="007C6AFD">
                    <w:rPr>
                      <w:rFonts w:eastAsia="Times New Roman" w:cs="Open Sans Light"/>
                      <w:sz w:val="16"/>
                      <w:szCs w:val="16"/>
                      <w:lang w:eastAsia="en-AU"/>
                    </w:rPr>
                    <w:t>13,387</w:t>
                  </w:r>
                </w:p>
              </w:tc>
              <w:tc>
                <w:tcPr>
                  <w:tcW w:w="713" w:type="dxa"/>
                  <w:tcBorders>
                    <w:top w:val="nil"/>
                    <w:left w:val="nil"/>
                    <w:bottom w:val="single" w:sz="4" w:space="0" w:color="ADD6EA"/>
                    <w:right w:val="nil"/>
                  </w:tcBorders>
                  <w:shd w:val="clear" w:color="auto" w:fill="auto"/>
                  <w:vAlign w:val="bottom"/>
                  <w:hideMark/>
                </w:tcPr>
                <w:p w14:paraId="48F26499" w14:textId="77777777" w:rsidR="003330C1" w:rsidRPr="007C6AFD" w:rsidRDefault="003330C1" w:rsidP="003330C1">
                  <w:pPr>
                    <w:keepNext/>
                    <w:keepLines/>
                    <w:pageBreakBefore/>
                    <w:tabs>
                      <w:tab w:val="clear" w:pos="567"/>
                    </w:tabs>
                    <w:spacing w:before="0" w:line="240" w:lineRule="auto"/>
                    <w:jc w:val="right"/>
                    <w:rPr>
                      <w:rFonts w:eastAsia="Times New Roman" w:cs="Open Sans Light"/>
                      <w:sz w:val="16"/>
                      <w:szCs w:val="16"/>
                      <w:lang w:eastAsia="en-AU"/>
                    </w:rPr>
                  </w:pPr>
                  <w:r w:rsidRPr="007C6AFD">
                    <w:rPr>
                      <w:rFonts w:eastAsia="Times New Roman" w:cs="Open Sans Light"/>
                      <w:sz w:val="16"/>
                      <w:szCs w:val="16"/>
                      <w:lang w:eastAsia="en-AU"/>
                    </w:rPr>
                    <w:t>2,941</w:t>
                  </w:r>
                </w:p>
              </w:tc>
              <w:tc>
                <w:tcPr>
                  <w:tcW w:w="713" w:type="dxa"/>
                  <w:tcBorders>
                    <w:top w:val="nil"/>
                    <w:left w:val="nil"/>
                    <w:bottom w:val="single" w:sz="4" w:space="0" w:color="ADD6EA"/>
                    <w:right w:val="nil"/>
                  </w:tcBorders>
                  <w:shd w:val="clear" w:color="auto" w:fill="auto"/>
                  <w:vAlign w:val="bottom"/>
                  <w:hideMark/>
                </w:tcPr>
                <w:p w14:paraId="160A16A1" w14:textId="77777777" w:rsidR="003330C1" w:rsidRPr="007C6AFD" w:rsidRDefault="003330C1" w:rsidP="003330C1">
                  <w:pPr>
                    <w:keepNext/>
                    <w:keepLines/>
                    <w:pageBreakBefore/>
                    <w:tabs>
                      <w:tab w:val="clear" w:pos="567"/>
                    </w:tabs>
                    <w:spacing w:before="0" w:line="240" w:lineRule="auto"/>
                    <w:jc w:val="right"/>
                    <w:rPr>
                      <w:rFonts w:eastAsia="Times New Roman" w:cs="Open Sans Light"/>
                      <w:sz w:val="16"/>
                      <w:szCs w:val="16"/>
                      <w:lang w:eastAsia="en-AU"/>
                    </w:rPr>
                  </w:pPr>
                  <w:r w:rsidRPr="007C6AFD">
                    <w:rPr>
                      <w:rFonts w:eastAsia="Times New Roman" w:cs="Open Sans Light"/>
                      <w:sz w:val="16"/>
                      <w:szCs w:val="16"/>
                      <w:lang w:eastAsia="en-AU"/>
                    </w:rPr>
                    <w:t>5,906</w:t>
                  </w:r>
                </w:p>
              </w:tc>
              <w:tc>
                <w:tcPr>
                  <w:tcW w:w="713" w:type="dxa"/>
                  <w:tcBorders>
                    <w:top w:val="nil"/>
                    <w:left w:val="nil"/>
                    <w:bottom w:val="single" w:sz="4" w:space="0" w:color="ADD6EA"/>
                    <w:right w:val="nil"/>
                  </w:tcBorders>
                  <w:shd w:val="clear" w:color="auto" w:fill="auto"/>
                  <w:vAlign w:val="bottom"/>
                  <w:hideMark/>
                </w:tcPr>
                <w:p w14:paraId="1C12D830" w14:textId="77777777" w:rsidR="003330C1" w:rsidRPr="007C6AFD" w:rsidRDefault="003330C1" w:rsidP="003330C1">
                  <w:pPr>
                    <w:keepNext/>
                    <w:keepLines/>
                    <w:pageBreakBefore/>
                    <w:tabs>
                      <w:tab w:val="clear" w:pos="567"/>
                    </w:tabs>
                    <w:spacing w:before="0" w:line="240" w:lineRule="auto"/>
                    <w:jc w:val="right"/>
                    <w:rPr>
                      <w:rFonts w:eastAsia="Times New Roman" w:cs="Open Sans Light"/>
                      <w:sz w:val="16"/>
                      <w:szCs w:val="16"/>
                      <w:lang w:eastAsia="en-AU"/>
                    </w:rPr>
                  </w:pPr>
                  <w:r w:rsidRPr="007C6AFD">
                    <w:rPr>
                      <w:rFonts w:eastAsia="Times New Roman" w:cs="Open Sans Light"/>
                      <w:sz w:val="16"/>
                      <w:szCs w:val="16"/>
                      <w:lang w:eastAsia="en-AU"/>
                    </w:rPr>
                    <w:t>2,530</w:t>
                  </w:r>
                </w:p>
              </w:tc>
              <w:tc>
                <w:tcPr>
                  <w:tcW w:w="713" w:type="dxa"/>
                  <w:tcBorders>
                    <w:top w:val="nil"/>
                    <w:left w:val="nil"/>
                    <w:bottom w:val="single" w:sz="4" w:space="0" w:color="ADD6EA"/>
                    <w:right w:val="nil"/>
                  </w:tcBorders>
                  <w:shd w:val="clear" w:color="auto" w:fill="auto"/>
                  <w:vAlign w:val="bottom"/>
                  <w:hideMark/>
                </w:tcPr>
                <w:p w14:paraId="19FC57AC" w14:textId="77777777" w:rsidR="003330C1" w:rsidRPr="007C6AFD" w:rsidRDefault="003330C1" w:rsidP="003330C1">
                  <w:pPr>
                    <w:keepNext/>
                    <w:keepLines/>
                    <w:pageBreakBefore/>
                    <w:tabs>
                      <w:tab w:val="clear" w:pos="567"/>
                    </w:tabs>
                    <w:spacing w:before="0" w:line="240" w:lineRule="auto"/>
                    <w:jc w:val="right"/>
                    <w:rPr>
                      <w:rFonts w:eastAsia="Times New Roman" w:cs="Open Sans Light"/>
                      <w:sz w:val="16"/>
                      <w:szCs w:val="16"/>
                      <w:lang w:eastAsia="en-AU"/>
                    </w:rPr>
                  </w:pPr>
                  <w:r w:rsidRPr="007C6AFD">
                    <w:rPr>
                      <w:rFonts w:eastAsia="Times New Roman" w:cs="Open Sans Light"/>
                      <w:sz w:val="16"/>
                      <w:szCs w:val="16"/>
                      <w:lang w:eastAsia="en-AU"/>
                    </w:rPr>
                    <w:t>1,222</w:t>
                  </w:r>
                </w:p>
              </w:tc>
              <w:tc>
                <w:tcPr>
                  <w:tcW w:w="713" w:type="dxa"/>
                  <w:tcBorders>
                    <w:top w:val="nil"/>
                    <w:left w:val="nil"/>
                    <w:bottom w:val="single" w:sz="4" w:space="0" w:color="ADD6EA"/>
                    <w:right w:val="nil"/>
                  </w:tcBorders>
                  <w:shd w:val="clear" w:color="auto" w:fill="auto"/>
                  <w:vAlign w:val="bottom"/>
                  <w:hideMark/>
                </w:tcPr>
                <w:p w14:paraId="00BC17BD" w14:textId="77777777" w:rsidR="003330C1" w:rsidRPr="007C6AFD" w:rsidRDefault="003330C1" w:rsidP="003330C1">
                  <w:pPr>
                    <w:keepNext/>
                    <w:keepLines/>
                    <w:pageBreakBefore/>
                    <w:tabs>
                      <w:tab w:val="clear" w:pos="567"/>
                    </w:tabs>
                    <w:spacing w:before="0" w:line="240" w:lineRule="auto"/>
                    <w:jc w:val="right"/>
                    <w:rPr>
                      <w:rFonts w:eastAsia="Times New Roman" w:cs="Open Sans Light"/>
                      <w:sz w:val="16"/>
                      <w:szCs w:val="16"/>
                      <w:lang w:eastAsia="en-AU"/>
                    </w:rPr>
                  </w:pPr>
                  <w:r w:rsidRPr="007C6AFD">
                    <w:rPr>
                      <w:rFonts w:eastAsia="Times New Roman" w:cs="Open Sans Light"/>
                      <w:sz w:val="16"/>
                      <w:szCs w:val="16"/>
                      <w:lang w:eastAsia="en-AU"/>
                    </w:rPr>
                    <w:t>2,835</w:t>
                  </w:r>
                </w:p>
              </w:tc>
              <w:tc>
                <w:tcPr>
                  <w:tcW w:w="713" w:type="dxa"/>
                  <w:tcBorders>
                    <w:top w:val="nil"/>
                    <w:left w:val="nil"/>
                    <w:bottom w:val="single" w:sz="4" w:space="0" w:color="ADD6EA"/>
                    <w:right w:val="nil"/>
                  </w:tcBorders>
                  <w:shd w:val="clear" w:color="auto" w:fill="auto"/>
                  <w:vAlign w:val="bottom"/>
                  <w:hideMark/>
                </w:tcPr>
                <w:p w14:paraId="4AE74E41" w14:textId="77777777" w:rsidR="003330C1" w:rsidRPr="007C6AFD" w:rsidRDefault="003330C1" w:rsidP="003330C1">
                  <w:pPr>
                    <w:keepNext/>
                    <w:keepLines/>
                    <w:pageBreakBefore/>
                    <w:tabs>
                      <w:tab w:val="clear" w:pos="567"/>
                    </w:tabs>
                    <w:spacing w:before="0" w:line="240" w:lineRule="auto"/>
                    <w:jc w:val="right"/>
                    <w:rPr>
                      <w:rFonts w:eastAsia="Times New Roman" w:cs="Open Sans Light"/>
                      <w:sz w:val="16"/>
                      <w:szCs w:val="16"/>
                      <w:lang w:eastAsia="en-AU"/>
                    </w:rPr>
                  </w:pPr>
                  <w:r w:rsidRPr="007C6AFD">
                    <w:rPr>
                      <w:rFonts w:eastAsia="Times New Roman" w:cs="Open Sans Light"/>
                      <w:sz w:val="16"/>
                      <w:szCs w:val="16"/>
                      <w:lang w:eastAsia="en-AU"/>
                    </w:rPr>
                    <w:t>63,150</w:t>
                  </w:r>
                </w:p>
              </w:tc>
            </w:tr>
            <w:tr w:rsidR="003330C1" w:rsidRPr="007C6AFD" w14:paraId="7761AC46" w14:textId="77777777" w:rsidTr="00B30BC5">
              <w:trPr>
                <w:cantSplit/>
                <w:trHeight w:val="315"/>
              </w:trPr>
              <w:tc>
                <w:tcPr>
                  <w:tcW w:w="2305" w:type="dxa"/>
                  <w:tcBorders>
                    <w:top w:val="nil"/>
                    <w:left w:val="nil"/>
                    <w:bottom w:val="single" w:sz="4" w:space="0" w:color="ADD6EA"/>
                    <w:right w:val="nil"/>
                  </w:tcBorders>
                  <w:shd w:val="clear" w:color="auto" w:fill="auto"/>
                  <w:vAlign w:val="bottom"/>
                  <w:hideMark/>
                </w:tcPr>
                <w:p w14:paraId="13037760" w14:textId="77777777" w:rsidR="003330C1" w:rsidRPr="007C6AFD" w:rsidRDefault="003330C1" w:rsidP="003330C1">
                  <w:pPr>
                    <w:keepNext/>
                    <w:keepLines/>
                    <w:pageBreakBefore/>
                    <w:tabs>
                      <w:tab w:val="clear" w:pos="567"/>
                    </w:tabs>
                    <w:spacing w:before="0" w:line="240" w:lineRule="auto"/>
                    <w:rPr>
                      <w:rFonts w:eastAsia="Times New Roman" w:cs="Open Sans Light"/>
                      <w:sz w:val="16"/>
                      <w:szCs w:val="16"/>
                      <w:lang w:eastAsia="en-AU"/>
                    </w:rPr>
                  </w:pPr>
                  <w:r w:rsidRPr="007C6AFD">
                    <w:rPr>
                      <w:rFonts w:eastAsia="Times New Roman" w:cs="Open Sans Light"/>
                      <w:sz w:val="16"/>
                      <w:szCs w:val="16"/>
                      <w:lang w:eastAsia="en-AU"/>
                    </w:rPr>
                    <w:t>Estimated 2021-22 distribution</w:t>
                  </w:r>
                </w:p>
              </w:tc>
              <w:tc>
                <w:tcPr>
                  <w:tcW w:w="709" w:type="dxa"/>
                  <w:tcBorders>
                    <w:top w:val="nil"/>
                    <w:left w:val="nil"/>
                    <w:bottom w:val="single" w:sz="4" w:space="0" w:color="ADD6EA"/>
                    <w:right w:val="nil"/>
                  </w:tcBorders>
                  <w:shd w:val="clear" w:color="auto" w:fill="auto"/>
                  <w:vAlign w:val="bottom"/>
                  <w:hideMark/>
                </w:tcPr>
                <w:p w14:paraId="07075267" w14:textId="77777777" w:rsidR="003330C1" w:rsidRPr="007C6AFD" w:rsidRDefault="003330C1" w:rsidP="003330C1">
                  <w:pPr>
                    <w:keepNext/>
                    <w:keepLines/>
                    <w:pageBreakBefore/>
                    <w:tabs>
                      <w:tab w:val="clear" w:pos="567"/>
                    </w:tabs>
                    <w:spacing w:before="0" w:line="240" w:lineRule="auto"/>
                    <w:jc w:val="right"/>
                    <w:rPr>
                      <w:rFonts w:eastAsia="Times New Roman" w:cs="Open Sans Light"/>
                      <w:sz w:val="16"/>
                      <w:szCs w:val="16"/>
                      <w:lang w:eastAsia="en-AU"/>
                    </w:rPr>
                  </w:pPr>
                  <w:r w:rsidRPr="007C6AFD">
                    <w:rPr>
                      <w:rFonts w:eastAsia="Times New Roman" w:cs="Open Sans Light"/>
                      <w:sz w:val="16"/>
                      <w:szCs w:val="16"/>
                      <w:lang w:eastAsia="en-AU"/>
                    </w:rPr>
                    <w:t>20,347</w:t>
                  </w:r>
                </w:p>
              </w:tc>
              <w:tc>
                <w:tcPr>
                  <w:tcW w:w="805" w:type="dxa"/>
                  <w:tcBorders>
                    <w:top w:val="nil"/>
                    <w:left w:val="nil"/>
                    <w:bottom w:val="single" w:sz="4" w:space="0" w:color="ADD6EA"/>
                    <w:right w:val="nil"/>
                  </w:tcBorders>
                  <w:shd w:val="clear" w:color="auto" w:fill="auto"/>
                  <w:vAlign w:val="bottom"/>
                  <w:hideMark/>
                </w:tcPr>
                <w:p w14:paraId="3EF0F98F" w14:textId="77777777" w:rsidR="003330C1" w:rsidRPr="007C6AFD" w:rsidRDefault="003330C1" w:rsidP="003330C1">
                  <w:pPr>
                    <w:keepNext/>
                    <w:keepLines/>
                    <w:pageBreakBefore/>
                    <w:tabs>
                      <w:tab w:val="clear" w:pos="567"/>
                    </w:tabs>
                    <w:spacing w:before="0" w:line="240" w:lineRule="auto"/>
                    <w:jc w:val="right"/>
                    <w:rPr>
                      <w:rFonts w:eastAsia="Times New Roman" w:cs="Open Sans Light"/>
                      <w:sz w:val="16"/>
                      <w:szCs w:val="16"/>
                      <w:lang w:eastAsia="en-AU"/>
                    </w:rPr>
                  </w:pPr>
                  <w:r w:rsidRPr="007C6AFD">
                    <w:rPr>
                      <w:rFonts w:eastAsia="Times New Roman" w:cs="Open Sans Light"/>
                      <w:sz w:val="16"/>
                      <w:szCs w:val="16"/>
                      <w:lang w:eastAsia="en-AU"/>
                    </w:rPr>
                    <w:t>16,220</w:t>
                  </w:r>
                </w:p>
              </w:tc>
              <w:tc>
                <w:tcPr>
                  <w:tcW w:w="713" w:type="dxa"/>
                  <w:tcBorders>
                    <w:top w:val="nil"/>
                    <w:left w:val="nil"/>
                    <w:bottom w:val="single" w:sz="4" w:space="0" w:color="ADD6EA"/>
                    <w:right w:val="nil"/>
                  </w:tcBorders>
                  <w:shd w:val="clear" w:color="auto" w:fill="auto"/>
                  <w:vAlign w:val="bottom"/>
                  <w:hideMark/>
                </w:tcPr>
                <w:p w14:paraId="3DA2A902" w14:textId="77777777" w:rsidR="003330C1" w:rsidRPr="007C6AFD" w:rsidRDefault="003330C1" w:rsidP="003330C1">
                  <w:pPr>
                    <w:keepNext/>
                    <w:keepLines/>
                    <w:pageBreakBefore/>
                    <w:tabs>
                      <w:tab w:val="clear" w:pos="567"/>
                    </w:tabs>
                    <w:spacing w:before="0" w:line="240" w:lineRule="auto"/>
                    <w:jc w:val="right"/>
                    <w:rPr>
                      <w:rFonts w:eastAsia="Times New Roman" w:cs="Open Sans Light"/>
                      <w:sz w:val="16"/>
                      <w:szCs w:val="16"/>
                      <w:lang w:eastAsia="en-AU"/>
                    </w:rPr>
                  </w:pPr>
                  <w:r w:rsidRPr="007C6AFD">
                    <w:rPr>
                      <w:rFonts w:eastAsia="Times New Roman" w:cs="Open Sans Light"/>
                      <w:sz w:val="16"/>
                      <w:szCs w:val="16"/>
                      <w:lang w:eastAsia="en-AU"/>
                    </w:rPr>
                    <w:t>14,411</w:t>
                  </w:r>
                </w:p>
              </w:tc>
              <w:tc>
                <w:tcPr>
                  <w:tcW w:w="713" w:type="dxa"/>
                  <w:tcBorders>
                    <w:top w:val="nil"/>
                    <w:left w:val="nil"/>
                    <w:bottom w:val="single" w:sz="4" w:space="0" w:color="ADD6EA"/>
                    <w:right w:val="nil"/>
                  </w:tcBorders>
                  <w:shd w:val="clear" w:color="auto" w:fill="auto"/>
                  <w:vAlign w:val="bottom"/>
                  <w:hideMark/>
                </w:tcPr>
                <w:p w14:paraId="243A8533" w14:textId="77777777" w:rsidR="003330C1" w:rsidRPr="007C6AFD" w:rsidRDefault="003330C1" w:rsidP="003330C1">
                  <w:pPr>
                    <w:keepNext/>
                    <w:keepLines/>
                    <w:pageBreakBefore/>
                    <w:tabs>
                      <w:tab w:val="clear" w:pos="567"/>
                    </w:tabs>
                    <w:spacing w:before="0" w:line="240" w:lineRule="auto"/>
                    <w:jc w:val="right"/>
                    <w:rPr>
                      <w:rFonts w:eastAsia="Times New Roman" w:cs="Open Sans Light"/>
                      <w:sz w:val="16"/>
                      <w:szCs w:val="16"/>
                      <w:lang w:eastAsia="en-AU"/>
                    </w:rPr>
                  </w:pPr>
                  <w:r w:rsidRPr="007C6AFD">
                    <w:rPr>
                      <w:rFonts w:eastAsia="Times New Roman" w:cs="Open Sans Light"/>
                      <w:sz w:val="16"/>
                      <w:szCs w:val="16"/>
                      <w:lang w:eastAsia="en-AU"/>
                    </w:rPr>
                    <w:t>2,918</w:t>
                  </w:r>
                </w:p>
              </w:tc>
              <w:tc>
                <w:tcPr>
                  <w:tcW w:w="713" w:type="dxa"/>
                  <w:tcBorders>
                    <w:top w:val="nil"/>
                    <w:left w:val="nil"/>
                    <w:bottom w:val="single" w:sz="4" w:space="0" w:color="ADD6EA"/>
                    <w:right w:val="nil"/>
                  </w:tcBorders>
                  <w:shd w:val="clear" w:color="auto" w:fill="auto"/>
                  <w:vAlign w:val="bottom"/>
                  <w:hideMark/>
                </w:tcPr>
                <w:p w14:paraId="7414B656" w14:textId="77777777" w:rsidR="003330C1" w:rsidRPr="007C6AFD" w:rsidRDefault="003330C1" w:rsidP="003330C1">
                  <w:pPr>
                    <w:keepNext/>
                    <w:keepLines/>
                    <w:pageBreakBefore/>
                    <w:tabs>
                      <w:tab w:val="clear" w:pos="567"/>
                    </w:tabs>
                    <w:spacing w:before="0" w:line="240" w:lineRule="auto"/>
                    <w:jc w:val="right"/>
                    <w:rPr>
                      <w:rFonts w:eastAsia="Times New Roman" w:cs="Open Sans Light"/>
                      <w:sz w:val="16"/>
                      <w:szCs w:val="16"/>
                      <w:lang w:eastAsia="en-AU"/>
                    </w:rPr>
                  </w:pPr>
                  <w:r w:rsidRPr="007C6AFD">
                    <w:rPr>
                      <w:rFonts w:eastAsia="Times New Roman" w:cs="Open Sans Light"/>
                      <w:sz w:val="16"/>
                      <w:szCs w:val="16"/>
                      <w:lang w:eastAsia="en-AU"/>
                    </w:rPr>
                    <w:t>6,207</w:t>
                  </w:r>
                </w:p>
              </w:tc>
              <w:tc>
                <w:tcPr>
                  <w:tcW w:w="713" w:type="dxa"/>
                  <w:tcBorders>
                    <w:top w:val="nil"/>
                    <w:left w:val="nil"/>
                    <w:bottom w:val="single" w:sz="4" w:space="0" w:color="ADD6EA"/>
                    <w:right w:val="nil"/>
                  </w:tcBorders>
                  <w:shd w:val="clear" w:color="auto" w:fill="auto"/>
                  <w:vAlign w:val="bottom"/>
                  <w:hideMark/>
                </w:tcPr>
                <w:p w14:paraId="59A40604" w14:textId="77777777" w:rsidR="003330C1" w:rsidRPr="007C6AFD" w:rsidRDefault="003330C1" w:rsidP="003330C1">
                  <w:pPr>
                    <w:keepNext/>
                    <w:keepLines/>
                    <w:pageBreakBefore/>
                    <w:tabs>
                      <w:tab w:val="clear" w:pos="567"/>
                    </w:tabs>
                    <w:spacing w:before="0" w:line="240" w:lineRule="auto"/>
                    <w:jc w:val="right"/>
                    <w:rPr>
                      <w:rFonts w:eastAsia="Times New Roman" w:cs="Open Sans Light"/>
                      <w:sz w:val="16"/>
                      <w:szCs w:val="16"/>
                      <w:lang w:eastAsia="en-AU"/>
                    </w:rPr>
                  </w:pPr>
                  <w:r w:rsidRPr="007C6AFD">
                    <w:rPr>
                      <w:rFonts w:eastAsia="Times New Roman" w:cs="Open Sans Light"/>
                      <w:sz w:val="16"/>
                      <w:szCs w:val="16"/>
                      <w:lang w:eastAsia="en-AU"/>
                    </w:rPr>
                    <w:t>2,783</w:t>
                  </w:r>
                </w:p>
              </w:tc>
              <w:tc>
                <w:tcPr>
                  <w:tcW w:w="713" w:type="dxa"/>
                  <w:tcBorders>
                    <w:top w:val="nil"/>
                    <w:left w:val="nil"/>
                    <w:bottom w:val="single" w:sz="4" w:space="0" w:color="ADD6EA"/>
                    <w:right w:val="nil"/>
                  </w:tcBorders>
                  <w:shd w:val="clear" w:color="auto" w:fill="auto"/>
                  <w:vAlign w:val="bottom"/>
                  <w:hideMark/>
                </w:tcPr>
                <w:p w14:paraId="04879C33" w14:textId="77777777" w:rsidR="003330C1" w:rsidRPr="007C6AFD" w:rsidRDefault="003330C1" w:rsidP="003330C1">
                  <w:pPr>
                    <w:keepNext/>
                    <w:keepLines/>
                    <w:pageBreakBefore/>
                    <w:tabs>
                      <w:tab w:val="clear" w:pos="567"/>
                    </w:tabs>
                    <w:spacing w:before="0" w:line="240" w:lineRule="auto"/>
                    <w:jc w:val="right"/>
                    <w:rPr>
                      <w:rFonts w:eastAsia="Times New Roman" w:cs="Open Sans Light"/>
                      <w:sz w:val="16"/>
                      <w:szCs w:val="16"/>
                      <w:lang w:eastAsia="en-AU"/>
                    </w:rPr>
                  </w:pPr>
                  <w:r w:rsidRPr="007C6AFD">
                    <w:rPr>
                      <w:rFonts w:eastAsia="Times New Roman" w:cs="Open Sans Light"/>
                      <w:sz w:val="16"/>
                      <w:szCs w:val="16"/>
                      <w:lang w:eastAsia="en-AU"/>
                    </w:rPr>
                    <w:t>1,310</w:t>
                  </w:r>
                </w:p>
              </w:tc>
              <w:tc>
                <w:tcPr>
                  <w:tcW w:w="713" w:type="dxa"/>
                  <w:tcBorders>
                    <w:top w:val="nil"/>
                    <w:left w:val="nil"/>
                    <w:bottom w:val="single" w:sz="4" w:space="0" w:color="ADD6EA"/>
                    <w:right w:val="nil"/>
                  </w:tcBorders>
                  <w:shd w:val="clear" w:color="auto" w:fill="auto"/>
                  <w:vAlign w:val="bottom"/>
                  <w:hideMark/>
                </w:tcPr>
                <w:p w14:paraId="618014B6" w14:textId="77777777" w:rsidR="003330C1" w:rsidRPr="007C6AFD" w:rsidRDefault="003330C1" w:rsidP="003330C1">
                  <w:pPr>
                    <w:keepNext/>
                    <w:keepLines/>
                    <w:pageBreakBefore/>
                    <w:tabs>
                      <w:tab w:val="clear" w:pos="567"/>
                    </w:tabs>
                    <w:spacing w:before="0" w:line="240" w:lineRule="auto"/>
                    <w:jc w:val="right"/>
                    <w:rPr>
                      <w:rFonts w:eastAsia="Times New Roman" w:cs="Open Sans Light"/>
                      <w:sz w:val="16"/>
                      <w:szCs w:val="16"/>
                      <w:lang w:eastAsia="en-AU"/>
                    </w:rPr>
                  </w:pPr>
                  <w:r w:rsidRPr="007C6AFD">
                    <w:rPr>
                      <w:rFonts w:eastAsia="Times New Roman" w:cs="Open Sans Light"/>
                      <w:sz w:val="16"/>
                      <w:szCs w:val="16"/>
                      <w:lang w:eastAsia="en-AU"/>
                    </w:rPr>
                    <w:t>2,984</w:t>
                  </w:r>
                </w:p>
              </w:tc>
              <w:tc>
                <w:tcPr>
                  <w:tcW w:w="713" w:type="dxa"/>
                  <w:tcBorders>
                    <w:top w:val="nil"/>
                    <w:left w:val="nil"/>
                    <w:bottom w:val="single" w:sz="4" w:space="0" w:color="ADD6EA"/>
                    <w:right w:val="nil"/>
                  </w:tcBorders>
                  <w:shd w:val="clear" w:color="auto" w:fill="auto"/>
                  <w:vAlign w:val="bottom"/>
                  <w:hideMark/>
                </w:tcPr>
                <w:p w14:paraId="09A76F33" w14:textId="77777777" w:rsidR="003330C1" w:rsidRPr="007C6AFD" w:rsidRDefault="003330C1" w:rsidP="003330C1">
                  <w:pPr>
                    <w:keepNext/>
                    <w:keepLines/>
                    <w:pageBreakBefore/>
                    <w:tabs>
                      <w:tab w:val="clear" w:pos="567"/>
                    </w:tabs>
                    <w:spacing w:before="0" w:line="240" w:lineRule="auto"/>
                    <w:jc w:val="right"/>
                    <w:rPr>
                      <w:rFonts w:eastAsia="Times New Roman" w:cs="Open Sans Light"/>
                      <w:sz w:val="16"/>
                      <w:szCs w:val="16"/>
                      <w:lang w:eastAsia="en-AU"/>
                    </w:rPr>
                  </w:pPr>
                  <w:r w:rsidRPr="007C6AFD">
                    <w:rPr>
                      <w:rFonts w:eastAsia="Times New Roman" w:cs="Open Sans Light"/>
                      <w:sz w:val="16"/>
                      <w:szCs w:val="16"/>
                      <w:lang w:eastAsia="en-AU"/>
                    </w:rPr>
                    <w:t>67,180</w:t>
                  </w:r>
                </w:p>
              </w:tc>
            </w:tr>
            <w:tr w:rsidR="003330C1" w:rsidRPr="007C6AFD" w14:paraId="193AE62A" w14:textId="77777777" w:rsidTr="00B30BC5">
              <w:trPr>
                <w:cantSplit/>
                <w:trHeight w:val="315"/>
              </w:trPr>
              <w:tc>
                <w:tcPr>
                  <w:tcW w:w="2305" w:type="dxa"/>
                  <w:tcBorders>
                    <w:top w:val="nil"/>
                    <w:left w:val="nil"/>
                    <w:bottom w:val="single" w:sz="4" w:space="0" w:color="ADD6EA"/>
                    <w:right w:val="nil"/>
                  </w:tcBorders>
                  <w:shd w:val="clear" w:color="000000" w:fill="D6E7F0"/>
                  <w:vAlign w:val="bottom"/>
                  <w:hideMark/>
                </w:tcPr>
                <w:p w14:paraId="791AF4D5" w14:textId="77777777" w:rsidR="003330C1" w:rsidRPr="007C6AFD" w:rsidRDefault="003330C1" w:rsidP="003330C1">
                  <w:pPr>
                    <w:keepNext/>
                    <w:keepLines/>
                    <w:tabs>
                      <w:tab w:val="clear" w:pos="567"/>
                      <w:tab w:val="left" w:pos="1134"/>
                      <w:tab w:val="left" w:pos="1420"/>
                    </w:tabs>
                    <w:spacing w:before="0" w:line="240" w:lineRule="auto"/>
                    <w:rPr>
                      <w:rFonts w:ascii="Open Sans Semibold" w:hAnsi="Open Sans Semibold"/>
                      <w:sz w:val="16"/>
                      <w:szCs w:val="20"/>
                      <w:lang w:eastAsia="en-AU"/>
                    </w:rPr>
                  </w:pPr>
                  <w:r w:rsidRPr="007C6AFD">
                    <w:rPr>
                      <w:rFonts w:ascii="Open Sans Semibold" w:hAnsi="Open Sans Semibold"/>
                      <w:sz w:val="16"/>
                      <w:szCs w:val="20"/>
                      <w:lang w:eastAsia="en-AU"/>
                    </w:rPr>
                    <w:t>Change ($m)</w:t>
                  </w:r>
                </w:p>
              </w:tc>
              <w:tc>
                <w:tcPr>
                  <w:tcW w:w="709" w:type="dxa"/>
                  <w:tcBorders>
                    <w:top w:val="nil"/>
                    <w:left w:val="nil"/>
                    <w:bottom w:val="single" w:sz="4" w:space="0" w:color="ADD6EA"/>
                    <w:right w:val="nil"/>
                  </w:tcBorders>
                  <w:shd w:val="clear" w:color="000000" w:fill="D6E7F0"/>
                  <w:vAlign w:val="bottom"/>
                  <w:hideMark/>
                </w:tcPr>
                <w:p w14:paraId="1A2F95E1" w14:textId="77777777" w:rsidR="003330C1" w:rsidRPr="007C6AFD" w:rsidRDefault="003330C1" w:rsidP="003330C1">
                  <w:pPr>
                    <w:keepNext/>
                    <w:keepLines/>
                    <w:tabs>
                      <w:tab w:val="clear" w:pos="567"/>
                      <w:tab w:val="left" w:pos="1134"/>
                      <w:tab w:val="left" w:pos="1420"/>
                    </w:tabs>
                    <w:spacing w:before="0" w:line="240" w:lineRule="auto"/>
                    <w:jc w:val="right"/>
                    <w:rPr>
                      <w:rFonts w:ascii="Open Sans Semibold" w:hAnsi="Open Sans Semibold"/>
                      <w:sz w:val="16"/>
                      <w:szCs w:val="20"/>
                      <w:lang w:eastAsia="en-AU"/>
                    </w:rPr>
                  </w:pPr>
                  <w:r w:rsidRPr="007C6AFD">
                    <w:rPr>
                      <w:rFonts w:ascii="Open Sans Semibold" w:hAnsi="Open Sans Semibold"/>
                      <w:sz w:val="16"/>
                      <w:szCs w:val="20"/>
                      <w:lang w:eastAsia="en-AU"/>
                    </w:rPr>
                    <w:t>1,894</w:t>
                  </w:r>
                </w:p>
              </w:tc>
              <w:tc>
                <w:tcPr>
                  <w:tcW w:w="805" w:type="dxa"/>
                  <w:tcBorders>
                    <w:top w:val="nil"/>
                    <w:left w:val="nil"/>
                    <w:bottom w:val="single" w:sz="4" w:space="0" w:color="ADD6EA"/>
                    <w:right w:val="nil"/>
                  </w:tcBorders>
                  <w:shd w:val="clear" w:color="000000" w:fill="D6E7F0"/>
                  <w:vAlign w:val="bottom"/>
                  <w:hideMark/>
                </w:tcPr>
                <w:p w14:paraId="2E958E04" w14:textId="77777777" w:rsidR="003330C1" w:rsidRPr="007C6AFD" w:rsidRDefault="003330C1" w:rsidP="003330C1">
                  <w:pPr>
                    <w:keepNext/>
                    <w:keepLines/>
                    <w:tabs>
                      <w:tab w:val="clear" w:pos="567"/>
                      <w:tab w:val="left" w:pos="1134"/>
                      <w:tab w:val="left" w:pos="1420"/>
                    </w:tabs>
                    <w:spacing w:before="0" w:line="240" w:lineRule="auto"/>
                    <w:jc w:val="right"/>
                    <w:rPr>
                      <w:rFonts w:ascii="Open Sans Semibold" w:hAnsi="Open Sans Semibold"/>
                      <w:sz w:val="16"/>
                      <w:szCs w:val="20"/>
                      <w:lang w:eastAsia="en-AU"/>
                    </w:rPr>
                  </w:pPr>
                  <w:r w:rsidRPr="007C6AFD">
                    <w:rPr>
                      <w:rFonts w:ascii="Open Sans Semibold" w:hAnsi="Open Sans Semibold"/>
                      <w:sz w:val="16"/>
                      <w:szCs w:val="20"/>
                      <w:lang w:eastAsia="en-AU"/>
                    </w:rPr>
                    <w:t>344</w:t>
                  </w:r>
                </w:p>
              </w:tc>
              <w:tc>
                <w:tcPr>
                  <w:tcW w:w="713" w:type="dxa"/>
                  <w:tcBorders>
                    <w:top w:val="nil"/>
                    <w:left w:val="nil"/>
                    <w:bottom w:val="single" w:sz="4" w:space="0" w:color="ADD6EA"/>
                    <w:right w:val="nil"/>
                  </w:tcBorders>
                  <w:shd w:val="clear" w:color="000000" w:fill="D6E7F0"/>
                  <w:vAlign w:val="bottom"/>
                  <w:hideMark/>
                </w:tcPr>
                <w:p w14:paraId="3A75E88D" w14:textId="77777777" w:rsidR="003330C1" w:rsidRPr="007C6AFD" w:rsidRDefault="003330C1" w:rsidP="003330C1">
                  <w:pPr>
                    <w:keepNext/>
                    <w:keepLines/>
                    <w:tabs>
                      <w:tab w:val="clear" w:pos="567"/>
                      <w:tab w:val="left" w:pos="1134"/>
                      <w:tab w:val="left" w:pos="1420"/>
                    </w:tabs>
                    <w:spacing w:before="0" w:line="240" w:lineRule="auto"/>
                    <w:jc w:val="right"/>
                    <w:rPr>
                      <w:rFonts w:ascii="Open Sans Semibold" w:hAnsi="Open Sans Semibold"/>
                      <w:sz w:val="16"/>
                      <w:szCs w:val="20"/>
                      <w:lang w:eastAsia="en-AU"/>
                    </w:rPr>
                  </w:pPr>
                  <w:r w:rsidRPr="007C6AFD">
                    <w:rPr>
                      <w:rFonts w:ascii="Open Sans Semibold" w:hAnsi="Open Sans Semibold"/>
                      <w:sz w:val="16"/>
                      <w:szCs w:val="20"/>
                      <w:lang w:eastAsia="en-AU"/>
                    </w:rPr>
                    <w:t>1,023</w:t>
                  </w:r>
                </w:p>
              </w:tc>
              <w:tc>
                <w:tcPr>
                  <w:tcW w:w="713" w:type="dxa"/>
                  <w:tcBorders>
                    <w:top w:val="nil"/>
                    <w:left w:val="nil"/>
                    <w:bottom w:val="single" w:sz="4" w:space="0" w:color="ADD6EA"/>
                    <w:right w:val="nil"/>
                  </w:tcBorders>
                  <w:shd w:val="clear" w:color="000000" w:fill="D6E7F0"/>
                  <w:vAlign w:val="bottom"/>
                  <w:hideMark/>
                </w:tcPr>
                <w:p w14:paraId="58672C6F" w14:textId="77777777" w:rsidR="003330C1" w:rsidRPr="007C6AFD" w:rsidRDefault="003330C1" w:rsidP="003330C1">
                  <w:pPr>
                    <w:keepNext/>
                    <w:keepLines/>
                    <w:tabs>
                      <w:tab w:val="clear" w:pos="567"/>
                      <w:tab w:val="left" w:pos="1134"/>
                      <w:tab w:val="left" w:pos="1420"/>
                    </w:tabs>
                    <w:spacing w:before="0" w:line="240" w:lineRule="auto"/>
                    <w:jc w:val="right"/>
                    <w:rPr>
                      <w:rFonts w:ascii="Open Sans Semibold" w:hAnsi="Open Sans Semibold"/>
                      <w:sz w:val="16"/>
                      <w:szCs w:val="20"/>
                      <w:lang w:eastAsia="en-AU"/>
                    </w:rPr>
                  </w:pPr>
                  <w:r w:rsidRPr="007C6AFD">
                    <w:rPr>
                      <w:rFonts w:ascii="Open Sans Semibold" w:hAnsi="Open Sans Semibold"/>
                      <w:sz w:val="16"/>
                      <w:szCs w:val="20"/>
                      <w:lang w:eastAsia="en-AU"/>
                    </w:rPr>
                    <w:t>-23</w:t>
                  </w:r>
                </w:p>
              </w:tc>
              <w:tc>
                <w:tcPr>
                  <w:tcW w:w="713" w:type="dxa"/>
                  <w:tcBorders>
                    <w:top w:val="nil"/>
                    <w:left w:val="nil"/>
                    <w:bottom w:val="single" w:sz="4" w:space="0" w:color="ADD6EA"/>
                    <w:right w:val="nil"/>
                  </w:tcBorders>
                  <w:shd w:val="clear" w:color="000000" w:fill="D6E7F0"/>
                  <w:vAlign w:val="bottom"/>
                  <w:hideMark/>
                </w:tcPr>
                <w:p w14:paraId="0920758B" w14:textId="77777777" w:rsidR="003330C1" w:rsidRPr="007C6AFD" w:rsidRDefault="003330C1" w:rsidP="003330C1">
                  <w:pPr>
                    <w:keepNext/>
                    <w:keepLines/>
                    <w:tabs>
                      <w:tab w:val="clear" w:pos="567"/>
                      <w:tab w:val="left" w:pos="1134"/>
                      <w:tab w:val="left" w:pos="1420"/>
                    </w:tabs>
                    <w:spacing w:before="0" w:line="240" w:lineRule="auto"/>
                    <w:jc w:val="right"/>
                    <w:rPr>
                      <w:rFonts w:ascii="Open Sans Semibold" w:hAnsi="Open Sans Semibold"/>
                      <w:sz w:val="16"/>
                      <w:szCs w:val="20"/>
                      <w:lang w:eastAsia="en-AU"/>
                    </w:rPr>
                  </w:pPr>
                  <w:r w:rsidRPr="007C6AFD">
                    <w:rPr>
                      <w:rFonts w:ascii="Open Sans Semibold" w:hAnsi="Open Sans Semibold"/>
                      <w:sz w:val="16"/>
                      <w:szCs w:val="20"/>
                      <w:lang w:eastAsia="en-AU"/>
                    </w:rPr>
                    <w:t>301</w:t>
                  </w:r>
                </w:p>
              </w:tc>
              <w:tc>
                <w:tcPr>
                  <w:tcW w:w="713" w:type="dxa"/>
                  <w:tcBorders>
                    <w:top w:val="nil"/>
                    <w:left w:val="nil"/>
                    <w:bottom w:val="single" w:sz="4" w:space="0" w:color="ADD6EA"/>
                    <w:right w:val="nil"/>
                  </w:tcBorders>
                  <w:shd w:val="clear" w:color="000000" w:fill="D6E7F0"/>
                  <w:vAlign w:val="bottom"/>
                  <w:hideMark/>
                </w:tcPr>
                <w:p w14:paraId="3D4A1975" w14:textId="77777777" w:rsidR="003330C1" w:rsidRPr="007C6AFD" w:rsidRDefault="003330C1" w:rsidP="003330C1">
                  <w:pPr>
                    <w:keepNext/>
                    <w:keepLines/>
                    <w:tabs>
                      <w:tab w:val="clear" w:pos="567"/>
                      <w:tab w:val="left" w:pos="1134"/>
                      <w:tab w:val="left" w:pos="1420"/>
                    </w:tabs>
                    <w:spacing w:before="0" w:line="240" w:lineRule="auto"/>
                    <w:jc w:val="right"/>
                    <w:rPr>
                      <w:rFonts w:ascii="Open Sans Semibold" w:hAnsi="Open Sans Semibold"/>
                      <w:sz w:val="16"/>
                      <w:szCs w:val="20"/>
                      <w:lang w:eastAsia="en-AU"/>
                    </w:rPr>
                  </w:pPr>
                  <w:r w:rsidRPr="007C6AFD">
                    <w:rPr>
                      <w:rFonts w:ascii="Open Sans Semibold" w:hAnsi="Open Sans Semibold"/>
                      <w:sz w:val="16"/>
                      <w:szCs w:val="20"/>
                      <w:lang w:eastAsia="en-AU"/>
                    </w:rPr>
                    <w:t>253</w:t>
                  </w:r>
                </w:p>
              </w:tc>
              <w:tc>
                <w:tcPr>
                  <w:tcW w:w="713" w:type="dxa"/>
                  <w:tcBorders>
                    <w:top w:val="nil"/>
                    <w:left w:val="nil"/>
                    <w:bottom w:val="single" w:sz="4" w:space="0" w:color="ADD6EA"/>
                    <w:right w:val="nil"/>
                  </w:tcBorders>
                  <w:shd w:val="clear" w:color="000000" w:fill="D6E7F0"/>
                  <w:vAlign w:val="bottom"/>
                  <w:hideMark/>
                </w:tcPr>
                <w:p w14:paraId="5EBF6DAD" w14:textId="77777777" w:rsidR="003330C1" w:rsidRPr="007C6AFD" w:rsidRDefault="003330C1" w:rsidP="003330C1">
                  <w:pPr>
                    <w:keepNext/>
                    <w:keepLines/>
                    <w:tabs>
                      <w:tab w:val="clear" w:pos="567"/>
                      <w:tab w:val="left" w:pos="1134"/>
                      <w:tab w:val="left" w:pos="1420"/>
                    </w:tabs>
                    <w:spacing w:before="0" w:line="240" w:lineRule="auto"/>
                    <w:jc w:val="right"/>
                    <w:rPr>
                      <w:rFonts w:ascii="Open Sans Semibold" w:hAnsi="Open Sans Semibold"/>
                      <w:sz w:val="16"/>
                      <w:szCs w:val="20"/>
                      <w:lang w:eastAsia="en-AU"/>
                    </w:rPr>
                  </w:pPr>
                  <w:r w:rsidRPr="007C6AFD">
                    <w:rPr>
                      <w:rFonts w:ascii="Open Sans Semibold" w:hAnsi="Open Sans Semibold"/>
                      <w:sz w:val="16"/>
                      <w:szCs w:val="20"/>
                      <w:lang w:eastAsia="en-AU"/>
                    </w:rPr>
                    <w:t>89</w:t>
                  </w:r>
                </w:p>
              </w:tc>
              <w:tc>
                <w:tcPr>
                  <w:tcW w:w="713" w:type="dxa"/>
                  <w:tcBorders>
                    <w:top w:val="nil"/>
                    <w:left w:val="nil"/>
                    <w:bottom w:val="single" w:sz="4" w:space="0" w:color="ADD6EA"/>
                    <w:right w:val="nil"/>
                  </w:tcBorders>
                  <w:shd w:val="clear" w:color="000000" w:fill="D6E7F0"/>
                  <w:vAlign w:val="bottom"/>
                  <w:hideMark/>
                </w:tcPr>
                <w:p w14:paraId="70DF6D52" w14:textId="77777777" w:rsidR="003330C1" w:rsidRPr="007C6AFD" w:rsidRDefault="003330C1" w:rsidP="003330C1">
                  <w:pPr>
                    <w:keepNext/>
                    <w:keepLines/>
                    <w:tabs>
                      <w:tab w:val="clear" w:pos="567"/>
                      <w:tab w:val="left" w:pos="1134"/>
                      <w:tab w:val="left" w:pos="1420"/>
                    </w:tabs>
                    <w:spacing w:before="0" w:line="240" w:lineRule="auto"/>
                    <w:jc w:val="right"/>
                    <w:rPr>
                      <w:rFonts w:ascii="Open Sans Semibold" w:hAnsi="Open Sans Semibold"/>
                      <w:sz w:val="16"/>
                      <w:szCs w:val="20"/>
                      <w:lang w:eastAsia="en-AU"/>
                    </w:rPr>
                  </w:pPr>
                  <w:r w:rsidRPr="007C6AFD">
                    <w:rPr>
                      <w:rFonts w:ascii="Open Sans Semibold" w:hAnsi="Open Sans Semibold"/>
                      <w:sz w:val="16"/>
                      <w:szCs w:val="20"/>
                      <w:lang w:eastAsia="en-AU"/>
                    </w:rPr>
                    <w:t>149</w:t>
                  </w:r>
                </w:p>
              </w:tc>
              <w:tc>
                <w:tcPr>
                  <w:tcW w:w="713" w:type="dxa"/>
                  <w:tcBorders>
                    <w:top w:val="nil"/>
                    <w:left w:val="nil"/>
                    <w:bottom w:val="single" w:sz="4" w:space="0" w:color="ADD6EA"/>
                    <w:right w:val="nil"/>
                  </w:tcBorders>
                  <w:shd w:val="clear" w:color="000000" w:fill="D6E7F0"/>
                  <w:vAlign w:val="bottom"/>
                  <w:hideMark/>
                </w:tcPr>
                <w:p w14:paraId="4671DD12" w14:textId="77777777" w:rsidR="003330C1" w:rsidRPr="007C6AFD" w:rsidRDefault="003330C1" w:rsidP="003330C1">
                  <w:pPr>
                    <w:keepNext/>
                    <w:keepLines/>
                    <w:tabs>
                      <w:tab w:val="clear" w:pos="567"/>
                      <w:tab w:val="left" w:pos="1134"/>
                      <w:tab w:val="left" w:pos="1420"/>
                    </w:tabs>
                    <w:spacing w:before="0" w:line="240" w:lineRule="auto"/>
                    <w:jc w:val="right"/>
                    <w:rPr>
                      <w:rFonts w:ascii="Open Sans Semibold" w:hAnsi="Open Sans Semibold"/>
                      <w:sz w:val="16"/>
                      <w:szCs w:val="20"/>
                      <w:lang w:eastAsia="en-AU"/>
                    </w:rPr>
                  </w:pPr>
                  <w:r w:rsidRPr="007C6AFD">
                    <w:rPr>
                      <w:rFonts w:ascii="Open Sans Semibold" w:hAnsi="Open Sans Semibold"/>
                      <w:sz w:val="16"/>
                      <w:szCs w:val="20"/>
                      <w:lang w:eastAsia="en-AU"/>
                    </w:rPr>
                    <w:t>4,030</w:t>
                  </w:r>
                </w:p>
              </w:tc>
            </w:tr>
            <w:tr w:rsidR="003330C1" w:rsidRPr="007C6AFD" w14:paraId="216DCBCF" w14:textId="77777777" w:rsidTr="00B30BC5">
              <w:trPr>
                <w:cantSplit/>
                <w:trHeight w:val="315"/>
              </w:trPr>
              <w:tc>
                <w:tcPr>
                  <w:tcW w:w="2305" w:type="dxa"/>
                  <w:tcBorders>
                    <w:top w:val="nil"/>
                    <w:left w:val="nil"/>
                    <w:bottom w:val="single" w:sz="4" w:space="0" w:color="ADD6EA"/>
                    <w:right w:val="nil"/>
                  </w:tcBorders>
                  <w:shd w:val="clear" w:color="000000" w:fill="D6E7F0"/>
                  <w:vAlign w:val="bottom"/>
                  <w:hideMark/>
                </w:tcPr>
                <w:p w14:paraId="039C9EF2" w14:textId="77777777" w:rsidR="003330C1" w:rsidRPr="007C6AFD" w:rsidRDefault="003330C1" w:rsidP="003330C1">
                  <w:pPr>
                    <w:keepNext/>
                    <w:keepLines/>
                    <w:tabs>
                      <w:tab w:val="clear" w:pos="567"/>
                      <w:tab w:val="left" w:pos="1134"/>
                      <w:tab w:val="left" w:pos="1420"/>
                    </w:tabs>
                    <w:spacing w:before="0" w:line="240" w:lineRule="auto"/>
                    <w:rPr>
                      <w:rFonts w:ascii="Open Sans Semibold" w:hAnsi="Open Sans Semibold"/>
                      <w:sz w:val="16"/>
                      <w:szCs w:val="20"/>
                      <w:lang w:eastAsia="en-AU"/>
                    </w:rPr>
                  </w:pPr>
                  <w:r w:rsidRPr="007C6AFD">
                    <w:rPr>
                      <w:rFonts w:ascii="Open Sans Semibold" w:hAnsi="Open Sans Semibold"/>
                      <w:sz w:val="16"/>
                      <w:szCs w:val="20"/>
                      <w:lang w:eastAsia="en-AU"/>
                    </w:rPr>
                    <w:t>Change ($pc)</w:t>
                  </w:r>
                </w:p>
              </w:tc>
              <w:tc>
                <w:tcPr>
                  <w:tcW w:w="709" w:type="dxa"/>
                  <w:tcBorders>
                    <w:top w:val="nil"/>
                    <w:left w:val="nil"/>
                    <w:bottom w:val="single" w:sz="4" w:space="0" w:color="ADD6EA"/>
                    <w:right w:val="nil"/>
                  </w:tcBorders>
                  <w:shd w:val="clear" w:color="000000" w:fill="D6E7F0"/>
                  <w:vAlign w:val="bottom"/>
                  <w:hideMark/>
                </w:tcPr>
                <w:p w14:paraId="2A8A5A8B" w14:textId="77777777" w:rsidR="003330C1" w:rsidRPr="007C6AFD" w:rsidRDefault="003330C1" w:rsidP="003330C1">
                  <w:pPr>
                    <w:keepNext/>
                    <w:keepLines/>
                    <w:tabs>
                      <w:tab w:val="clear" w:pos="567"/>
                      <w:tab w:val="left" w:pos="1134"/>
                      <w:tab w:val="left" w:pos="1420"/>
                    </w:tabs>
                    <w:spacing w:before="0" w:line="240" w:lineRule="auto"/>
                    <w:jc w:val="right"/>
                    <w:rPr>
                      <w:rFonts w:ascii="Open Sans Semibold" w:hAnsi="Open Sans Semibold"/>
                      <w:sz w:val="16"/>
                      <w:szCs w:val="20"/>
                      <w:lang w:eastAsia="en-AU"/>
                    </w:rPr>
                  </w:pPr>
                  <w:r w:rsidRPr="007C6AFD">
                    <w:rPr>
                      <w:rFonts w:ascii="Open Sans Semibold" w:hAnsi="Open Sans Semibold"/>
                      <w:sz w:val="16"/>
                      <w:szCs w:val="20"/>
                      <w:lang w:eastAsia="en-AU"/>
                    </w:rPr>
                    <w:t>232</w:t>
                  </w:r>
                </w:p>
              </w:tc>
              <w:tc>
                <w:tcPr>
                  <w:tcW w:w="805" w:type="dxa"/>
                  <w:tcBorders>
                    <w:top w:val="nil"/>
                    <w:left w:val="nil"/>
                    <w:bottom w:val="single" w:sz="4" w:space="0" w:color="ADD6EA"/>
                    <w:right w:val="nil"/>
                  </w:tcBorders>
                  <w:shd w:val="clear" w:color="000000" w:fill="D6E7F0"/>
                  <w:vAlign w:val="bottom"/>
                  <w:hideMark/>
                </w:tcPr>
                <w:p w14:paraId="18C05BEB" w14:textId="77777777" w:rsidR="003330C1" w:rsidRPr="007C6AFD" w:rsidRDefault="003330C1" w:rsidP="003330C1">
                  <w:pPr>
                    <w:keepNext/>
                    <w:keepLines/>
                    <w:tabs>
                      <w:tab w:val="clear" w:pos="567"/>
                      <w:tab w:val="left" w:pos="1134"/>
                      <w:tab w:val="left" w:pos="1420"/>
                    </w:tabs>
                    <w:spacing w:before="0" w:line="240" w:lineRule="auto"/>
                    <w:jc w:val="right"/>
                    <w:rPr>
                      <w:rFonts w:ascii="Open Sans Semibold" w:hAnsi="Open Sans Semibold"/>
                      <w:sz w:val="16"/>
                      <w:szCs w:val="20"/>
                      <w:lang w:eastAsia="en-AU"/>
                    </w:rPr>
                  </w:pPr>
                  <w:r w:rsidRPr="007C6AFD">
                    <w:rPr>
                      <w:rFonts w:ascii="Open Sans Semibold" w:hAnsi="Open Sans Semibold"/>
                      <w:sz w:val="16"/>
                      <w:szCs w:val="20"/>
                      <w:lang w:eastAsia="en-AU"/>
                    </w:rPr>
                    <w:t>51</w:t>
                  </w:r>
                </w:p>
              </w:tc>
              <w:tc>
                <w:tcPr>
                  <w:tcW w:w="713" w:type="dxa"/>
                  <w:tcBorders>
                    <w:top w:val="nil"/>
                    <w:left w:val="nil"/>
                    <w:bottom w:val="single" w:sz="4" w:space="0" w:color="ADD6EA"/>
                    <w:right w:val="nil"/>
                  </w:tcBorders>
                  <w:shd w:val="clear" w:color="000000" w:fill="D6E7F0"/>
                  <w:vAlign w:val="bottom"/>
                  <w:hideMark/>
                </w:tcPr>
                <w:p w14:paraId="2692FC8C" w14:textId="77777777" w:rsidR="003330C1" w:rsidRPr="007C6AFD" w:rsidRDefault="003330C1" w:rsidP="003330C1">
                  <w:pPr>
                    <w:keepNext/>
                    <w:keepLines/>
                    <w:tabs>
                      <w:tab w:val="clear" w:pos="567"/>
                      <w:tab w:val="left" w:pos="1134"/>
                      <w:tab w:val="left" w:pos="1420"/>
                    </w:tabs>
                    <w:spacing w:before="0" w:line="240" w:lineRule="auto"/>
                    <w:jc w:val="right"/>
                    <w:rPr>
                      <w:rFonts w:ascii="Open Sans Semibold" w:hAnsi="Open Sans Semibold"/>
                      <w:sz w:val="16"/>
                      <w:szCs w:val="20"/>
                      <w:lang w:eastAsia="en-AU"/>
                    </w:rPr>
                  </w:pPr>
                  <w:r w:rsidRPr="007C6AFD">
                    <w:rPr>
                      <w:rFonts w:ascii="Open Sans Semibold" w:hAnsi="Open Sans Semibold"/>
                      <w:sz w:val="16"/>
                      <w:szCs w:val="20"/>
                      <w:lang w:eastAsia="en-AU"/>
                    </w:rPr>
                    <w:t>196</w:t>
                  </w:r>
                </w:p>
              </w:tc>
              <w:tc>
                <w:tcPr>
                  <w:tcW w:w="713" w:type="dxa"/>
                  <w:tcBorders>
                    <w:top w:val="nil"/>
                    <w:left w:val="nil"/>
                    <w:bottom w:val="single" w:sz="4" w:space="0" w:color="ADD6EA"/>
                    <w:right w:val="nil"/>
                  </w:tcBorders>
                  <w:shd w:val="clear" w:color="000000" w:fill="D6E7F0"/>
                  <w:vAlign w:val="bottom"/>
                  <w:hideMark/>
                </w:tcPr>
                <w:p w14:paraId="6FEF46D8" w14:textId="77777777" w:rsidR="003330C1" w:rsidRPr="007C6AFD" w:rsidRDefault="003330C1" w:rsidP="003330C1">
                  <w:pPr>
                    <w:keepNext/>
                    <w:keepLines/>
                    <w:tabs>
                      <w:tab w:val="clear" w:pos="567"/>
                      <w:tab w:val="left" w:pos="1134"/>
                      <w:tab w:val="left" w:pos="1420"/>
                    </w:tabs>
                    <w:spacing w:before="0" w:line="240" w:lineRule="auto"/>
                    <w:jc w:val="right"/>
                    <w:rPr>
                      <w:rFonts w:ascii="Open Sans Semibold" w:hAnsi="Open Sans Semibold"/>
                      <w:sz w:val="16"/>
                      <w:szCs w:val="20"/>
                      <w:lang w:eastAsia="en-AU"/>
                    </w:rPr>
                  </w:pPr>
                  <w:r w:rsidRPr="007C6AFD">
                    <w:rPr>
                      <w:rFonts w:ascii="Open Sans Semibold" w:hAnsi="Open Sans Semibold"/>
                      <w:sz w:val="16"/>
                      <w:szCs w:val="20"/>
                      <w:lang w:eastAsia="en-AU"/>
                    </w:rPr>
                    <w:t>-9</w:t>
                  </w:r>
                </w:p>
              </w:tc>
              <w:tc>
                <w:tcPr>
                  <w:tcW w:w="713" w:type="dxa"/>
                  <w:tcBorders>
                    <w:top w:val="nil"/>
                    <w:left w:val="nil"/>
                    <w:bottom w:val="single" w:sz="4" w:space="0" w:color="ADD6EA"/>
                    <w:right w:val="nil"/>
                  </w:tcBorders>
                  <w:shd w:val="clear" w:color="000000" w:fill="D6E7F0"/>
                  <w:vAlign w:val="bottom"/>
                  <w:hideMark/>
                </w:tcPr>
                <w:p w14:paraId="497DD151" w14:textId="77777777" w:rsidR="003330C1" w:rsidRPr="007C6AFD" w:rsidRDefault="003330C1" w:rsidP="003330C1">
                  <w:pPr>
                    <w:keepNext/>
                    <w:keepLines/>
                    <w:tabs>
                      <w:tab w:val="clear" w:pos="567"/>
                      <w:tab w:val="left" w:pos="1134"/>
                      <w:tab w:val="left" w:pos="1420"/>
                    </w:tabs>
                    <w:spacing w:before="0" w:line="240" w:lineRule="auto"/>
                    <w:jc w:val="right"/>
                    <w:rPr>
                      <w:rFonts w:ascii="Open Sans Semibold" w:hAnsi="Open Sans Semibold"/>
                      <w:sz w:val="16"/>
                      <w:szCs w:val="20"/>
                      <w:lang w:eastAsia="en-AU"/>
                    </w:rPr>
                  </w:pPr>
                  <w:r w:rsidRPr="007C6AFD">
                    <w:rPr>
                      <w:rFonts w:ascii="Open Sans Semibold" w:hAnsi="Open Sans Semibold"/>
                      <w:sz w:val="16"/>
                      <w:szCs w:val="20"/>
                      <w:lang w:eastAsia="en-AU"/>
                    </w:rPr>
                    <w:t>170</w:t>
                  </w:r>
                </w:p>
              </w:tc>
              <w:tc>
                <w:tcPr>
                  <w:tcW w:w="713" w:type="dxa"/>
                  <w:tcBorders>
                    <w:top w:val="nil"/>
                    <w:left w:val="nil"/>
                    <w:bottom w:val="single" w:sz="4" w:space="0" w:color="ADD6EA"/>
                    <w:right w:val="nil"/>
                  </w:tcBorders>
                  <w:shd w:val="clear" w:color="000000" w:fill="D6E7F0"/>
                  <w:vAlign w:val="bottom"/>
                  <w:hideMark/>
                </w:tcPr>
                <w:p w14:paraId="7AD3EC36" w14:textId="77777777" w:rsidR="003330C1" w:rsidRPr="007C6AFD" w:rsidRDefault="003330C1" w:rsidP="003330C1">
                  <w:pPr>
                    <w:keepNext/>
                    <w:keepLines/>
                    <w:tabs>
                      <w:tab w:val="clear" w:pos="567"/>
                      <w:tab w:val="left" w:pos="1134"/>
                      <w:tab w:val="left" w:pos="1420"/>
                    </w:tabs>
                    <w:spacing w:before="0" w:line="240" w:lineRule="auto"/>
                    <w:jc w:val="right"/>
                    <w:rPr>
                      <w:rFonts w:ascii="Open Sans Semibold" w:hAnsi="Open Sans Semibold"/>
                      <w:sz w:val="16"/>
                      <w:szCs w:val="20"/>
                      <w:lang w:eastAsia="en-AU"/>
                    </w:rPr>
                  </w:pPr>
                  <w:r w:rsidRPr="007C6AFD">
                    <w:rPr>
                      <w:rFonts w:ascii="Open Sans Semibold" w:hAnsi="Open Sans Semibold"/>
                      <w:sz w:val="16"/>
                      <w:szCs w:val="20"/>
                      <w:lang w:eastAsia="en-AU"/>
                    </w:rPr>
                    <w:t>464</w:t>
                  </w:r>
                </w:p>
              </w:tc>
              <w:tc>
                <w:tcPr>
                  <w:tcW w:w="713" w:type="dxa"/>
                  <w:tcBorders>
                    <w:top w:val="nil"/>
                    <w:left w:val="nil"/>
                    <w:bottom w:val="single" w:sz="4" w:space="0" w:color="ADD6EA"/>
                    <w:right w:val="nil"/>
                  </w:tcBorders>
                  <w:shd w:val="clear" w:color="000000" w:fill="D6E7F0"/>
                  <w:vAlign w:val="bottom"/>
                  <w:hideMark/>
                </w:tcPr>
                <w:p w14:paraId="2F19C104" w14:textId="77777777" w:rsidR="003330C1" w:rsidRPr="007C6AFD" w:rsidRDefault="003330C1" w:rsidP="003330C1">
                  <w:pPr>
                    <w:keepNext/>
                    <w:keepLines/>
                    <w:tabs>
                      <w:tab w:val="clear" w:pos="567"/>
                      <w:tab w:val="left" w:pos="1134"/>
                      <w:tab w:val="left" w:pos="1420"/>
                    </w:tabs>
                    <w:spacing w:before="0" w:line="240" w:lineRule="auto"/>
                    <w:jc w:val="right"/>
                    <w:rPr>
                      <w:rFonts w:ascii="Open Sans Semibold" w:hAnsi="Open Sans Semibold"/>
                      <w:sz w:val="16"/>
                      <w:szCs w:val="20"/>
                      <w:lang w:eastAsia="en-AU"/>
                    </w:rPr>
                  </w:pPr>
                  <w:r w:rsidRPr="007C6AFD">
                    <w:rPr>
                      <w:rFonts w:ascii="Open Sans Semibold" w:hAnsi="Open Sans Semibold"/>
                      <w:sz w:val="16"/>
                      <w:szCs w:val="20"/>
                      <w:lang w:eastAsia="en-AU"/>
                    </w:rPr>
                    <w:t>205</w:t>
                  </w:r>
                </w:p>
              </w:tc>
              <w:tc>
                <w:tcPr>
                  <w:tcW w:w="713" w:type="dxa"/>
                  <w:tcBorders>
                    <w:top w:val="nil"/>
                    <w:left w:val="nil"/>
                    <w:bottom w:val="single" w:sz="4" w:space="0" w:color="ADD6EA"/>
                    <w:right w:val="nil"/>
                  </w:tcBorders>
                  <w:shd w:val="clear" w:color="000000" w:fill="D6E7F0"/>
                  <w:vAlign w:val="bottom"/>
                  <w:hideMark/>
                </w:tcPr>
                <w:p w14:paraId="0A0E716D" w14:textId="77777777" w:rsidR="003330C1" w:rsidRPr="007C6AFD" w:rsidRDefault="003330C1" w:rsidP="003330C1">
                  <w:pPr>
                    <w:keepNext/>
                    <w:keepLines/>
                    <w:tabs>
                      <w:tab w:val="clear" w:pos="567"/>
                      <w:tab w:val="left" w:pos="1134"/>
                      <w:tab w:val="left" w:pos="1420"/>
                    </w:tabs>
                    <w:spacing w:before="0" w:line="240" w:lineRule="auto"/>
                    <w:jc w:val="right"/>
                    <w:rPr>
                      <w:rFonts w:ascii="Open Sans Semibold" w:hAnsi="Open Sans Semibold"/>
                      <w:sz w:val="16"/>
                      <w:szCs w:val="20"/>
                      <w:lang w:eastAsia="en-AU"/>
                    </w:rPr>
                  </w:pPr>
                  <w:r w:rsidRPr="007C6AFD">
                    <w:rPr>
                      <w:rFonts w:ascii="Open Sans Semibold" w:hAnsi="Open Sans Semibold"/>
                      <w:sz w:val="16"/>
                      <w:szCs w:val="20"/>
                      <w:lang w:eastAsia="en-AU"/>
                    </w:rPr>
                    <w:t>626</w:t>
                  </w:r>
                </w:p>
              </w:tc>
              <w:tc>
                <w:tcPr>
                  <w:tcW w:w="713" w:type="dxa"/>
                  <w:tcBorders>
                    <w:top w:val="nil"/>
                    <w:left w:val="nil"/>
                    <w:bottom w:val="single" w:sz="4" w:space="0" w:color="ADD6EA"/>
                    <w:right w:val="nil"/>
                  </w:tcBorders>
                  <w:shd w:val="clear" w:color="000000" w:fill="D6E7F0"/>
                  <w:vAlign w:val="bottom"/>
                  <w:hideMark/>
                </w:tcPr>
                <w:p w14:paraId="67221433" w14:textId="77777777" w:rsidR="003330C1" w:rsidRPr="007C6AFD" w:rsidRDefault="003330C1" w:rsidP="003330C1">
                  <w:pPr>
                    <w:keepNext/>
                    <w:keepLines/>
                    <w:tabs>
                      <w:tab w:val="clear" w:pos="567"/>
                      <w:tab w:val="left" w:pos="1134"/>
                      <w:tab w:val="left" w:pos="1420"/>
                    </w:tabs>
                    <w:spacing w:before="0" w:line="240" w:lineRule="auto"/>
                    <w:jc w:val="right"/>
                    <w:rPr>
                      <w:rFonts w:ascii="Open Sans Semibold" w:hAnsi="Open Sans Semibold"/>
                      <w:sz w:val="16"/>
                      <w:szCs w:val="20"/>
                      <w:lang w:eastAsia="en-AU"/>
                    </w:rPr>
                  </w:pPr>
                  <w:r w:rsidRPr="007C6AFD">
                    <w:rPr>
                      <w:rFonts w:ascii="Open Sans Semibold" w:hAnsi="Open Sans Semibold"/>
                      <w:sz w:val="16"/>
                      <w:szCs w:val="20"/>
                      <w:lang w:eastAsia="en-AU"/>
                    </w:rPr>
                    <w:t>156</w:t>
                  </w:r>
                </w:p>
              </w:tc>
            </w:tr>
          </w:tbl>
          <w:p w14:paraId="0C309187" w14:textId="77777777" w:rsidR="003330C1" w:rsidRPr="007C6AFD" w:rsidRDefault="003330C1" w:rsidP="003330C1">
            <w:pPr>
              <w:tabs>
                <w:tab w:val="clear" w:pos="567"/>
                <w:tab w:val="left" w:pos="680"/>
              </w:tabs>
              <w:spacing w:before="40" w:line="240" w:lineRule="auto"/>
              <w:ind w:left="567" w:hanging="567"/>
              <w:rPr>
                <w:sz w:val="14"/>
              </w:rPr>
            </w:pPr>
            <w:r w:rsidRPr="007C6AFD">
              <w:rPr>
                <w:sz w:val="14"/>
              </w:rPr>
              <w:t>Note:</w:t>
            </w:r>
            <w:r w:rsidRPr="007C6AFD">
              <w:rPr>
                <w:sz w:val="14"/>
              </w:rPr>
              <w:tab/>
              <w:t>The final amount of the GST pool will be determined by the Commonwealth of Australia’s Final Budget Outcome 2020</w:t>
            </w:r>
            <w:r w:rsidRPr="007C6AFD">
              <w:rPr>
                <w:sz w:val="14"/>
              </w:rPr>
              <w:noBreakHyphen/>
              <w:t>21.</w:t>
            </w:r>
          </w:p>
          <w:p w14:paraId="3E4BACE7" w14:textId="77777777" w:rsidR="003330C1" w:rsidRPr="007C6AFD" w:rsidRDefault="003330C1" w:rsidP="003330C1">
            <w:pPr>
              <w:tabs>
                <w:tab w:val="clear" w:pos="567"/>
                <w:tab w:val="left" w:pos="680"/>
              </w:tabs>
              <w:spacing w:before="40" w:line="240" w:lineRule="auto"/>
              <w:ind w:left="567" w:hanging="567"/>
              <w:rPr>
                <w:sz w:val="14"/>
              </w:rPr>
            </w:pPr>
            <w:r w:rsidRPr="007C6AFD">
              <w:rPr>
                <w:sz w:val="14"/>
              </w:rPr>
              <w:t>Source:   Commission calculation.</w:t>
            </w:r>
          </w:p>
          <w:p w14:paraId="7834F0FB" w14:textId="77777777" w:rsidR="003330C1" w:rsidRPr="007C6AFD" w:rsidRDefault="003330C1" w:rsidP="003330C1">
            <w:r w:rsidRPr="007C6AFD">
              <w:t xml:space="preserve">The main driver of change in States’ GST shares in this update was the strong growth in the value of mining production in Western Australia, principally due to historically high iron ore prices. Given the concentration of iron ore deposits in Western Australia, this substantially bolstered its capacity to raise revenue through mining royalties, reducing its GST share and increasing those of the other States. In the case of the Northern Territory, this impact was offset by growth in royalties from other minerals. Overall, the boost in iron ore royalties was shared across all States. For Western Australia, the rise in the value of iron ore production may have a range of flow on effects; for example, a possible increase in property values and capital investment, which would have further </w:t>
            </w:r>
            <w:proofErr w:type="gramStart"/>
            <w:r w:rsidRPr="007C6AFD">
              <w:t>impacts</w:t>
            </w:r>
            <w:proofErr w:type="gramEnd"/>
            <w:r w:rsidRPr="007C6AFD">
              <w:t xml:space="preserve"> on its relative GST pool requirements over time.</w:t>
            </w:r>
          </w:p>
          <w:p w14:paraId="220DCFF0" w14:textId="77777777" w:rsidR="003330C1" w:rsidRPr="007C6AFD" w:rsidRDefault="003330C1" w:rsidP="003330C1">
            <w:r w:rsidRPr="007C6AFD">
              <w:t>The consequences of the COVID-19 pandemic on States’ revenue and expenses had little direct effect on this update. This is because the pandemic affected only the last few months of the Commission’s 3 assessment years (2017-18 to 2019-20).</w:t>
            </w:r>
            <w:r w:rsidRPr="007C6AFD">
              <w:rPr>
                <w:vertAlign w:val="superscript"/>
              </w:rPr>
              <w:footnoteReference w:id="4"/>
            </w:r>
            <w:r w:rsidRPr="007C6AFD">
              <w:t xml:space="preserve"> State budget papers indicated that States expect to see the largest budget effect of the pandemic in 2020-21, and that year will enter the Commission’s assessment period in its 2022 Update. </w:t>
            </w:r>
          </w:p>
          <w:p w14:paraId="06EEDC51" w14:textId="77777777" w:rsidR="003330C1" w:rsidRPr="007C6AFD" w:rsidRDefault="003330C1" w:rsidP="003330C1">
            <w:pPr>
              <w:keepNext/>
              <w:keepLines/>
            </w:pPr>
            <w:r w:rsidRPr="007C6AFD">
              <w:t>The estimated impact of the recommendations in the 2021 Update on States’ GST relativities and their share of the GST pool in 2021-22, compared with 2020-21, is outlined in the table below.</w:t>
            </w:r>
          </w:p>
          <w:p w14:paraId="1486D6C3" w14:textId="77777777" w:rsidR="003330C1" w:rsidRPr="007C6AFD" w:rsidRDefault="003330C1" w:rsidP="003330C1">
            <w:pPr>
              <w:keepNext/>
              <w:keepLines/>
              <w:pageBreakBefore/>
              <w:tabs>
                <w:tab w:val="clear" w:pos="567"/>
                <w:tab w:val="left" w:pos="1134"/>
                <w:tab w:val="left" w:pos="1418"/>
              </w:tabs>
              <w:spacing w:after="120" w:line="240" w:lineRule="auto"/>
              <w:ind w:left="1134" w:hanging="1134"/>
              <w:rPr>
                <w:rFonts w:ascii="Montserrat Ultra Light" w:hAnsi="Montserrat Ultra Light"/>
                <w:b/>
                <w:bCs/>
                <w:szCs w:val="20"/>
                <w:lang w:eastAsia="en-AU"/>
              </w:rPr>
            </w:pPr>
            <w:r w:rsidRPr="007C6AFD">
              <w:rPr>
                <w:rFonts w:ascii="Montserrat Ultra Light" w:hAnsi="Montserrat Ultra Light"/>
                <w:b/>
                <w:bCs/>
                <w:szCs w:val="20"/>
                <w:lang w:eastAsia="en-AU"/>
              </w:rPr>
              <w:t>GST relativities and State shares of the GST pool, 2020-21 and 2021-22</w:t>
            </w:r>
          </w:p>
          <w:tbl>
            <w:tblPr>
              <w:tblW w:w="8800" w:type="dxa"/>
              <w:tblCellMar>
                <w:left w:w="28" w:type="dxa"/>
                <w:right w:w="28" w:type="dxa"/>
              </w:tblCellMar>
              <w:tblLook w:val="04A0" w:firstRow="1" w:lastRow="0" w:firstColumn="1" w:lastColumn="0" w:noHBand="0" w:noVBand="1"/>
            </w:tblPr>
            <w:tblGrid>
              <w:gridCol w:w="1701"/>
              <w:gridCol w:w="675"/>
              <w:gridCol w:w="803"/>
              <w:gridCol w:w="803"/>
              <w:gridCol w:w="803"/>
              <w:gridCol w:w="803"/>
              <w:gridCol w:w="803"/>
              <w:gridCol w:w="803"/>
              <w:gridCol w:w="803"/>
              <w:gridCol w:w="803"/>
            </w:tblGrid>
            <w:tr w:rsidR="003330C1" w:rsidRPr="007C6AFD" w14:paraId="039D63B9" w14:textId="77777777" w:rsidTr="00B30BC5">
              <w:trPr>
                <w:trHeight w:val="375"/>
              </w:trPr>
              <w:tc>
                <w:tcPr>
                  <w:tcW w:w="1701" w:type="dxa"/>
                  <w:tcBorders>
                    <w:top w:val="nil"/>
                    <w:left w:val="nil"/>
                    <w:bottom w:val="nil"/>
                    <w:right w:val="nil"/>
                  </w:tcBorders>
                  <w:shd w:val="clear" w:color="000000" w:fill="006991"/>
                  <w:vAlign w:val="bottom"/>
                  <w:hideMark/>
                </w:tcPr>
                <w:p w14:paraId="13E9A752" w14:textId="77777777" w:rsidR="003330C1" w:rsidRPr="007C6AFD" w:rsidRDefault="003330C1" w:rsidP="003330C1">
                  <w:pPr>
                    <w:keepNext/>
                    <w:keepLines/>
                    <w:pageBreakBefore/>
                    <w:tabs>
                      <w:tab w:val="clear" w:pos="567"/>
                    </w:tabs>
                    <w:spacing w:before="0" w:line="240" w:lineRule="auto"/>
                    <w:rPr>
                      <w:rFonts w:ascii="Open Sans Semibold" w:eastAsia="Times New Roman" w:hAnsi="Open Sans Semibold" w:cs="Open Sans Semibold"/>
                      <w:color w:val="FFFFFF"/>
                      <w:sz w:val="16"/>
                      <w:szCs w:val="16"/>
                      <w:lang w:eastAsia="en-AU"/>
                    </w:rPr>
                  </w:pPr>
                  <w:r w:rsidRPr="007C6AFD">
                    <w:rPr>
                      <w:rFonts w:ascii="Open Sans Semibold" w:eastAsia="Times New Roman" w:hAnsi="Open Sans Semibold" w:cs="Open Sans Semibold"/>
                      <w:color w:val="FFFFFF"/>
                      <w:sz w:val="16"/>
                      <w:szCs w:val="16"/>
                      <w:lang w:eastAsia="en-AU"/>
                    </w:rPr>
                    <w:t> </w:t>
                  </w:r>
                </w:p>
              </w:tc>
              <w:tc>
                <w:tcPr>
                  <w:tcW w:w="675" w:type="dxa"/>
                  <w:tcBorders>
                    <w:top w:val="nil"/>
                    <w:left w:val="nil"/>
                    <w:bottom w:val="nil"/>
                    <w:right w:val="nil"/>
                  </w:tcBorders>
                  <w:shd w:val="clear" w:color="000000" w:fill="006991"/>
                  <w:vAlign w:val="center"/>
                  <w:hideMark/>
                </w:tcPr>
                <w:p w14:paraId="05C4BC46" w14:textId="77777777" w:rsidR="003330C1" w:rsidRPr="007C6AFD" w:rsidRDefault="003330C1" w:rsidP="003330C1">
                  <w:pPr>
                    <w:keepNext/>
                    <w:keepLines/>
                    <w:pageBreakBefore/>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7C6AFD">
                    <w:rPr>
                      <w:rFonts w:ascii="Open Sans Semibold" w:eastAsia="Times New Roman" w:hAnsi="Open Sans Semibold" w:cs="Open Sans Semibold"/>
                      <w:color w:val="FFFFFF"/>
                      <w:sz w:val="16"/>
                      <w:szCs w:val="16"/>
                      <w:lang w:eastAsia="en-AU"/>
                    </w:rPr>
                    <w:t>NSW</w:t>
                  </w:r>
                </w:p>
              </w:tc>
              <w:tc>
                <w:tcPr>
                  <w:tcW w:w="803" w:type="dxa"/>
                  <w:tcBorders>
                    <w:top w:val="nil"/>
                    <w:left w:val="nil"/>
                    <w:bottom w:val="nil"/>
                    <w:right w:val="nil"/>
                  </w:tcBorders>
                  <w:shd w:val="clear" w:color="000000" w:fill="006991"/>
                  <w:vAlign w:val="center"/>
                  <w:hideMark/>
                </w:tcPr>
                <w:p w14:paraId="677787D8" w14:textId="77777777" w:rsidR="003330C1" w:rsidRPr="007C6AFD" w:rsidRDefault="003330C1" w:rsidP="003330C1">
                  <w:pPr>
                    <w:keepNext/>
                    <w:keepLines/>
                    <w:pageBreakBefore/>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7C6AFD">
                    <w:rPr>
                      <w:rFonts w:ascii="Open Sans Semibold" w:eastAsia="Times New Roman" w:hAnsi="Open Sans Semibold" w:cs="Open Sans Semibold"/>
                      <w:color w:val="FFFFFF"/>
                      <w:sz w:val="16"/>
                      <w:szCs w:val="16"/>
                      <w:lang w:eastAsia="en-AU"/>
                    </w:rPr>
                    <w:t>Vic</w:t>
                  </w:r>
                </w:p>
              </w:tc>
              <w:tc>
                <w:tcPr>
                  <w:tcW w:w="803" w:type="dxa"/>
                  <w:tcBorders>
                    <w:top w:val="nil"/>
                    <w:left w:val="nil"/>
                    <w:bottom w:val="nil"/>
                    <w:right w:val="nil"/>
                  </w:tcBorders>
                  <w:shd w:val="clear" w:color="000000" w:fill="006991"/>
                  <w:vAlign w:val="center"/>
                  <w:hideMark/>
                </w:tcPr>
                <w:p w14:paraId="6FA34F12" w14:textId="77777777" w:rsidR="003330C1" w:rsidRPr="007C6AFD" w:rsidRDefault="003330C1" w:rsidP="003330C1">
                  <w:pPr>
                    <w:keepNext/>
                    <w:keepLines/>
                    <w:pageBreakBefore/>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7C6AFD">
                    <w:rPr>
                      <w:rFonts w:ascii="Open Sans Semibold" w:eastAsia="Times New Roman" w:hAnsi="Open Sans Semibold" w:cs="Open Sans Semibold"/>
                      <w:color w:val="FFFFFF"/>
                      <w:sz w:val="16"/>
                      <w:szCs w:val="16"/>
                      <w:lang w:eastAsia="en-AU"/>
                    </w:rPr>
                    <w:t>Qld</w:t>
                  </w:r>
                </w:p>
              </w:tc>
              <w:tc>
                <w:tcPr>
                  <w:tcW w:w="803" w:type="dxa"/>
                  <w:tcBorders>
                    <w:top w:val="nil"/>
                    <w:left w:val="nil"/>
                    <w:bottom w:val="nil"/>
                    <w:right w:val="nil"/>
                  </w:tcBorders>
                  <w:shd w:val="clear" w:color="000000" w:fill="006991"/>
                  <w:vAlign w:val="center"/>
                  <w:hideMark/>
                </w:tcPr>
                <w:p w14:paraId="671D4B11" w14:textId="77777777" w:rsidR="003330C1" w:rsidRPr="007C6AFD" w:rsidRDefault="003330C1" w:rsidP="003330C1">
                  <w:pPr>
                    <w:keepNext/>
                    <w:keepLines/>
                    <w:pageBreakBefore/>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7C6AFD">
                    <w:rPr>
                      <w:rFonts w:ascii="Open Sans Semibold" w:eastAsia="Times New Roman" w:hAnsi="Open Sans Semibold" w:cs="Open Sans Semibold"/>
                      <w:color w:val="FFFFFF"/>
                      <w:sz w:val="16"/>
                      <w:szCs w:val="16"/>
                      <w:lang w:eastAsia="en-AU"/>
                    </w:rPr>
                    <w:t>WA</w:t>
                  </w:r>
                </w:p>
              </w:tc>
              <w:tc>
                <w:tcPr>
                  <w:tcW w:w="803" w:type="dxa"/>
                  <w:tcBorders>
                    <w:top w:val="nil"/>
                    <w:left w:val="nil"/>
                    <w:bottom w:val="nil"/>
                    <w:right w:val="nil"/>
                  </w:tcBorders>
                  <w:shd w:val="clear" w:color="000000" w:fill="006991"/>
                  <w:vAlign w:val="center"/>
                  <w:hideMark/>
                </w:tcPr>
                <w:p w14:paraId="69D5A9CF" w14:textId="77777777" w:rsidR="003330C1" w:rsidRPr="007C6AFD" w:rsidRDefault="003330C1" w:rsidP="003330C1">
                  <w:pPr>
                    <w:keepNext/>
                    <w:keepLines/>
                    <w:pageBreakBefore/>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7C6AFD">
                    <w:rPr>
                      <w:rFonts w:ascii="Open Sans Semibold" w:eastAsia="Times New Roman" w:hAnsi="Open Sans Semibold" w:cs="Open Sans Semibold"/>
                      <w:color w:val="FFFFFF"/>
                      <w:sz w:val="16"/>
                      <w:szCs w:val="16"/>
                      <w:lang w:eastAsia="en-AU"/>
                    </w:rPr>
                    <w:t>SA</w:t>
                  </w:r>
                </w:p>
              </w:tc>
              <w:tc>
                <w:tcPr>
                  <w:tcW w:w="803" w:type="dxa"/>
                  <w:tcBorders>
                    <w:top w:val="nil"/>
                    <w:left w:val="nil"/>
                    <w:bottom w:val="nil"/>
                    <w:right w:val="nil"/>
                  </w:tcBorders>
                  <w:shd w:val="clear" w:color="000000" w:fill="006991"/>
                  <w:vAlign w:val="center"/>
                  <w:hideMark/>
                </w:tcPr>
                <w:p w14:paraId="44E053D9" w14:textId="77777777" w:rsidR="003330C1" w:rsidRPr="007C6AFD" w:rsidRDefault="003330C1" w:rsidP="003330C1">
                  <w:pPr>
                    <w:keepNext/>
                    <w:keepLines/>
                    <w:pageBreakBefore/>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7C6AFD">
                    <w:rPr>
                      <w:rFonts w:ascii="Open Sans Semibold" w:eastAsia="Times New Roman" w:hAnsi="Open Sans Semibold" w:cs="Open Sans Semibold"/>
                      <w:color w:val="FFFFFF"/>
                      <w:sz w:val="16"/>
                      <w:szCs w:val="16"/>
                      <w:lang w:eastAsia="en-AU"/>
                    </w:rPr>
                    <w:t>Tas</w:t>
                  </w:r>
                </w:p>
              </w:tc>
              <w:tc>
                <w:tcPr>
                  <w:tcW w:w="803" w:type="dxa"/>
                  <w:tcBorders>
                    <w:top w:val="nil"/>
                    <w:left w:val="nil"/>
                    <w:bottom w:val="nil"/>
                    <w:right w:val="nil"/>
                  </w:tcBorders>
                  <w:shd w:val="clear" w:color="000000" w:fill="006991"/>
                  <w:vAlign w:val="center"/>
                  <w:hideMark/>
                </w:tcPr>
                <w:p w14:paraId="6CFD8A04" w14:textId="77777777" w:rsidR="003330C1" w:rsidRPr="007C6AFD" w:rsidRDefault="003330C1" w:rsidP="003330C1">
                  <w:pPr>
                    <w:keepNext/>
                    <w:keepLines/>
                    <w:pageBreakBefore/>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7C6AFD">
                    <w:rPr>
                      <w:rFonts w:ascii="Open Sans Semibold" w:eastAsia="Times New Roman" w:hAnsi="Open Sans Semibold" w:cs="Open Sans Semibold"/>
                      <w:color w:val="FFFFFF"/>
                      <w:sz w:val="16"/>
                      <w:szCs w:val="16"/>
                      <w:lang w:eastAsia="en-AU"/>
                    </w:rPr>
                    <w:t>ACT</w:t>
                  </w:r>
                </w:p>
              </w:tc>
              <w:tc>
                <w:tcPr>
                  <w:tcW w:w="803" w:type="dxa"/>
                  <w:tcBorders>
                    <w:top w:val="nil"/>
                    <w:left w:val="nil"/>
                    <w:bottom w:val="nil"/>
                    <w:right w:val="nil"/>
                  </w:tcBorders>
                  <w:shd w:val="clear" w:color="000000" w:fill="006991"/>
                  <w:vAlign w:val="center"/>
                  <w:hideMark/>
                </w:tcPr>
                <w:p w14:paraId="55A4A1A8" w14:textId="77777777" w:rsidR="003330C1" w:rsidRPr="007C6AFD" w:rsidRDefault="003330C1" w:rsidP="003330C1">
                  <w:pPr>
                    <w:keepNext/>
                    <w:keepLines/>
                    <w:pageBreakBefore/>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7C6AFD">
                    <w:rPr>
                      <w:rFonts w:ascii="Open Sans Semibold" w:eastAsia="Times New Roman" w:hAnsi="Open Sans Semibold" w:cs="Open Sans Semibold"/>
                      <w:color w:val="FFFFFF"/>
                      <w:sz w:val="16"/>
                      <w:szCs w:val="16"/>
                      <w:lang w:eastAsia="en-AU"/>
                    </w:rPr>
                    <w:t>NT</w:t>
                  </w:r>
                </w:p>
              </w:tc>
              <w:tc>
                <w:tcPr>
                  <w:tcW w:w="803" w:type="dxa"/>
                  <w:tcBorders>
                    <w:top w:val="nil"/>
                    <w:left w:val="nil"/>
                    <w:bottom w:val="nil"/>
                    <w:right w:val="nil"/>
                  </w:tcBorders>
                  <w:shd w:val="clear" w:color="000000" w:fill="006991"/>
                  <w:vAlign w:val="center"/>
                  <w:hideMark/>
                </w:tcPr>
                <w:p w14:paraId="27DA7A95" w14:textId="77777777" w:rsidR="003330C1" w:rsidRPr="007C6AFD" w:rsidRDefault="003330C1" w:rsidP="003330C1">
                  <w:pPr>
                    <w:keepNext/>
                    <w:keepLines/>
                    <w:pageBreakBefore/>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7C6AFD">
                    <w:rPr>
                      <w:rFonts w:ascii="Open Sans Semibold" w:eastAsia="Times New Roman" w:hAnsi="Open Sans Semibold" w:cs="Open Sans Semibold"/>
                      <w:color w:val="FFFFFF"/>
                      <w:sz w:val="16"/>
                      <w:szCs w:val="16"/>
                      <w:lang w:eastAsia="en-AU"/>
                    </w:rPr>
                    <w:t>Total</w:t>
                  </w:r>
                </w:p>
              </w:tc>
            </w:tr>
            <w:tr w:rsidR="003330C1" w:rsidRPr="007C6AFD" w14:paraId="65E33995" w14:textId="77777777" w:rsidTr="00B30BC5">
              <w:trPr>
                <w:trHeight w:val="270"/>
              </w:trPr>
              <w:tc>
                <w:tcPr>
                  <w:tcW w:w="1701" w:type="dxa"/>
                  <w:tcBorders>
                    <w:top w:val="single" w:sz="4" w:space="0" w:color="ADD6EA"/>
                    <w:left w:val="nil"/>
                    <w:bottom w:val="single" w:sz="4" w:space="0" w:color="ADD6EA"/>
                    <w:right w:val="nil"/>
                  </w:tcBorders>
                  <w:shd w:val="clear" w:color="auto" w:fill="auto"/>
                  <w:vAlign w:val="bottom"/>
                  <w:hideMark/>
                </w:tcPr>
                <w:p w14:paraId="48076F85" w14:textId="77777777" w:rsidR="003330C1" w:rsidRPr="007C6AFD" w:rsidRDefault="003330C1" w:rsidP="003330C1">
                  <w:pPr>
                    <w:keepNext/>
                    <w:keepLines/>
                    <w:pageBreakBefore/>
                    <w:tabs>
                      <w:tab w:val="clear" w:pos="567"/>
                    </w:tabs>
                    <w:spacing w:before="0" w:line="240" w:lineRule="auto"/>
                    <w:rPr>
                      <w:rFonts w:eastAsia="Times New Roman" w:cs="Open Sans Light"/>
                      <w:color w:val="000000"/>
                      <w:sz w:val="16"/>
                      <w:szCs w:val="16"/>
                      <w:lang w:eastAsia="en-AU"/>
                    </w:rPr>
                  </w:pPr>
                  <w:r w:rsidRPr="007C6AFD">
                    <w:rPr>
                      <w:rFonts w:eastAsia="Times New Roman" w:cs="Open Sans Light"/>
                      <w:color w:val="000000"/>
                      <w:sz w:val="16"/>
                      <w:szCs w:val="16"/>
                      <w:lang w:eastAsia="en-AU"/>
                    </w:rPr>
                    <w:t>Relativities 2020-21</w:t>
                  </w:r>
                </w:p>
              </w:tc>
              <w:tc>
                <w:tcPr>
                  <w:tcW w:w="675" w:type="dxa"/>
                  <w:tcBorders>
                    <w:top w:val="single" w:sz="4" w:space="0" w:color="ADD6EA"/>
                    <w:left w:val="nil"/>
                    <w:bottom w:val="single" w:sz="4" w:space="0" w:color="ADD6EA"/>
                    <w:right w:val="nil"/>
                  </w:tcBorders>
                  <w:shd w:val="clear" w:color="auto" w:fill="auto"/>
                  <w:noWrap/>
                  <w:vAlign w:val="bottom"/>
                  <w:hideMark/>
                </w:tcPr>
                <w:p w14:paraId="604E2DD0" w14:textId="77777777" w:rsidR="003330C1" w:rsidRPr="007C6AFD" w:rsidRDefault="003330C1" w:rsidP="003330C1">
                  <w:pPr>
                    <w:keepNext/>
                    <w:keepLines/>
                    <w:pageBreakBefore/>
                    <w:tabs>
                      <w:tab w:val="clear" w:pos="567"/>
                    </w:tabs>
                    <w:spacing w:before="0" w:line="240" w:lineRule="auto"/>
                    <w:jc w:val="right"/>
                    <w:rPr>
                      <w:rFonts w:eastAsia="Times New Roman" w:cs="Open Sans Light"/>
                      <w:color w:val="000000"/>
                      <w:sz w:val="16"/>
                      <w:szCs w:val="16"/>
                      <w:lang w:eastAsia="en-AU"/>
                    </w:rPr>
                  </w:pPr>
                  <w:r w:rsidRPr="007C6AFD">
                    <w:rPr>
                      <w:rFonts w:eastAsia="Times New Roman" w:cs="Open Sans Light"/>
                      <w:color w:val="000000"/>
                      <w:sz w:val="16"/>
                      <w:szCs w:val="16"/>
                      <w:lang w:eastAsia="en-AU"/>
                    </w:rPr>
                    <w:t>0.91808</w:t>
                  </w:r>
                </w:p>
              </w:tc>
              <w:tc>
                <w:tcPr>
                  <w:tcW w:w="803" w:type="dxa"/>
                  <w:tcBorders>
                    <w:top w:val="single" w:sz="4" w:space="0" w:color="ADD6EA"/>
                    <w:left w:val="nil"/>
                    <w:bottom w:val="single" w:sz="4" w:space="0" w:color="ADD6EA"/>
                    <w:right w:val="nil"/>
                  </w:tcBorders>
                  <w:shd w:val="clear" w:color="auto" w:fill="auto"/>
                  <w:noWrap/>
                  <w:vAlign w:val="bottom"/>
                  <w:hideMark/>
                </w:tcPr>
                <w:p w14:paraId="32405F01" w14:textId="77777777" w:rsidR="003330C1" w:rsidRPr="007C6AFD" w:rsidRDefault="003330C1" w:rsidP="003330C1">
                  <w:pPr>
                    <w:keepNext/>
                    <w:keepLines/>
                    <w:pageBreakBefore/>
                    <w:tabs>
                      <w:tab w:val="clear" w:pos="567"/>
                    </w:tabs>
                    <w:spacing w:before="0" w:line="240" w:lineRule="auto"/>
                    <w:jc w:val="right"/>
                    <w:rPr>
                      <w:rFonts w:eastAsia="Times New Roman" w:cs="Open Sans Light"/>
                      <w:color w:val="000000"/>
                      <w:sz w:val="16"/>
                      <w:szCs w:val="16"/>
                      <w:lang w:eastAsia="en-AU"/>
                    </w:rPr>
                  </w:pPr>
                  <w:r w:rsidRPr="007C6AFD">
                    <w:rPr>
                      <w:rFonts w:eastAsia="Times New Roman" w:cs="Open Sans Light"/>
                      <w:color w:val="000000"/>
                      <w:sz w:val="16"/>
                      <w:szCs w:val="16"/>
                      <w:lang w:eastAsia="en-AU"/>
                    </w:rPr>
                    <w:t>0.95992</w:t>
                  </w:r>
                </w:p>
              </w:tc>
              <w:tc>
                <w:tcPr>
                  <w:tcW w:w="803" w:type="dxa"/>
                  <w:tcBorders>
                    <w:top w:val="single" w:sz="4" w:space="0" w:color="ADD6EA"/>
                    <w:left w:val="nil"/>
                    <w:bottom w:val="single" w:sz="4" w:space="0" w:color="ADD6EA"/>
                    <w:right w:val="nil"/>
                  </w:tcBorders>
                  <w:shd w:val="clear" w:color="auto" w:fill="auto"/>
                  <w:noWrap/>
                  <w:vAlign w:val="bottom"/>
                  <w:hideMark/>
                </w:tcPr>
                <w:p w14:paraId="6A89660E" w14:textId="77777777" w:rsidR="003330C1" w:rsidRPr="007C6AFD" w:rsidRDefault="003330C1" w:rsidP="003330C1">
                  <w:pPr>
                    <w:keepNext/>
                    <w:keepLines/>
                    <w:pageBreakBefore/>
                    <w:tabs>
                      <w:tab w:val="clear" w:pos="567"/>
                    </w:tabs>
                    <w:spacing w:before="0" w:line="240" w:lineRule="auto"/>
                    <w:jc w:val="right"/>
                    <w:rPr>
                      <w:rFonts w:eastAsia="Times New Roman" w:cs="Open Sans Light"/>
                      <w:color w:val="000000"/>
                      <w:sz w:val="16"/>
                      <w:szCs w:val="16"/>
                      <w:lang w:eastAsia="en-AU"/>
                    </w:rPr>
                  </w:pPr>
                  <w:r w:rsidRPr="007C6AFD">
                    <w:rPr>
                      <w:rFonts w:eastAsia="Times New Roman" w:cs="Open Sans Light"/>
                      <w:color w:val="000000"/>
                      <w:sz w:val="16"/>
                      <w:szCs w:val="16"/>
                      <w:lang w:eastAsia="en-AU"/>
                    </w:rPr>
                    <w:t>1.04907</w:t>
                  </w:r>
                </w:p>
              </w:tc>
              <w:tc>
                <w:tcPr>
                  <w:tcW w:w="803" w:type="dxa"/>
                  <w:tcBorders>
                    <w:top w:val="single" w:sz="4" w:space="0" w:color="ADD6EA"/>
                    <w:left w:val="nil"/>
                    <w:bottom w:val="single" w:sz="4" w:space="0" w:color="ADD6EA"/>
                    <w:right w:val="nil"/>
                  </w:tcBorders>
                  <w:shd w:val="clear" w:color="auto" w:fill="auto"/>
                  <w:noWrap/>
                  <w:vAlign w:val="bottom"/>
                  <w:hideMark/>
                </w:tcPr>
                <w:p w14:paraId="341D05DF" w14:textId="77777777" w:rsidR="003330C1" w:rsidRPr="007C6AFD" w:rsidRDefault="003330C1" w:rsidP="003330C1">
                  <w:pPr>
                    <w:keepNext/>
                    <w:keepLines/>
                    <w:pageBreakBefore/>
                    <w:tabs>
                      <w:tab w:val="clear" w:pos="567"/>
                    </w:tabs>
                    <w:spacing w:before="0" w:line="240" w:lineRule="auto"/>
                    <w:jc w:val="right"/>
                    <w:rPr>
                      <w:rFonts w:eastAsia="Times New Roman" w:cs="Open Sans Light"/>
                      <w:color w:val="000000"/>
                      <w:sz w:val="16"/>
                      <w:szCs w:val="16"/>
                      <w:lang w:eastAsia="en-AU"/>
                    </w:rPr>
                  </w:pPr>
                  <w:r w:rsidRPr="007C6AFD">
                    <w:rPr>
                      <w:rFonts w:eastAsia="Times New Roman" w:cs="Open Sans Light"/>
                      <w:color w:val="000000"/>
                      <w:sz w:val="16"/>
                      <w:szCs w:val="16"/>
                      <w:lang w:eastAsia="en-AU"/>
                    </w:rPr>
                    <w:t>0.44970</w:t>
                  </w:r>
                </w:p>
              </w:tc>
              <w:tc>
                <w:tcPr>
                  <w:tcW w:w="803" w:type="dxa"/>
                  <w:tcBorders>
                    <w:top w:val="single" w:sz="4" w:space="0" w:color="ADD6EA"/>
                    <w:left w:val="nil"/>
                    <w:bottom w:val="single" w:sz="4" w:space="0" w:color="ADD6EA"/>
                    <w:right w:val="nil"/>
                  </w:tcBorders>
                  <w:shd w:val="clear" w:color="auto" w:fill="auto"/>
                  <w:noWrap/>
                  <w:vAlign w:val="bottom"/>
                  <w:hideMark/>
                </w:tcPr>
                <w:p w14:paraId="58770D3C" w14:textId="77777777" w:rsidR="003330C1" w:rsidRPr="007C6AFD" w:rsidRDefault="003330C1" w:rsidP="003330C1">
                  <w:pPr>
                    <w:keepNext/>
                    <w:keepLines/>
                    <w:pageBreakBefore/>
                    <w:tabs>
                      <w:tab w:val="clear" w:pos="567"/>
                    </w:tabs>
                    <w:spacing w:before="0" w:line="240" w:lineRule="auto"/>
                    <w:jc w:val="right"/>
                    <w:rPr>
                      <w:rFonts w:eastAsia="Times New Roman" w:cs="Open Sans Light"/>
                      <w:color w:val="000000"/>
                      <w:sz w:val="16"/>
                      <w:szCs w:val="16"/>
                      <w:lang w:eastAsia="en-AU"/>
                    </w:rPr>
                  </w:pPr>
                  <w:r w:rsidRPr="007C6AFD">
                    <w:rPr>
                      <w:rFonts w:eastAsia="Times New Roman" w:cs="Open Sans Light"/>
                      <w:color w:val="000000"/>
                      <w:sz w:val="16"/>
                      <w:szCs w:val="16"/>
                      <w:lang w:eastAsia="en-AU"/>
                    </w:rPr>
                    <w:t>1.35765</w:t>
                  </w:r>
                </w:p>
              </w:tc>
              <w:tc>
                <w:tcPr>
                  <w:tcW w:w="803" w:type="dxa"/>
                  <w:tcBorders>
                    <w:top w:val="single" w:sz="4" w:space="0" w:color="ADD6EA"/>
                    <w:left w:val="nil"/>
                    <w:bottom w:val="single" w:sz="4" w:space="0" w:color="ADD6EA"/>
                    <w:right w:val="nil"/>
                  </w:tcBorders>
                  <w:shd w:val="clear" w:color="auto" w:fill="auto"/>
                  <w:noWrap/>
                  <w:vAlign w:val="bottom"/>
                  <w:hideMark/>
                </w:tcPr>
                <w:p w14:paraId="6A438CBD" w14:textId="77777777" w:rsidR="003330C1" w:rsidRPr="007C6AFD" w:rsidRDefault="003330C1" w:rsidP="003330C1">
                  <w:pPr>
                    <w:keepNext/>
                    <w:keepLines/>
                    <w:pageBreakBefore/>
                    <w:tabs>
                      <w:tab w:val="clear" w:pos="567"/>
                    </w:tabs>
                    <w:spacing w:before="0" w:line="240" w:lineRule="auto"/>
                    <w:jc w:val="right"/>
                    <w:rPr>
                      <w:rFonts w:eastAsia="Times New Roman" w:cs="Open Sans Light"/>
                      <w:color w:val="000000"/>
                      <w:sz w:val="16"/>
                      <w:szCs w:val="16"/>
                      <w:lang w:eastAsia="en-AU"/>
                    </w:rPr>
                  </w:pPr>
                  <w:r w:rsidRPr="007C6AFD">
                    <w:rPr>
                      <w:rFonts w:eastAsia="Times New Roman" w:cs="Open Sans Light"/>
                      <w:color w:val="000000"/>
                      <w:sz w:val="16"/>
                      <w:szCs w:val="16"/>
                      <w:lang w:eastAsia="en-AU"/>
                    </w:rPr>
                    <w:t>1.89742</w:t>
                  </w:r>
                </w:p>
              </w:tc>
              <w:tc>
                <w:tcPr>
                  <w:tcW w:w="803" w:type="dxa"/>
                  <w:tcBorders>
                    <w:top w:val="single" w:sz="4" w:space="0" w:color="ADD6EA"/>
                    <w:left w:val="nil"/>
                    <w:bottom w:val="single" w:sz="4" w:space="0" w:color="ADD6EA"/>
                    <w:right w:val="nil"/>
                  </w:tcBorders>
                  <w:shd w:val="clear" w:color="auto" w:fill="auto"/>
                  <w:noWrap/>
                  <w:vAlign w:val="bottom"/>
                  <w:hideMark/>
                </w:tcPr>
                <w:p w14:paraId="3C7B159D" w14:textId="77777777" w:rsidR="003330C1" w:rsidRPr="007C6AFD" w:rsidRDefault="003330C1" w:rsidP="003330C1">
                  <w:pPr>
                    <w:keepNext/>
                    <w:keepLines/>
                    <w:pageBreakBefore/>
                    <w:tabs>
                      <w:tab w:val="clear" w:pos="567"/>
                    </w:tabs>
                    <w:spacing w:before="0" w:line="240" w:lineRule="auto"/>
                    <w:jc w:val="right"/>
                    <w:rPr>
                      <w:rFonts w:eastAsia="Times New Roman" w:cs="Open Sans Light"/>
                      <w:color w:val="000000"/>
                      <w:sz w:val="16"/>
                      <w:szCs w:val="16"/>
                      <w:lang w:eastAsia="en-AU"/>
                    </w:rPr>
                  </w:pPr>
                  <w:r w:rsidRPr="007C6AFD">
                    <w:rPr>
                      <w:rFonts w:eastAsia="Times New Roman" w:cs="Open Sans Light"/>
                      <w:color w:val="000000"/>
                      <w:sz w:val="16"/>
                      <w:szCs w:val="16"/>
                      <w:lang w:eastAsia="en-AU"/>
                    </w:rPr>
                    <w:t>1.15112</w:t>
                  </w:r>
                </w:p>
              </w:tc>
              <w:tc>
                <w:tcPr>
                  <w:tcW w:w="803" w:type="dxa"/>
                  <w:tcBorders>
                    <w:top w:val="single" w:sz="4" w:space="0" w:color="ADD6EA"/>
                    <w:left w:val="nil"/>
                    <w:bottom w:val="single" w:sz="4" w:space="0" w:color="ADD6EA"/>
                    <w:right w:val="nil"/>
                  </w:tcBorders>
                  <w:shd w:val="clear" w:color="auto" w:fill="auto"/>
                  <w:noWrap/>
                  <w:vAlign w:val="bottom"/>
                  <w:hideMark/>
                </w:tcPr>
                <w:p w14:paraId="58F8F18A" w14:textId="77777777" w:rsidR="003330C1" w:rsidRPr="007C6AFD" w:rsidRDefault="003330C1" w:rsidP="003330C1">
                  <w:pPr>
                    <w:keepNext/>
                    <w:keepLines/>
                    <w:pageBreakBefore/>
                    <w:tabs>
                      <w:tab w:val="clear" w:pos="567"/>
                    </w:tabs>
                    <w:spacing w:before="0" w:line="240" w:lineRule="auto"/>
                    <w:jc w:val="right"/>
                    <w:rPr>
                      <w:rFonts w:eastAsia="Times New Roman" w:cs="Open Sans Light"/>
                      <w:color w:val="000000"/>
                      <w:sz w:val="16"/>
                      <w:szCs w:val="16"/>
                      <w:lang w:eastAsia="en-AU"/>
                    </w:rPr>
                  </w:pPr>
                  <w:r w:rsidRPr="007C6AFD">
                    <w:rPr>
                      <w:rFonts w:eastAsia="Times New Roman" w:cs="Open Sans Light"/>
                      <w:color w:val="000000"/>
                      <w:sz w:val="16"/>
                      <w:szCs w:val="16"/>
                      <w:lang w:eastAsia="en-AU"/>
                    </w:rPr>
                    <w:t>4.76893</w:t>
                  </w:r>
                </w:p>
              </w:tc>
              <w:tc>
                <w:tcPr>
                  <w:tcW w:w="803" w:type="dxa"/>
                  <w:tcBorders>
                    <w:top w:val="single" w:sz="4" w:space="0" w:color="ADD6EA"/>
                    <w:left w:val="nil"/>
                    <w:bottom w:val="single" w:sz="4" w:space="0" w:color="ADD6EA"/>
                    <w:right w:val="nil"/>
                  </w:tcBorders>
                  <w:shd w:val="clear" w:color="auto" w:fill="auto"/>
                  <w:noWrap/>
                  <w:vAlign w:val="bottom"/>
                  <w:hideMark/>
                </w:tcPr>
                <w:p w14:paraId="61571C3D" w14:textId="77777777" w:rsidR="003330C1" w:rsidRPr="007C6AFD" w:rsidRDefault="003330C1" w:rsidP="003330C1">
                  <w:pPr>
                    <w:keepNext/>
                    <w:keepLines/>
                    <w:pageBreakBefore/>
                    <w:tabs>
                      <w:tab w:val="clear" w:pos="567"/>
                    </w:tabs>
                    <w:spacing w:before="0" w:line="240" w:lineRule="auto"/>
                    <w:jc w:val="right"/>
                    <w:rPr>
                      <w:rFonts w:eastAsia="Times New Roman" w:cs="Open Sans Light"/>
                      <w:color w:val="000000"/>
                      <w:sz w:val="16"/>
                      <w:szCs w:val="16"/>
                      <w:lang w:eastAsia="en-AU"/>
                    </w:rPr>
                  </w:pPr>
                  <w:r w:rsidRPr="007C6AFD">
                    <w:rPr>
                      <w:rFonts w:eastAsia="Times New Roman" w:cs="Open Sans Light"/>
                      <w:color w:val="000000"/>
                      <w:sz w:val="16"/>
                      <w:szCs w:val="16"/>
                      <w:lang w:eastAsia="en-AU"/>
                    </w:rPr>
                    <w:t>1.00000</w:t>
                  </w:r>
                </w:p>
              </w:tc>
            </w:tr>
            <w:tr w:rsidR="003330C1" w:rsidRPr="007C6AFD" w14:paraId="0AD3F759" w14:textId="77777777" w:rsidTr="00B30BC5">
              <w:trPr>
                <w:trHeight w:val="270"/>
              </w:trPr>
              <w:tc>
                <w:tcPr>
                  <w:tcW w:w="1701" w:type="dxa"/>
                  <w:tcBorders>
                    <w:top w:val="nil"/>
                    <w:left w:val="nil"/>
                    <w:bottom w:val="single" w:sz="4" w:space="0" w:color="ADD6EA"/>
                    <w:right w:val="nil"/>
                  </w:tcBorders>
                  <w:shd w:val="clear" w:color="auto" w:fill="auto"/>
                  <w:vAlign w:val="bottom"/>
                  <w:hideMark/>
                </w:tcPr>
                <w:p w14:paraId="5924F8C5" w14:textId="77777777" w:rsidR="003330C1" w:rsidRPr="007C6AFD" w:rsidRDefault="003330C1" w:rsidP="003330C1">
                  <w:pPr>
                    <w:keepNext/>
                    <w:keepLines/>
                    <w:pageBreakBefore/>
                    <w:tabs>
                      <w:tab w:val="clear" w:pos="567"/>
                    </w:tabs>
                    <w:spacing w:before="0" w:line="240" w:lineRule="auto"/>
                    <w:rPr>
                      <w:rFonts w:eastAsia="Times New Roman" w:cs="Open Sans Light"/>
                      <w:color w:val="000000"/>
                      <w:sz w:val="16"/>
                      <w:szCs w:val="16"/>
                      <w:lang w:eastAsia="en-AU"/>
                    </w:rPr>
                  </w:pPr>
                  <w:r w:rsidRPr="007C6AFD">
                    <w:rPr>
                      <w:rFonts w:eastAsia="Times New Roman" w:cs="Open Sans Light"/>
                      <w:color w:val="000000"/>
                      <w:sz w:val="16"/>
                      <w:szCs w:val="16"/>
                      <w:lang w:eastAsia="en-AU"/>
                    </w:rPr>
                    <w:t>Relativities 2021-22</w:t>
                  </w:r>
                </w:p>
              </w:tc>
              <w:tc>
                <w:tcPr>
                  <w:tcW w:w="675" w:type="dxa"/>
                  <w:tcBorders>
                    <w:top w:val="nil"/>
                    <w:left w:val="nil"/>
                    <w:bottom w:val="single" w:sz="4" w:space="0" w:color="ADD6EA"/>
                    <w:right w:val="nil"/>
                  </w:tcBorders>
                  <w:shd w:val="clear" w:color="auto" w:fill="auto"/>
                  <w:noWrap/>
                  <w:vAlign w:val="bottom"/>
                  <w:hideMark/>
                </w:tcPr>
                <w:p w14:paraId="7A689021" w14:textId="77777777" w:rsidR="003330C1" w:rsidRPr="007C6AFD" w:rsidRDefault="003330C1" w:rsidP="003330C1">
                  <w:pPr>
                    <w:keepNext/>
                    <w:keepLines/>
                    <w:pageBreakBefore/>
                    <w:tabs>
                      <w:tab w:val="clear" w:pos="567"/>
                    </w:tabs>
                    <w:spacing w:before="0" w:line="240" w:lineRule="auto"/>
                    <w:jc w:val="right"/>
                    <w:rPr>
                      <w:rFonts w:eastAsia="Times New Roman" w:cs="Open Sans Light"/>
                      <w:color w:val="000000"/>
                      <w:sz w:val="16"/>
                      <w:szCs w:val="16"/>
                      <w:lang w:eastAsia="en-AU"/>
                    </w:rPr>
                  </w:pPr>
                  <w:r w:rsidRPr="007C6AFD">
                    <w:rPr>
                      <w:rFonts w:eastAsia="Times New Roman" w:cs="Open Sans Light"/>
                      <w:color w:val="000000"/>
                      <w:sz w:val="16"/>
                      <w:szCs w:val="16"/>
                      <w:lang w:eastAsia="en-AU"/>
                    </w:rPr>
                    <w:t>0.95617</w:t>
                  </w:r>
                </w:p>
              </w:tc>
              <w:tc>
                <w:tcPr>
                  <w:tcW w:w="803" w:type="dxa"/>
                  <w:tcBorders>
                    <w:top w:val="nil"/>
                    <w:left w:val="nil"/>
                    <w:bottom w:val="single" w:sz="4" w:space="0" w:color="ADD6EA"/>
                    <w:right w:val="nil"/>
                  </w:tcBorders>
                  <w:shd w:val="clear" w:color="auto" w:fill="auto"/>
                  <w:noWrap/>
                  <w:vAlign w:val="bottom"/>
                  <w:hideMark/>
                </w:tcPr>
                <w:p w14:paraId="186E37C7" w14:textId="77777777" w:rsidR="003330C1" w:rsidRPr="007C6AFD" w:rsidRDefault="003330C1" w:rsidP="003330C1">
                  <w:pPr>
                    <w:keepNext/>
                    <w:keepLines/>
                    <w:pageBreakBefore/>
                    <w:tabs>
                      <w:tab w:val="clear" w:pos="567"/>
                    </w:tabs>
                    <w:spacing w:before="0" w:line="240" w:lineRule="auto"/>
                    <w:jc w:val="right"/>
                    <w:rPr>
                      <w:rFonts w:eastAsia="Times New Roman" w:cs="Open Sans Light"/>
                      <w:color w:val="000000"/>
                      <w:sz w:val="16"/>
                      <w:szCs w:val="16"/>
                      <w:lang w:eastAsia="en-AU"/>
                    </w:rPr>
                  </w:pPr>
                  <w:r w:rsidRPr="007C6AFD">
                    <w:rPr>
                      <w:rFonts w:eastAsia="Times New Roman" w:cs="Open Sans Light"/>
                      <w:color w:val="000000"/>
                      <w:sz w:val="16"/>
                      <w:szCs w:val="16"/>
                      <w:lang w:eastAsia="en-AU"/>
                    </w:rPr>
                    <w:t>0.92335</w:t>
                  </w:r>
                </w:p>
              </w:tc>
              <w:tc>
                <w:tcPr>
                  <w:tcW w:w="803" w:type="dxa"/>
                  <w:tcBorders>
                    <w:top w:val="nil"/>
                    <w:left w:val="nil"/>
                    <w:bottom w:val="single" w:sz="4" w:space="0" w:color="ADD6EA"/>
                    <w:right w:val="nil"/>
                  </w:tcBorders>
                  <w:shd w:val="clear" w:color="auto" w:fill="auto"/>
                  <w:noWrap/>
                  <w:vAlign w:val="bottom"/>
                  <w:hideMark/>
                </w:tcPr>
                <w:p w14:paraId="575E9573" w14:textId="77777777" w:rsidR="003330C1" w:rsidRPr="007C6AFD" w:rsidRDefault="003330C1" w:rsidP="003330C1">
                  <w:pPr>
                    <w:keepNext/>
                    <w:keepLines/>
                    <w:pageBreakBefore/>
                    <w:tabs>
                      <w:tab w:val="clear" w:pos="567"/>
                    </w:tabs>
                    <w:spacing w:before="0" w:line="240" w:lineRule="auto"/>
                    <w:jc w:val="right"/>
                    <w:rPr>
                      <w:rFonts w:eastAsia="Times New Roman" w:cs="Open Sans Light"/>
                      <w:color w:val="000000"/>
                      <w:sz w:val="16"/>
                      <w:szCs w:val="16"/>
                      <w:lang w:eastAsia="en-AU"/>
                    </w:rPr>
                  </w:pPr>
                  <w:r w:rsidRPr="007C6AFD">
                    <w:rPr>
                      <w:rFonts w:eastAsia="Times New Roman" w:cs="Open Sans Light"/>
                      <w:color w:val="000000"/>
                      <w:sz w:val="16"/>
                      <w:szCs w:val="16"/>
                      <w:lang w:eastAsia="en-AU"/>
                    </w:rPr>
                    <w:t>1.05918</w:t>
                  </w:r>
                </w:p>
              </w:tc>
              <w:tc>
                <w:tcPr>
                  <w:tcW w:w="803" w:type="dxa"/>
                  <w:tcBorders>
                    <w:top w:val="nil"/>
                    <w:left w:val="nil"/>
                    <w:bottom w:val="single" w:sz="4" w:space="0" w:color="ADD6EA"/>
                    <w:right w:val="nil"/>
                  </w:tcBorders>
                  <w:shd w:val="clear" w:color="auto" w:fill="auto"/>
                  <w:noWrap/>
                  <w:vAlign w:val="bottom"/>
                  <w:hideMark/>
                </w:tcPr>
                <w:p w14:paraId="6298338B" w14:textId="77777777" w:rsidR="003330C1" w:rsidRPr="007C6AFD" w:rsidRDefault="003330C1" w:rsidP="003330C1">
                  <w:pPr>
                    <w:keepNext/>
                    <w:keepLines/>
                    <w:pageBreakBefore/>
                    <w:tabs>
                      <w:tab w:val="clear" w:pos="567"/>
                    </w:tabs>
                    <w:spacing w:before="0" w:line="240" w:lineRule="auto"/>
                    <w:jc w:val="right"/>
                    <w:rPr>
                      <w:rFonts w:eastAsia="Times New Roman" w:cs="Open Sans Light"/>
                      <w:color w:val="000000"/>
                      <w:sz w:val="16"/>
                      <w:szCs w:val="16"/>
                      <w:lang w:eastAsia="en-AU"/>
                    </w:rPr>
                  </w:pPr>
                  <w:r w:rsidRPr="007C6AFD">
                    <w:rPr>
                      <w:rFonts w:eastAsia="Times New Roman" w:cs="Open Sans Light"/>
                      <w:color w:val="000000"/>
                      <w:sz w:val="16"/>
                      <w:szCs w:val="16"/>
                      <w:lang w:eastAsia="en-AU"/>
                    </w:rPr>
                    <w:t>0.41967</w:t>
                  </w:r>
                </w:p>
              </w:tc>
              <w:tc>
                <w:tcPr>
                  <w:tcW w:w="803" w:type="dxa"/>
                  <w:tcBorders>
                    <w:top w:val="nil"/>
                    <w:left w:val="nil"/>
                    <w:bottom w:val="single" w:sz="4" w:space="0" w:color="ADD6EA"/>
                    <w:right w:val="nil"/>
                  </w:tcBorders>
                  <w:shd w:val="clear" w:color="auto" w:fill="auto"/>
                  <w:noWrap/>
                  <w:vAlign w:val="bottom"/>
                  <w:hideMark/>
                </w:tcPr>
                <w:p w14:paraId="03FE4260" w14:textId="77777777" w:rsidR="003330C1" w:rsidRPr="007C6AFD" w:rsidRDefault="003330C1" w:rsidP="003330C1">
                  <w:pPr>
                    <w:keepNext/>
                    <w:keepLines/>
                    <w:pageBreakBefore/>
                    <w:tabs>
                      <w:tab w:val="clear" w:pos="567"/>
                    </w:tabs>
                    <w:spacing w:before="0" w:line="240" w:lineRule="auto"/>
                    <w:jc w:val="right"/>
                    <w:rPr>
                      <w:rFonts w:eastAsia="Times New Roman" w:cs="Open Sans Light"/>
                      <w:color w:val="000000"/>
                      <w:sz w:val="16"/>
                      <w:szCs w:val="16"/>
                      <w:lang w:eastAsia="en-AU"/>
                    </w:rPr>
                  </w:pPr>
                  <w:r w:rsidRPr="007C6AFD">
                    <w:rPr>
                      <w:rFonts w:eastAsia="Times New Roman" w:cs="Open Sans Light"/>
                      <w:color w:val="000000"/>
                      <w:sz w:val="16"/>
                      <w:szCs w:val="16"/>
                      <w:lang w:eastAsia="en-AU"/>
                    </w:rPr>
                    <w:t>1.34719</w:t>
                  </w:r>
                </w:p>
              </w:tc>
              <w:tc>
                <w:tcPr>
                  <w:tcW w:w="803" w:type="dxa"/>
                  <w:tcBorders>
                    <w:top w:val="nil"/>
                    <w:left w:val="nil"/>
                    <w:bottom w:val="single" w:sz="4" w:space="0" w:color="ADD6EA"/>
                    <w:right w:val="nil"/>
                  </w:tcBorders>
                  <w:shd w:val="clear" w:color="auto" w:fill="auto"/>
                  <w:noWrap/>
                  <w:vAlign w:val="bottom"/>
                  <w:hideMark/>
                </w:tcPr>
                <w:p w14:paraId="4C451F69" w14:textId="77777777" w:rsidR="003330C1" w:rsidRPr="007C6AFD" w:rsidRDefault="003330C1" w:rsidP="003330C1">
                  <w:pPr>
                    <w:keepNext/>
                    <w:keepLines/>
                    <w:pageBreakBefore/>
                    <w:tabs>
                      <w:tab w:val="clear" w:pos="567"/>
                    </w:tabs>
                    <w:spacing w:before="0" w:line="240" w:lineRule="auto"/>
                    <w:jc w:val="right"/>
                    <w:rPr>
                      <w:rFonts w:eastAsia="Times New Roman" w:cs="Open Sans Light"/>
                      <w:color w:val="000000"/>
                      <w:sz w:val="16"/>
                      <w:szCs w:val="16"/>
                      <w:lang w:eastAsia="en-AU"/>
                    </w:rPr>
                  </w:pPr>
                  <w:r w:rsidRPr="007C6AFD">
                    <w:rPr>
                      <w:rFonts w:eastAsia="Times New Roman" w:cs="Open Sans Light"/>
                      <w:color w:val="000000"/>
                      <w:sz w:val="16"/>
                      <w:szCs w:val="16"/>
                      <w:lang w:eastAsia="en-AU"/>
                    </w:rPr>
                    <w:t>1.96067</w:t>
                  </w:r>
                </w:p>
              </w:tc>
              <w:tc>
                <w:tcPr>
                  <w:tcW w:w="803" w:type="dxa"/>
                  <w:tcBorders>
                    <w:top w:val="nil"/>
                    <w:left w:val="nil"/>
                    <w:bottom w:val="single" w:sz="4" w:space="0" w:color="ADD6EA"/>
                    <w:right w:val="nil"/>
                  </w:tcBorders>
                  <w:shd w:val="clear" w:color="auto" w:fill="auto"/>
                  <w:noWrap/>
                  <w:vAlign w:val="bottom"/>
                  <w:hideMark/>
                </w:tcPr>
                <w:p w14:paraId="12D2E460" w14:textId="77777777" w:rsidR="003330C1" w:rsidRPr="007C6AFD" w:rsidRDefault="003330C1" w:rsidP="003330C1">
                  <w:pPr>
                    <w:keepNext/>
                    <w:keepLines/>
                    <w:pageBreakBefore/>
                    <w:tabs>
                      <w:tab w:val="clear" w:pos="567"/>
                    </w:tabs>
                    <w:spacing w:before="0" w:line="240" w:lineRule="auto"/>
                    <w:jc w:val="right"/>
                    <w:rPr>
                      <w:rFonts w:eastAsia="Times New Roman" w:cs="Open Sans Light"/>
                      <w:color w:val="000000"/>
                      <w:sz w:val="16"/>
                      <w:szCs w:val="16"/>
                      <w:lang w:eastAsia="en-AU"/>
                    </w:rPr>
                  </w:pPr>
                  <w:r w:rsidRPr="007C6AFD">
                    <w:rPr>
                      <w:rFonts w:eastAsia="Times New Roman" w:cs="Open Sans Light"/>
                      <w:color w:val="000000"/>
                      <w:sz w:val="16"/>
                      <w:szCs w:val="16"/>
                      <w:lang w:eastAsia="en-AU"/>
                    </w:rPr>
                    <w:t>1.16266</w:t>
                  </w:r>
                </w:p>
              </w:tc>
              <w:tc>
                <w:tcPr>
                  <w:tcW w:w="803" w:type="dxa"/>
                  <w:tcBorders>
                    <w:top w:val="nil"/>
                    <w:left w:val="nil"/>
                    <w:bottom w:val="single" w:sz="4" w:space="0" w:color="ADD6EA"/>
                    <w:right w:val="nil"/>
                  </w:tcBorders>
                  <w:shd w:val="clear" w:color="auto" w:fill="auto"/>
                  <w:noWrap/>
                  <w:vAlign w:val="bottom"/>
                  <w:hideMark/>
                </w:tcPr>
                <w:p w14:paraId="3F8FF990" w14:textId="77777777" w:rsidR="003330C1" w:rsidRPr="007C6AFD" w:rsidRDefault="003330C1" w:rsidP="003330C1">
                  <w:pPr>
                    <w:keepNext/>
                    <w:keepLines/>
                    <w:pageBreakBefore/>
                    <w:tabs>
                      <w:tab w:val="clear" w:pos="567"/>
                    </w:tabs>
                    <w:spacing w:before="0" w:line="240" w:lineRule="auto"/>
                    <w:jc w:val="right"/>
                    <w:rPr>
                      <w:rFonts w:eastAsia="Times New Roman" w:cs="Open Sans Light"/>
                      <w:color w:val="000000"/>
                      <w:sz w:val="16"/>
                      <w:szCs w:val="16"/>
                      <w:lang w:eastAsia="en-AU"/>
                    </w:rPr>
                  </w:pPr>
                  <w:r w:rsidRPr="007C6AFD">
                    <w:rPr>
                      <w:rFonts w:eastAsia="Times New Roman" w:cs="Open Sans Light"/>
                      <w:color w:val="000000"/>
                      <w:sz w:val="16"/>
                      <w:szCs w:val="16"/>
                      <w:lang w:eastAsia="en-AU"/>
                    </w:rPr>
                    <w:t>4.79985</w:t>
                  </w:r>
                </w:p>
              </w:tc>
              <w:tc>
                <w:tcPr>
                  <w:tcW w:w="803" w:type="dxa"/>
                  <w:tcBorders>
                    <w:top w:val="nil"/>
                    <w:left w:val="nil"/>
                    <w:bottom w:val="single" w:sz="4" w:space="0" w:color="ADD6EA"/>
                    <w:right w:val="nil"/>
                  </w:tcBorders>
                  <w:shd w:val="clear" w:color="auto" w:fill="auto"/>
                  <w:noWrap/>
                  <w:vAlign w:val="bottom"/>
                  <w:hideMark/>
                </w:tcPr>
                <w:p w14:paraId="1165D61E" w14:textId="77777777" w:rsidR="003330C1" w:rsidRPr="007C6AFD" w:rsidRDefault="003330C1" w:rsidP="003330C1">
                  <w:pPr>
                    <w:keepNext/>
                    <w:keepLines/>
                    <w:pageBreakBefore/>
                    <w:tabs>
                      <w:tab w:val="clear" w:pos="567"/>
                    </w:tabs>
                    <w:spacing w:before="0" w:line="240" w:lineRule="auto"/>
                    <w:jc w:val="right"/>
                    <w:rPr>
                      <w:rFonts w:eastAsia="Times New Roman" w:cs="Open Sans Light"/>
                      <w:color w:val="000000"/>
                      <w:sz w:val="16"/>
                      <w:szCs w:val="16"/>
                      <w:lang w:eastAsia="en-AU"/>
                    </w:rPr>
                  </w:pPr>
                  <w:r w:rsidRPr="007C6AFD">
                    <w:rPr>
                      <w:rFonts w:eastAsia="Times New Roman" w:cs="Open Sans Light"/>
                      <w:color w:val="000000"/>
                      <w:sz w:val="16"/>
                      <w:szCs w:val="16"/>
                      <w:lang w:eastAsia="en-AU"/>
                    </w:rPr>
                    <w:t>1.00000</w:t>
                  </w:r>
                </w:p>
              </w:tc>
            </w:tr>
            <w:tr w:rsidR="003330C1" w:rsidRPr="007C6AFD" w14:paraId="2A9C0B82" w14:textId="77777777" w:rsidTr="00B30BC5">
              <w:trPr>
                <w:trHeight w:val="227"/>
              </w:trPr>
              <w:tc>
                <w:tcPr>
                  <w:tcW w:w="1701" w:type="dxa"/>
                  <w:tcBorders>
                    <w:top w:val="nil"/>
                    <w:left w:val="nil"/>
                    <w:bottom w:val="nil"/>
                    <w:right w:val="nil"/>
                  </w:tcBorders>
                  <w:shd w:val="clear" w:color="000000" w:fill="B6D5E4"/>
                  <w:vAlign w:val="bottom"/>
                  <w:hideMark/>
                </w:tcPr>
                <w:p w14:paraId="00C4B886" w14:textId="77777777" w:rsidR="003330C1" w:rsidRPr="007C6AFD" w:rsidRDefault="003330C1" w:rsidP="003330C1">
                  <w:pPr>
                    <w:keepNext/>
                    <w:keepLines/>
                    <w:pageBreakBefore/>
                    <w:tabs>
                      <w:tab w:val="clear" w:pos="567"/>
                    </w:tabs>
                    <w:spacing w:before="0" w:line="240" w:lineRule="auto"/>
                    <w:rPr>
                      <w:rFonts w:ascii="Open Sans Semibold" w:eastAsia="Times New Roman" w:hAnsi="Open Sans Semibold" w:cs="Open Sans Semibold"/>
                      <w:color w:val="000000"/>
                      <w:sz w:val="16"/>
                      <w:szCs w:val="16"/>
                      <w:lang w:eastAsia="en-AU"/>
                    </w:rPr>
                  </w:pPr>
                  <w:r w:rsidRPr="007C6AFD">
                    <w:rPr>
                      <w:rFonts w:ascii="Open Sans Semibold" w:eastAsia="Times New Roman" w:hAnsi="Open Sans Semibold" w:cs="Open Sans Semibold"/>
                      <w:color w:val="000000"/>
                      <w:sz w:val="16"/>
                      <w:szCs w:val="16"/>
                      <w:lang w:eastAsia="en-AU"/>
                    </w:rPr>
                    <w:t> </w:t>
                  </w:r>
                </w:p>
              </w:tc>
              <w:tc>
                <w:tcPr>
                  <w:tcW w:w="675" w:type="dxa"/>
                  <w:tcBorders>
                    <w:top w:val="nil"/>
                    <w:left w:val="nil"/>
                    <w:bottom w:val="nil"/>
                    <w:right w:val="nil"/>
                  </w:tcBorders>
                  <w:shd w:val="clear" w:color="000000" w:fill="B6D5E4"/>
                  <w:noWrap/>
                  <w:vAlign w:val="bottom"/>
                  <w:hideMark/>
                </w:tcPr>
                <w:p w14:paraId="15E7A015" w14:textId="77777777" w:rsidR="003330C1" w:rsidRPr="007C6AFD" w:rsidRDefault="003330C1" w:rsidP="003330C1">
                  <w:pPr>
                    <w:keepNext/>
                    <w:keepLines/>
                    <w:pageBreakBefore/>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C6AFD">
                    <w:rPr>
                      <w:rFonts w:ascii="Open Sans Semibold" w:eastAsia="Times New Roman" w:hAnsi="Open Sans Semibold" w:cs="Open Sans Semibold"/>
                      <w:color w:val="000000"/>
                      <w:sz w:val="16"/>
                      <w:szCs w:val="16"/>
                      <w:lang w:eastAsia="en-AU"/>
                    </w:rPr>
                    <w:t>%</w:t>
                  </w:r>
                </w:p>
              </w:tc>
              <w:tc>
                <w:tcPr>
                  <w:tcW w:w="803" w:type="dxa"/>
                  <w:tcBorders>
                    <w:top w:val="nil"/>
                    <w:left w:val="nil"/>
                    <w:bottom w:val="nil"/>
                    <w:right w:val="nil"/>
                  </w:tcBorders>
                  <w:shd w:val="clear" w:color="000000" w:fill="B6D5E4"/>
                  <w:noWrap/>
                  <w:vAlign w:val="bottom"/>
                  <w:hideMark/>
                </w:tcPr>
                <w:p w14:paraId="71F51055" w14:textId="77777777" w:rsidR="003330C1" w:rsidRPr="007C6AFD" w:rsidRDefault="003330C1" w:rsidP="003330C1">
                  <w:pPr>
                    <w:keepNext/>
                    <w:keepLines/>
                    <w:pageBreakBefore/>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C6AFD">
                    <w:rPr>
                      <w:rFonts w:ascii="Open Sans Semibold" w:eastAsia="Times New Roman" w:hAnsi="Open Sans Semibold" w:cs="Open Sans Semibold"/>
                      <w:color w:val="000000"/>
                      <w:sz w:val="16"/>
                      <w:szCs w:val="16"/>
                      <w:lang w:eastAsia="en-AU"/>
                    </w:rPr>
                    <w:t>%</w:t>
                  </w:r>
                </w:p>
              </w:tc>
              <w:tc>
                <w:tcPr>
                  <w:tcW w:w="803" w:type="dxa"/>
                  <w:tcBorders>
                    <w:top w:val="nil"/>
                    <w:left w:val="nil"/>
                    <w:bottom w:val="nil"/>
                    <w:right w:val="nil"/>
                  </w:tcBorders>
                  <w:shd w:val="clear" w:color="000000" w:fill="B6D5E4"/>
                  <w:noWrap/>
                  <w:vAlign w:val="bottom"/>
                  <w:hideMark/>
                </w:tcPr>
                <w:p w14:paraId="618075E4" w14:textId="77777777" w:rsidR="003330C1" w:rsidRPr="007C6AFD" w:rsidRDefault="003330C1" w:rsidP="003330C1">
                  <w:pPr>
                    <w:keepNext/>
                    <w:keepLines/>
                    <w:pageBreakBefore/>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C6AFD">
                    <w:rPr>
                      <w:rFonts w:ascii="Open Sans Semibold" w:eastAsia="Times New Roman" w:hAnsi="Open Sans Semibold" w:cs="Open Sans Semibold"/>
                      <w:color w:val="000000"/>
                      <w:sz w:val="16"/>
                      <w:szCs w:val="16"/>
                      <w:lang w:eastAsia="en-AU"/>
                    </w:rPr>
                    <w:t>%</w:t>
                  </w:r>
                </w:p>
              </w:tc>
              <w:tc>
                <w:tcPr>
                  <w:tcW w:w="803" w:type="dxa"/>
                  <w:tcBorders>
                    <w:top w:val="nil"/>
                    <w:left w:val="nil"/>
                    <w:bottom w:val="nil"/>
                    <w:right w:val="nil"/>
                  </w:tcBorders>
                  <w:shd w:val="clear" w:color="000000" w:fill="B6D5E4"/>
                  <w:noWrap/>
                  <w:vAlign w:val="bottom"/>
                  <w:hideMark/>
                </w:tcPr>
                <w:p w14:paraId="1837885E" w14:textId="77777777" w:rsidR="003330C1" w:rsidRPr="007C6AFD" w:rsidRDefault="003330C1" w:rsidP="003330C1">
                  <w:pPr>
                    <w:keepNext/>
                    <w:keepLines/>
                    <w:pageBreakBefore/>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C6AFD">
                    <w:rPr>
                      <w:rFonts w:ascii="Open Sans Semibold" w:eastAsia="Times New Roman" w:hAnsi="Open Sans Semibold" w:cs="Open Sans Semibold"/>
                      <w:color w:val="000000"/>
                      <w:sz w:val="16"/>
                      <w:szCs w:val="16"/>
                      <w:lang w:eastAsia="en-AU"/>
                    </w:rPr>
                    <w:t>%</w:t>
                  </w:r>
                </w:p>
              </w:tc>
              <w:tc>
                <w:tcPr>
                  <w:tcW w:w="803" w:type="dxa"/>
                  <w:tcBorders>
                    <w:top w:val="nil"/>
                    <w:left w:val="nil"/>
                    <w:bottom w:val="nil"/>
                    <w:right w:val="nil"/>
                  </w:tcBorders>
                  <w:shd w:val="clear" w:color="000000" w:fill="B6D5E4"/>
                  <w:noWrap/>
                  <w:vAlign w:val="bottom"/>
                  <w:hideMark/>
                </w:tcPr>
                <w:p w14:paraId="25773E24" w14:textId="77777777" w:rsidR="003330C1" w:rsidRPr="007C6AFD" w:rsidRDefault="003330C1" w:rsidP="003330C1">
                  <w:pPr>
                    <w:keepNext/>
                    <w:keepLines/>
                    <w:pageBreakBefore/>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C6AFD">
                    <w:rPr>
                      <w:rFonts w:ascii="Open Sans Semibold" w:eastAsia="Times New Roman" w:hAnsi="Open Sans Semibold" w:cs="Open Sans Semibold"/>
                      <w:color w:val="000000"/>
                      <w:sz w:val="16"/>
                      <w:szCs w:val="16"/>
                      <w:lang w:eastAsia="en-AU"/>
                    </w:rPr>
                    <w:t>%</w:t>
                  </w:r>
                </w:p>
              </w:tc>
              <w:tc>
                <w:tcPr>
                  <w:tcW w:w="803" w:type="dxa"/>
                  <w:tcBorders>
                    <w:top w:val="nil"/>
                    <w:left w:val="nil"/>
                    <w:bottom w:val="nil"/>
                    <w:right w:val="nil"/>
                  </w:tcBorders>
                  <w:shd w:val="clear" w:color="000000" w:fill="B6D5E4"/>
                  <w:noWrap/>
                  <w:vAlign w:val="bottom"/>
                  <w:hideMark/>
                </w:tcPr>
                <w:p w14:paraId="6A97A332" w14:textId="77777777" w:rsidR="003330C1" w:rsidRPr="007C6AFD" w:rsidRDefault="003330C1" w:rsidP="003330C1">
                  <w:pPr>
                    <w:keepNext/>
                    <w:keepLines/>
                    <w:pageBreakBefore/>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C6AFD">
                    <w:rPr>
                      <w:rFonts w:ascii="Open Sans Semibold" w:eastAsia="Times New Roman" w:hAnsi="Open Sans Semibold" w:cs="Open Sans Semibold"/>
                      <w:color w:val="000000"/>
                      <w:sz w:val="16"/>
                      <w:szCs w:val="16"/>
                      <w:lang w:eastAsia="en-AU"/>
                    </w:rPr>
                    <w:t>%</w:t>
                  </w:r>
                </w:p>
              </w:tc>
              <w:tc>
                <w:tcPr>
                  <w:tcW w:w="803" w:type="dxa"/>
                  <w:tcBorders>
                    <w:top w:val="nil"/>
                    <w:left w:val="nil"/>
                    <w:bottom w:val="nil"/>
                    <w:right w:val="nil"/>
                  </w:tcBorders>
                  <w:shd w:val="clear" w:color="000000" w:fill="B6D5E4"/>
                  <w:noWrap/>
                  <w:vAlign w:val="bottom"/>
                  <w:hideMark/>
                </w:tcPr>
                <w:p w14:paraId="565CB73D" w14:textId="77777777" w:rsidR="003330C1" w:rsidRPr="007C6AFD" w:rsidRDefault="003330C1" w:rsidP="003330C1">
                  <w:pPr>
                    <w:keepNext/>
                    <w:keepLines/>
                    <w:pageBreakBefore/>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C6AFD">
                    <w:rPr>
                      <w:rFonts w:ascii="Open Sans Semibold" w:eastAsia="Times New Roman" w:hAnsi="Open Sans Semibold" w:cs="Open Sans Semibold"/>
                      <w:color w:val="000000"/>
                      <w:sz w:val="16"/>
                      <w:szCs w:val="16"/>
                      <w:lang w:eastAsia="en-AU"/>
                    </w:rPr>
                    <w:t>%</w:t>
                  </w:r>
                </w:p>
              </w:tc>
              <w:tc>
                <w:tcPr>
                  <w:tcW w:w="803" w:type="dxa"/>
                  <w:tcBorders>
                    <w:top w:val="nil"/>
                    <w:left w:val="nil"/>
                    <w:bottom w:val="nil"/>
                    <w:right w:val="nil"/>
                  </w:tcBorders>
                  <w:shd w:val="clear" w:color="000000" w:fill="B6D5E4"/>
                  <w:noWrap/>
                  <w:vAlign w:val="bottom"/>
                  <w:hideMark/>
                </w:tcPr>
                <w:p w14:paraId="3DEE8596" w14:textId="77777777" w:rsidR="003330C1" w:rsidRPr="007C6AFD" w:rsidRDefault="003330C1" w:rsidP="003330C1">
                  <w:pPr>
                    <w:keepNext/>
                    <w:keepLines/>
                    <w:pageBreakBefore/>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C6AFD">
                    <w:rPr>
                      <w:rFonts w:ascii="Open Sans Semibold" w:eastAsia="Times New Roman" w:hAnsi="Open Sans Semibold" w:cs="Open Sans Semibold"/>
                      <w:color w:val="000000"/>
                      <w:sz w:val="16"/>
                      <w:szCs w:val="16"/>
                      <w:lang w:eastAsia="en-AU"/>
                    </w:rPr>
                    <w:t>%</w:t>
                  </w:r>
                </w:p>
              </w:tc>
              <w:tc>
                <w:tcPr>
                  <w:tcW w:w="803" w:type="dxa"/>
                  <w:tcBorders>
                    <w:top w:val="nil"/>
                    <w:left w:val="nil"/>
                    <w:bottom w:val="nil"/>
                    <w:right w:val="nil"/>
                  </w:tcBorders>
                  <w:shd w:val="clear" w:color="000000" w:fill="B6D5E4"/>
                  <w:noWrap/>
                  <w:vAlign w:val="bottom"/>
                  <w:hideMark/>
                </w:tcPr>
                <w:p w14:paraId="0287B0F3" w14:textId="77777777" w:rsidR="003330C1" w:rsidRPr="007C6AFD" w:rsidRDefault="003330C1" w:rsidP="003330C1">
                  <w:pPr>
                    <w:keepNext/>
                    <w:keepLines/>
                    <w:pageBreakBefore/>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7C6AFD">
                    <w:rPr>
                      <w:rFonts w:ascii="Open Sans Semibold" w:eastAsia="Times New Roman" w:hAnsi="Open Sans Semibold" w:cs="Open Sans Semibold"/>
                      <w:color w:val="000000"/>
                      <w:sz w:val="16"/>
                      <w:szCs w:val="16"/>
                      <w:lang w:eastAsia="en-AU"/>
                    </w:rPr>
                    <w:t>%</w:t>
                  </w:r>
                </w:p>
              </w:tc>
            </w:tr>
            <w:tr w:rsidR="003330C1" w:rsidRPr="007C6AFD" w14:paraId="110341AE" w14:textId="77777777" w:rsidTr="00B30BC5">
              <w:trPr>
                <w:trHeight w:val="270"/>
              </w:trPr>
              <w:tc>
                <w:tcPr>
                  <w:tcW w:w="1701" w:type="dxa"/>
                  <w:tcBorders>
                    <w:top w:val="single" w:sz="4" w:space="0" w:color="ADD6EA"/>
                    <w:left w:val="nil"/>
                    <w:bottom w:val="nil"/>
                    <w:right w:val="nil"/>
                  </w:tcBorders>
                  <w:shd w:val="clear" w:color="auto" w:fill="auto"/>
                  <w:vAlign w:val="bottom"/>
                  <w:hideMark/>
                </w:tcPr>
                <w:p w14:paraId="3F723AAB" w14:textId="77777777" w:rsidR="003330C1" w:rsidRPr="007C6AFD" w:rsidRDefault="003330C1" w:rsidP="003330C1">
                  <w:pPr>
                    <w:keepNext/>
                    <w:keepLines/>
                    <w:pageBreakBefore/>
                    <w:tabs>
                      <w:tab w:val="clear" w:pos="567"/>
                    </w:tabs>
                    <w:spacing w:before="0" w:line="240" w:lineRule="auto"/>
                    <w:rPr>
                      <w:rFonts w:eastAsia="Times New Roman" w:cs="Open Sans Light"/>
                      <w:color w:val="000000"/>
                      <w:sz w:val="16"/>
                      <w:szCs w:val="16"/>
                      <w:lang w:eastAsia="en-AU"/>
                    </w:rPr>
                  </w:pPr>
                  <w:r w:rsidRPr="007C6AFD">
                    <w:rPr>
                      <w:rFonts w:eastAsia="Times New Roman" w:cs="Open Sans Light"/>
                      <w:color w:val="000000"/>
                      <w:sz w:val="16"/>
                      <w:szCs w:val="16"/>
                      <w:lang w:eastAsia="en-AU"/>
                    </w:rPr>
                    <w:t>Share in 2020-21</w:t>
                  </w:r>
                </w:p>
              </w:tc>
              <w:tc>
                <w:tcPr>
                  <w:tcW w:w="675" w:type="dxa"/>
                  <w:tcBorders>
                    <w:top w:val="single" w:sz="4" w:space="0" w:color="ADD6EA"/>
                    <w:left w:val="nil"/>
                    <w:bottom w:val="nil"/>
                    <w:right w:val="nil"/>
                  </w:tcBorders>
                  <w:shd w:val="clear" w:color="auto" w:fill="auto"/>
                  <w:noWrap/>
                  <w:vAlign w:val="bottom"/>
                  <w:hideMark/>
                </w:tcPr>
                <w:p w14:paraId="1C4184B2" w14:textId="77777777" w:rsidR="003330C1" w:rsidRPr="007C6AFD" w:rsidRDefault="003330C1" w:rsidP="003330C1">
                  <w:pPr>
                    <w:keepNext/>
                    <w:keepLines/>
                    <w:pageBreakBefore/>
                    <w:tabs>
                      <w:tab w:val="clear" w:pos="567"/>
                    </w:tabs>
                    <w:spacing w:before="0" w:line="240" w:lineRule="auto"/>
                    <w:jc w:val="right"/>
                    <w:rPr>
                      <w:rFonts w:eastAsia="Times New Roman" w:cs="Open Sans Light"/>
                      <w:color w:val="000000"/>
                      <w:sz w:val="16"/>
                      <w:szCs w:val="16"/>
                      <w:lang w:eastAsia="en-AU"/>
                    </w:rPr>
                  </w:pPr>
                  <w:r w:rsidRPr="007C6AFD">
                    <w:rPr>
                      <w:rFonts w:eastAsia="Times New Roman" w:cs="Open Sans Light"/>
                      <w:color w:val="000000"/>
                      <w:sz w:val="16"/>
                      <w:szCs w:val="16"/>
                      <w:lang w:eastAsia="en-AU"/>
                    </w:rPr>
                    <w:t>29.2</w:t>
                  </w:r>
                </w:p>
              </w:tc>
              <w:tc>
                <w:tcPr>
                  <w:tcW w:w="803" w:type="dxa"/>
                  <w:tcBorders>
                    <w:top w:val="single" w:sz="4" w:space="0" w:color="ADD6EA"/>
                    <w:left w:val="nil"/>
                    <w:bottom w:val="nil"/>
                    <w:right w:val="nil"/>
                  </w:tcBorders>
                  <w:shd w:val="clear" w:color="auto" w:fill="auto"/>
                  <w:noWrap/>
                  <w:vAlign w:val="bottom"/>
                  <w:hideMark/>
                </w:tcPr>
                <w:p w14:paraId="188C5A96" w14:textId="77777777" w:rsidR="003330C1" w:rsidRPr="007C6AFD" w:rsidRDefault="003330C1" w:rsidP="003330C1">
                  <w:pPr>
                    <w:keepNext/>
                    <w:keepLines/>
                    <w:pageBreakBefore/>
                    <w:tabs>
                      <w:tab w:val="clear" w:pos="567"/>
                    </w:tabs>
                    <w:spacing w:before="0" w:line="240" w:lineRule="auto"/>
                    <w:jc w:val="right"/>
                    <w:rPr>
                      <w:rFonts w:eastAsia="Times New Roman" w:cs="Open Sans Light"/>
                      <w:color w:val="000000"/>
                      <w:sz w:val="16"/>
                      <w:szCs w:val="16"/>
                      <w:lang w:eastAsia="en-AU"/>
                    </w:rPr>
                  </w:pPr>
                  <w:r w:rsidRPr="007C6AFD">
                    <w:rPr>
                      <w:rFonts w:eastAsia="Times New Roman" w:cs="Open Sans Light"/>
                      <w:color w:val="000000"/>
                      <w:sz w:val="16"/>
                      <w:szCs w:val="16"/>
                      <w:lang w:eastAsia="en-AU"/>
                    </w:rPr>
                    <w:t>25.1</w:t>
                  </w:r>
                </w:p>
              </w:tc>
              <w:tc>
                <w:tcPr>
                  <w:tcW w:w="803" w:type="dxa"/>
                  <w:tcBorders>
                    <w:top w:val="single" w:sz="4" w:space="0" w:color="ADD6EA"/>
                    <w:left w:val="nil"/>
                    <w:bottom w:val="nil"/>
                    <w:right w:val="nil"/>
                  </w:tcBorders>
                  <w:shd w:val="clear" w:color="auto" w:fill="auto"/>
                  <w:noWrap/>
                  <w:vAlign w:val="bottom"/>
                  <w:hideMark/>
                </w:tcPr>
                <w:p w14:paraId="5B7BEFA0" w14:textId="77777777" w:rsidR="003330C1" w:rsidRPr="007C6AFD" w:rsidRDefault="003330C1" w:rsidP="003330C1">
                  <w:pPr>
                    <w:keepNext/>
                    <w:keepLines/>
                    <w:pageBreakBefore/>
                    <w:tabs>
                      <w:tab w:val="clear" w:pos="567"/>
                    </w:tabs>
                    <w:spacing w:before="0" w:line="240" w:lineRule="auto"/>
                    <w:jc w:val="right"/>
                    <w:rPr>
                      <w:rFonts w:eastAsia="Times New Roman" w:cs="Open Sans Light"/>
                      <w:color w:val="000000"/>
                      <w:sz w:val="16"/>
                      <w:szCs w:val="16"/>
                      <w:lang w:eastAsia="en-AU"/>
                    </w:rPr>
                  </w:pPr>
                  <w:r w:rsidRPr="007C6AFD">
                    <w:rPr>
                      <w:rFonts w:eastAsia="Times New Roman" w:cs="Open Sans Light"/>
                      <w:color w:val="000000"/>
                      <w:sz w:val="16"/>
                      <w:szCs w:val="16"/>
                      <w:lang w:eastAsia="en-AU"/>
                    </w:rPr>
                    <w:t>21.2</w:t>
                  </w:r>
                </w:p>
              </w:tc>
              <w:tc>
                <w:tcPr>
                  <w:tcW w:w="803" w:type="dxa"/>
                  <w:tcBorders>
                    <w:top w:val="single" w:sz="4" w:space="0" w:color="ADD6EA"/>
                    <w:left w:val="nil"/>
                    <w:bottom w:val="nil"/>
                    <w:right w:val="nil"/>
                  </w:tcBorders>
                  <w:shd w:val="clear" w:color="auto" w:fill="auto"/>
                  <w:noWrap/>
                  <w:vAlign w:val="bottom"/>
                  <w:hideMark/>
                </w:tcPr>
                <w:p w14:paraId="3CA4C3BD" w14:textId="77777777" w:rsidR="003330C1" w:rsidRPr="007C6AFD" w:rsidRDefault="003330C1" w:rsidP="003330C1">
                  <w:pPr>
                    <w:keepNext/>
                    <w:keepLines/>
                    <w:pageBreakBefore/>
                    <w:tabs>
                      <w:tab w:val="clear" w:pos="567"/>
                    </w:tabs>
                    <w:spacing w:before="0" w:line="240" w:lineRule="auto"/>
                    <w:jc w:val="right"/>
                    <w:rPr>
                      <w:rFonts w:eastAsia="Times New Roman" w:cs="Open Sans Light"/>
                      <w:color w:val="000000"/>
                      <w:sz w:val="16"/>
                      <w:szCs w:val="16"/>
                      <w:lang w:eastAsia="en-AU"/>
                    </w:rPr>
                  </w:pPr>
                  <w:r w:rsidRPr="007C6AFD">
                    <w:rPr>
                      <w:rFonts w:eastAsia="Times New Roman" w:cs="Open Sans Light"/>
                      <w:color w:val="000000"/>
                      <w:sz w:val="16"/>
                      <w:szCs w:val="16"/>
                      <w:lang w:eastAsia="en-AU"/>
                    </w:rPr>
                    <w:t>4.7</w:t>
                  </w:r>
                </w:p>
              </w:tc>
              <w:tc>
                <w:tcPr>
                  <w:tcW w:w="803" w:type="dxa"/>
                  <w:tcBorders>
                    <w:top w:val="single" w:sz="4" w:space="0" w:color="ADD6EA"/>
                    <w:left w:val="nil"/>
                    <w:bottom w:val="nil"/>
                    <w:right w:val="nil"/>
                  </w:tcBorders>
                  <w:shd w:val="clear" w:color="auto" w:fill="auto"/>
                  <w:noWrap/>
                  <w:vAlign w:val="bottom"/>
                  <w:hideMark/>
                </w:tcPr>
                <w:p w14:paraId="17F5F1BE" w14:textId="77777777" w:rsidR="003330C1" w:rsidRPr="007C6AFD" w:rsidRDefault="003330C1" w:rsidP="003330C1">
                  <w:pPr>
                    <w:keepNext/>
                    <w:keepLines/>
                    <w:pageBreakBefore/>
                    <w:tabs>
                      <w:tab w:val="clear" w:pos="567"/>
                    </w:tabs>
                    <w:spacing w:before="0" w:line="240" w:lineRule="auto"/>
                    <w:jc w:val="right"/>
                    <w:rPr>
                      <w:rFonts w:eastAsia="Times New Roman" w:cs="Open Sans Light"/>
                      <w:color w:val="000000"/>
                      <w:sz w:val="16"/>
                      <w:szCs w:val="16"/>
                      <w:lang w:eastAsia="en-AU"/>
                    </w:rPr>
                  </w:pPr>
                  <w:r w:rsidRPr="007C6AFD">
                    <w:rPr>
                      <w:rFonts w:eastAsia="Times New Roman" w:cs="Open Sans Light"/>
                      <w:color w:val="000000"/>
                      <w:sz w:val="16"/>
                      <w:szCs w:val="16"/>
                      <w:lang w:eastAsia="en-AU"/>
                    </w:rPr>
                    <w:t>9.4</w:t>
                  </w:r>
                </w:p>
              </w:tc>
              <w:tc>
                <w:tcPr>
                  <w:tcW w:w="803" w:type="dxa"/>
                  <w:tcBorders>
                    <w:top w:val="single" w:sz="4" w:space="0" w:color="ADD6EA"/>
                    <w:left w:val="nil"/>
                    <w:bottom w:val="nil"/>
                    <w:right w:val="nil"/>
                  </w:tcBorders>
                  <w:shd w:val="clear" w:color="auto" w:fill="auto"/>
                  <w:noWrap/>
                  <w:vAlign w:val="bottom"/>
                  <w:hideMark/>
                </w:tcPr>
                <w:p w14:paraId="5147D5D2" w14:textId="77777777" w:rsidR="003330C1" w:rsidRPr="007C6AFD" w:rsidRDefault="003330C1" w:rsidP="003330C1">
                  <w:pPr>
                    <w:keepNext/>
                    <w:keepLines/>
                    <w:pageBreakBefore/>
                    <w:tabs>
                      <w:tab w:val="clear" w:pos="567"/>
                    </w:tabs>
                    <w:spacing w:before="0" w:line="240" w:lineRule="auto"/>
                    <w:jc w:val="right"/>
                    <w:rPr>
                      <w:rFonts w:eastAsia="Times New Roman" w:cs="Open Sans Light"/>
                      <w:color w:val="000000"/>
                      <w:sz w:val="16"/>
                      <w:szCs w:val="16"/>
                      <w:lang w:eastAsia="en-AU"/>
                    </w:rPr>
                  </w:pPr>
                  <w:r w:rsidRPr="007C6AFD">
                    <w:rPr>
                      <w:rFonts w:eastAsia="Times New Roman" w:cs="Open Sans Light"/>
                      <w:color w:val="000000"/>
                      <w:sz w:val="16"/>
                      <w:szCs w:val="16"/>
                      <w:lang w:eastAsia="en-AU"/>
                    </w:rPr>
                    <w:t>4.0</w:t>
                  </w:r>
                </w:p>
              </w:tc>
              <w:tc>
                <w:tcPr>
                  <w:tcW w:w="803" w:type="dxa"/>
                  <w:tcBorders>
                    <w:top w:val="single" w:sz="4" w:space="0" w:color="ADD6EA"/>
                    <w:left w:val="nil"/>
                    <w:bottom w:val="nil"/>
                    <w:right w:val="nil"/>
                  </w:tcBorders>
                  <w:shd w:val="clear" w:color="auto" w:fill="auto"/>
                  <w:noWrap/>
                  <w:vAlign w:val="bottom"/>
                  <w:hideMark/>
                </w:tcPr>
                <w:p w14:paraId="4BE2C449" w14:textId="77777777" w:rsidR="003330C1" w:rsidRPr="007C6AFD" w:rsidRDefault="003330C1" w:rsidP="003330C1">
                  <w:pPr>
                    <w:keepNext/>
                    <w:keepLines/>
                    <w:pageBreakBefore/>
                    <w:tabs>
                      <w:tab w:val="clear" w:pos="567"/>
                    </w:tabs>
                    <w:spacing w:before="0" w:line="240" w:lineRule="auto"/>
                    <w:jc w:val="right"/>
                    <w:rPr>
                      <w:rFonts w:eastAsia="Times New Roman" w:cs="Open Sans Light"/>
                      <w:color w:val="000000"/>
                      <w:sz w:val="16"/>
                      <w:szCs w:val="16"/>
                      <w:lang w:eastAsia="en-AU"/>
                    </w:rPr>
                  </w:pPr>
                  <w:r w:rsidRPr="007C6AFD">
                    <w:rPr>
                      <w:rFonts w:eastAsia="Times New Roman" w:cs="Open Sans Light"/>
                      <w:color w:val="000000"/>
                      <w:sz w:val="16"/>
                      <w:szCs w:val="16"/>
                      <w:lang w:eastAsia="en-AU"/>
                    </w:rPr>
                    <w:t>1.9</w:t>
                  </w:r>
                </w:p>
              </w:tc>
              <w:tc>
                <w:tcPr>
                  <w:tcW w:w="803" w:type="dxa"/>
                  <w:tcBorders>
                    <w:top w:val="single" w:sz="4" w:space="0" w:color="ADD6EA"/>
                    <w:left w:val="nil"/>
                    <w:bottom w:val="nil"/>
                    <w:right w:val="nil"/>
                  </w:tcBorders>
                  <w:shd w:val="clear" w:color="auto" w:fill="auto"/>
                  <w:noWrap/>
                  <w:vAlign w:val="bottom"/>
                  <w:hideMark/>
                </w:tcPr>
                <w:p w14:paraId="55910D0B" w14:textId="77777777" w:rsidR="003330C1" w:rsidRPr="007C6AFD" w:rsidRDefault="003330C1" w:rsidP="003330C1">
                  <w:pPr>
                    <w:keepNext/>
                    <w:keepLines/>
                    <w:pageBreakBefore/>
                    <w:tabs>
                      <w:tab w:val="clear" w:pos="567"/>
                    </w:tabs>
                    <w:spacing w:before="0" w:line="240" w:lineRule="auto"/>
                    <w:jc w:val="right"/>
                    <w:rPr>
                      <w:rFonts w:eastAsia="Times New Roman" w:cs="Open Sans Light"/>
                      <w:color w:val="000000"/>
                      <w:sz w:val="16"/>
                      <w:szCs w:val="16"/>
                      <w:lang w:eastAsia="en-AU"/>
                    </w:rPr>
                  </w:pPr>
                  <w:r w:rsidRPr="007C6AFD">
                    <w:rPr>
                      <w:rFonts w:eastAsia="Times New Roman" w:cs="Open Sans Light"/>
                      <w:color w:val="000000"/>
                      <w:sz w:val="16"/>
                      <w:szCs w:val="16"/>
                      <w:lang w:eastAsia="en-AU"/>
                    </w:rPr>
                    <w:t>4.5</w:t>
                  </w:r>
                </w:p>
              </w:tc>
              <w:tc>
                <w:tcPr>
                  <w:tcW w:w="803" w:type="dxa"/>
                  <w:tcBorders>
                    <w:top w:val="single" w:sz="4" w:space="0" w:color="ADD6EA"/>
                    <w:left w:val="nil"/>
                    <w:bottom w:val="nil"/>
                    <w:right w:val="nil"/>
                  </w:tcBorders>
                  <w:shd w:val="clear" w:color="auto" w:fill="auto"/>
                  <w:noWrap/>
                  <w:vAlign w:val="bottom"/>
                  <w:hideMark/>
                </w:tcPr>
                <w:p w14:paraId="38AE47BF" w14:textId="77777777" w:rsidR="003330C1" w:rsidRPr="007C6AFD" w:rsidRDefault="003330C1" w:rsidP="003330C1">
                  <w:pPr>
                    <w:keepNext/>
                    <w:keepLines/>
                    <w:pageBreakBefore/>
                    <w:tabs>
                      <w:tab w:val="clear" w:pos="567"/>
                    </w:tabs>
                    <w:spacing w:before="0" w:line="240" w:lineRule="auto"/>
                    <w:jc w:val="right"/>
                    <w:rPr>
                      <w:rFonts w:eastAsia="Times New Roman" w:cs="Open Sans Light"/>
                      <w:color w:val="000000"/>
                      <w:sz w:val="16"/>
                      <w:szCs w:val="16"/>
                      <w:lang w:eastAsia="en-AU"/>
                    </w:rPr>
                  </w:pPr>
                  <w:r w:rsidRPr="007C6AFD">
                    <w:rPr>
                      <w:rFonts w:eastAsia="Times New Roman" w:cs="Open Sans Light"/>
                      <w:color w:val="000000"/>
                      <w:sz w:val="16"/>
                      <w:szCs w:val="16"/>
                      <w:lang w:eastAsia="en-AU"/>
                    </w:rPr>
                    <w:t>100.0</w:t>
                  </w:r>
                </w:p>
              </w:tc>
            </w:tr>
            <w:tr w:rsidR="003330C1" w:rsidRPr="007C6AFD" w14:paraId="526A2208" w14:textId="77777777" w:rsidTr="00B30BC5">
              <w:trPr>
                <w:trHeight w:val="270"/>
              </w:trPr>
              <w:tc>
                <w:tcPr>
                  <w:tcW w:w="1701" w:type="dxa"/>
                  <w:tcBorders>
                    <w:top w:val="single" w:sz="4" w:space="0" w:color="ADD6EA"/>
                    <w:left w:val="nil"/>
                    <w:bottom w:val="single" w:sz="4" w:space="0" w:color="ADD6EA"/>
                    <w:right w:val="nil"/>
                  </w:tcBorders>
                  <w:shd w:val="clear" w:color="auto" w:fill="auto"/>
                  <w:vAlign w:val="bottom"/>
                  <w:hideMark/>
                </w:tcPr>
                <w:p w14:paraId="44FB7B24" w14:textId="77777777" w:rsidR="003330C1" w:rsidRPr="007C6AFD" w:rsidRDefault="003330C1" w:rsidP="003330C1">
                  <w:pPr>
                    <w:keepNext/>
                    <w:keepLines/>
                    <w:pageBreakBefore/>
                    <w:tabs>
                      <w:tab w:val="clear" w:pos="567"/>
                    </w:tabs>
                    <w:spacing w:before="0" w:line="240" w:lineRule="auto"/>
                    <w:rPr>
                      <w:rFonts w:eastAsia="Times New Roman" w:cs="Open Sans Light"/>
                      <w:color w:val="000000"/>
                      <w:sz w:val="16"/>
                      <w:szCs w:val="16"/>
                      <w:lang w:eastAsia="en-AU"/>
                    </w:rPr>
                  </w:pPr>
                  <w:r w:rsidRPr="007C6AFD">
                    <w:rPr>
                      <w:rFonts w:eastAsia="Times New Roman" w:cs="Open Sans Light"/>
                      <w:color w:val="000000"/>
                      <w:sz w:val="16"/>
                      <w:szCs w:val="16"/>
                      <w:lang w:eastAsia="en-AU"/>
                    </w:rPr>
                    <w:t>Share in 2021-22</w:t>
                  </w:r>
                </w:p>
              </w:tc>
              <w:tc>
                <w:tcPr>
                  <w:tcW w:w="675" w:type="dxa"/>
                  <w:tcBorders>
                    <w:top w:val="single" w:sz="4" w:space="0" w:color="ADD6EA"/>
                    <w:left w:val="nil"/>
                    <w:bottom w:val="single" w:sz="4" w:space="0" w:color="ADD6EA"/>
                    <w:right w:val="nil"/>
                  </w:tcBorders>
                  <w:shd w:val="clear" w:color="auto" w:fill="auto"/>
                  <w:noWrap/>
                  <w:vAlign w:val="bottom"/>
                  <w:hideMark/>
                </w:tcPr>
                <w:p w14:paraId="7EAFE020" w14:textId="77777777" w:rsidR="003330C1" w:rsidRPr="007C6AFD" w:rsidRDefault="003330C1" w:rsidP="003330C1">
                  <w:pPr>
                    <w:keepNext/>
                    <w:keepLines/>
                    <w:pageBreakBefore/>
                    <w:tabs>
                      <w:tab w:val="clear" w:pos="567"/>
                    </w:tabs>
                    <w:spacing w:before="0" w:line="240" w:lineRule="auto"/>
                    <w:jc w:val="right"/>
                    <w:rPr>
                      <w:rFonts w:eastAsia="Times New Roman" w:cs="Open Sans Light"/>
                      <w:color w:val="000000"/>
                      <w:sz w:val="16"/>
                      <w:szCs w:val="16"/>
                      <w:lang w:eastAsia="en-AU"/>
                    </w:rPr>
                  </w:pPr>
                  <w:r w:rsidRPr="007C6AFD">
                    <w:rPr>
                      <w:rFonts w:eastAsia="Times New Roman" w:cs="Open Sans Light"/>
                      <w:color w:val="000000"/>
                      <w:sz w:val="16"/>
                      <w:szCs w:val="16"/>
                      <w:lang w:eastAsia="en-AU"/>
                    </w:rPr>
                    <w:t>30.3</w:t>
                  </w:r>
                </w:p>
              </w:tc>
              <w:tc>
                <w:tcPr>
                  <w:tcW w:w="803" w:type="dxa"/>
                  <w:tcBorders>
                    <w:top w:val="single" w:sz="4" w:space="0" w:color="ADD6EA"/>
                    <w:left w:val="nil"/>
                    <w:bottom w:val="single" w:sz="4" w:space="0" w:color="ADD6EA"/>
                    <w:right w:val="nil"/>
                  </w:tcBorders>
                  <w:shd w:val="clear" w:color="auto" w:fill="auto"/>
                  <w:noWrap/>
                  <w:vAlign w:val="bottom"/>
                  <w:hideMark/>
                </w:tcPr>
                <w:p w14:paraId="3C3639D7" w14:textId="77777777" w:rsidR="003330C1" w:rsidRPr="007C6AFD" w:rsidRDefault="003330C1" w:rsidP="003330C1">
                  <w:pPr>
                    <w:keepNext/>
                    <w:keepLines/>
                    <w:pageBreakBefore/>
                    <w:tabs>
                      <w:tab w:val="clear" w:pos="567"/>
                    </w:tabs>
                    <w:spacing w:before="0" w:line="240" w:lineRule="auto"/>
                    <w:jc w:val="right"/>
                    <w:rPr>
                      <w:rFonts w:eastAsia="Times New Roman" w:cs="Open Sans Light"/>
                      <w:color w:val="000000"/>
                      <w:sz w:val="16"/>
                      <w:szCs w:val="16"/>
                      <w:lang w:eastAsia="en-AU"/>
                    </w:rPr>
                  </w:pPr>
                  <w:r w:rsidRPr="007C6AFD">
                    <w:rPr>
                      <w:rFonts w:eastAsia="Times New Roman" w:cs="Open Sans Light"/>
                      <w:color w:val="000000"/>
                      <w:sz w:val="16"/>
                      <w:szCs w:val="16"/>
                      <w:lang w:eastAsia="en-AU"/>
                    </w:rPr>
                    <w:t>24.1</w:t>
                  </w:r>
                </w:p>
              </w:tc>
              <w:tc>
                <w:tcPr>
                  <w:tcW w:w="803" w:type="dxa"/>
                  <w:tcBorders>
                    <w:top w:val="single" w:sz="4" w:space="0" w:color="ADD6EA"/>
                    <w:left w:val="nil"/>
                    <w:bottom w:val="single" w:sz="4" w:space="0" w:color="ADD6EA"/>
                    <w:right w:val="nil"/>
                  </w:tcBorders>
                  <w:shd w:val="clear" w:color="auto" w:fill="auto"/>
                  <w:noWrap/>
                  <w:vAlign w:val="bottom"/>
                  <w:hideMark/>
                </w:tcPr>
                <w:p w14:paraId="0755BDA8" w14:textId="77777777" w:rsidR="003330C1" w:rsidRPr="007C6AFD" w:rsidRDefault="003330C1" w:rsidP="003330C1">
                  <w:pPr>
                    <w:keepNext/>
                    <w:keepLines/>
                    <w:pageBreakBefore/>
                    <w:tabs>
                      <w:tab w:val="clear" w:pos="567"/>
                    </w:tabs>
                    <w:spacing w:before="0" w:line="240" w:lineRule="auto"/>
                    <w:jc w:val="right"/>
                    <w:rPr>
                      <w:rFonts w:eastAsia="Times New Roman" w:cs="Open Sans Light"/>
                      <w:color w:val="000000"/>
                      <w:sz w:val="16"/>
                      <w:szCs w:val="16"/>
                      <w:lang w:eastAsia="en-AU"/>
                    </w:rPr>
                  </w:pPr>
                  <w:r w:rsidRPr="007C6AFD">
                    <w:rPr>
                      <w:rFonts w:eastAsia="Times New Roman" w:cs="Open Sans Light"/>
                      <w:color w:val="000000"/>
                      <w:sz w:val="16"/>
                      <w:szCs w:val="16"/>
                      <w:lang w:eastAsia="en-AU"/>
                    </w:rPr>
                    <w:t>21.5</w:t>
                  </w:r>
                </w:p>
              </w:tc>
              <w:tc>
                <w:tcPr>
                  <w:tcW w:w="803" w:type="dxa"/>
                  <w:tcBorders>
                    <w:top w:val="single" w:sz="4" w:space="0" w:color="ADD6EA"/>
                    <w:left w:val="nil"/>
                    <w:bottom w:val="single" w:sz="4" w:space="0" w:color="ADD6EA"/>
                    <w:right w:val="nil"/>
                  </w:tcBorders>
                  <w:shd w:val="clear" w:color="auto" w:fill="auto"/>
                  <w:noWrap/>
                  <w:vAlign w:val="bottom"/>
                  <w:hideMark/>
                </w:tcPr>
                <w:p w14:paraId="7F59939E" w14:textId="77777777" w:rsidR="003330C1" w:rsidRPr="007C6AFD" w:rsidRDefault="003330C1" w:rsidP="003330C1">
                  <w:pPr>
                    <w:keepNext/>
                    <w:keepLines/>
                    <w:pageBreakBefore/>
                    <w:tabs>
                      <w:tab w:val="clear" w:pos="567"/>
                    </w:tabs>
                    <w:spacing w:before="0" w:line="240" w:lineRule="auto"/>
                    <w:jc w:val="right"/>
                    <w:rPr>
                      <w:rFonts w:eastAsia="Times New Roman" w:cs="Open Sans Light"/>
                      <w:color w:val="000000"/>
                      <w:sz w:val="16"/>
                      <w:szCs w:val="16"/>
                      <w:lang w:eastAsia="en-AU"/>
                    </w:rPr>
                  </w:pPr>
                  <w:r w:rsidRPr="007C6AFD">
                    <w:rPr>
                      <w:rFonts w:eastAsia="Times New Roman" w:cs="Open Sans Light"/>
                      <w:color w:val="000000"/>
                      <w:sz w:val="16"/>
                      <w:szCs w:val="16"/>
                      <w:lang w:eastAsia="en-AU"/>
                    </w:rPr>
                    <w:t>4.3</w:t>
                  </w:r>
                </w:p>
              </w:tc>
              <w:tc>
                <w:tcPr>
                  <w:tcW w:w="803" w:type="dxa"/>
                  <w:tcBorders>
                    <w:top w:val="single" w:sz="4" w:space="0" w:color="ADD6EA"/>
                    <w:left w:val="nil"/>
                    <w:bottom w:val="single" w:sz="4" w:space="0" w:color="ADD6EA"/>
                    <w:right w:val="nil"/>
                  </w:tcBorders>
                  <w:shd w:val="clear" w:color="auto" w:fill="auto"/>
                  <w:noWrap/>
                  <w:vAlign w:val="bottom"/>
                  <w:hideMark/>
                </w:tcPr>
                <w:p w14:paraId="2A812071" w14:textId="77777777" w:rsidR="003330C1" w:rsidRPr="007C6AFD" w:rsidRDefault="003330C1" w:rsidP="003330C1">
                  <w:pPr>
                    <w:keepNext/>
                    <w:keepLines/>
                    <w:pageBreakBefore/>
                    <w:tabs>
                      <w:tab w:val="clear" w:pos="567"/>
                    </w:tabs>
                    <w:spacing w:before="0" w:line="240" w:lineRule="auto"/>
                    <w:jc w:val="right"/>
                    <w:rPr>
                      <w:rFonts w:eastAsia="Times New Roman" w:cs="Open Sans Light"/>
                      <w:color w:val="000000"/>
                      <w:sz w:val="16"/>
                      <w:szCs w:val="16"/>
                      <w:lang w:eastAsia="en-AU"/>
                    </w:rPr>
                  </w:pPr>
                  <w:r w:rsidRPr="007C6AFD">
                    <w:rPr>
                      <w:rFonts w:eastAsia="Times New Roman" w:cs="Open Sans Light"/>
                      <w:color w:val="000000"/>
                      <w:sz w:val="16"/>
                      <w:szCs w:val="16"/>
                      <w:lang w:eastAsia="en-AU"/>
                    </w:rPr>
                    <w:t>9.2</w:t>
                  </w:r>
                </w:p>
              </w:tc>
              <w:tc>
                <w:tcPr>
                  <w:tcW w:w="803" w:type="dxa"/>
                  <w:tcBorders>
                    <w:top w:val="single" w:sz="4" w:space="0" w:color="ADD6EA"/>
                    <w:left w:val="nil"/>
                    <w:bottom w:val="single" w:sz="4" w:space="0" w:color="ADD6EA"/>
                    <w:right w:val="nil"/>
                  </w:tcBorders>
                  <w:shd w:val="clear" w:color="auto" w:fill="auto"/>
                  <w:noWrap/>
                  <w:vAlign w:val="bottom"/>
                  <w:hideMark/>
                </w:tcPr>
                <w:p w14:paraId="36C65542" w14:textId="77777777" w:rsidR="003330C1" w:rsidRPr="007C6AFD" w:rsidRDefault="003330C1" w:rsidP="003330C1">
                  <w:pPr>
                    <w:keepNext/>
                    <w:keepLines/>
                    <w:pageBreakBefore/>
                    <w:tabs>
                      <w:tab w:val="clear" w:pos="567"/>
                    </w:tabs>
                    <w:spacing w:before="0" w:line="240" w:lineRule="auto"/>
                    <w:jc w:val="right"/>
                    <w:rPr>
                      <w:rFonts w:eastAsia="Times New Roman" w:cs="Open Sans Light"/>
                      <w:color w:val="000000"/>
                      <w:sz w:val="16"/>
                      <w:szCs w:val="16"/>
                      <w:lang w:eastAsia="en-AU"/>
                    </w:rPr>
                  </w:pPr>
                  <w:r w:rsidRPr="007C6AFD">
                    <w:rPr>
                      <w:rFonts w:eastAsia="Times New Roman" w:cs="Open Sans Light"/>
                      <w:color w:val="000000"/>
                      <w:sz w:val="16"/>
                      <w:szCs w:val="16"/>
                      <w:lang w:eastAsia="en-AU"/>
                    </w:rPr>
                    <w:t>4.1</w:t>
                  </w:r>
                </w:p>
              </w:tc>
              <w:tc>
                <w:tcPr>
                  <w:tcW w:w="803" w:type="dxa"/>
                  <w:tcBorders>
                    <w:top w:val="single" w:sz="4" w:space="0" w:color="ADD6EA"/>
                    <w:left w:val="nil"/>
                    <w:bottom w:val="single" w:sz="4" w:space="0" w:color="ADD6EA"/>
                    <w:right w:val="nil"/>
                  </w:tcBorders>
                  <w:shd w:val="clear" w:color="auto" w:fill="auto"/>
                  <w:noWrap/>
                  <w:vAlign w:val="bottom"/>
                  <w:hideMark/>
                </w:tcPr>
                <w:p w14:paraId="71C1A661" w14:textId="77777777" w:rsidR="003330C1" w:rsidRPr="007C6AFD" w:rsidRDefault="003330C1" w:rsidP="003330C1">
                  <w:pPr>
                    <w:keepNext/>
                    <w:keepLines/>
                    <w:pageBreakBefore/>
                    <w:tabs>
                      <w:tab w:val="clear" w:pos="567"/>
                    </w:tabs>
                    <w:spacing w:before="0" w:line="240" w:lineRule="auto"/>
                    <w:jc w:val="right"/>
                    <w:rPr>
                      <w:rFonts w:eastAsia="Times New Roman" w:cs="Open Sans Light"/>
                      <w:color w:val="000000"/>
                      <w:sz w:val="16"/>
                      <w:szCs w:val="16"/>
                      <w:lang w:eastAsia="en-AU"/>
                    </w:rPr>
                  </w:pPr>
                  <w:r w:rsidRPr="007C6AFD">
                    <w:rPr>
                      <w:rFonts w:eastAsia="Times New Roman" w:cs="Open Sans Light"/>
                      <w:color w:val="000000"/>
                      <w:sz w:val="16"/>
                      <w:szCs w:val="16"/>
                      <w:lang w:eastAsia="en-AU"/>
                    </w:rPr>
                    <w:t>2.0</w:t>
                  </w:r>
                </w:p>
              </w:tc>
              <w:tc>
                <w:tcPr>
                  <w:tcW w:w="803" w:type="dxa"/>
                  <w:tcBorders>
                    <w:top w:val="single" w:sz="4" w:space="0" w:color="ADD6EA"/>
                    <w:left w:val="nil"/>
                    <w:bottom w:val="single" w:sz="4" w:space="0" w:color="ADD6EA"/>
                    <w:right w:val="nil"/>
                  </w:tcBorders>
                  <w:shd w:val="clear" w:color="auto" w:fill="auto"/>
                  <w:noWrap/>
                  <w:vAlign w:val="bottom"/>
                  <w:hideMark/>
                </w:tcPr>
                <w:p w14:paraId="2D18DC8A" w14:textId="77777777" w:rsidR="003330C1" w:rsidRPr="007C6AFD" w:rsidRDefault="003330C1" w:rsidP="003330C1">
                  <w:pPr>
                    <w:keepNext/>
                    <w:keepLines/>
                    <w:pageBreakBefore/>
                    <w:tabs>
                      <w:tab w:val="clear" w:pos="567"/>
                    </w:tabs>
                    <w:spacing w:before="0" w:line="240" w:lineRule="auto"/>
                    <w:jc w:val="right"/>
                    <w:rPr>
                      <w:rFonts w:eastAsia="Times New Roman" w:cs="Open Sans Light"/>
                      <w:color w:val="000000"/>
                      <w:sz w:val="16"/>
                      <w:szCs w:val="16"/>
                      <w:lang w:eastAsia="en-AU"/>
                    </w:rPr>
                  </w:pPr>
                  <w:r w:rsidRPr="007C6AFD">
                    <w:rPr>
                      <w:rFonts w:eastAsia="Times New Roman" w:cs="Open Sans Light"/>
                      <w:color w:val="000000"/>
                      <w:sz w:val="16"/>
                      <w:szCs w:val="16"/>
                      <w:lang w:eastAsia="en-AU"/>
                    </w:rPr>
                    <w:t>4.4</w:t>
                  </w:r>
                </w:p>
              </w:tc>
              <w:tc>
                <w:tcPr>
                  <w:tcW w:w="803" w:type="dxa"/>
                  <w:tcBorders>
                    <w:top w:val="single" w:sz="4" w:space="0" w:color="ADD6EA"/>
                    <w:left w:val="nil"/>
                    <w:bottom w:val="single" w:sz="4" w:space="0" w:color="ADD6EA"/>
                    <w:right w:val="nil"/>
                  </w:tcBorders>
                  <w:shd w:val="clear" w:color="auto" w:fill="auto"/>
                  <w:noWrap/>
                  <w:vAlign w:val="bottom"/>
                  <w:hideMark/>
                </w:tcPr>
                <w:p w14:paraId="2DD15301" w14:textId="77777777" w:rsidR="003330C1" w:rsidRPr="007C6AFD" w:rsidRDefault="003330C1" w:rsidP="003330C1">
                  <w:pPr>
                    <w:keepNext/>
                    <w:keepLines/>
                    <w:pageBreakBefore/>
                    <w:tabs>
                      <w:tab w:val="clear" w:pos="567"/>
                    </w:tabs>
                    <w:spacing w:before="0" w:line="240" w:lineRule="auto"/>
                    <w:jc w:val="right"/>
                    <w:rPr>
                      <w:rFonts w:eastAsia="Times New Roman" w:cs="Open Sans Light"/>
                      <w:color w:val="000000"/>
                      <w:sz w:val="16"/>
                      <w:szCs w:val="16"/>
                      <w:lang w:eastAsia="en-AU"/>
                    </w:rPr>
                  </w:pPr>
                  <w:r w:rsidRPr="007C6AFD">
                    <w:rPr>
                      <w:rFonts w:eastAsia="Times New Roman" w:cs="Open Sans Light"/>
                      <w:color w:val="000000"/>
                      <w:sz w:val="16"/>
                      <w:szCs w:val="16"/>
                      <w:lang w:eastAsia="en-AU"/>
                    </w:rPr>
                    <w:t>100.0</w:t>
                  </w:r>
                </w:p>
              </w:tc>
            </w:tr>
            <w:tr w:rsidR="003330C1" w:rsidRPr="007C6AFD" w14:paraId="6B687344" w14:textId="77777777" w:rsidTr="00B30BC5">
              <w:trPr>
                <w:trHeight w:val="270"/>
              </w:trPr>
              <w:tc>
                <w:tcPr>
                  <w:tcW w:w="1701" w:type="dxa"/>
                  <w:tcBorders>
                    <w:top w:val="nil"/>
                    <w:left w:val="nil"/>
                    <w:bottom w:val="single" w:sz="4" w:space="0" w:color="ADD6EA"/>
                    <w:right w:val="nil"/>
                  </w:tcBorders>
                  <w:shd w:val="clear" w:color="auto" w:fill="auto"/>
                  <w:vAlign w:val="bottom"/>
                  <w:hideMark/>
                </w:tcPr>
                <w:p w14:paraId="4CA8707C" w14:textId="77777777" w:rsidR="003330C1" w:rsidRPr="007C6AFD" w:rsidRDefault="003330C1" w:rsidP="003330C1">
                  <w:pPr>
                    <w:keepNext/>
                    <w:keepLines/>
                    <w:pageBreakBefore/>
                    <w:tabs>
                      <w:tab w:val="clear" w:pos="567"/>
                    </w:tabs>
                    <w:spacing w:before="0" w:line="240" w:lineRule="auto"/>
                    <w:rPr>
                      <w:rFonts w:eastAsia="Times New Roman" w:cs="Open Sans Light"/>
                      <w:color w:val="000000"/>
                      <w:sz w:val="16"/>
                      <w:szCs w:val="16"/>
                      <w:lang w:eastAsia="en-AU"/>
                    </w:rPr>
                  </w:pPr>
                  <w:r w:rsidRPr="007C6AFD">
                    <w:rPr>
                      <w:rFonts w:eastAsia="Times New Roman" w:cs="Open Sans Light"/>
                      <w:color w:val="000000"/>
                      <w:sz w:val="16"/>
                      <w:szCs w:val="16"/>
                      <w:lang w:eastAsia="en-AU"/>
                    </w:rPr>
                    <w:t>Population share in 2021-22</w:t>
                  </w:r>
                </w:p>
              </w:tc>
              <w:tc>
                <w:tcPr>
                  <w:tcW w:w="675" w:type="dxa"/>
                  <w:tcBorders>
                    <w:top w:val="nil"/>
                    <w:left w:val="nil"/>
                    <w:bottom w:val="single" w:sz="4" w:space="0" w:color="ADD6EA"/>
                    <w:right w:val="nil"/>
                  </w:tcBorders>
                  <w:shd w:val="clear" w:color="auto" w:fill="auto"/>
                  <w:noWrap/>
                  <w:vAlign w:val="bottom"/>
                  <w:hideMark/>
                </w:tcPr>
                <w:p w14:paraId="74F02E3E" w14:textId="77777777" w:rsidR="003330C1" w:rsidRPr="007C6AFD" w:rsidRDefault="003330C1" w:rsidP="003330C1">
                  <w:pPr>
                    <w:keepNext/>
                    <w:keepLines/>
                    <w:pageBreakBefore/>
                    <w:tabs>
                      <w:tab w:val="clear" w:pos="567"/>
                    </w:tabs>
                    <w:spacing w:before="0" w:line="240" w:lineRule="auto"/>
                    <w:jc w:val="right"/>
                    <w:rPr>
                      <w:rFonts w:eastAsia="Times New Roman" w:cs="Open Sans Light"/>
                      <w:color w:val="000000"/>
                      <w:sz w:val="16"/>
                      <w:szCs w:val="16"/>
                      <w:lang w:eastAsia="en-AU"/>
                    </w:rPr>
                  </w:pPr>
                  <w:r w:rsidRPr="007C6AFD">
                    <w:rPr>
                      <w:rFonts w:eastAsia="Times New Roman" w:cs="Open Sans Light"/>
                      <w:color w:val="000000"/>
                      <w:sz w:val="16"/>
                      <w:szCs w:val="16"/>
                      <w:lang w:eastAsia="en-AU"/>
                    </w:rPr>
                    <w:t>31.7</w:t>
                  </w:r>
                </w:p>
              </w:tc>
              <w:tc>
                <w:tcPr>
                  <w:tcW w:w="803" w:type="dxa"/>
                  <w:tcBorders>
                    <w:top w:val="nil"/>
                    <w:left w:val="nil"/>
                    <w:bottom w:val="single" w:sz="4" w:space="0" w:color="ADD6EA"/>
                    <w:right w:val="nil"/>
                  </w:tcBorders>
                  <w:shd w:val="clear" w:color="auto" w:fill="auto"/>
                  <w:noWrap/>
                  <w:vAlign w:val="bottom"/>
                  <w:hideMark/>
                </w:tcPr>
                <w:p w14:paraId="3D2B01A0" w14:textId="77777777" w:rsidR="003330C1" w:rsidRPr="007C6AFD" w:rsidRDefault="003330C1" w:rsidP="003330C1">
                  <w:pPr>
                    <w:keepNext/>
                    <w:keepLines/>
                    <w:pageBreakBefore/>
                    <w:tabs>
                      <w:tab w:val="clear" w:pos="567"/>
                    </w:tabs>
                    <w:spacing w:before="0" w:line="240" w:lineRule="auto"/>
                    <w:jc w:val="right"/>
                    <w:rPr>
                      <w:rFonts w:eastAsia="Times New Roman" w:cs="Open Sans Light"/>
                      <w:color w:val="000000"/>
                      <w:sz w:val="16"/>
                      <w:szCs w:val="16"/>
                      <w:lang w:eastAsia="en-AU"/>
                    </w:rPr>
                  </w:pPr>
                  <w:r w:rsidRPr="007C6AFD">
                    <w:rPr>
                      <w:rFonts w:eastAsia="Times New Roman" w:cs="Open Sans Light"/>
                      <w:color w:val="000000"/>
                      <w:sz w:val="16"/>
                      <w:szCs w:val="16"/>
                      <w:lang w:eastAsia="en-AU"/>
                    </w:rPr>
                    <w:t>26.1</w:t>
                  </w:r>
                </w:p>
              </w:tc>
              <w:tc>
                <w:tcPr>
                  <w:tcW w:w="803" w:type="dxa"/>
                  <w:tcBorders>
                    <w:top w:val="nil"/>
                    <w:left w:val="nil"/>
                    <w:bottom w:val="single" w:sz="4" w:space="0" w:color="ADD6EA"/>
                    <w:right w:val="nil"/>
                  </w:tcBorders>
                  <w:shd w:val="clear" w:color="auto" w:fill="auto"/>
                  <w:noWrap/>
                  <w:vAlign w:val="bottom"/>
                  <w:hideMark/>
                </w:tcPr>
                <w:p w14:paraId="35EA2FC4" w14:textId="77777777" w:rsidR="003330C1" w:rsidRPr="007C6AFD" w:rsidRDefault="003330C1" w:rsidP="003330C1">
                  <w:pPr>
                    <w:keepNext/>
                    <w:keepLines/>
                    <w:pageBreakBefore/>
                    <w:tabs>
                      <w:tab w:val="clear" w:pos="567"/>
                    </w:tabs>
                    <w:spacing w:before="0" w:line="240" w:lineRule="auto"/>
                    <w:jc w:val="right"/>
                    <w:rPr>
                      <w:rFonts w:eastAsia="Times New Roman" w:cs="Open Sans Light"/>
                      <w:color w:val="000000"/>
                      <w:sz w:val="16"/>
                      <w:szCs w:val="16"/>
                      <w:lang w:eastAsia="en-AU"/>
                    </w:rPr>
                  </w:pPr>
                  <w:r w:rsidRPr="007C6AFD">
                    <w:rPr>
                      <w:rFonts w:eastAsia="Times New Roman" w:cs="Open Sans Light"/>
                      <w:color w:val="000000"/>
                      <w:sz w:val="16"/>
                      <w:szCs w:val="16"/>
                      <w:lang w:eastAsia="en-AU"/>
                    </w:rPr>
                    <w:t>20.3</w:t>
                  </w:r>
                </w:p>
              </w:tc>
              <w:tc>
                <w:tcPr>
                  <w:tcW w:w="803" w:type="dxa"/>
                  <w:tcBorders>
                    <w:top w:val="nil"/>
                    <w:left w:val="nil"/>
                    <w:bottom w:val="single" w:sz="4" w:space="0" w:color="ADD6EA"/>
                    <w:right w:val="nil"/>
                  </w:tcBorders>
                  <w:shd w:val="clear" w:color="auto" w:fill="auto"/>
                  <w:noWrap/>
                  <w:vAlign w:val="bottom"/>
                  <w:hideMark/>
                </w:tcPr>
                <w:p w14:paraId="74374778" w14:textId="77777777" w:rsidR="003330C1" w:rsidRPr="007C6AFD" w:rsidRDefault="003330C1" w:rsidP="003330C1">
                  <w:pPr>
                    <w:keepNext/>
                    <w:keepLines/>
                    <w:pageBreakBefore/>
                    <w:tabs>
                      <w:tab w:val="clear" w:pos="567"/>
                    </w:tabs>
                    <w:spacing w:before="0" w:line="240" w:lineRule="auto"/>
                    <w:jc w:val="right"/>
                    <w:rPr>
                      <w:rFonts w:eastAsia="Times New Roman" w:cs="Open Sans Light"/>
                      <w:color w:val="000000"/>
                      <w:sz w:val="16"/>
                      <w:szCs w:val="16"/>
                      <w:lang w:eastAsia="en-AU"/>
                    </w:rPr>
                  </w:pPr>
                  <w:r w:rsidRPr="007C6AFD">
                    <w:rPr>
                      <w:rFonts w:eastAsia="Times New Roman" w:cs="Open Sans Light"/>
                      <w:color w:val="000000"/>
                      <w:sz w:val="16"/>
                      <w:szCs w:val="16"/>
                      <w:lang w:eastAsia="en-AU"/>
                    </w:rPr>
                    <w:t>10.4</w:t>
                  </w:r>
                </w:p>
              </w:tc>
              <w:tc>
                <w:tcPr>
                  <w:tcW w:w="803" w:type="dxa"/>
                  <w:tcBorders>
                    <w:top w:val="nil"/>
                    <w:left w:val="nil"/>
                    <w:bottom w:val="single" w:sz="4" w:space="0" w:color="ADD6EA"/>
                    <w:right w:val="nil"/>
                  </w:tcBorders>
                  <w:shd w:val="clear" w:color="auto" w:fill="auto"/>
                  <w:noWrap/>
                  <w:vAlign w:val="bottom"/>
                  <w:hideMark/>
                </w:tcPr>
                <w:p w14:paraId="07BDBB90" w14:textId="77777777" w:rsidR="003330C1" w:rsidRPr="007C6AFD" w:rsidRDefault="003330C1" w:rsidP="003330C1">
                  <w:pPr>
                    <w:keepNext/>
                    <w:keepLines/>
                    <w:pageBreakBefore/>
                    <w:tabs>
                      <w:tab w:val="clear" w:pos="567"/>
                    </w:tabs>
                    <w:spacing w:before="0" w:line="240" w:lineRule="auto"/>
                    <w:jc w:val="right"/>
                    <w:rPr>
                      <w:rFonts w:eastAsia="Times New Roman" w:cs="Open Sans Light"/>
                      <w:color w:val="000000"/>
                      <w:sz w:val="16"/>
                      <w:szCs w:val="16"/>
                      <w:lang w:eastAsia="en-AU"/>
                    </w:rPr>
                  </w:pPr>
                  <w:r w:rsidRPr="007C6AFD">
                    <w:rPr>
                      <w:rFonts w:eastAsia="Times New Roman" w:cs="Open Sans Light"/>
                      <w:color w:val="000000"/>
                      <w:sz w:val="16"/>
                      <w:szCs w:val="16"/>
                      <w:lang w:eastAsia="en-AU"/>
                    </w:rPr>
                    <w:t>6.9</w:t>
                  </w:r>
                </w:p>
              </w:tc>
              <w:tc>
                <w:tcPr>
                  <w:tcW w:w="803" w:type="dxa"/>
                  <w:tcBorders>
                    <w:top w:val="nil"/>
                    <w:left w:val="nil"/>
                    <w:bottom w:val="single" w:sz="4" w:space="0" w:color="ADD6EA"/>
                    <w:right w:val="nil"/>
                  </w:tcBorders>
                  <w:shd w:val="clear" w:color="auto" w:fill="auto"/>
                  <w:noWrap/>
                  <w:vAlign w:val="bottom"/>
                  <w:hideMark/>
                </w:tcPr>
                <w:p w14:paraId="14D12542" w14:textId="77777777" w:rsidR="003330C1" w:rsidRPr="007C6AFD" w:rsidRDefault="003330C1" w:rsidP="003330C1">
                  <w:pPr>
                    <w:keepNext/>
                    <w:keepLines/>
                    <w:pageBreakBefore/>
                    <w:tabs>
                      <w:tab w:val="clear" w:pos="567"/>
                    </w:tabs>
                    <w:spacing w:before="0" w:line="240" w:lineRule="auto"/>
                    <w:jc w:val="right"/>
                    <w:rPr>
                      <w:rFonts w:eastAsia="Times New Roman" w:cs="Open Sans Light"/>
                      <w:color w:val="000000"/>
                      <w:sz w:val="16"/>
                      <w:szCs w:val="16"/>
                      <w:lang w:eastAsia="en-AU"/>
                    </w:rPr>
                  </w:pPr>
                  <w:r w:rsidRPr="007C6AFD">
                    <w:rPr>
                      <w:rFonts w:eastAsia="Times New Roman" w:cs="Open Sans Light"/>
                      <w:color w:val="000000"/>
                      <w:sz w:val="16"/>
                      <w:szCs w:val="16"/>
                      <w:lang w:eastAsia="en-AU"/>
                    </w:rPr>
                    <w:t>2.1</w:t>
                  </w:r>
                </w:p>
              </w:tc>
              <w:tc>
                <w:tcPr>
                  <w:tcW w:w="803" w:type="dxa"/>
                  <w:tcBorders>
                    <w:top w:val="nil"/>
                    <w:left w:val="nil"/>
                    <w:bottom w:val="single" w:sz="4" w:space="0" w:color="ADD6EA"/>
                    <w:right w:val="nil"/>
                  </w:tcBorders>
                  <w:shd w:val="clear" w:color="auto" w:fill="auto"/>
                  <w:noWrap/>
                  <w:vAlign w:val="bottom"/>
                  <w:hideMark/>
                </w:tcPr>
                <w:p w14:paraId="368F1351" w14:textId="77777777" w:rsidR="003330C1" w:rsidRPr="007C6AFD" w:rsidRDefault="003330C1" w:rsidP="003330C1">
                  <w:pPr>
                    <w:keepNext/>
                    <w:keepLines/>
                    <w:pageBreakBefore/>
                    <w:tabs>
                      <w:tab w:val="clear" w:pos="567"/>
                    </w:tabs>
                    <w:spacing w:before="0" w:line="240" w:lineRule="auto"/>
                    <w:jc w:val="right"/>
                    <w:rPr>
                      <w:rFonts w:eastAsia="Times New Roman" w:cs="Open Sans Light"/>
                      <w:color w:val="000000"/>
                      <w:sz w:val="16"/>
                      <w:szCs w:val="16"/>
                      <w:lang w:eastAsia="en-AU"/>
                    </w:rPr>
                  </w:pPr>
                  <w:r w:rsidRPr="007C6AFD">
                    <w:rPr>
                      <w:rFonts w:eastAsia="Times New Roman" w:cs="Open Sans Light"/>
                      <w:color w:val="000000"/>
                      <w:sz w:val="16"/>
                      <w:szCs w:val="16"/>
                      <w:lang w:eastAsia="en-AU"/>
                    </w:rPr>
                    <w:t>1.7</w:t>
                  </w:r>
                </w:p>
              </w:tc>
              <w:tc>
                <w:tcPr>
                  <w:tcW w:w="803" w:type="dxa"/>
                  <w:tcBorders>
                    <w:top w:val="nil"/>
                    <w:left w:val="nil"/>
                    <w:bottom w:val="single" w:sz="4" w:space="0" w:color="ADD6EA"/>
                    <w:right w:val="nil"/>
                  </w:tcBorders>
                  <w:shd w:val="clear" w:color="auto" w:fill="auto"/>
                  <w:noWrap/>
                  <w:vAlign w:val="bottom"/>
                  <w:hideMark/>
                </w:tcPr>
                <w:p w14:paraId="29E4E910" w14:textId="77777777" w:rsidR="003330C1" w:rsidRPr="007C6AFD" w:rsidRDefault="003330C1" w:rsidP="003330C1">
                  <w:pPr>
                    <w:keepNext/>
                    <w:keepLines/>
                    <w:pageBreakBefore/>
                    <w:tabs>
                      <w:tab w:val="clear" w:pos="567"/>
                    </w:tabs>
                    <w:spacing w:before="0" w:line="240" w:lineRule="auto"/>
                    <w:jc w:val="right"/>
                    <w:rPr>
                      <w:rFonts w:eastAsia="Times New Roman" w:cs="Open Sans Light"/>
                      <w:color w:val="000000"/>
                      <w:sz w:val="16"/>
                      <w:szCs w:val="16"/>
                      <w:lang w:eastAsia="en-AU"/>
                    </w:rPr>
                  </w:pPr>
                  <w:r w:rsidRPr="007C6AFD">
                    <w:rPr>
                      <w:rFonts w:eastAsia="Times New Roman" w:cs="Open Sans Light"/>
                      <w:color w:val="000000"/>
                      <w:sz w:val="16"/>
                      <w:szCs w:val="16"/>
                      <w:lang w:eastAsia="en-AU"/>
                    </w:rPr>
                    <w:t>0.9</w:t>
                  </w:r>
                </w:p>
              </w:tc>
              <w:tc>
                <w:tcPr>
                  <w:tcW w:w="803" w:type="dxa"/>
                  <w:tcBorders>
                    <w:top w:val="nil"/>
                    <w:left w:val="nil"/>
                    <w:bottom w:val="single" w:sz="4" w:space="0" w:color="ADD6EA"/>
                    <w:right w:val="nil"/>
                  </w:tcBorders>
                  <w:shd w:val="clear" w:color="auto" w:fill="auto"/>
                  <w:noWrap/>
                  <w:vAlign w:val="bottom"/>
                  <w:hideMark/>
                </w:tcPr>
                <w:p w14:paraId="4DCDCE19" w14:textId="77777777" w:rsidR="003330C1" w:rsidRPr="007C6AFD" w:rsidRDefault="003330C1" w:rsidP="003330C1">
                  <w:pPr>
                    <w:keepNext/>
                    <w:keepLines/>
                    <w:pageBreakBefore/>
                    <w:tabs>
                      <w:tab w:val="clear" w:pos="567"/>
                    </w:tabs>
                    <w:spacing w:before="0" w:line="240" w:lineRule="auto"/>
                    <w:jc w:val="right"/>
                    <w:rPr>
                      <w:rFonts w:eastAsia="Times New Roman" w:cs="Open Sans Light"/>
                      <w:color w:val="000000"/>
                      <w:sz w:val="16"/>
                      <w:szCs w:val="16"/>
                      <w:lang w:eastAsia="en-AU"/>
                    </w:rPr>
                  </w:pPr>
                  <w:r w:rsidRPr="007C6AFD">
                    <w:rPr>
                      <w:rFonts w:eastAsia="Times New Roman" w:cs="Open Sans Light"/>
                      <w:color w:val="000000"/>
                      <w:sz w:val="16"/>
                      <w:szCs w:val="16"/>
                      <w:lang w:eastAsia="en-AU"/>
                    </w:rPr>
                    <w:t>100.0</w:t>
                  </w:r>
                </w:p>
              </w:tc>
            </w:tr>
          </w:tbl>
          <w:p w14:paraId="3A3F8EE8" w14:textId="211ADDE8" w:rsidR="003330C1" w:rsidRPr="007C6AFD" w:rsidRDefault="003330C1" w:rsidP="007C6AFD">
            <w:pPr>
              <w:spacing w:after="120"/>
            </w:pPr>
            <w:r w:rsidRPr="007C6AFD">
              <w:rPr>
                <w:sz w:val="14"/>
              </w:rPr>
              <w:t>Source: Commission calculation.</w:t>
            </w:r>
          </w:p>
        </w:tc>
      </w:tr>
      <w:tr w:rsidR="0096098C" w:rsidRPr="007C6AFD" w14:paraId="0FECFD05" w14:textId="77777777" w:rsidTr="00821A4C">
        <w:tc>
          <w:tcPr>
            <w:tcW w:w="9175" w:type="dxa"/>
            <w:shd w:val="clear" w:color="auto" w:fill="auto"/>
          </w:tcPr>
          <w:p w14:paraId="250019DD" w14:textId="77777777" w:rsidR="0096098C" w:rsidRPr="007C6AFD" w:rsidRDefault="0096098C" w:rsidP="00821A4C">
            <w:pPr>
              <w:spacing w:before="0"/>
            </w:pPr>
          </w:p>
        </w:tc>
      </w:tr>
      <w:tr w:rsidR="00821A4C" w:rsidRPr="00B039E6" w14:paraId="0A78AD5F" w14:textId="77777777" w:rsidTr="00821A4C">
        <w:tc>
          <w:tcPr>
            <w:tcW w:w="9175" w:type="dxa"/>
            <w:shd w:val="clear" w:color="auto" w:fill="auto"/>
          </w:tcPr>
          <w:p w14:paraId="6D810A65" w14:textId="77777777" w:rsidR="00821A4C" w:rsidRPr="00B039E6" w:rsidRDefault="00821A4C" w:rsidP="00821A4C">
            <w:pPr>
              <w:spacing w:before="0"/>
              <w:rPr>
                <w:sz w:val="16"/>
                <w:szCs w:val="18"/>
              </w:rPr>
            </w:pPr>
          </w:p>
        </w:tc>
      </w:tr>
      <w:tr w:rsidR="0096098C" w:rsidRPr="007C6AFD" w14:paraId="645821A1" w14:textId="77777777" w:rsidTr="00E97C40">
        <w:tc>
          <w:tcPr>
            <w:tcW w:w="9175" w:type="dxa"/>
            <w:shd w:val="clear" w:color="auto" w:fill="EBF3F5"/>
          </w:tcPr>
          <w:p w14:paraId="0BD0EE35" w14:textId="77777777" w:rsidR="0096098C" w:rsidRPr="007C6AFD" w:rsidRDefault="0096098C" w:rsidP="00821A4C">
            <w:pPr>
              <w:widowControl w:val="0"/>
              <w:outlineLvl w:val="5"/>
              <w:rPr>
                <w:rFonts w:ascii="Montserrat Semi Bold" w:eastAsiaTheme="majorEastAsia" w:hAnsi="Montserrat Semi Bold" w:cstheme="majorBidi"/>
                <w:i/>
                <w:iCs/>
                <w:color w:val="636466"/>
              </w:rPr>
            </w:pPr>
            <w:r w:rsidRPr="007C6AFD">
              <w:rPr>
                <w:rFonts w:ascii="Montserrat Semi Bold" w:eastAsiaTheme="majorEastAsia" w:hAnsi="Montserrat Semi Bold" w:cstheme="majorBidi"/>
                <w:i/>
                <w:iCs/>
                <w:color w:val="636466"/>
              </w:rPr>
              <w:t>Key drivers of change in each State</w:t>
            </w:r>
          </w:p>
          <w:p w14:paraId="694F2C69" w14:textId="77777777" w:rsidR="0096098C" w:rsidRPr="007C6AFD" w:rsidRDefault="0096098C" w:rsidP="0096098C">
            <w:pPr>
              <w:keepNext/>
              <w:keepLines/>
              <w:pageBreakBefore/>
            </w:pPr>
            <w:r w:rsidRPr="007C6AFD">
              <w:t xml:space="preserve">Compared with 2020-21, </w:t>
            </w:r>
            <w:r w:rsidRPr="007C6AFD">
              <w:rPr>
                <w:b/>
                <w:bCs/>
              </w:rPr>
              <w:t>Victoria</w:t>
            </w:r>
            <w:r w:rsidRPr="007C6AFD">
              <w:t xml:space="preserve">, </w:t>
            </w:r>
            <w:r w:rsidRPr="007C6AFD">
              <w:rPr>
                <w:b/>
                <w:bCs/>
              </w:rPr>
              <w:t>Western Australia</w:t>
            </w:r>
            <w:r w:rsidRPr="007C6AFD">
              <w:t xml:space="preserve"> and </w:t>
            </w:r>
            <w:r w:rsidRPr="007C6AFD">
              <w:rPr>
                <w:b/>
                <w:bCs/>
              </w:rPr>
              <w:t>South Australia</w:t>
            </w:r>
            <w:r w:rsidRPr="007C6AFD">
              <w:t xml:space="preserve"> will have a reduced requirement (in relative terms) for GST distribution in 2021-22. Strong property transfer values over the assessment period increased the revenue raising capacity of </w:t>
            </w:r>
            <w:r w:rsidRPr="007C6AFD">
              <w:rPr>
                <w:b/>
                <w:bCs/>
              </w:rPr>
              <w:t>Victoria</w:t>
            </w:r>
            <w:r w:rsidRPr="007C6AFD">
              <w:t>. This influence</w:t>
            </w:r>
            <w:r w:rsidRPr="007C6AFD" w:rsidDel="0029501A">
              <w:t xml:space="preserve"> </w:t>
            </w:r>
            <w:r w:rsidRPr="007C6AFD">
              <w:t>was compounded by Victoria’s below average expense needs and data revisions that increased its assessed capacity to raise payroll tax.</w:t>
            </w:r>
            <w:r w:rsidRPr="007C6AFD">
              <w:rPr>
                <w:vertAlign w:val="superscript"/>
              </w:rPr>
              <w:footnoteReference w:id="5"/>
            </w:r>
            <w:r w:rsidRPr="007C6AFD">
              <w:t xml:space="preserve"> The strong growth in iron ore royalties was the main driver of </w:t>
            </w:r>
            <w:r w:rsidRPr="007C6AFD">
              <w:rPr>
                <w:b/>
                <w:bCs/>
              </w:rPr>
              <w:t>Western Australia</w:t>
            </w:r>
            <w:r w:rsidRPr="007C6AFD">
              <w:t xml:space="preserve">’s declining GST requirement in this update. </w:t>
            </w:r>
            <w:r w:rsidRPr="007C6AFD">
              <w:rPr>
                <w:b/>
                <w:bCs/>
              </w:rPr>
              <w:t>South Australia</w:t>
            </w:r>
            <w:r w:rsidRPr="007C6AFD">
              <w:t xml:space="preserve"> experienced a small reduction in its GST requirement, mainly due to above national average growth in property sales and taxable payrolls, and data revisions in the wage costs assessment. </w:t>
            </w:r>
          </w:p>
          <w:p w14:paraId="1D67AB16" w14:textId="77777777" w:rsidR="0096098C" w:rsidRPr="007C6AFD" w:rsidRDefault="0096098C" w:rsidP="0096098C">
            <w:pPr>
              <w:keepNext/>
              <w:keepLines/>
              <w:pageBreakBefore/>
              <w:tabs>
                <w:tab w:val="clear" w:pos="567"/>
                <w:tab w:val="left" w:pos="1134"/>
                <w:tab w:val="left" w:pos="1418"/>
              </w:tabs>
              <w:spacing w:after="120" w:line="240" w:lineRule="auto"/>
              <w:ind w:left="1134" w:hanging="1134"/>
              <w:rPr>
                <w:rFonts w:ascii="Montserrat Ultra Light" w:hAnsi="Montserrat Ultra Light"/>
                <w:b/>
                <w:bCs/>
                <w:szCs w:val="20"/>
              </w:rPr>
            </w:pPr>
            <w:r w:rsidRPr="007C6AFD">
              <w:rPr>
                <w:rFonts w:ascii="Montserrat Ultra Light" w:hAnsi="Montserrat Ultra Light"/>
                <w:b/>
                <w:bCs/>
                <w:szCs w:val="20"/>
                <w:lang w:eastAsia="en-AU"/>
              </w:rPr>
              <w:t>Major drivers of change in GST distribution, 2020-21 to 2021-22</w:t>
            </w:r>
          </w:p>
          <w:tbl>
            <w:tblPr>
              <w:tblW w:w="8789" w:type="dxa"/>
              <w:tblCellMar>
                <w:left w:w="0" w:type="dxa"/>
                <w:right w:w="0" w:type="dxa"/>
              </w:tblCellMar>
              <w:tblLook w:val="04A0" w:firstRow="1" w:lastRow="0" w:firstColumn="1" w:lastColumn="0" w:noHBand="0" w:noVBand="1"/>
            </w:tblPr>
            <w:tblGrid>
              <w:gridCol w:w="2996"/>
              <w:gridCol w:w="485"/>
              <w:gridCol w:w="606"/>
              <w:gridCol w:w="669"/>
              <w:gridCol w:w="648"/>
              <w:gridCol w:w="585"/>
              <w:gridCol w:w="648"/>
              <w:gridCol w:w="689"/>
              <w:gridCol w:w="606"/>
              <w:gridCol w:w="857"/>
            </w:tblGrid>
            <w:tr w:rsidR="0096098C" w:rsidRPr="007C6AFD" w14:paraId="6554E9ED" w14:textId="77777777" w:rsidTr="00B30BC5">
              <w:trPr>
                <w:trHeight w:val="315"/>
              </w:trPr>
              <w:tc>
                <w:tcPr>
                  <w:tcW w:w="2869" w:type="dxa"/>
                  <w:shd w:val="clear" w:color="auto" w:fill="006991"/>
                  <w:tcMar>
                    <w:top w:w="0" w:type="dxa"/>
                    <w:left w:w="28" w:type="dxa"/>
                    <w:bottom w:w="0" w:type="dxa"/>
                    <w:right w:w="28" w:type="dxa"/>
                  </w:tcMar>
                  <w:vAlign w:val="bottom"/>
                  <w:hideMark/>
                </w:tcPr>
                <w:p w14:paraId="2D1B36E5" w14:textId="77777777" w:rsidR="0096098C" w:rsidRPr="007C6AFD" w:rsidRDefault="0096098C" w:rsidP="0096098C">
                  <w:pPr>
                    <w:keepNext/>
                    <w:keepLines/>
                    <w:pageBreakBefore/>
                    <w:tabs>
                      <w:tab w:val="clear" w:pos="567"/>
                      <w:tab w:val="left" w:pos="1134"/>
                      <w:tab w:val="left" w:pos="1420"/>
                    </w:tabs>
                    <w:spacing w:before="0" w:line="240" w:lineRule="auto"/>
                    <w:rPr>
                      <w:rFonts w:ascii="Open Sans Semibold" w:hAnsi="Open Sans Semibold"/>
                      <w:color w:val="FFFFFF" w:themeColor="background1"/>
                      <w:sz w:val="16"/>
                      <w:szCs w:val="20"/>
                      <w:lang w:eastAsia="en-AU"/>
                    </w:rPr>
                  </w:pPr>
                </w:p>
              </w:tc>
              <w:tc>
                <w:tcPr>
                  <w:tcW w:w="451" w:type="dxa"/>
                  <w:shd w:val="clear" w:color="auto" w:fill="006991"/>
                  <w:tcMar>
                    <w:top w:w="0" w:type="dxa"/>
                    <w:left w:w="28" w:type="dxa"/>
                    <w:bottom w:w="0" w:type="dxa"/>
                    <w:right w:w="28" w:type="dxa"/>
                  </w:tcMar>
                  <w:vAlign w:val="center"/>
                  <w:hideMark/>
                </w:tcPr>
                <w:p w14:paraId="0815C91C" w14:textId="77777777" w:rsidR="0096098C" w:rsidRPr="007C6AFD" w:rsidRDefault="0096098C" w:rsidP="0096098C">
                  <w:pPr>
                    <w:keepNext/>
                    <w:keepLines/>
                    <w:pageBreakBefore/>
                    <w:tabs>
                      <w:tab w:val="clear" w:pos="567"/>
                      <w:tab w:val="left" w:pos="1134"/>
                      <w:tab w:val="left" w:pos="1420"/>
                    </w:tabs>
                    <w:spacing w:before="0" w:line="240" w:lineRule="auto"/>
                    <w:jc w:val="right"/>
                    <w:rPr>
                      <w:rFonts w:ascii="Open Sans Semibold" w:hAnsi="Open Sans Semibold"/>
                      <w:color w:val="FFFFFF" w:themeColor="background1"/>
                      <w:sz w:val="16"/>
                      <w:szCs w:val="20"/>
                      <w:lang w:eastAsia="en-AU"/>
                    </w:rPr>
                  </w:pPr>
                  <w:r w:rsidRPr="007C6AFD">
                    <w:rPr>
                      <w:rFonts w:ascii="Open Sans Semibold" w:hAnsi="Open Sans Semibold"/>
                      <w:color w:val="FFFFFF" w:themeColor="background1"/>
                      <w:sz w:val="16"/>
                      <w:szCs w:val="20"/>
                      <w:lang w:eastAsia="en-AU"/>
                    </w:rPr>
                    <w:t>NSW</w:t>
                  </w:r>
                </w:p>
              </w:tc>
              <w:tc>
                <w:tcPr>
                  <w:tcW w:w="580" w:type="dxa"/>
                  <w:shd w:val="clear" w:color="auto" w:fill="006991"/>
                  <w:tcMar>
                    <w:top w:w="0" w:type="dxa"/>
                    <w:left w:w="28" w:type="dxa"/>
                    <w:bottom w:w="0" w:type="dxa"/>
                    <w:right w:w="28" w:type="dxa"/>
                  </w:tcMar>
                  <w:vAlign w:val="center"/>
                  <w:hideMark/>
                </w:tcPr>
                <w:p w14:paraId="46D0E973" w14:textId="77777777" w:rsidR="0096098C" w:rsidRPr="007C6AFD" w:rsidRDefault="0096098C" w:rsidP="0096098C">
                  <w:pPr>
                    <w:keepNext/>
                    <w:keepLines/>
                    <w:pageBreakBefore/>
                    <w:tabs>
                      <w:tab w:val="clear" w:pos="567"/>
                      <w:tab w:val="left" w:pos="1134"/>
                      <w:tab w:val="left" w:pos="1420"/>
                    </w:tabs>
                    <w:spacing w:before="0" w:line="240" w:lineRule="auto"/>
                    <w:jc w:val="right"/>
                    <w:rPr>
                      <w:rFonts w:ascii="Open Sans Semibold" w:hAnsi="Open Sans Semibold"/>
                      <w:color w:val="FFFFFF" w:themeColor="background1"/>
                      <w:sz w:val="16"/>
                      <w:szCs w:val="20"/>
                      <w:lang w:eastAsia="en-AU"/>
                    </w:rPr>
                  </w:pPr>
                  <w:r w:rsidRPr="007C6AFD">
                    <w:rPr>
                      <w:rFonts w:ascii="Open Sans Semibold" w:hAnsi="Open Sans Semibold"/>
                      <w:color w:val="FFFFFF" w:themeColor="background1"/>
                      <w:sz w:val="16"/>
                      <w:szCs w:val="20"/>
                      <w:lang w:eastAsia="en-AU"/>
                    </w:rPr>
                    <w:t>Vic</w:t>
                  </w:r>
                </w:p>
              </w:tc>
              <w:tc>
                <w:tcPr>
                  <w:tcW w:w="640" w:type="dxa"/>
                  <w:shd w:val="clear" w:color="auto" w:fill="006991"/>
                  <w:tcMar>
                    <w:top w:w="0" w:type="dxa"/>
                    <w:left w:w="28" w:type="dxa"/>
                    <w:bottom w:w="0" w:type="dxa"/>
                    <w:right w:w="28" w:type="dxa"/>
                  </w:tcMar>
                  <w:vAlign w:val="center"/>
                  <w:hideMark/>
                </w:tcPr>
                <w:p w14:paraId="5798B60B" w14:textId="77777777" w:rsidR="0096098C" w:rsidRPr="007C6AFD" w:rsidRDefault="0096098C" w:rsidP="0096098C">
                  <w:pPr>
                    <w:keepNext/>
                    <w:keepLines/>
                    <w:pageBreakBefore/>
                    <w:tabs>
                      <w:tab w:val="clear" w:pos="567"/>
                      <w:tab w:val="left" w:pos="1134"/>
                      <w:tab w:val="left" w:pos="1420"/>
                    </w:tabs>
                    <w:spacing w:before="0" w:line="240" w:lineRule="auto"/>
                    <w:jc w:val="right"/>
                    <w:rPr>
                      <w:rFonts w:ascii="Open Sans Semibold" w:hAnsi="Open Sans Semibold"/>
                      <w:color w:val="FFFFFF" w:themeColor="background1"/>
                      <w:sz w:val="16"/>
                      <w:szCs w:val="20"/>
                      <w:lang w:eastAsia="en-AU"/>
                    </w:rPr>
                  </w:pPr>
                  <w:r w:rsidRPr="007C6AFD">
                    <w:rPr>
                      <w:rFonts w:ascii="Open Sans Semibold" w:hAnsi="Open Sans Semibold"/>
                      <w:color w:val="FFFFFF" w:themeColor="background1"/>
                      <w:sz w:val="16"/>
                      <w:szCs w:val="20"/>
                      <w:lang w:eastAsia="en-AU"/>
                    </w:rPr>
                    <w:t>Qld</w:t>
                  </w:r>
                </w:p>
              </w:tc>
              <w:tc>
                <w:tcPr>
                  <w:tcW w:w="620" w:type="dxa"/>
                  <w:shd w:val="clear" w:color="auto" w:fill="006991"/>
                  <w:tcMar>
                    <w:top w:w="0" w:type="dxa"/>
                    <w:left w:w="28" w:type="dxa"/>
                    <w:bottom w:w="0" w:type="dxa"/>
                    <w:right w:w="28" w:type="dxa"/>
                  </w:tcMar>
                  <w:vAlign w:val="center"/>
                  <w:hideMark/>
                </w:tcPr>
                <w:p w14:paraId="188CB8F6" w14:textId="77777777" w:rsidR="0096098C" w:rsidRPr="007C6AFD" w:rsidRDefault="0096098C" w:rsidP="0096098C">
                  <w:pPr>
                    <w:keepNext/>
                    <w:keepLines/>
                    <w:pageBreakBefore/>
                    <w:tabs>
                      <w:tab w:val="clear" w:pos="567"/>
                      <w:tab w:val="left" w:pos="1134"/>
                      <w:tab w:val="left" w:pos="1420"/>
                    </w:tabs>
                    <w:spacing w:before="0" w:line="240" w:lineRule="auto"/>
                    <w:jc w:val="right"/>
                    <w:rPr>
                      <w:rFonts w:ascii="Open Sans Semibold" w:hAnsi="Open Sans Semibold"/>
                      <w:color w:val="FFFFFF" w:themeColor="background1"/>
                      <w:sz w:val="16"/>
                      <w:szCs w:val="20"/>
                      <w:lang w:eastAsia="en-AU"/>
                    </w:rPr>
                  </w:pPr>
                  <w:r w:rsidRPr="007C6AFD">
                    <w:rPr>
                      <w:rFonts w:ascii="Open Sans Semibold" w:hAnsi="Open Sans Semibold"/>
                      <w:color w:val="FFFFFF" w:themeColor="background1"/>
                      <w:sz w:val="16"/>
                      <w:szCs w:val="20"/>
                      <w:lang w:eastAsia="en-AU"/>
                    </w:rPr>
                    <w:t>WA</w:t>
                  </w:r>
                </w:p>
              </w:tc>
              <w:tc>
                <w:tcPr>
                  <w:tcW w:w="560" w:type="dxa"/>
                  <w:shd w:val="clear" w:color="auto" w:fill="006991"/>
                  <w:tcMar>
                    <w:top w:w="0" w:type="dxa"/>
                    <w:left w:w="28" w:type="dxa"/>
                    <w:bottom w:w="0" w:type="dxa"/>
                    <w:right w:w="28" w:type="dxa"/>
                  </w:tcMar>
                  <w:vAlign w:val="center"/>
                  <w:hideMark/>
                </w:tcPr>
                <w:p w14:paraId="69A07D99" w14:textId="77777777" w:rsidR="0096098C" w:rsidRPr="007C6AFD" w:rsidRDefault="0096098C" w:rsidP="0096098C">
                  <w:pPr>
                    <w:keepNext/>
                    <w:keepLines/>
                    <w:pageBreakBefore/>
                    <w:tabs>
                      <w:tab w:val="clear" w:pos="567"/>
                      <w:tab w:val="left" w:pos="1134"/>
                      <w:tab w:val="left" w:pos="1420"/>
                    </w:tabs>
                    <w:spacing w:before="0" w:line="240" w:lineRule="auto"/>
                    <w:jc w:val="right"/>
                    <w:rPr>
                      <w:rFonts w:ascii="Open Sans Semibold" w:hAnsi="Open Sans Semibold"/>
                      <w:color w:val="FFFFFF" w:themeColor="background1"/>
                      <w:sz w:val="16"/>
                      <w:szCs w:val="20"/>
                      <w:lang w:eastAsia="en-AU"/>
                    </w:rPr>
                  </w:pPr>
                  <w:r w:rsidRPr="007C6AFD">
                    <w:rPr>
                      <w:rFonts w:ascii="Open Sans Semibold" w:hAnsi="Open Sans Semibold"/>
                      <w:color w:val="FFFFFF" w:themeColor="background1"/>
                      <w:sz w:val="16"/>
                      <w:szCs w:val="20"/>
                      <w:lang w:eastAsia="en-AU"/>
                    </w:rPr>
                    <w:t>SA</w:t>
                  </w:r>
                </w:p>
              </w:tc>
              <w:tc>
                <w:tcPr>
                  <w:tcW w:w="620" w:type="dxa"/>
                  <w:shd w:val="clear" w:color="auto" w:fill="006991"/>
                  <w:tcMar>
                    <w:top w:w="0" w:type="dxa"/>
                    <w:left w:w="28" w:type="dxa"/>
                    <w:bottom w:w="0" w:type="dxa"/>
                    <w:right w:w="28" w:type="dxa"/>
                  </w:tcMar>
                  <w:vAlign w:val="center"/>
                  <w:hideMark/>
                </w:tcPr>
                <w:p w14:paraId="4CFF3451" w14:textId="77777777" w:rsidR="0096098C" w:rsidRPr="007C6AFD" w:rsidRDefault="0096098C" w:rsidP="0096098C">
                  <w:pPr>
                    <w:keepNext/>
                    <w:keepLines/>
                    <w:pageBreakBefore/>
                    <w:tabs>
                      <w:tab w:val="clear" w:pos="567"/>
                      <w:tab w:val="left" w:pos="1134"/>
                      <w:tab w:val="left" w:pos="1420"/>
                    </w:tabs>
                    <w:spacing w:before="0" w:line="240" w:lineRule="auto"/>
                    <w:jc w:val="right"/>
                    <w:rPr>
                      <w:rFonts w:ascii="Open Sans Semibold" w:hAnsi="Open Sans Semibold"/>
                      <w:color w:val="FFFFFF" w:themeColor="background1"/>
                      <w:sz w:val="16"/>
                      <w:szCs w:val="20"/>
                      <w:lang w:eastAsia="en-AU"/>
                    </w:rPr>
                  </w:pPr>
                  <w:r w:rsidRPr="007C6AFD">
                    <w:rPr>
                      <w:rFonts w:ascii="Open Sans Semibold" w:hAnsi="Open Sans Semibold"/>
                      <w:color w:val="FFFFFF" w:themeColor="background1"/>
                      <w:sz w:val="16"/>
                      <w:szCs w:val="20"/>
                      <w:lang w:eastAsia="en-AU"/>
                    </w:rPr>
                    <w:t>Tas</w:t>
                  </w:r>
                </w:p>
              </w:tc>
              <w:tc>
                <w:tcPr>
                  <w:tcW w:w="660" w:type="dxa"/>
                  <w:shd w:val="clear" w:color="auto" w:fill="006991"/>
                  <w:tcMar>
                    <w:top w:w="0" w:type="dxa"/>
                    <w:left w:w="28" w:type="dxa"/>
                    <w:bottom w:w="0" w:type="dxa"/>
                    <w:right w:w="28" w:type="dxa"/>
                  </w:tcMar>
                  <w:vAlign w:val="center"/>
                  <w:hideMark/>
                </w:tcPr>
                <w:p w14:paraId="7586EA2E" w14:textId="77777777" w:rsidR="0096098C" w:rsidRPr="007C6AFD" w:rsidRDefault="0096098C" w:rsidP="0096098C">
                  <w:pPr>
                    <w:keepNext/>
                    <w:keepLines/>
                    <w:pageBreakBefore/>
                    <w:tabs>
                      <w:tab w:val="clear" w:pos="567"/>
                      <w:tab w:val="left" w:pos="1134"/>
                      <w:tab w:val="left" w:pos="1420"/>
                    </w:tabs>
                    <w:spacing w:before="0" w:line="240" w:lineRule="auto"/>
                    <w:jc w:val="right"/>
                    <w:rPr>
                      <w:rFonts w:ascii="Open Sans Semibold" w:hAnsi="Open Sans Semibold"/>
                      <w:color w:val="FFFFFF" w:themeColor="background1"/>
                      <w:sz w:val="16"/>
                      <w:szCs w:val="20"/>
                      <w:lang w:eastAsia="en-AU"/>
                    </w:rPr>
                  </w:pPr>
                  <w:r w:rsidRPr="007C6AFD">
                    <w:rPr>
                      <w:rFonts w:ascii="Open Sans Semibold" w:hAnsi="Open Sans Semibold"/>
                      <w:color w:val="FFFFFF" w:themeColor="background1"/>
                      <w:sz w:val="16"/>
                      <w:szCs w:val="20"/>
                      <w:lang w:eastAsia="en-AU"/>
                    </w:rPr>
                    <w:t>ACT</w:t>
                  </w:r>
                </w:p>
              </w:tc>
              <w:tc>
                <w:tcPr>
                  <w:tcW w:w="580" w:type="dxa"/>
                  <w:shd w:val="clear" w:color="auto" w:fill="006991"/>
                  <w:tcMar>
                    <w:top w:w="0" w:type="dxa"/>
                    <w:left w:w="28" w:type="dxa"/>
                    <w:bottom w:w="0" w:type="dxa"/>
                    <w:right w:w="28" w:type="dxa"/>
                  </w:tcMar>
                  <w:vAlign w:val="center"/>
                  <w:hideMark/>
                </w:tcPr>
                <w:p w14:paraId="53D2CFFC" w14:textId="77777777" w:rsidR="0096098C" w:rsidRPr="007C6AFD" w:rsidRDefault="0096098C" w:rsidP="0096098C">
                  <w:pPr>
                    <w:keepNext/>
                    <w:keepLines/>
                    <w:pageBreakBefore/>
                    <w:tabs>
                      <w:tab w:val="clear" w:pos="567"/>
                      <w:tab w:val="left" w:pos="1134"/>
                      <w:tab w:val="left" w:pos="1420"/>
                    </w:tabs>
                    <w:spacing w:before="0" w:line="240" w:lineRule="auto"/>
                    <w:jc w:val="right"/>
                    <w:rPr>
                      <w:rFonts w:ascii="Open Sans Semibold" w:hAnsi="Open Sans Semibold"/>
                      <w:color w:val="FFFFFF" w:themeColor="background1"/>
                      <w:sz w:val="16"/>
                      <w:szCs w:val="20"/>
                      <w:lang w:eastAsia="en-AU"/>
                    </w:rPr>
                  </w:pPr>
                  <w:r w:rsidRPr="007C6AFD">
                    <w:rPr>
                      <w:rFonts w:ascii="Open Sans Semibold" w:hAnsi="Open Sans Semibold"/>
                      <w:color w:val="FFFFFF" w:themeColor="background1"/>
                      <w:sz w:val="16"/>
                      <w:szCs w:val="20"/>
                      <w:lang w:eastAsia="en-AU"/>
                    </w:rPr>
                    <w:t>NT</w:t>
                  </w:r>
                </w:p>
              </w:tc>
              <w:tc>
                <w:tcPr>
                  <w:tcW w:w="820" w:type="dxa"/>
                  <w:shd w:val="clear" w:color="auto" w:fill="006991"/>
                  <w:tcMar>
                    <w:top w:w="0" w:type="dxa"/>
                    <w:left w:w="28" w:type="dxa"/>
                    <w:bottom w:w="0" w:type="dxa"/>
                    <w:right w:w="28" w:type="dxa"/>
                  </w:tcMar>
                  <w:vAlign w:val="center"/>
                  <w:hideMark/>
                </w:tcPr>
                <w:p w14:paraId="5981D854" w14:textId="77777777" w:rsidR="0096098C" w:rsidRPr="007C6AFD" w:rsidRDefault="0096098C" w:rsidP="0096098C">
                  <w:pPr>
                    <w:keepNext/>
                    <w:keepLines/>
                    <w:pageBreakBefore/>
                    <w:tabs>
                      <w:tab w:val="clear" w:pos="567"/>
                      <w:tab w:val="left" w:pos="1134"/>
                      <w:tab w:val="left" w:pos="1420"/>
                    </w:tabs>
                    <w:spacing w:before="0" w:line="240" w:lineRule="auto"/>
                    <w:jc w:val="right"/>
                    <w:rPr>
                      <w:rFonts w:ascii="Open Sans Semibold" w:hAnsi="Open Sans Semibold"/>
                      <w:color w:val="FFFFFF" w:themeColor="background1"/>
                      <w:sz w:val="16"/>
                      <w:szCs w:val="20"/>
                      <w:lang w:eastAsia="en-AU"/>
                    </w:rPr>
                  </w:pPr>
                  <w:proofErr w:type="spellStart"/>
                  <w:r w:rsidRPr="007C6AFD">
                    <w:rPr>
                      <w:rFonts w:ascii="Open Sans Semibold" w:hAnsi="Open Sans Semibold"/>
                      <w:color w:val="FFFFFF" w:themeColor="background1"/>
                      <w:sz w:val="16"/>
                      <w:szCs w:val="20"/>
                      <w:lang w:eastAsia="en-AU"/>
                    </w:rPr>
                    <w:t>Redist</w:t>
                  </w:r>
                  <w:proofErr w:type="spellEnd"/>
                </w:p>
              </w:tc>
            </w:tr>
            <w:tr w:rsidR="0096098C" w:rsidRPr="007C6AFD" w14:paraId="0B885431" w14:textId="77777777" w:rsidTr="00B30BC5">
              <w:trPr>
                <w:trHeight w:val="259"/>
              </w:trPr>
              <w:tc>
                <w:tcPr>
                  <w:tcW w:w="2869" w:type="dxa"/>
                  <w:tcBorders>
                    <w:top w:val="single" w:sz="8" w:space="0" w:color="ADD6EA"/>
                    <w:left w:val="nil"/>
                    <w:bottom w:val="nil"/>
                    <w:right w:val="nil"/>
                  </w:tcBorders>
                  <w:shd w:val="clear" w:color="auto" w:fill="B6D5E4"/>
                  <w:tcMar>
                    <w:top w:w="0" w:type="dxa"/>
                    <w:left w:w="28" w:type="dxa"/>
                    <w:bottom w:w="0" w:type="dxa"/>
                    <w:right w:w="28" w:type="dxa"/>
                  </w:tcMar>
                  <w:vAlign w:val="bottom"/>
                  <w:hideMark/>
                </w:tcPr>
                <w:p w14:paraId="059F1A05" w14:textId="77777777" w:rsidR="0096098C" w:rsidRPr="007C6AFD" w:rsidRDefault="0096098C" w:rsidP="0096098C">
                  <w:pPr>
                    <w:keepNext/>
                    <w:keepLines/>
                    <w:pageBreakBefore/>
                    <w:tabs>
                      <w:tab w:val="clear" w:pos="567"/>
                      <w:tab w:val="left" w:pos="1134"/>
                      <w:tab w:val="left" w:pos="1420"/>
                    </w:tabs>
                    <w:spacing w:before="0" w:line="240" w:lineRule="auto"/>
                    <w:jc w:val="center"/>
                    <w:rPr>
                      <w:rFonts w:ascii="Open Sans Semibold" w:hAnsi="Open Sans Semibold"/>
                      <w:color w:val="FFFFFF" w:themeColor="background1"/>
                      <w:sz w:val="16"/>
                      <w:szCs w:val="20"/>
                      <w:lang w:eastAsia="en-AU"/>
                    </w:rPr>
                  </w:pPr>
                </w:p>
              </w:tc>
              <w:tc>
                <w:tcPr>
                  <w:tcW w:w="451" w:type="dxa"/>
                  <w:tcBorders>
                    <w:top w:val="single" w:sz="8" w:space="0" w:color="ADD6EA"/>
                    <w:left w:val="nil"/>
                    <w:bottom w:val="nil"/>
                    <w:right w:val="nil"/>
                  </w:tcBorders>
                  <w:shd w:val="clear" w:color="auto" w:fill="B6D5E4"/>
                  <w:noWrap/>
                  <w:tcMar>
                    <w:top w:w="0" w:type="dxa"/>
                    <w:left w:w="28" w:type="dxa"/>
                    <w:bottom w:w="0" w:type="dxa"/>
                    <w:right w:w="28" w:type="dxa"/>
                  </w:tcMar>
                  <w:vAlign w:val="bottom"/>
                  <w:hideMark/>
                </w:tcPr>
                <w:p w14:paraId="43B5DB07" w14:textId="77777777" w:rsidR="0096098C" w:rsidRPr="007C6AFD" w:rsidRDefault="0096098C" w:rsidP="0096098C">
                  <w:pPr>
                    <w:keepNext/>
                    <w:keepLines/>
                    <w:pageBreakBefore/>
                    <w:spacing w:before="0" w:line="240" w:lineRule="auto"/>
                    <w:jc w:val="right"/>
                    <w:rPr>
                      <w:rFonts w:ascii="Open Sans Semibold" w:hAnsi="Open Sans Semibold"/>
                      <w:sz w:val="16"/>
                      <w:lang w:eastAsia="en-AU"/>
                    </w:rPr>
                  </w:pPr>
                  <w:r w:rsidRPr="007C6AFD">
                    <w:rPr>
                      <w:rFonts w:ascii="Open Sans Semibold" w:hAnsi="Open Sans Semibold"/>
                      <w:sz w:val="16"/>
                      <w:lang w:eastAsia="en-AU"/>
                    </w:rPr>
                    <w:t>$m</w:t>
                  </w:r>
                </w:p>
              </w:tc>
              <w:tc>
                <w:tcPr>
                  <w:tcW w:w="580" w:type="dxa"/>
                  <w:tcBorders>
                    <w:top w:val="single" w:sz="8" w:space="0" w:color="ADD6EA"/>
                    <w:left w:val="nil"/>
                    <w:bottom w:val="nil"/>
                    <w:right w:val="nil"/>
                  </w:tcBorders>
                  <w:shd w:val="clear" w:color="auto" w:fill="B6D5E4"/>
                  <w:noWrap/>
                  <w:tcMar>
                    <w:top w:w="0" w:type="dxa"/>
                    <w:left w:w="28" w:type="dxa"/>
                    <w:bottom w:w="0" w:type="dxa"/>
                    <w:right w:w="28" w:type="dxa"/>
                  </w:tcMar>
                  <w:vAlign w:val="bottom"/>
                  <w:hideMark/>
                </w:tcPr>
                <w:p w14:paraId="32A071A3" w14:textId="77777777" w:rsidR="0096098C" w:rsidRPr="007C6AFD" w:rsidRDefault="0096098C" w:rsidP="0096098C">
                  <w:pPr>
                    <w:keepNext/>
                    <w:keepLines/>
                    <w:pageBreakBefore/>
                    <w:spacing w:before="0" w:line="240" w:lineRule="auto"/>
                    <w:jc w:val="right"/>
                    <w:rPr>
                      <w:rFonts w:ascii="Open Sans Semibold" w:hAnsi="Open Sans Semibold"/>
                      <w:sz w:val="16"/>
                      <w:lang w:eastAsia="en-AU"/>
                    </w:rPr>
                  </w:pPr>
                  <w:r w:rsidRPr="007C6AFD">
                    <w:rPr>
                      <w:rFonts w:ascii="Open Sans Semibold" w:hAnsi="Open Sans Semibold"/>
                      <w:sz w:val="16"/>
                      <w:lang w:eastAsia="en-AU"/>
                    </w:rPr>
                    <w:t>$m</w:t>
                  </w:r>
                </w:p>
              </w:tc>
              <w:tc>
                <w:tcPr>
                  <w:tcW w:w="640" w:type="dxa"/>
                  <w:tcBorders>
                    <w:top w:val="single" w:sz="8" w:space="0" w:color="ADD6EA"/>
                    <w:left w:val="nil"/>
                    <w:bottom w:val="nil"/>
                    <w:right w:val="nil"/>
                  </w:tcBorders>
                  <w:shd w:val="clear" w:color="auto" w:fill="B6D5E4"/>
                  <w:noWrap/>
                  <w:tcMar>
                    <w:top w:w="0" w:type="dxa"/>
                    <w:left w:w="28" w:type="dxa"/>
                    <w:bottom w:w="0" w:type="dxa"/>
                    <w:right w:w="28" w:type="dxa"/>
                  </w:tcMar>
                  <w:vAlign w:val="bottom"/>
                  <w:hideMark/>
                </w:tcPr>
                <w:p w14:paraId="503448BD" w14:textId="77777777" w:rsidR="0096098C" w:rsidRPr="007C6AFD" w:rsidRDefault="0096098C" w:rsidP="0096098C">
                  <w:pPr>
                    <w:keepNext/>
                    <w:keepLines/>
                    <w:pageBreakBefore/>
                    <w:spacing w:before="0" w:line="240" w:lineRule="auto"/>
                    <w:jc w:val="right"/>
                    <w:rPr>
                      <w:rFonts w:ascii="Open Sans Semibold" w:hAnsi="Open Sans Semibold"/>
                      <w:sz w:val="16"/>
                      <w:lang w:eastAsia="en-AU"/>
                    </w:rPr>
                  </w:pPr>
                  <w:r w:rsidRPr="007C6AFD">
                    <w:rPr>
                      <w:rFonts w:ascii="Open Sans Semibold" w:hAnsi="Open Sans Semibold"/>
                      <w:sz w:val="16"/>
                      <w:lang w:eastAsia="en-AU"/>
                    </w:rPr>
                    <w:t>$m</w:t>
                  </w:r>
                </w:p>
              </w:tc>
              <w:tc>
                <w:tcPr>
                  <w:tcW w:w="620" w:type="dxa"/>
                  <w:tcBorders>
                    <w:top w:val="single" w:sz="8" w:space="0" w:color="ADD6EA"/>
                    <w:left w:val="nil"/>
                    <w:bottom w:val="nil"/>
                    <w:right w:val="nil"/>
                  </w:tcBorders>
                  <w:shd w:val="clear" w:color="auto" w:fill="B6D5E4"/>
                  <w:noWrap/>
                  <w:tcMar>
                    <w:top w:w="0" w:type="dxa"/>
                    <w:left w:w="28" w:type="dxa"/>
                    <w:bottom w:w="0" w:type="dxa"/>
                    <w:right w:w="28" w:type="dxa"/>
                  </w:tcMar>
                  <w:vAlign w:val="bottom"/>
                  <w:hideMark/>
                </w:tcPr>
                <w:p w14:paraId="00D7624A" w14:textId="77777777" w:rsidR="0096098C" w:rsidRPr="007C6AFD" w:rsidRDefault="0096098C" w:rsidP="0096098C">
                  <w:pPr>
                    <w:keepNext/>
                    <w:keepLines/>
                    <w:pageBreakBefore/>
                    <w:spacing w:before="0" w:line="240" w:lineRule="auto"/>
                    <w:jc w:val="right"/>
                    <w:rPr>
                      <w:rFonts w:ascii="Open Sans Semibold" w:hAnsi="Open Sans Semibold"/>
                      <w:sz w:val="16"/>
                      <w:lang w:eastAsia="en-AU"/>
                    </w:rPr>
                  </w:pPr>
                  <w:r w:rsidRPr="007C6AFD">
                    <w:rPr>
                      <w:rFonts w:ascii="Open Sans Semibold" w:hAnsi="Open Sans Semibold"/>
                      <w:sz w:val="16"/>
                      <w:lang w:eastAsia="en-AU"/>
                    </w:rPr>
                    <w:t>$m</w:t>
                  </w:r>
                </w:p>
              </w:tc>
              <w:tc>
                <w:tcPr>
                  <w:tcW w:w="560" w:type="dxa"/>
                  <w:tcBorders>
                    <w:top w:val="single" w:sz="8" w:space="0" w:color="ADD6EA"/>
                    <w:left w:val="nil"/>
                    <w:bottom w:val="nil"/>
                    <w:right w:val="nil"/>
                  </w:tcBorders>
                  <w:shd w:val="clear" w:color="auto" w:fill="B6D5E4"/>
                  <w:noWrap/>
                  <w:tcMar>
                    <w:top w:w="0" w:type="dxa"/>
                    <w:left w:w="28" w:type="dxa"/>
                    <w:bottom w:w="0" w:type="dxa"/>
                    <w:right w:w="28" w:type="dxa"/>
                  </w:tcMar>
                  <w:vAlign w:val="bottom"/>
                  <w:hideMark/>
                </w:tcPr>
                <w:p w14:paraId="61E26C60" w14:textId="77777777" w:rsidR="0096098C" w:rsidRPr="007C6AFD" w:rsidRDefault="0096098C" w:rsidP="0096098C">
                  <w:pPr>
                    <w:keepNext/>
                    <w:keepLines/>
                    <w:pageBreakBefore/>
                    <w:spacing w:before="0" w:line="240" w:lineRule="auto"/>
                    <w:jc w:val="right"/>
                    <w:rPr>
                      <w:rFonts w:ascii="Open Sans Semibold" w:hAnsi="Open Sans Semibold"/>
                      <w:sz w:val="16"/>
                      <w:lang w:eastAsia="en-AU"/>
                    </w:rPr>
                  </w:pPr>
                  <w:r w:rsidRPr="007C6AFD">
                    <w:rPr>
                      <w:rFonts w:ascii="Open Sans Semibold" w:hAnsi="Open Sans Semibold"/>
                      <w:sz w:val="16"/>
                      <w:lang w:eastAsia="en-AU"/>
                    </w:rPr>
                    <w:t>$m</w:t>
                  </w:r>
                </w:p>
              </w:tc>
              <w:tc>
                <w:tcPr>
                  <w:tcW w:w="620" w:type="dxa"/>
                  <w:tcBorders>
                    <w:top w:val="single" w:sz="8" w:space="0" w:color="ADD6EA"/>
                    <w:left w:val="nil"/>
                    <w:bottom w:val="nil"/>
                    <w:right w:val="nil"/>
                  </w:tcBorders>
                  <w:shd w:val="clear" w:color="auto" w:fill="B6D5E4"/>
                  <w:noWrap/>
                  <w:tcMar>
                    <w:top w:w="0" w:type="dxa"/>
                    <w:left w:w="28" w:type="dxa"/>
                    <w:bottom w:w="0" w:type="dxa"/>
                    <w:right w:w="28" w:type="dxa"/>
                  </w:tcMar>
                  <w:vAlign w:val="bottom"/>
                  <w:hideMark/>
                </w:tcPr>
                <w:p w14:paraId="46648142" w14:textId="77777777" w:rsidR="0096098C" w:rsidRPr="007C6AFD" w:rsidRDefault="0096098C" w:rsidP="0096098C">
                  <w:pPr>
                    <w:keepNext/>
                    <w:keepLines/>
                    <w:pageBreakBefore/>
                    <w:spacing w:before="0" w:line="240" w:lineRule="auto"/>
                    <w:jc w:val="right"/>
                    <w:rPr>
                      <w:rFonts w:ascii="Open Sans Semibold" w:hAnsi="Open Sans Semibold"/>
                      <w:sz w:val="16"/>
                      <w:lang w:eastAsia="en-AU"/>
                    </w:rPr>
                  </w:pPr>
                  <w:r w:rsidRPr="007C6AFD">
                    <w:rPr>
                      <w:rFonts w:ascii="Open Sans Semibold" w:hAnsi="Open Sans Semibold"/>
                      <w:sz w:val="16"/>
                      <w:lang w:eastAsia="en-AU"/>
                    </w:rPr>
                    <w:t>$m</w:t>
                  </w:r>
                </w:p>
              </w:tc>
              <w:tc>
                <w:tcPr>
                  <w:tcW w:w="660" w:type="dxa"/>
                  <w:tcBorders>
                    <w:top w:val="single" w:sz="8" w:space="0" w:color="ADD6EA"/>
                    <w:left w:val="nil"/>
                    <w:bottom w:val="nil"/>
                    <w:right w:val="nil"/>
                  </w:tcBorders>
                  <w:shd w:val="clear" w:color="auto" w:fill="B6D5E4"/>
                  <w:noWrap/>
                  <w:tcMar>
                    <w:top w:w="0" w:type="dxa"/>
                    <w:left w:w="28" w:type="dxa"/>
                    <w:bottom w:w="0" w:type="dxa"/>
                    <w:right w:w="28" w:type="dxa"/>
                  </w:tcMar>
                  <w:vAlign w:val="bottom"/>
                  <w:hideMark/>
                </w:tcPr>
                <w:p w14:paraId="18BF92E0" w14:textId="77777777" w:rsidR="0096098C" w:rsidRPr="007C6AFD" w:rsidRDefault="0096098C" w:rsidP="0096098C">
                  <w:pPr>
                    <w:keepNext/>
                    <w:keepLines/>
                    <w:pageBreakBefore/>
                    <w:spacing w:before="0" w:line="240" w:lineRule="auto"/>
                    <w:jc w:val="right"/>
                    <w:rPr>
                      <w:rFonts w:ascii="Open Sans Semibold" w:hAnsi="Open Sans Semibold"/>
                      <w:sz w:val="16"/>
                      <w:lang w:eastAsia="en-AU"/>
                    </w:rPr>
                  </w:pPr>
                  <w:r w:rsidRPr="007C6AFD">
                    <w:rPr>
                      <w:rFonts w:ascii="Open Sans Semibold" w:hAnsi="Open Sans Semibold"/>
                      <w:sz w:val="16"/>
                      <w:lang w:eastAsia="en-AU"/>
                    </w:rPr>
                    <w:t>$m</w:t>
                  </w:r>
                </w:p>
              </w:tc>
              <w:tc>
                <w:tcPr>
                  <w:tcW w:w="580" w:type="dxa"/>
                  <w:tcBorders>
                    <w:top w:val="single" w:sz="8" w:space="0" w:color="ADD6EA"/>
                    <w:left w:val="nil"/>
                    <w:bottom w:val="nil"/>
                    <w:right w:val="nil"/>
                  </w:tcBorders>
                  <w:shd w:val="clear" w:color="auto" w:fill="B6D5E4"/>
                  <w:noWrap/>
                  <w:tcMar>
                    <w:top w:w="0" w:type="dxa"/>
                    <w:left w:w="28" w:type="dxa"/>
                    <w:bottom w:w="0" w:type="dxa"/>
                    <w:right w:w="28" w:type="dxa"/>
                  </w:tcMar>
                  <w:vAlign w:val="bottom"/>
                  <w:hideMark/>
                </w:tcPr>
                <w:p w14:paraId="0872634F" w14:textId="77777777" w:rsidR="0096098C" w:rsidRPr="007C6AFD" w:rsidRDefault="0096098C" w:rsidP="0096098C">
                  <w:pPr>
                    <w:keepNext/>
                    <w:keepLines/>
                    <w:pageBreakBefore/>
                    <w:spacing w:before="0" w:line="240" w:lineRule="auto"/>
                    <w:jc w:val="right"/>
                    <w:rPr>
                      <w:rFonts w:ascii="Open Sans Semibold" w:hAnsi="Open Sans Semibold"/>
                      <w:sz w:val="16"/>
                      <w:lang w:eastAsia="en-AU"/>
                    </w:rPr>
                  </w:pPr>
                  <w:r w:rsidRPr="007C6AFD">
                    <w:rPr>
                      <w:rFonts w:ascii="Open Sans Semibold" w:hAnsi="Open Sans Semibold"/>
                      <w:sz w:val="16"/>
                      <w:lang w:eastAsia="en-AU"/>
                    </w:rPr>
                    <w:t>$m</w:t>
                  </w:r>
                </w:p>
              </w:tc>
              <w:tc>
                <w:tcPr>
                  <w:tcW w:w="820" w:type="dxa"/>
                  <w:tcBorders>
                    <w:top w:val="single" w:sz="8" w:space="0" w:color="ADD6EA"/>
                    <w:left w:val="nil"/>
                    <w:bottom w:val="nil"/>
                    <w:right w:val="nil"/>
                  </w:tcBorders>
                  <w:shd w:val="clear" w:color="auto" w:fill="B6D5E4"/>
                  <w:noWrap/>
                  <w:tcMar>
                    <w:top w:w="0" w:type="dxa"/>
                    <w:left w:w="28" w:type="dxa"/>
                    <w:bottom w:w="0" w:type="dxa"/>
                    <w:right w:w="28" w:type="dxa"/>
                  </w:tcMar>
                  <w:vAlign w:val="bottom"/>
                  <w:hideMark/>
                </w:tcPr>
                <w:p w14:paraId="27588F90" w14:textId="77777777" w:rsidR="0096098C" w:rsidRPr="007C6AFD" w:rsidRDefault="0096098C" w:rsidP="0096098C">
                  <w:pPr>
                    <w:keepNext/>
                    <w:keepLines/>
                    <w:pageBreakBefore/>
                    <w:spacing w:before="0" w:line="240" w:lineRule="auto"/>
                    <w:jc w:val="right"/>
                    <w:rPr>
                      <w:rFonts w:ascii="Open Sans Semibold" w:hAnsi="Open Sans Semibold"/>
                      <w:sz w:val="16"/>
                      <w:lang w:eastAsia="en-AU"/>
                    </w:rPr>
                  </w:pPr>
                  <w:r w:rsidRPr="007C6AFD">
                    <w:rPr>
                      <w:rFonts w:ascii="Open Sans Semibold" w:hAnsi="Open Sans Semibold"/>
                      <w:sz w:val="16"/>
                      <w:lang w:eastAsia="en-AU"/>
                    </w:rPr>
                    <w:t>$m</w:t>
                  </w:r>
                </w:p>
              </w:tc>
            </w:tr>
            <w:tr w:rsidR="0096098C" w:rsidRPr="007C6AFD" w14:paraId="0A49D932" w14:textId="77777777" w:rsidTr="00B30BC5">
              <w:trPr>
                <w:trHeight w:val="315"/>
              </w:trPr>
              <w:tc>
                <w:tcPr>
                  <w:tcW w:w="2869" w:type="dxa"/>
                  <w:tcBorders>
                    <w:top w:val="single" w:sz="8" w:space="0" w:color="ADD6EA"/>
                    <w:left w:val="nil"/>
                    <w:bottom w:val="nil"/>
                    <w:right w:val="nil"/>
                  </w:tcBorders>
                  <w:tcMar>
                    <w:top w:w="0" w:type="dxa"/>
                    <w:left w:w="28" w:type="dxa"/>
                    <w:bottom w:w="0" w:type="dxa"/>
                    <w:right w:w="28" w:type="dxa"/>
                  </w:tcMar>
                  <w:vAlign w:val="bottom"/>
                  <w:hideMark/>
                </w:tcPr>
                <w:p w14:paraId="08129D38" w14:textId="77777777" w:rsidR="0096098C" w:rsidRPr="007C6AFD" w:rsidRDefault="0096098C" w:rsidP="0096098C">
                  <w:pPr>
                    <w:keepNext/>
                    <w:keepLines/>
                    <w:pageBreakBefore/>
                    <w:tabs>
                      <w:tab w:val="clear" w:pos="567"/>
                    </w:tabs>
                    <w:spacing w:before="0" w:line="240" w:lineRule="auto"/>
                    <w:rPr>
                      <w:rFonts w:eastAsia="Calibri" w:cs="Open Sans Light"/>
                      <w:sz w:val="16"/>
                      <w:szCs w:val="16"/>
                      <w:lang w:eastAsia="en-AU"/>
                    </w:rPr>
                  </w:pPr>
                  <w:r w:rsidRPr="007C6AFD">
                    <w:rPr>
                      <w:rFonts w:eastAsia="Calibri" w:cs="Open Sans Light"/>
                      <w:color w:val="000000"/>
                      <w:sz w:val="16"/>
                      <w:szCs w:val="16"/>
                      <w:lang w:eastAsia="en-AU"/>
                    </w:rPr>
                    <w:t>Changes in fiscal capacities</w:t>
                  </w:r>
                </w:p>
              </w:tc>
              <w:tc>
                <w:tcPr>
                  <w:tcW w:w="451" w:type="dxa"/>
                  <w:tcBorders>
                    <w:top w:val="single" w:sz="8" w:space="0" w:color="ADD6EA"/>
                    <w:left w:val="nil"/>
                    <w:bottom w:val="nil"/>
                    <w:right w:val="nil"/>
                  </w:tcBorders>
                  <w:tcMar>
                    <w:top w:w="0" w:type="dxa"/>
                    <w:left w:w="28" w:type="dxa"/>
                    <w:bottom w:w="0" w:type="dxa"/>
                    <w:right w:w="28" w:type="dxa"/>
                  </w:tcMar>
                  <w:vAlign w:val="bottom"/>
                  <w:hideMark/>
                </w:tcPr>
                <w:p w14:paraId="4D261069" w14:textId="77777777" w:rsidR="0096098C" w:rsidRPr="007C6AFD" w:rsidRDefault="0096098C" w:rsidP="0096098C">
                  <w:pPr>
                    <w:keepNext/>
                    <w:keepLines/>
                    <w:pageBreakBefore/>
                    <w:tabs>
                      <w:tab w:val="clear" w:pos="567"/>
                    </w:tabs>
                    <w:spacing w:before="0" w:line="240" w:lineRule="auto"/>
                    <w:rPr>
                      <w:rFonts w:eastAsia="Calibri" w:cs="Open Sans Light"/>
                      <w:sz w:val="16"/>
                      <w:szCs w:val="16"/>
                      <w:lang w:eastAsia="en-AU"/>
                    </w:rPr>
                  </w:pPr>
                </w:p>
              </w:tc>
              <w:tc>
                <w:tcPr>
                  <w:tcW w:w="580" w:type="dxa"/>
                  <w:tcBorders>
                    <w:top w:val="single" w:sz="8" w:space="0" w:color="ADD6EA"/>
                    <w:left w:val="nil"/>
                    <w:bottom w:val="nil"/>
                    <w:right w:val="nil"/>
                  </w:tcBorders>
                  <w:tcMar>
                    <w:top w:w="0" w:type="dxa"/>
                    <w:left w:w="28" w:type="dxa"/>
                    <w:bottom w:w="0" w:type="dxa"/>
                    <w:right w:w="28" w:type="dxa"/>
                  </w:tcMar>
                  <w:vAlign w:val="bottom"/>
                  <w:hideMark/>
                </w:tcPr>
                <w:p w14:paraId="48506648"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 </w:t>
                  </w:r>
                </w:p>
              </w:tc>
              <w:tc>
                <w:tcPr>
                  <w:tcW w:w="640" w:type="dxa"/>
                  <w:tcBorders>
                    <w:top w:val="single" w:sz="8" w:space="0" w:color="ADD6EA"/>
                    <w:left w:val="nil"/>
                    <w:bottom w:val="nil"/>
                    <w:right w:val="nil"/>
                  </w:tcBorders>
                  <w:tcMar>
                    <w:top w:w="0" w:type="dxa"/>
                    <w:left w:w="28" w:type="dxa"/>
                    <w:bottom w:w="0" w:type="dxa"/>
                    <w:right w:w="28" w:type="dxa"/>
                  </w:tcMar>
                  <w:vAlign w:val="bottom"/>
                  <w:hideMark/>
                </w:tcPr>
                <w:p w14:paraId="4F70C5B3"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 </w:t>
                  </w:r>
                </w:p>
              </w:tc>
              <w:tc>
                <w:tcPr>
                  <w:tcW w:w="620" w:type="dxa"/>
                  <w:tcBorders>
                    <w:top w:val="single" w:sz="8" w:space="0" w:color="ADD6EA"/>
                    <w:left w:val="nil"/>
                    <w:bottom w:val="nil"/>
                    <w:right w:val="nil"/>
                  </w:tcBorders>
                  <w:tcMar>
                    <w:top w:w="0" w:type="dxa"/>
                    <w:left w:w="28" w:type="dxa"/>
                    <w:bottom w:w="0" w:type="dxa"/>
                    <w:right w:w="28" w:type="dxa"/>
                  </w:tcMar>
                  <w:vAlign w:val="bottom"/>
                  <w:hideMark/>
                </w:tcPr>
                <w:p w14:paraId="345D534C"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 </w:t>
                  </w:r>
                </w:p>
              </w:tc>
              <w:tc>
                <w:tcPr>
                  <w:tcW w:w="560" w:type="dxa"/>
                  <w:tcBorders>
                    <w:top w:val="single" w:sz="8" w:space="0" w:color="ADD6EA"/>
                    <w:left w:val="nil"/>
                    <w:bottom w:val="nil"/>
                    <w:right w:val="nil"/>
                  </w:tcBorders>
                  <w:tcMar>
                    <w:top w:w="0" w:type="dxa"/>
                    <w:left w:w="28" w:type="dxa"/>
                    <w:bottom w:w="0" w:type="dxa"/>
                    <w:right w:w="28" w:type="dxa"/>
                  </w:tcMar>
                  <w:vAlign w:val="bottom"/>
                  <w:hideMark/>
                </w:tcPr>
                <w:p w14:paraId="7B515A54"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 </w:t>
                  </w:r>
                </w:p>
              </w:tc>
              <w:tc>
                <w:tcPr>
                  <w:tcW w:w="620" w:type="dxa"/>
                  <w:tcBorders>
                    <w:top w:val="single" w:sz="8" w:space="0" w:color="ADD6EA"/>
                    <w:left w:val="nil"/>
                    <w:bottom w:val="nil"/>
                    <w:right w:val="nil"/>
                  </w:tcBorders>
                  <w:tcMar>
                    <w:top w:w="0" w:type="dxa"/>
                    <w:left w:w="28" w:type="dxa"/>
                    <w:bottom w:w="0" w:type="dxa"/>
                    <w:right w:w="28" w:type="dxa"/>
                  </w:tcMar>
                  <w:vAlign w:val="bottom"/>
                  <w:hideMark/>
                </w:tcPr>
                <w:p w14:paraId="7B0352E8"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 </w:t>
                  </w:r>
                </w:p>
              </w:tc>
              <w:tc>
                <w:tcPr>
                  <w:tcW w:w="660" w:type="dxa"/>
                  <w:tcBorders>
                    <w:top w:val="single" w:sz="8" w:space="0" w:color="ADD6EA"/>
                    <w:left w:val="nil"/>
                    <w:bottom w:val="nil"/>
                    <w:right w:val="nil"/>
                  </w:tcBorders>
                  <w:tcMar>
                    <w:top w:w="0" w:type="dxa"/>
                    <w:left w:w="28" w:type="dxa"/>
                    <w:bottom w:w="0" w:type="dxa"/>
                    <w:right w:w="28" w:type="dxa"/>
                  </w:tcMar>
                  <w:vAlign w:val="bottom"/>
                  <w:hideMark/>
                </w:tcPr>
                <w:p w14:paraId="49907B00"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 </w:t>
                  </w:r>
                </w:p>
              </w:tc>
              <w:tc>
                <w:tcPr>
                  <w:tcW w:w="580" w:type="dxa"/>
                  <w:tcBorders>
                    <w:top w:val="single" w:sz="8" w:space="0" w:color="ADD6EA"/>
                    <w:left w:val="nil"/>
                    <w:bottom w:val="nil"/>
                    <w:right w:val="nil"/>
                  </w:tcBorders>
                  <w:tcMar>
                    <w:top w:w="0" w:type="dxa"/>
                    <w:left w:w="28" w:type="dxa"/>
                    <w:bottom w:w="0" w:type="dxa"/>
                    <w:right w:w="28" w:type="dxa"/>
                  </w:tcMar>
                  <w:vAlign w:val="bottom"/>
                  <w:hideMark/>
                </w:tcPr>
                <w:p w14:paraId="46CB9E6B"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 </w:t>
                  </w:r>
                </w:p>
              </w:tc>
              <w:tc>
                <w:tcPr>
                  <w:tcW w:w="820" w:type="dxa"/>
                  <w:tcBorders>
                    <w:top w:val="single" w:sz="8" w:space="0" w:color="ADD6EA"/>
                    <w:left w:val="nil"/>
                    <w:bottom w:val="nil"/>
                    <w:right w:val="nil"/>
                  </w:tcBorders>
                  <w:tcMar>
                    <w:top w:w="0" w:type="dxa"/>
                    <w:left w:w="28" w:type="dxa"/>
                    <w:bottom w:w="0" w:type="dxa"/>
                    <w:right w:w="28" w:type="dxa"/>
                  </w:tcMar>
                  <w:vAlign w:val="bottom"/>
                  <w:hideMark/>
                </w:tcPr>
                <w:p w14:paraId="0C894C89"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 </w:t>
                  </w:r>
                </w:p>
              </w:tc>
            </w:tr>
            <w:tr w:rsidR="0096098C" w:rsidRPr="007C6AFD" w14:paraId="1D2F88DC" w14:textId="77777777" w:rsidTr="00B30BC5">
              <w:trPr>
                <w:trHeight w:val="315"/>
              </w:trPr>
              <w:tc>
                <w:tcPr>
                  <w:tcW w:w="2869" w:type="dxa"/>
                  <w:tcBorders>
                    <w:top w:val="single" w:sz="8" w:space="0" w:color="ADD6EA"/>
                    <w:left w:val="nil"/>
                    <w:bottom w:val="nil"/>
                    <w:right w:val="nil"/>
                  </w:tcBorders>
                  <w:tcMar>
                    <w:top w:w="0" w:type="dxa"/>
                    <w:left w:w="28" w:type="dxa"/>
                    <w:bottom w:w="0" w:type="dxa"/>
                    <w:right w:w="28" w:type="dxa"/>
                  </w:tcMar>
                  <w:vAlign w:val="bottom"/>
                  <w:hideMark/>
                </w:tcPr>
                <w:p w14:paraId="4E1E1A32" w14:textId="77777777" w:rsidR="0096098C" w:rsidRPr="007C6AFD" w:rsidRDefault="0096098C" w:rsidP="0096098C">
                  <w:pPr>
                    <w:keepNext/>
                    <w:keepLines/>
                    <w:pageBreakBefore/>
                    <w:tabs>
                      <w:tab w:val="clear" w:pos="567"/>
                    </w:tabs>
                    <w:spacing w:before="0" w:line="240" w:lineRule="auto"/>
                    <w:ind w:firstLine="57"/>
                    <w:rPr>
                      <w:rFonts w:eastAsia="Calibri" w:cs="Open Sans Light"/>
                      <w:sz w:val="16"/>
                      <w:szCs w:val="16"/>
                      <w:lang w:eastAsia="en-AU"/>
                    </w:rPr>
                  </w:pPr>
                  <w:r w:rsidRPr="007C6AFD">
                    <w:rPr>
                      <w:rFonts w:eastAsia="Calibri" w:cs="Open Sans Light"/>
                      <w:color w:val="000000"/>
                      <w:sz w:val="16"/>
                      <w:szCs w:val="16"/>
                      <w:lang w:eastAsia="en-AU"/>
                    </w:rPr>
                    <w:t>Changes in mining</w:t>
                  </w:r>
                </w:p>
              </w:tc>
              <w:tc>
                <w:tcPr>
                  <w:tcW w:w="451" w:type="dxa"/>
                  <w:tcBorders>
                    <w:top w:val="single" w:sz="8" w:space="0" w:color="ADD6EA"/>
                    <w:left w:val="nil"/>
                    <w:bottom w:val="nil"/>
                    <w:right w:val="nil"/>
                  </w:tcBorders>
                  <w:tcMar>
                    <w:top w:w="0" w:type="dxa"/>
                    <w:left w:w="28" w:type="dxa"/>
                    <w:bottom w:w="0" w:type="dxa"/>
                    <w:right w:w="28" w:type="dxa"/>
                  </w:tcMar>
                  <w:vAlign w:val="bottom"/>
                  <w:hideMark/>
                </w:tcPr>
                <w:p w14:paraId="73DFD17E"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499</w:t>
                  </w:r>
                </w:p>
              </w:tc>
              <w:tc>
                <w:tcPr>
                  <w:tcW w:w="580" w:type="dxa"/>
                  <w:tcBorders>
                    <w:top w:val="single" w:sz="8" w:space="0" w:color="ADD6EA"/>
                    <w:left w:val="nil"/>
                    <w:bottom w:val="nil"/>
                    <w:right w:val="nil"/>
                  </w:tcBorders>
                  <w:tcMar>
                    <w:top w:w="0" w:type="dxa"/>
                    <w:left w:w="28" w:type="dxa"/>
                    <w:bottom w:w="0" w:type="dxa"/>
                    <w:right w:w="28" w:type="dxa"/>
                  </w:tcMar>
                  <w:vAlign w:val="bottom"/>
                  <w:hideMark/>
                </w:tcPr>
                <w:p w14:paraId="6C74CD1A"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389</w:t>
                  </w:r>
                </w:p>
              </w:tc>
              <w:tc>
                <w:tcPr>
                  <w:tcW w:w="640" w:type="dxa"/>
                  <w:tcBorders>
                    <w:top w:val="single" w:sz="8" w:space="0" w:color="ADD6EA"/>
                    <w:left w:val="nil"/>
                    <w:bottom w:val="nil"/>
                    <w:right w:val="nil"/>
                  </w:tcBorders>
                  <w:tcMar>
                    <w:top w:w="0" w:type="dxa"/>
                    <w:left w:w="28" w:type="dxa"/>
                    <w:bottom w:w="0" w:type="dxa"/>
                    <w:right w:w="28" w:type="dxa"/>
                  </w:tcMar>
                  <w:vAlign w:val="bottom"/>
                  <w:hideMark/>
                </w:tcPr>
                <w:p w14:paraId="57ED41E0"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75</w:t>
                  </w:r>
                </w:p>
              </w:tc>
              <w:tc>
                <w:tcPr>
                  <w:tcW w:w="620" w:type="dxa"/>
                  <w:tcBorders>
                    <w:top w:val="single" w:sz="8" w:space="0" w:color="ADD6EA"/>
                    <w:left w:val="nil"/>
                    <w:bottom w:val="nil"/>
                    <w:right w:val="nil"/>
                  </w:tcBorders>
                  <w:tcMar>
                    <w:top w:w="0" w:type="dxa"/>
                    <w:left w:w="28" w:type="dxa"/>
                    <w:bottom w:w="0" w:type="dxa"/>
                    <w:right w:w="28" w:type="dxa"/>
                  </w:tcMar>
                  <w:vAlign w:val="bottom"/>
                  <w:hideMark/>
                </w:tcPr>
                <w:p w14:paraId="440509B6"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-1,061</w:t>
                  </w:r>
                </w:p>
              </w:tc>
              <w:tc>
                <w:tcPr>
                  <w:tcW w:w="560" w:type="dxa"/>
                  <w:tcBorders>
                    <w:top w:val="single" w:sz="8" w:space="0" w:color="ADD6EA"/>
                    <w:left w:val="nil"/>
                    <w:bottom w:val="nil"/>
                    <w:right w:val="nil"/>
                  </w:tcBorders>
                  <w:tcMar>
                    <w:top w:w="0" w:type="dxa"/>
                    <w:left w:w="28" w:type="dxa"/>
                    <w:bottom w:w="0" w:type="dxa"/>
                    <w:right w:w="28" w:type="dxa"/>
                  </w:tcMar>
                  <w:vAlign w:val="bottom"/>
                  <w:hideMark/>
                </w:tcPr>
                <w:p w14:paraId="10527512"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59</w:t>
                  </w:r>
                </w:p>
              </w:tc>
              <w:tc>
                <w:tcPr>
                  <w:tcW w:w="620" w:type="dxa"/>
                  <w:tcBorders>
                    <w:top w:val="single" w:sz="8" w:space="0" w:color="ADD6EA"/>
                    <w:left w:val="nil"/>
                    <w:bottom w:val="nil"/>
                    <w:right w:val="nil"/>
                  </w:tcBorders>
                  <w:tcMar>
                    <w:top w:w="0" w:type="dxa"/>
                    <w:left w:w="28" w:type="dxa"/>
                    <w:bottom w:w="0" w:type="dxa"/>
                    <w:right w:w="28" w:type="dxa"/>
                  </w:tcMar>
                  <w:vAlign w:val="bottom"/>
                  <w:hideMark/>
                </w:tcPr>
                <w:p w14:paraId="4661E0DF"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28</w:t>
                  </w:r>
                </w:p>
              </w:tc>
              <w:tc>
                <w:tcPr>
                  <w:tcW w:w="660" w:type="dxa"/>
                  <w:tcBorders>
                    <w:top w:val="single" w:sz="8" w:space="0" w:color="ADD6EA"/>
                    <w:left w:val="nil"/>
                    <w:bottom w:val="nil"/>
                    <w:right w:val="nil"/>
                  </w:tcBorders>
                  <w:tcMar>
                    <w:top w:w="0" w:type="dxa"/>
                    <w:left w:w="28" w:type="dxa"/>
                    <w:bottom w:w="0" w:type="dxa"/>
                    <w:right w:w="28" w:type="dxa"/>
                  </w:tcMar>
                  <w:vAlign w:val="bottom"/>
                  <w:hideMark/>
                </w:tcPr>
                <w:p w14:paraId="33FCA0BB"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26</w:t>
                  </w:r>
                </w:p>
              </w:tc>
              <w:tc>
                <w:tcPr>
                  <w:tcW w:w="580" w:type="dxa"/>
                  <w:tcBorders>
                    <w:top w:val="single" w:sz="8" w:space="0" w:color="ADD6EA"/>
                    <w:left w:val="nil"/>
                    <w:bottom w:val="nil"/>
                    <w:right w:val="nil"/>
                  </w:tcBorders>
                  <w:tcMar>
                    <w:top w:w="0" w:type="dxa"/>
                    <w:left w:w="28" w:type="dxa"/>
                    <w:bottom w:w="0" w:type="dxa"/>
                    <w:right w:w="28" w:type="dxa"/>
                  </w:tcMar>
                  <w:vAlign w:val="bottom"/>
                  <w:hideMark/>
                </w:tcPr>
                <w:p w14:paraId="7DAEF7FA"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-16</w:t>
                  </w:r>
                </w:p>
              </w:tc>
              <w:tc>
                <w:tcPr>
                  <w:tcW w:w="820" w:type="dxa"/>
                  <w:tcBorders>
                    <w:top w:val="single" w:sz="8" w:space="0" w:color="ADD6EA"/>
                    <w:left w:val="nil"/>
                    <w:bottom w:val="nil"/>
                    <w:right w:val="nil"/>
                  </w:tcBorders>
                  <w:tcMar>
                    <w:top w:w="0" w:type="dxa"/>
                    <w:left w:w="28" w:type="dxa"/>
                    <w:bottom w:w="0" w:type="dxa"/>
                    <w:right w:w="28" w:type="dxa"/>
                  </w:tcMar>
                  <w:vAlign w:val="bottom"/>
                  <w:hideMark/>
                </w:tcPr>
                <w:p w14:paraId="3C6C2E0D"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1,077</w:t>
                  </w:r>
                </w:p>
              </w:tc>
            </w:tr>
            <w:tr w:rsidR="0096098C" w:rsidRPr="007C6AFD" w14:paraId="61C8D0F7" w14:textId="77777777" w:rsidTr="00B30BC5">
              <w:trPr>
                <w:trHeight w:val="315"/>
              </w:trPr>
              <w:tc>
                <w:tcPr>
                  <w:tcW w:w="2869" w:type="dxa"/>
                  <w:tcBorders>
                    <w:top w:val="single" w:sz="8" w:space="0" w:color="ADD6EA"/>
                    <w:left w:val="nil"/>
                    <w:bottom w:val="nil"/>
                    <w:right w:val="nil"/>
                  </w:tcBorders>
                  <w:tcMar>
                    <w:top w:w="0" w:type="dxa"/>
                    <w:left w:w="28" w:type="dxa"/>
                    <w:bottom w:w="0" w:type="dxa"/>
                    <w:right w:w="28" w:type="dxa"/>
                  </w:tcMar>
                  <w:vAlign w:val="bottom"/>
                  <w:hideMark/>
                </w:tcPr>
                <w:p w14:paraId="43A2151F" w14:textId="77777777" w:rsidR="0096098C" w:rsidRPr="007C6AFD" w:rsidRDefault="0096098C" w:rsidP="0096098C">
                  <w:pPr>
                    <w:keepNext/>
                    <w:keepLines/>
                    <w:pageBreakBefore/>
                    <w:tabs>
                      <w:tab w:val="clear" w:pos="567"/>
                    </w:tabs>
                    <w:spacing w:before="0" w:line="240" w:lineRule="auto"/>
                    <w:ind w:firstLine="57"/>
                    <w:rPr>
                      <w:rFonts w:eastAsia="Calibri" w:cs="Open Sans Light"/>
                      <w:sz w:val="16"/>
                      <w:szCs w:val="16"/>
                      <w:lang w:eastAsia="en-AU"/>
                    </w:rPr>
                  </w:pPr>
                  <w:r w:rsidRPr="007C6AFD">
                    <w:rPr>
                      <w:rFonts w:eastAsia="Calibri" w:cs="Open Sans Light"/>
                      <w:color w:val="000000"/>
                      <w:sz w:val="16"/>
                      <w:szCs w:val="16"/>
                      <w:lang w:eastAsia="en-AU"/>
                    </w:rPr>
                    <w:t>Changes in property sales</w:t>
                  </w:r>
                </w:p>
              </w:tc>
              <w:tc>
                <w:tcPr>
                  <w:tcW w:w="451" w:type="dxa"/>
                  <w:tcBorders>
                    <w:top w:val="single" w:sz="8" w:space="0" w:color="ADD6EA"/>
                    <w:left w:val="nil"/>
                    <w:bottom w:val="nil"/>
                    <w:right w:val="nil"/>
                  </w:tcBorders>
                  <w:tcMar>
                    <w:top w:w="0" w:type="dxa"/>
                    <w:left w:w="28" w:type="dxa"/>
                    <w:bottom w:w="0" w:type="dxa"/>
                    <w:right w:w="28" w:type="dxa"/>
                  </w:tcMar>
                  <w:vAlign w:val="bottom"/>
                  <w:hideMark/>
                </w:tcPr>
                <w:p w14:paraId="3C111EC1"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387</w:t>
                  </w:r>
                </w:p>
              </w:tc>
              <w:tc>
                <w:tcPr>
                  <w:tcW w:w="580" w:type="dxa"/>
                  <w:tcBorders>
                    <w:top w:val="single" w:sz="8" w:space="0" w:color="ADD6EA"/>
                    <w:left w:val="nil"/>
                    <w:bottom w:val="nil"/>
                    <w:right w:val="nil"/>
                  </w:tcBorders>
                  <w:tcMar>
                    <w:top w:w="0" w:type="dxa"/>
                    <w:left w:w="28" w:type="dxa"/>
                    <w:bottom w:w="0" w:type="dxa"/>
                    <w:right w:w="28" w:type="dxa"/>
                  </w:tcMar>
                  <w:vAlign w:val="bottom"/>
                  <w:hideMark/>
                </w:tcPr>
                <w:p w14:paraId="77D59971"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-210</w:t>
                  </w:r>
                </w:p>
              </w:tc>
              <w:tc>
                <w:tcPr>
                  <w:tcW w:w="640" w:type="dxa"/>
                  <w:tcBorders>
                    <w:top w:val="single" w:sz="8" w:space="0" w:color="ADD6EA"/>
                    <w:left w:val="nil"/>
                    <w:bottom w:val="nil"/>
                    <w:right w:val="nil"/>
                  </w:tcBorders>
                  <w:tcMar>
                    <w:top w:w="0" w:type="dxa"/>
                    <w:left w:w="28" w:type="dxa"/>
                    <w:bottom w:w="0" w:type="dxa"/>
                    <w:right w:w="28" w:type="dxa"/>
                  </w:tcMar>
                  <w:vAlign w:val="bottom"/>
                  <w:hideMark/>
                </w:tcPr>
                <w:p w14:paraId="586C8141"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53</w:t>
                  </w:r>
                </w:p>
              </w:tc>
              <w:tc>
                <w:tcPr>
                  <w:tcW w:w="620" w:type="dxa"/>
                  <w:tcBorders>
                    <w:top w:val="single" w:sz="8" w:space="0" w:color="ADD6EA"/>
                    <w:left w:val="nil"/>
                    <w:bottom w:val="nil"/>
                    <w:right w:val="nil"/>
                  </w:tcBorders>
                  <w:tcMar>
                    <w:top w:w="0" w:type="dxa"/>
                    <w:left w:w="28" w:type="dxa"/>
                    <w:bottom w:w="0" w:type="dxa"/>
                    <w:right w:w="28" w:type="dxa"/>
                  </w:tcMar>
                  <w:vAlign w:val="bottom"/>
                  <w:hideMark/>
                </w:tcPr>
                <w:p w14:paraId="55A78888"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-59</w:t>
                  </w:r>
                </w:p>
              </w:tc>
              <w:tc>
                <w:tcPr>
                  <w:tcW w:w="560" w:type="dxa"/>
                  <w:tcBorders>
                    <w:top w:val="single" w:sz="8" w:space="0" w:color="ADD6EA"/>
                    <w:left w:val="nil"/>
                    <w:bottom w:val="nil"/>
                    <w:right w:val="nil"/>
                  </w:tcBorders>
                  <w:tcMar>
                    <w:top w:w="0" w:type="dxa"/>
                    <w:left w:w="28" w:type="dxa"/>
                    <w:bottom w:w="0" w:type="dxa"/>
                    <w:right w:w="28" w:type="dxa"/>
                  </w:tcMar>
                  <w:vAlign w:val="bottom"/>
                  <w:hideMark/>
                </w:tcPr>
                <w:p w14:paraId="172DB528"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-122</w:t>
                  </w:r>
                </w:p>
              </w:tc>
              <w:tc>
                <w:tcPr>
                  <w:tcW w:w="620" w:type="dxa"/>
                  <w:tcBorders>
                    <w:top w:val="single" w:sz="8" w:space="0" w:color="ADD6EA"/>
                    <w:left w:val="nil"/>
                    <w:bottom w:val="nil"/>
                    <w:right w:val="nil"/>
                  </w:tcBorders>
                  <w:tcMar>
                    <w:top w:w="0" w:type="dxa"/>
                    <w:left w:w="28" w:type="dxa"/>
                    <w:bottom w:w="0" w:type="dxa"/>
                    <w:right w:w="28" w:type="dxa"/>
                  </w:tcMar>
                  <w:vAlign w:val="bottom"/>
                  <w:hideMark/>
                </w:tcPr>
                <w:p w14:paraId="4F8B7AA6"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-48</w:t>
                  </w:r>
                </w:p>
              </w:tc>
              <w:tc>
                <w:tcPr>
                  <w:tcW w:w="660" w:type="dxa"/>
                  <w:tcBorders>
                    <w:top w:val="single" w:sz="8" w:space="0" w:color="ADD6EA"/>
                    <w:left w:val="nil"/>
                    <w:bottom w:val="nil"/>
                    <w:right w:val="nil"/>
                  </w:tcBorders>
                  <w:tcMar>
                    <w:top w:w="0" w:type="dxa"/>
                    <w:left w:w="28" w:type="dxa"/>
                    <w:bottom w:w="0" w:type="dxa"/>
                    <w:right w:w="28" w:type="dxa"/>
                  </w:tcMar>
                  <w:vAlign w:val="bottom"/>
                  <w:hideMark/>
                </w:tcPr>
                <w:p w14:paraId="34ED1835"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5</w:t>
                  </w:r>
                </w:p>
              </w:tc>
              <w:tc>
                <w:tcPr>
                  <w:tcW w:w="580" w:type="dxa"/>
                  <w:tcBorders>
                    <w:top w:val="single" w:sz="8" w:space="0" w:color="ADD6EA"/>
                    <w:left w:val="nil"/>
                    <w:bottom w:val="nil"/>
                    <w:right w:val="nil"/>
                  </w:tcBorders>
                  <w:tcMar>
                    <w:top w:w="0" w:type="dxa"/>
                    <w:left w:w="28" w:type="dxa"/>
                    <w:bottom w:w="0" w:type="dxa"/>
                    <w:right w:w="28" w:type="dxa"/>
                  </w:tcMar>
                  <w:vAlign w:val="bottom"/>
                  <w:hideMark/>
                </w:tcPr>
                <w:p w14:paraId="06C6844C"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-6</w:t>
                  </w:r>
                </w:p>
              </w:tc>
              <w:tc>
                <w:tcPr>
                  <w:tcW w:w="820" w:type="dxa"/>
                  <w:tcBorders>
                    <w:top w:val="single" w:sz="8" w:space="0" w:color="ADD6EA"/>
                    <w:left w:val="nil"/>
                    <w:bottom w:val="nil"/>
                    <w:right w:val="nil"/>
                  </w:tcBorders>
                  <w:tcMar>
                    <w:top w:w="0" w:type="dxa"/>
                    <w:left w:w="28" w:type="dxa"/>
                    <w:bottom w:w="0" w:type="dxa"/>
                    <w:right w:w="28" w:type="dxa"/>
                  </w:tcMar>
                  <w:vAlign w:val="bottom"/>
                  <w:hideMark/>
                </w:tcPr>
                <w:p w14:paraId="08CDFF53"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445</w:t>
                  </w:r>
                </w:p>
              </w:tc>
            </w:tr>
            <w:tr w:rsidR="0096098C" w:rsidRPr="007C6AFD" w14:paraId="421F7AFC" w14:textId="77777777" w:rsidTr="00B30BC5">
              <w:trPr>
                <w:trHeight w:val="315"/>
              </w:trPr>
              <w:tc>
                <w:tcPr>
                  <w:tcW w:w="2869" w:type="dxa"/>
                  <w:tcBorders>
                    <w:top w:val="single" w:sz="8" w:space="0" w:color="ADD6EA"/>
                    <w:left w:val="nil"/>
                    <w:bottom w:val="nil"/>
                    <w:right w:val="nil"/>
                  </w:tcBorders>
                  <w:tcMar>
                    <w:top w:w="0" w:type="dxa"/>
                    <w:left w:w="28" w:type="dxa"/>
                    <w:bottom w:w="0" w:type="dxa"/>
                    <w:right w:w="28" w:type="dxa"/>
                  </w:tcMar>
                  <w:vAlign w:val="bottom"/>
                  <w:hideMark/>
                </w:tcPr>
                <w:p w14:paraId="70058E4F" w14:textId="77777777" w:rsidR="0096098C" w:rsidRPr="007C6AFD" w:rsidRDefault="0096098C" w:rsidP="0096098C">
                  <w:pPr>
                    <w:keepNext/>
                    <w:keepLines/>
                    <w:pageBreakBefore/>
                    <w:tabs>
                      <w:tab w:val="clear" w:pos="567"/>
                    </w:tabs>
                    <w:spacing w:before="0" w:line="240" w:lineRule="auto"/>
                    <w:ind w:firstLine="57"/>
                    <w:rPr>
                      <w:rFonts w:eastAsia="Calibri" w:cs="Open Sans Light"/>
                      <w:sz w:val="16"/>
                      <w:szCs w:val="16"/>
                      <w:lang w:eastAsia="en-AU"/>
                    </w:rPr>
                  </w:pPr>
                  <w:r w:rsidRPr="007C6AFD">
                    <w:rPr>
                      <w:rFonts w:eastAsia="Calibri" w:cs="Open Sans Light"/>
                      <w:color w:val="000000"/>
                      <w:sz w:val="16"/>
                      <w:szCs w:val="16"/>
                      <w:lang w:eastAsia="en-AU"/>
                    </w:rPr>
                    <w:t>Changes in capital requirements</w:t>
                  </w:r>
                </w:p>
              </w:tc>
              <w:tc>
                <w:tcPr>
                  <w:tcW w:w="451" w:type="dxa"/>
                  <w:tcBorders>
                    <w:top w:val="single" w:sz="8" w:space="0" w:color="ADD6EA"/>
                    <w:left w:val="nil"/>
                    <w:bottom w:val="nil"/>
                    <w:right w:val="nil"/>
                  </w:tcBorders>
                  <w:tcMar>
                    <w:top w:w="0" w:type="dxa"/>
                    <w:left w:w="28" w:type="dxa"/>
                    <w:bottom w:w="0" w:type="dxa"/>
                    <w:right w:w="28" w:type="dxa"/>
                  </w:tcMar>
                  <w:vAlign w:val="bottom"/>
                  <w:hideMark/>
                </w:tcPr>
                <w:p w14:paraId="20317333"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-187</w:t>
                  </w:r>
                </w:p>
              </w:tc>
              <w:tc>
                <w:tcPr>
                  <w:tcW w:w="580" w:type="dxa"/>
                  <w:tcBorders>
                    <w:top w:val="single" w:sz="8" w:space="0" w:color="ADD6EA"/>
                    <w:left w:val="nil"/>
                    <w:bottom w:val="nil"/>
                    <w:right w:val="nil"/>
                  </w:tcBorders>
                  <w:tcMar>
                    <w:top w:w="0" w:type="dxa"/>
                    <w:left w:w="28" w:type="dxa"/>
                    <w:bottom w:w="0" w:type="dxa"/>
                    <w:right w:w="28" w:type="dxa"/>
                  </w:tcMar>
                  <w:vAlign w:val="bottom"/>
                  <w:hideMark/>
                </w:tcPr>
                <w:p w14:paraId="241D20CE"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-46</w:t>
                  </w:r>
                </w:p>
              </w:tc>
              <w:tc>
                <w:tcPr>
                  <w:tcW w:w="640" w:type="dxa"/>
                  <w:tcBorders>
                    <w:top w:val="single" w:sz="8" w:space="0" w:color="ADD6EA"/>
                    <w:left w:val="nil"/>
                    <w:bottom w:val="nil"/>
                    <w:right w:val="nil"/>
                  </w:tcBorders>
                  <w:tcMar>
                    <w:top w:w="0" w:type="dxa"/>
                    <w:left w:w="28" w:type="dxa"/>
                    <w:bottom w:w="0" w:type="dxa"/>
                    <w:right w:w="28" w:type="dxa"/>
                  </w:tcMar>
                  <w:vAlign w:val="bottom"/>
                  <w:hideMark/>
                </w:tcPr>
                <w:p w14:paraId="0C8037EF"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84</w:t>
                  </w:r>
                </w:p>
              </w:tc>
              <w:tc>
                <w:tcPr>
                  <w:tcW w:w="620" w:type="dxa"/>
                  <w:tcBorders>
                    <w:top w:val="single" w:sz="8" w:space="0" w:color="ADD6EA"/>
                    <w:left w:val="nil"/>
                    <w:bottom w:val="nil"/>
                    <w:right w:val="nil"/>
                  </w:tcBorders>
                  <w:tcMar>
                    <w:top w:w="0" w:type="dxa"/>
                    <w:left w:w="28" w:type="dxa"/>
                    <w:bottom w:w="0" w:type="dxa"/>
                    <w:right w:w="28" w:type="dxa"/>
                  </w:tcMar>
                  <w:vAlign w:val="bottom"/>
                  <w:hideMark/>
                </w:tcPr>
                <w:p w14:paraId="2DEE8F09"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196</w:t>
                  </w:r>
                </w:p>
              </w:tc>
              <w:tc>
                <w:tcPr>
                  <w:tcW w:w="560" w:type="dxa"/>
                  <w:tcBorders>
                    <w:top w:val="single" w:sz="8" w:space="0" w:color="ADD6EA"/>
                    <w:left w:val="nil"/>
                    <w:bottom w:val="nil"/>
                    <w:right w:val="nil"/>
                  </w:tcBorders>
                  <w:tcMar>
                    <w:top w:w="0" w:type="dxa"/>
                    <w:left w:w="28" w:type="dxa"/>
                    <w:bottom w:w="0" w:type="dxa"/>
                    <w:right w:w="28" w:type="dxa"/>
                  </w:tcMar>
                  <w:vAlign w:val="bottom"/>
                  <w:hideMark/>
                </w:tcPr>
                <w:p w14:paraId="33F2237D"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19</w:t>
                  </w:r>
                </w:p>
              </w:tc>
              <w:tc>
                <w:tcPr>
                  <w:tcW w:w="620" w:type="dxa"/>
                  <w:tcBorders>
                    <w:top w:val="single" w:sz="8" w:space="0" w:color="ADD6EA"/>
                    <w:left w:val="nil"/>
                    <w:bottom w:val="nil"/>
                    <w:right w:val="nil"/>
                  </w:tcBorders>
                  <w:tcMar>
                    <w:top w:w="0" w:type="dxa"/>
                    <w:left w:w="28" w:type="dxa"/>
                    <w:bottom w:w="0" w:type="dxa"/>
                    <w:right w:w="28" w:type="dxa"/>
                  </w:tcMar>
                  <w:vAlign w:val="bottom"/>
                  <w:hideMark/>
                </w:tcPr>
                <w:p w14:paraId="6B48365E"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-1</w:t>
                  </w:r>
                </w:p>
              </w:tc>
              <w:tc>
                <w:tcPr>
                  <w:tcW w:w="660" w:type="dxa"/>
                  <w:tcBorders>
                    <w:top w:val="single" w:sz="8" w:space="0" w:color="ADD6EA"/>
                    <w:left w:val="nil"/>
                    <w:bottom w:val="nil"/>
                    <w:right w:val="nil"/>
                  </w:tcBorders>
                  <w:tcMar>
                    <w:top w:w="0" w:type="dxa"/>
                    <w:left w:w="28" w:type="dxa"/>
                    <w:bottom w:w="0" w:type="dxa"/>
                    <w:right w:w="28" w:type="dxa"/>
                  </w:tcMar>
                  <w:vAlign w:val="bottom"/>
                  <w:hideMark/>
                </w:tcPr>
                <w:p w14:paraId="4C5AAAAF"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-33</w:t>
                  </w:r>
                </w:p>
              </w:tc>
              <w:tc>
                <w:tcPr>
                  <w:tcW w:w="580" w:type="dxa"/>
                  <w:tcBorders>
                    <w:top w:val="single" w:sz="8" w:space="0" w:color="ADD6EA"/>
                    <w:left w:val="nil"/>
                    <w:bottom w:val="nil"/>
                    <w:right w:val="nil"/>
                  </w:tcBorders>
                  <w:tcMar>
                    <w:top w:w="0" w:type="dxa"/>
                    <w:left w:w="28" w:type="dxa"/>
                    <w:bottom w:w="0" w:type="dxa"/>
                    <w:right w:w="28" w:type="dxa"/>
                  </w:tcMar>
                  <w:vAlign w:val="bottom"/>
                  <w:hideMark/>
                </w:tcPr>
                <w:p w14:paraId="4D52E333"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-33</w:t>
                  </w:r>
                </w:p>
              </w:tc>
              <w:tc>
                <w:tcPr>
                  <w:tcW w:w="820" w:type="dxa"/>
                  <w:tcBorders>
                    <w:top w:val="single" w:sz="8" w:space="0" w:color="ADD6EA"/>
                    <w:left w:val="nil"/>
                    <w:bottom w:val="nil"/>
                    <w:right w:val="nil"/>
                  </w:tcBorders>
                  <w:tcMar>
                    <w:top w:w="0" w:type="dxa"/>
                    <w:left w:w="28" w:type="dxa"/>
                    <w:bottom w:w="0" w:type="dxa"/>
                    <w:right w:w="28" w:type="dxa"/>
                  </w:tcMar>
                  <w:vAlign w:val="bottom"/>
                  <w:hideMark/>
                </w:tcPr>
                <w:p w14:paraId="7FE2FD61"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300</w:t>
                  </w:r>
                </w:p>
              </w:tc>
            </w:tr>
            <w:tr w:rsidR="0096098C" w:rsidRPr="007C6AFD" w14:paraId="06CDBFDC" w14:textId="77777777" w:rsidTr="00B30BC5">
              <w:trPr>
                <w:trHeight w:val="315"/>
              </w:trPr>
              <w:tc>
                <w:tcPr>
                  <w:tcW w:w="2869" w:type="dxa"/>
                  <w:tcBorders>
                    <w:top w:val="single" w:sz="8" w:space="0" w:color="ADD6EA"/>
                    <w:left w:val="nil"/>
                    <w:bottom w:val="nil"/>
                    <w:right w:val="nil"/>
                  </w:tcBorders>
                  <w:tcMar>
                    <w:top w:w="0" w:type="dxa"/>
                    <w:left w:w="28" w:type="dxa"/>
                    <w:bottom w:w="0" w:type="dxa"/>
                    <w:right w:w="28" w:type="dxa"/>
                  </w:tcMar>
                  <w:vAlign w:val="bottom"/>
                  <w:hideMark/>
                </w:tcPr>
                <w:p w14:paraId="4CBDDC0E" w14:textId="77777777" w:rsidR="0096098C" w:rsidRPr="007C6AFD" w:rsidRDefault="0096098C" w:rsidP="0096098C">
                  <w:pPr>
                    <w:keepNext/>
                    <w:keepLines/>
                    <w:pageBreakBefore/>
                    <w:tabs>
                      <w:tab w:val="clear" w:pos="567"/>
                    </w:tabs>
                    <w:spacing w:before="0" w:line="240" w:lineRule="auto"/>
                    <w:ind w:firstLine="57"/>
                    <w:rPr>
                      <w:rFonts w:eastAsia="Calibri" w:cs="Open Sans Light"/>
                      <w:sz w:val="16"/>
                      <w:szCs w:val="16"/>
                      <w:lang w:eastAsia="en-AU"/>
                    </w:rPr>
                  </w:pPr>
                  <w:r w:rsidRPr="007C6AFD">
                    <w:rPr>
                      <w:rFonts w:eastAsia="Calibri" w:cs="Open Sans Light"/>
                      <w:color w:val="000000"/>
                      <w:sz w:val="16"/>
                      <w:szCs w:val="16"/>
                      <w:lang w:eastAsia="en-AU"/>
                    </w:rPr>
                    <w:t>Changes in taxable land values</w:t>
                  </w:r>
                </w:p>
              </w:tc>
              <w:tc>
                <w:tcPr>
                  <w:tcW w:w="451" w:type="dxa"/>
                  <w:tcBorders>
                    <w:top w:val="single" w:sz="8" w:space="0" w:color="ADD6EA"/>
                    <w:left w:val="nil"/>
                    <w:bottom w:val="nil"/>
                    <w:right w:val="nil"/>
                  </w:tcBorders>
                  <w:tcMar>
                    <w:top w:w="0" w:type="dxa"/>
                    <w:left w:w="28" w:type="dxa"/>
                    <w:bottom w:w="0" w:type="dxa"/>
                    <w:right w:w="28" w:type="dxa"/>
                  </w:tcMar>
                  <w:vAlign w:val="bottom"/>
                  <w:hideMark/>
                </w:tcPr>
                <w:p w14:paraId="2AAFDC01"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-206</w:t>
                  </w:r>
                </w:p>
              </w:tc>
              <w:tc>
                <w:tcPr>
                  <w:tcW w:w="580" w:type="dxa"/>
                  <w:tcBorders>
                    <w:top w:val="single" w:sz="8" w:space="0" w:color="ADD6EA"/>
                    <w:left w:val="nil"/>
                    <w:bottom w:val="nil"/>
                    <w:right w:val="nil"/>
                  </w:tcBorders>
                  <w:tcMar>
                    <w:top w:w="0" w:type="dxa"/>
                    <w:left w:w="28" w:type="dxa"/>
                    <w:bottom w:w="0" w:type="dxa"/>
                    <w:right w:w="28" w:type="dxa"/>
                  </w:tcMar>
                  <w:vAlign w:val="bottom"/>
                  <w:hideMark/>
                </w:tcPr>
                <w:p w14:paraId="3797E0D0"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-33</w:t>
                  </w:r>
                </w:p>
              </w:tc>
              <w:tc>
                <w:tcPr>
                  <w:tcW w:w="640" w:type="dxa"/>
                  <w:tcBorders>
                    <w:top w:val="single" w:sz="8" w:space="0" w:color="ADD6EA"/>
                    <w:left w:val="nil"/>
                    <w:bottom w:val="nil"/>
                    <w:right w:val="nil"/>
                  </w:tcBorders>
                  <w:tcMar>
                    <w:top w:w="0" w:type="dxa"/>
                    <w:left w:w="28" w:type="dxa"/>
                    <w:bottom w:w="0" w:type="dxa"/>
                    <w:right w:w="28" w:type="dxa"/>
                  </w:tcMar>
                  <w:vAlign w:val="bottom"/>
                  <w:hideMark/>
                </w:tcPr>
                <w:p w14:paraId="58986C38"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97</w:t>
                  </w:r>
                </w:p>
              </w:tc>
              <w:tc>
                <w:tcPr>
                  <w:tcW w:w="620" w:type="dxa"/>
                  <w:tcBorders>
                    <w:top w:val="single" w:sz="8" w:space="0" w:color="ADD6EA"/>
                    <w:left w:val="nil"/>
                    <w:bottom w:val="nil"/>
                    <w:right w:val="nil"/>
                  </w:tcBorders>
                  <w:tcMar>
                    <w:top w:w="0" w:type="dxa"/>
                    <w:left w:w="28" w:type="dxa"/>
                    <w:bottom w:w="0" w:type="dxa"/>
                    <w:right w:w="28" w:type="dxa"/>
                  </w:tcMar>
                  <w:vAlign w:val="bottom"/>
                  <w:hideMark/>
                </w:tcPr>
                <w:p w14:paraId="6A7C8652"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94</w:t>
                  </w:r>
                </w:p>
              </w:tc>
              <w:tc>
                <w:tcPr>
                  <w:tcW w:w="560" w:type="dxa"/>
                  <w:tcBorders>
                    <w:top w:val="single" w:sz="8" w:space="0" w:color="ADD6EA"/>
                    <w:left w:val="nil"/>
                    <w:bottom w:val="nil"/>
                    <w:right w:val="nil"/>
                  </w:tcBorders>
                  <w:tcMar>
                    <w:top w:w="0" w:type="dxa"/>
                    <w:left w:w="28" w:type="dxa"/>
                    <w:bottom w:w="0" w:type="dxa"/>
                    <w:right w:w="28" w:type="dxa"/>
                  </w:tcMar>
                  <w:vAlign w:val="bottom"/>
                  <w:hideMark/>
                </w:tcPr>
                <w:p w14:paraId="4639D9CC"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31</w:t>
                  </w:r>
                </w:p>
              </w:tc>
              <w:tc>
                <w:tcPr>
                  <w:tcW w:w="620" w:type="dxa"/>
                  <w:tcBorders>
                    <w:top w:val="single" w:sz="8" w:space="0" w:color="ADD6EA"/>
                    <w:left w:val="nil"/>
                    <w:bottom w:val="nil"/>
                    <w:right w:val="nil"/>
                  </w:tcBorders>
                  <w:tcMar>
                    <w:top w:w="0" w:type="dxa"/>
                    <w:left w:w="28" w:type="dxa"/>
                    <w:bottom w:w="0" w:type="dxa"/>
                    <w:right w:w="28" w:type="dxa"/>
                  </w:tcMar>
                  <w:vAlign w:val="bottom"/>
                  <w:hideMark/>
                </w:tcPr>
                <w:p w14:paraId="34653111"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11</w:t>
                  </w:r>
                </w:p>
              </w:tc>
              <w:tc>
                <w:tcPr>
                  <w:tcW w:w="660" w:type="dxa"/>
                  <w:tcBorders>
                    <w:top w:val="single" w:sz="8" w:space="0" w:color="ADD6EA"/>
                    <w:left w:val="nil"/>
                    <w:bottom w:val="nil"/>
                    <w:right w:val="nil"/>
                  </w:tcBorders>
                  <w:tcMar>
                    <w:top w:w="0" w:type="dxa"/>
                    <w:left w:w="28" w:type="dxa"/>
                    <w:bottom w:w="0" w:type="dxa"/>
                    <w:right w:w="28" w:type="dxa"/>
                  </w:tcMar>
                  <w:vAlign w:val="bottom"/>
                  <w:hideMark/>
                </w:tcPr>
                <w:p w14:paraId="2918175E"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6</w:t>
                  </w:r>
                </w:p>
              </w:tc>
              <w:tc>
                <w:tcPr>
                  <w:tcW w:w="580" w:type="dxa"/>
                  <w:tcBorders>
                    <w:top w:val="single" w:sz="8" w:space="0" w:color="ADD6EA"/>
                    <w:left w:val="nil"/>
                    <w:bottom w:val="nil"/>
                    <w:right w:val="nil"/>
                  </w:tcBorders>
                  <w:tcMar>
                    <w:top w:w="0" w:type="dxa"/>
                    <w:left w:w="28" w:type="dxa"/>
                    <w:bottom w:w="0" w:type="dxa"/>
                    <w:right w:w="28" w:type="dxa"/>
                  </w:tcMar>
                  <w:vAlign w:val="bottom"/>
                  <w:hideMark/>
                </w:tcPr>
                <w:p w14:paraId="1C4541D9"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0</w:t>
                  </w:r>
                </w:p>
              </w:tc>
              <w:tc>
                <w:tcPr>
                  <w:tcW w:w="820" w:type="dxa"/>
                  <w:tcBorders>
                    <w:top w:val="single" w:sz="8" w:space="0" w:color="ADD6EA"/>
                    <w:left w:val="nil"/>
                    <w:bottom w:val="nil"/>
                    <w:right w:val="nil"/>
                  </w:tcBorders>
                  <w:tcMar>
                    <w:top w:w="0" w:type="dxa"/>
                    <w:left w:w="28" w:type="dxa"/>
                    <w:bottom w:w="0" w:type="dxa"/>
                    <w:right w:w="28" w:type="dxa"/>
                  </w:tcMar>
                  <w:vAlign w:val="bottom"/>
                  <w:hideMark/>
                </w:tcPr>
                <w:p w14:paraId="27FBED5D"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238</w:t>
                  </w:r>
                </w:p>
              </w:tc>
            </w:tr>
            <w:tr w:rsidR="0096098C" w:rsidRPr="007C6AFD" w14:paraId="6692D101" w14:textId="77777777" w:rsidTr="00B30BC5">
              <w:trPr>
                <w:trHeight w:val="315"/>
              </w:trPr>
              <w:tc>
                <w:tcPr>
                  <w:tcW w:w="2869" w:type="dxa"/>
                  <w:tcBorders>
                    <w:top w:val="single" w:sz="8" w:space="0" w:color="ADD6EA"/>
                    <w:left w:val="nil"/>
                    <w:bottom w:val="nil"/>
                    <w:right w:val="nil"/>
                  </w:tcBorders>
                  <w:tcMar>
                    <w:top w:w="0" w:type="dxa"/>
                    <w:left w:w="28" w:type="dxa"/>
                    <w:bottom w:w="0" w:type="dxa"/>
                    <w:right w:w="28" w:type="dxa"/>
                  </w:tcMar>
                  <w:vAlign w:val="bottom"/>
                  <w:hideMark/>
                </w:tcPr>
                <w:p w14:paraId="1E4621CE" w14:textId="77777777" w:rsidR="0096098C" w:rsidRPr="007C6AFD" w:rsidRDefault="0096098C" w:rsidP="0096098C">
                  <w:pPr>
                    <w:keepNext/>
                    <w:keepLines/>
                    <w:pageBreakBefore/>
                    <w:tabs>
                      <w:tab w:val="clear" w:pos="567"/>
                    </w:tabs>
                    <w:spacing w:before="0" w:line="240" w:lineRule="auto"/>
                    <w:ind w:firstLine="57"/>
                    <w:rPr>
                      <w:rFonts w:eastAsia="Calibri" w:cs="Open Sans Light"/>
                      <w:sz w:val="16"/>
                      <w:szCs w:val="16"/>
                      <w:lang w:eastAsia="en-AU"/>
                    </w:rPr>
                  </w:pPr>
                  <w:r w:rsidRPr="007C6AFD">
                    <w:rPr>
                      <w:rFonts w:eastAsia="Calibri" w:cs="Open Sans Light"/>
                      <w:color w:val="000000"/>
                      <w:sz w:val="16"/>
                      <w:szCs w:val="16"/>
                      <w:lang w:eastAsia="en-AU"/>
                    </w:rPr>
                    <w:t>Growth in expenses</w:t>
                  </w:r>
                  <w:r w:rsidRPr="007C6AFD">
                    <w:rPr>
                      <w:rFonts w:eastAsia="Calibri" w:cs="Open Sans Light"/>
                      <w:color w:val="000000"/>
                      <w:sz w:val="16"/>
                      <w:szCs w:val="16"/>
                      <w:vertAlign w:val="superscript"/>
                      <w:lang w:eastAsia="en-AU"/>
                    </w:rPr>
                    <w:t>4</w:t>
                  </w:r>
                </w:p>
              </w:tc>
              <w:tc>
                <w:tcPr>
                  <w:tcW w:w="451" w:type="dxa"/>
                  <w:tcBorders>
                    <w:top w:val="single" w:sz="8" w:space="0" w:color="ADD6EA"/>
                    <w:left w:val="nil"/>
                    <w:bottom w:val="nil"/>
                    <w:right w:val="nil"/>
                  </w:tcBorders>
                  <w:noWrap/>
                  <w:tcMar>
                    <w:top w:w="0" w:type="dxa"/>
                    <w:left w:w="28" w:type="dxa"/>
                    <w:bottom w:w="0" w:type="dxa"/>
                    <w:right w:w="28" w:type="dxa"/>
                  </w:tcMar>
                  <w:vAlign w:val="bottom"/>
                  <w:hideMark/>
                </w:tcPr>
                <w:p w14:paraId="038BAF3C"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52</w:t>
                  </w:r>
                </w:p>
              </w:tc>
              <w:tc>
                <w:tcPr>
                  <w:tcW w:w="580" w:type="dxa"/>
                  <w:tcBorders>
                    <w:top w:val="single" w:sz="8" w:space="0" w:color="ADD6EA"/>
                    <w:left w:val="nil"/>
                    <w:bottom w:val="nil"/>
                    <w:right w:val="nil"/>
                  </w:tcBorders>
                  <w:noWrap/>
                  <w:tcMar>
                    <w:top w:w="0" w:type="dxa"/>
                    <w:left w:w="28" w:type="dxa"/>
                    <w:bottom w:w="0" w:type="dxa"/>
                    <w:right w:w="28" w:type="dxa"/>
                  </w:tcMar>
                  <w:vAlign w:val="bottom"/>
                  <w:hideMark/>
                </w:tcPr>
                <w:p w14:paraId="20CE4AA5"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-194</w:t>
                  </w:r>
                </w:p>
              </w:tc>
              <w:tc>
                <w:tcPr>
                  <w:tcW w:w="640" w:type="dxa"/>
                  <w:tcBorders>
                    <w:top w:val="single" w:sz="8" w:space="0" w:color="ADD6EA"/>
                    <w:left w:val="nil"/>
                    <w:bottom w:val="nil"/>
                    <w:right w:val="nil"/>
                  </w:tcBorders>
                  <w:noWrap/>
                  <w:tcMar>
                    <w:top w:w="0" w:type="dxa"/>
                    <w:left w:w="28" w:type="dxa"/>
                    <w:bottom w:w="0" w:type="dxa"/>
                    <w:right w:w="28" w:type="dxa"/>
                  </w:tcMar>
                  <w:vAlign w:val="bottom"/>
                  <w:hideMark/>
                </w:tcPr>
                <w:p w14:paraId="2512581C"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12</w:t>
                  </w:r>
                </w:p>
              </w:tc>
              <w:tc>
                <w:tcPr>
                  <w:tcW w:w="620" w:type="dxa"/>
                  <w:tcBorders>
                    <w:top w:val="single" w:sz="8" w:space="0" w:color="ADD6EA"/>
                    <w:left w:val="nil"/>
                    <w:bottom w:val="nil"/>
                    <w:right w:val="nil"/>
                  </w:tcBorders>
                  <w:noWrap/>
                  <w:tcMar>
                    <w:top w:w="0" w:type="dxa"/>
                    <w:left w:w="28" w:type="dxa"/>
                    <w:bottom w:w="0" w:type="dxa"/>
                    <w:right w:w="28" w:type="dxa"/>
                  </w:tcMar>
                  <w:vAlign w:val="bottom"/>
                  <w:hideMark/>
                </w:tcPr>
                <w:p w14:paraId="4BCAFE8A"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57</w:t>
                  </w:r>
                </w:p>
              </w:tc>
              <w:tc>
                <w:tcPr>
                  <w:tcW w:w="560" w:type="dxa"/>
                  <w:tcBorders>
                    <w:top w:val="single" w:sz="8" w:space="0" w:color="ADD6EA"/>
                    <w:left w:val="nil"/>
                    <w:bottom w:val="nil"/>
                    <w:right w:val="nil"/>
                  </w:tcBorders>
                  <w:noWrap/>
                  <w:tcMar>
                    <w:top w:w="0" w:type="dxa"/>
                    <w:left w:w="28" w:type="dxa"/>
                    <w:bottom w:w="0" w:type="dxa"/>
                    <w:right w:w="28" w:type="dxa"/>
                  </w:tcMar>
                  <w:vAlign w:val="bottom"/>
                  <w:hideMark/>
                </w:tcPr>
                <w:p w14:paraId="4593E234"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-13</w:t>
                  </w:r>
                </w:p>
              </w:tc>
              <w:tc>
                <w:tcPr>
                  <w:tcW w:w="620" w:type="dxa"/>
                  <w:tcBorders>
                    <w:top w:val="single" w:sz="8" w:space="0" w:color="ADD6EA"/>
                    <w:left w:val="nil"/>
                    <w:bottom w:val="nil"/>
                    <w:right w:val="nil"/>
                  </w:tcBorders>
                  <w:noWrap/>
                  <w:tcMar>
                    <w:top w:w="0" w:type="dxa"/>
                    <w:left w:w="28" w:type="dxa"/>
                    <w:bottom w:w="0" w:type="dxa"/>
                    <w:right w:w="28" w:type="dxa"/>
                  </w:tcMar>
                  <w:vAlign w:val="bottom"/>
                  <w:hideMark/>
                </w:tcPr>
                <w:p w14:paraId="5559B836"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20</w:t>
                  </w:r>
                </w:p>
              </w:tc>
              <w:tc>
                <w:tcPr>
                  <w:tcW w:w="660" w:type="dxa"/>
                  <w:tcBorders>
                    <w:top w:val="single" w:sz="8" w:space="0" w:color="ADD6EA"/>
                    <w:left w:val="nil"/>
                    <w:bottom w:val="nil"/>
                    <w:right w:val="nil"/>
                  </w:tcBorders>
                  <w:noWrap/>
                  <w:tcMar>
                    <w:top w:w="0" w:type="dxa"/>
                    <w:left w:w="28" w:type="dxa"/>
                    <w:bottom w:w="0" w:type="dxa"/>
                    <w:right w:w="28" w:type="dxa"/>
                  </w:tcMar>
                  <w:vAlign w:val="bottom"/>
                  <w:hideMark/>
                </w:tcPr>
                <w:p w14:paraId="6DFCC8DB"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-19</w:t>
                  </w:r>
                </w:p>
              </w:tc>
              <w:tc>
                <w:tcPr>
                  <w:tcW w:w="580" w:type="dxa"/>
                  <w:tcBorders>
                    <w:top w:val="single" w:sz="8" w:space="0" w:color="ADD6EA"/>
                    <w:left w:val="nil"/>
                    <w:bottom w:val="nil"/>
                    <w:right w:val="nil"/>
                  </w:tcBorders>
                  <w:noWrap/>
                  <w:tcMar>
                    <w:top w:w="0" w:type="dxa"/>
                    <w:left w:w="28" w:type="dxa"/>
                    <w:bottom w:w="0" w:type="dxa"/>
                    <w:right w:w="28" w:type="dxa"/>
                  </w:tcMar>
                  <w:vAlign w:val="bottom"/>
                  <w:hideMark/>
                </w:tcPr>
                <w:p w14:paraId="15B26037"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85</w:t>
                  </w:r>
                </w:p>
              </w:tc>
              <w:tc>
                <w:tcPr>
                  <w:tcW w:w="820" w:type="dxa"/>
                  <w:tcBorders>
                    <w:top w:val="single" w:sz="8" w:space="0" w:color="ADD6EA"/>
                    <w:left w:val="nil"/>
                    <w:bottom w:val="nil"/>
                    <w:right w:val="nil"/>
                  </w:tcBorders>
                  <w:noWrap/>
                  <w:tcMar>
                    <w:top w:w="0" w:type="dxa"/>
                    <w:left w:w="28" w:type="dxa"/>
                    <w:bottom w:w="0" w:type="dxa"/>
                    <w:right w:w="28" w:type="dxa"/>
                  </w:tcMar>
                  <w:vAlign w:val="bottom"/>
                  <w:hideMark/>
                </w:tcPr>
                <w:p w14:paraId="7721CBC2"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226</w:t>
                  </w:r>
                </w:p>
              </w:tc>
            </w:tr>
            <w:tr w:rsidR="0096098C" w:rsidRPr="007C6AFD" w14:paraId="34C0C1A8" w14:textId="77777777" w:rsidTr="00B30BC5">
              <w:trPr>
                <w:trHeight w:val="315"/>
              </w:trPr>
              <w:tc>
                <w:tcPr>
                  <w:tcW w:w="2869" w:type="dxa"/>
                  <w:tcBorders>
                    <w:top w:val="single" w:sz="8" w:space="0" w:color="ADD6EA"/>
                    <w:left w:val="nil"/>
                    <w:bottom w:val="nil"/>
                    <w:right w:val="nil"/>
                  </w:tcBorders>
                  <w:tcMar>
                    <w:top w:w="0" w:type="dxa"/>
                    <w:left w:w="28" w:type="dxa"/>
                    <w:bottom w:w="0" w:type="dxa"/>
                    <w:right w:w="28" w:type="dxa"/>
                  </w:tcMar>
                  <w:vAlign w:val="bottom"/>
                  <w:hideMark/>
                </w:tcPr>
                <w:p w14:paraId="2968F333" w14:textId="77777777" w:rsidR="0096098C" w:rsidRPr="007C6AFD" w:rsidRDefault="0096098C" w:rsidP="0096098C">
                  <w:pPr>
                    <w:keepNext/>
                    <w:keepLines/>
                    <w:pageBreakBefore/>
                    <w:tabs>
                      <w:tab w:val="clear" w:pos="567"/>
                    </w:tabs>
                    <w:spacing w:before="0" w:line="240" w:lineRule="auto"/>
                    <w:ind w:firstLine="57"/>
                    <w:rPr>
                      <w:rFonts w:eastAsia="Calibri" w:cs="Open Sans Light"/>
                      <w:sz w:val="16"/>
                      <w:szCs w:val="16"/>
                      <w:lang w:eastAsia="en-AU"/>
                    </w:rPr>
                  </w:pPr>
                  <w:r w:rsidRPr="007C6AFD">
                    <w:rPr>
                      <w:rFonts w:eastAsia="Calibri" w:cs="Open Sans Light"/>
                      <w:color w:val="000000"/>
                      <w:sz w:val="16"/>
                      <w:szCs w:val="16"/>
                      <w:lang w:eastAsia="en-AU"/>
                    </w:rPr>
                    <w:t>Changes in Commonwealth payments</w:t>
                  </w:r>
                </w:p>
              </w:tc>
              <w:tc>
                <w:tcPr>
                  <w:tcW w:w="451" w:type="dxa"/>
                  <w:tcBorders>
                    <w:top w:val="single" w:sz="8" w:space="0" w:color="ADD6EA"/>
                    <w:left w:val="nil"/>
                    <w:bottom w:val="nil"/>
                    <w:right w:val="nil"/>
                  </w:tcBorders>
                  <w:tcMar>
                    <w:top w:w="0" w:type="dxa"/>
                    <w:left w:w="28" w:type="dxa"/>
                    <w:bottom w:w="0" w:type="dxa"/>
                    <w:right w:w="28" w:type="dxa"/>
                  </w:tcMar>
                  <w:vAlign w:val="bottom"/>
                  <w:hideMark/>
                </w:tcPr>
                <w:p w14:paraId="3A46AB38"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77</w:t>
                  </w:r>
                </w:p>
              </w:tc>
              <w:tc>
                <w:tcPr>
                  <w:tcW w:w="580" w:type="dxa"/>
                  <w:tcBorders>
                    <w:top w:val="single" w:sz="8" w:space="0" w:color="ADD6EA"/>
                    <w:left w:val="nil"/>
                    <w:bottom w:val="nil"/>
                    <w:right w:val="nil"/>
                  </w:tcBorders>
                  <w:tcMar>
                    <w:top w:w="0" w:type="dxa"/>
                    <w:left w:w="28" w:type="dxa"/>
                    <w:bottom w:w="0" w:type="dxa"/>
                    <w:right w:w="28" w:type="dxa"/>
                  </w:tcMar>
                  <w:vAlign w:val="bottom"/>
                  <w:hideMark/>
                </w:tcPr>
                <w:p w14:paraId="442345F4"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58</w:t>
                  </w:r>
                </w:p>
              </w:tc>
              <w:tc>
                <w:tcPr>
                  <w:tcW w:w="640" w:type="dxa"/>
                  <w:tcBorders>
                    <w:top w:val="single" w:sz="8" w:space="0" w:color="ADD6EA"/>
                    <w:left w:val="nil"/>
                    <w:bottom w:val="nil"/>
                    <w:right w:val="nil"/>
                  </w:tcBorders>
                  <w:tcMar>
                    <w:top w:w="0" w:type="dxa"/>
                    <w:left w:w="28" w:type="dxa"/>
                    <w:bottom w:w="0" w:type="dxa"/>
                    <w:right w:w="28" w:type="dxa"/>
                  </w:tcMar>
                  <w:vAlign w:val="bottom"/>
                  <w:hideMark/>
                </w:tcPr>
                <w:p w14:paraId="183F8DD7"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-92</w:t>
                  </w:r>
                </w:p>
              </w:tc>
              <w:tc>
                <w:tcPr>
                  <w:tcW w:w="620" w:type="dxa"/>
                  <w:tcBorders>
                    <w:top w:val="single" w:sz="8" w:space="0" w:color="ADD6EA"/>
                    <w:left w:val="nil"/>
                    <w:bottom w:val="nil"/>
                    <w:right w:val="nil"/>
                  </w:tcBorders>
                  <w:tcMar>
                    <w:top w:w="0" w:type="dxa"/>
                    <w:left w:w="28" w:type="dxa"/>
                    <w:bottom w:w="0" w:type="dxa"/>
                    <w:right w:w="28" w:type="dxa"/>
                  </w:tcMar>
                  <w:vAlign w:val="bottom"/>
                  <w:hideMark/>
                </w:tcPr>
                <w:p w14:paraId="59312FAB"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-72</w:t>
                  </w:r>
                </w:p>
              </w:tc>
              <w:tc>
                <w:tcPr>
                  <w:tcW w:w="560" w:type="dxa"/>
                  <w:tcBorders>
                    <w:top w:val="single" w:sz="8" w:space="0" w:color="ADD6EA"/>
                    <w:left w:val="nil"/>
                    <w:bottom w:val="nil"/>
                    <w:right w:val="nil"/>
                  </w:tcBorders>
                  <w:tcMar>
                    <w:top w:w="0" w:type="dxa"/>
                    <w:left w:w="28" w:type="dxa"/>
                    <w:bottom w:w="0" w:type="dxa"/>
                    <w:right w:w="28" w:type="dxa"/>
                  </w:tcMar>
                  <w:vAlign w:val="bottom"/>
                  <w:hideMark/>
                </w:tcPr>
                <w:p w14:paraId="4EFEA6A9"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31</w:t>
                  </w:r>
                </w:p>
              </w:tc>
              <w:tc>
                <w:tcPr>
                  <w:tcW w:w="620" w:type="dxa"/>
                  <w:tcBorders>
                    <w:top w:val="single" w:sz="8" w:space="0" w:color="ADD6EA"/>
                    <w:left w:val="nil"/>
                    <w:bottom w:val="nil"/>
                    <w:right w:val="nil"/>
                  </w:tcBorders>
                  <w:tcMar>
                    <w:top w:w="0" w:type="dxa"/>
                    <w:left w:w="28" w:type="dxa"/>
                    <w:bottom w:w="0" w:type="dxa"/>
                    <w:right w:w="28" w:type="dxa"/>
                  </w:tcMar>
                  <w:vAlign w:val="bottom"/>
                  <w:hideMark/>
                </w:tcPr>
                <w:p w14:paraId="1A4C7EAF"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1</w:t>
                  </w:r>
                </w:p>
              </w:tc>
              <w:tc>
                <w:tcPr>
                  <w:tcW w:w="660" w:type="dxa"/>
                  <w:tcBorders>
                    <w:top w:val="single" w:sz="8" w:space="0" w:color="ADD6EA"/>
                    <w:left w:val="nil"/>
                    <w:bottom w:val="nil"/>
                    <w:right w:val="nil"/>
                  </w:tcBorders>
                  <w:tcMar>
                    <w:top w:w="0" w:type="dxa"/>
                    <w:left w:w="28" w:type="dxa"/>
                    <w:bottom w:w="0" w:type="dxa"/>
                    <w:right w:w="28" w:type="dxa"/>
                  </w:tcMar>
                  <w:vAlign w:val="bottom"/>
                  <w:hideMark/>
                </w:tcPr>
                <w:p w14:paraId="03A4B886"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-8</w:t>
                  </w:r>
                </w:p>
              </w:tc>
              <w:tc>
                <w:tcPr>
                  <w:tcW w:w="580" w:type="dxa"/>
                  <w:tcBorders>
                    <w:top w:val="single" w:sz="8" w:space="0" w:color="ADD6EA"/>
                    <w:left w:val="nil"/>
                    <w:bottom w:val="nil"/>
                    <w:right w:val="nil"/>
                  </w:tcBorders>
                  <w:tcMar>
                    <w:top w:w="0" w:type="dxa"/>
                    <w:left w:w="28" w:type="dxa"/>
                    <w:bottom w:w="0" w:type="dxa"/>
                    <w:right w:w="28" w:type="dxa"/>
                  </w:tcMar>
                  <w:vAlign w:val="bottom"/>
                  <w:hideMark/>
                </w:tcPr>
                <w:p w14:paraId="6147A1F4"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6</w:t>
                  </w:r>
                </w:p>
              </w:tc>
              <w:tc>
                <w:tcPr>
                  <w:tcW w:w="820" w:type="dxa"/>
                  <w:tcBorders>
                    <w:top w:val="single" w:sz="8" w:space="0" w:color="ADD6EA"/>
                    <w:left w:val="nil"/>
                    <w:bottom w:val="nil"/>
                    <w:right w:val="nil"/>
                  </w:tcBorders>
                  <w:tcMar>
                    <w:top w:w="0" w:type="dxa"/>
                    <w:left w:w="28" w:type="dxa"/>
                    <w:bottom w:w="0" w:type="dxa"/>
                    <w:right w:w="28" w:type="dxa"/>
                  </w:tcMar>
                  <w:vAlign w:val="bottom"/>
                  <w:hideMark/>
                </w:tcPr>
                <w:p w14:paraId="141CED1A"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173</w:t>
                  </w:r>
                </w:p>
              </w:tc>
            </w:tr>
            <w:tr w:rsidR="0096098C" w:rsidRPr="007C6AFD" w14:paraId="30712E3D" w14:textId="77777777" w:rsidTr="00B30BC5">
              <w:trPr>
                <w:trHeight w:val="315"/>
              </w:trPr>
              <w:tc>
                <w:tcPr>
                  <w:tcW w:w="2869" w:type="dxa"/>
                  <w:tcBorders>
                    <w:top w:val="single" w:sz="8" w:space="0" w:color="ADD6EA"/>
                    <w:left w:val="nil"/>
                    <w:bottom w:val="nil"/>
                    <w:right w:val="nil"/>
                  </w:tcBorders>
                  <w:tcMar>
                    <w:top w:w="0" w:type="dxa"/>
                    <w:left w:w="28" w:type="dxa"/>
                    <w:bottom w:w="0" w:type="dxa"/>
                    <w:right w:w="28" w:type="dxa"/>
                  </w:tcMar>
                  <w:vAlign w:val="bottom"/>
                  <w:hideMark/>
                </w:tcPr>
                <w:p w14:paraId="61D2213F" w14:textId="77777777" w:rsidR="0096098C" w:rsidRPr="007C6AFD" w:rsidRDefault="0096098C" w:rsidP="0096098C">
                  <w:pPr>
                    <w:keepNext/>
                    <w:keepLines/>
                    <w:pageBreakBefore/>
                    <w:tabs>
                      <w:tab w:val="clear" w:pos="567"/>
                    </w:tabs>
                    <w:spacing w:before="0" w:line="240" w:lineRule="auto"/>
                    <w:ind w:firstLine="57"/>
                    <w:rPr>
                      <w:rFonts w:eastAsia="Calibri" w:cs="Open Sans Light"/>
                      <w:sz w:val="16"/>
                      <w:szCs w:val="16"/>
                      <w:lang w:eastAsia="en-AU"/>
                    </w:rPr>
                  </w:pPr>
                  <w:r w:rsidRPr="007C6AFD">
                    <w:rPr>
                      <w:rFonts w:eastAsia="Calibri" w:cs="Open Sans Light"/>
                      <w:color w:val="000000"/>
                      <w:sz w:val="16"/>
                      <w:szCs w:val="16"/>
                      <w:lang w:eastAsia="en-AU"/>
                    </w:rPr>
                    <w:t>Other revenue effects (a)</w:t>
                  </w:r>
                </w:p>
              </w:tc>
              <w:tc>
                <w:tcPr>
                  <w:tcW w:w="451" w:type="dxa"/>
                  <w:tcBorders>
                    <w:top w:val="single" w:sz="8" w:space="0" w:color="ADD6EA"/>
                    <w:left w:val="nil"/>
                    <w:bottom w:val="nil"/>
                    <w:right w:val="nil"/>
                  </w:tcBorders>
                  <w:noWrap/>
                  <w:tcMar>
                    <w:top w:w="0" w:type="dxa"/>
                    <w:left w:w="28" w:type="dxa"/>
                    <w:bottom w:w="0" w:type="dxa"/>
                    <w:right w:w="28" w:type="dxa"/>
                  </w:tcMar>
                  <w:vAlign w:val="bottom"/>
                  <w:hideMark/>
                </w:tcPr>
                <w:p w14:paraId="55525836"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213</w:t>
                  </w:r>
                </w:p>
              </w:tc>
              <w:tc>
                <w:tcPr>
                  <w:tcW w:w="580" w:type="dxa"/>
                  <w:tcBorders>
                    <w:top w:val="single" w:sz="8" w:space="0" w:color="ADD6EA"/>
                    <w:left w:val="nil"/>
                    <w:bottom w:val="nil"/>
                    <w:right w:val="nil"/>
                  </w:tcBorders>
                  <w:noWrap/>
                  <w:tcMar>
                    <w:top w:w="0" w:type="dxa"/>
                    <w:left w:w="28" w:type="dxa"/>
                    <w:bottom w:w="0" w:type="dxa"/>
                    <w:right w:w="28" w:type="dxa"/>
                  </w:tcMar>
                  <w:vAlign w:val="bottom"/>
                  <w:hideMark/>
                </w:tcPr>
                <w:p w14:paraId="530EDFCA"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-248</w:t>
                  </w:r>
                </w:p>
              </w:tc>
              <w:tc>
                <w:tcPr>
                  <w:tcW w:w="640" w:type="dxa"/>
                  <w:tcBorders>
                    <w:top w:val="single" w:sz="8" w:space="0" w:color="ADD6EA"/>
                    <w:left w:val="nil"/>
                    <w:bottom w:val="nil"/>
                    <w:right w:val="nil"/>
                  </w:tcBorders>
                  <w:noWrap/>
                  <w:tcMar>
                    <w:top w:w="0" w:type="dxa"/>
                    <w:left w:w="28" w:type="dxa"/>
                    <w:bottom w:w="0" w:type="dxa"/>
                    <w:right w:w="28" w:type="dxa"/>
                  </w:tcMar>
                  <w:vAlign w:val="bottom"/>
                  <w:hideMark/>
                </w:tcPr>
                <w:p w14:paraId="7CAC2FDB"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49</w:t>
                  </w:r>
                </w:p>
              </w:tc>
              <w:tc>
                <w:tcPr>
                  <w:tcW w:w="620" w:type="dxa"/>
                  <w:tcBorders>
                    <w:top w:val="single" w:sz="8" w:space="0" w:color="ADD6EA"/>
                    <w:left w:val="nil"/>
                    <w:bottom w:val="nil"/>
                    <w:right w:val="nil"/>
                  </w:tcBorders>
                  <w:noWrap/>
                  <w:tcMar>
                    <w:top w:w="0" w:type="dxa"/>
                    <w:left w:w="28" w:type="dxa"/>
                    <w:bottom w:w="0" w:type="dxa"/>
                    <w:right w:w="28" w:type="dxa"/>
                  </w:tcMar>
                  <w:vAlign w:val="bottom"/>
                  <w:hideMark/>
                </w:tcPr>
                <w:p w14:paraId="74B4DED7"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-67</w:t>
                  </w:r>
                </w:p>
              </w:tc>
              <w:tc>
                <w:tcPr>
                  <w:tcW w:w="560" w:type="dxa"/>
                  <w:tcBorders>
                    <w:top w:val="single" w:sz="8" w:space="0" w:color="ADD6EA"/>
                    <w:left w:val="nil"/>
                    <w:bottom w:val="nil"/>
                    <w:right w:val="nil"/>
                  </w:tcBorders>
                  <w:noWrap/>
                  <w:tcMar>
                    <w:top w:w="0" w:type="dxa"/>
                    <w:left w:w="28" w:type="dxa"/>
                    <w:bottom w:w="0" w:type="dxa"/>
                    <w:right w:w="28" w:type="dxa"/>
                  </w:tcMar>
                  <w:vAlign w:val="bottom"/>
                  <w:hideMark/>
                </w:tcPr>
                <w:p w14:paraId="59D5C8BA"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-2</w:t>
                  </w:r>
                </w:p>
              </w:tc>
              <w:tc>
                <w:tcPr>
                  <w:tcW w:w="620" w:type="dxa"/>
                  <w:tcBorders>
                    <w:top w:val="single" w:sz="8" w:space="0" w:color="ADD6EA"/>
                    <w:left w:val="nil"/>
                    <w:bottom w:val="nil"/>
                    <w:right w:val="nil"/>
                  </w:tcBorders>
                  <w:noWrap/>
                  <w:tcMar>
                    <w:top w:w="0" w:type="dxa"/>
                    <w:left w:w="28" w:type="dxa"/>
                    <w:bottom w:w="0" w:type="dxa"/>
                    <w:right w:w="28" w:type="dxa"/>
                  </w:tcMar>
                  <w:vAlign w:val="bottom"/>
                  <w:hideMark/>
                </w:tcPr>
                <w:p w14:paraId="798273B0"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2</w:t>
                  </w:r>
                </w:p>
              </w:tc>
              <w:tc>
                <w:tcPr>
                  <w:tcW w:w="660" w:type="dxa"/>
                  <w:tcBorders>
                    <w:top w:val="single" w:sz="8" w:space="0" w:color="ADD6EA"/>
                    <w:left w:val="nil"/>
                    <w:bottom w:val="nil"/>
                    <w:right w:val="nil"/>
                  </w:tcBorders>
                  <w:noWrap/>
                  <w:tcMar>
                    <w:top w:w="0" w:type="dxa"/>
                    <w:left w:w="28" w:type="dxa"/>
                    <w:bottom w:w="0" w:type="dxa"/>
                    <w:right w:w="28" w:type="dxa"/>
                  </w:tcMar>
                  <w:vAlign w:val="bottom"/>
                  <w:hideMark/>
                </w:tcPr>
                <w:p w14:paraId="1C9D2B43"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38</w:t>
                  </w:r>
                </w:p>
              </w:tc>
              <w:tc>
                <w:tcPr>
                  <w:tcW w:w="580" w:type="dxa"/>
                  <w:tcBorders>
                    <w:top w:val="single" w:sz="8" w:space="0" w:color="ADD6EA"/>
                    <w:left w:val="nil"/>
                    <w:bottom w:val="nil"/>
                    <w:right w:val="nil"/>
                  </w:tcBorders>
                  <w:noWrap/>
                  <w:tcMar>
                    <w:top w:w="0" w:type="dxa"/>
                    <w:left w:w="28" w:type="dxa"/>
                    <w:bottom w:w="0" w:type="dxa"/>
                    <w:right w:w="28" w:type="dxa"/>
                  </w:tcMar>
                  <w:vAlign w:val="bottom"/>
                  <w:hideMark/>
                </w:tcPr>
                <w:p w14:paraId="54917AC9"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15</w:t>
                  </w:r>
                </w:p>
              </w:tc>
              <w:tc>
                <w:tcPr>
                  <w:tcW w:w="820" w:type="dxa"/>
                  <w:tcBorders>
                    <w:top w:val="single" w:sz="8" w:space="0" w:color="ADD6EA"/>
                    <w:left w:val="nil"/>
                    <w:bottom w:val="nil"/>
                    <w:right w:val="nil"/>
                  </w:tcBorders>
                  <w:noWrap/>
                  <w:tcMar>
                    <w:top w:w="0" w:type="dxa"/>
                    <w:left w:w="28" w:type="dxa"/>
                    <w:bottom w:w="0" w:type="dxa"/>
                    <w:right w:w="28" w:type="dxa"/>
                  </w:tcMar>
                  <w:vAlign w:val="bottom"/>
                  <w:hideMark/>
                </w:tcPr>
                <w:p w14:paraId="6C205BDD"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317</w:t>
                  </w:r>
                </w:p>
              </w:tc>
            </w:tr>
            <w:tr w:rsidR="0096098C" w:rsidRPr="007C6AFD" w14:paraId="48B9A79C" w14:textId="77777777" w:rsidTr="00B30BC5">
              <w:trPr>
                <w:trHeight w:val="315"/>
              </w:trPr>
              <w:tc>
                <w:tcPr>
                  <w:tcW w:w="2869" w:type="dxa"/>
                  <w:tcBorders>
                    <w:top w:val="single" w:sz="8" w:space="0" w:color="ADD6EA"/>
                    <w:left w:val="nil"/>
                    <w:bottom w:val="nil"/>
                    <w:right w:val="nil"/>
                  </w:tcBorders>
                  <w:tcMar>
                    <w:top w:w="0" w:type="dxa"/>
                    <w:left w:w="28" w:type="dxa"/>
                    <w:bottom w:w="0" w:type="dxa"/>
                    <w:right w:w="28" w:type="dxa"/>
                  </w:tcMar>
                  <w:vAlign w:val="bottom"/>
                  <w:hideMark/>
                </w:tcPr>
                <w:p w14:paraId="0107A4DE" w14:textId="77777777" w:rsidR="0096098C" w:rsidRPr="007C6AFD" w:rsidRDefault="0096098C" w:rsidP="0096098C">
                  <w:pPr>
                    <w:keepNext/>
                    <w:keepLines/>
                    <w:pageBreakBefore/>
                    <w:tabs>
                      <w:tab w:val="clear" w:pos="567"/>
                    </w:tabs>
                    <w:spacing w:before="0" w:line="240" w:lineRule="auto"/>
                    <w:ind w:firstLine="57"/>
                    <w:rPr>
                      <w:rFonts w:eastAsia="Calibri" w:cs="Open Sans Light"/>
                      <w:sz w:val="16"/>
                      <w:szCs w:val="16"/>
                      <w:lang w:eastAsia="en-AU"/>
                    </w:rPr>
                  </w:pPr>
                  <w:r w:rsidRPr="007C6AFD">
                    <w:rPr>
                      <w:rFonts w:eastAsia="Calibri" w:cs="Open Sans Light"/>
                      <w:color w:val="000000"/>
                      <w:sz w:val="16"/>
                      <w:szCs w:val="16"/>
                      <w:lang w:eastAsia="en-AU"/>
                    </w:rPr>
                    <w:t>Other expense effects (a)</w:t>
                  </w:r>
                </w:p>
              </w:tc>
              <w:tc>
                <w:tcPr>
                  <w:tcW w:w="451" w:type="dxa"/>
                  <w:tcBorders>
                    <w:top w:val="single" w:sz="8" w:space="0" w:color="ADD6EA"/>
                    <w:left w:val="nil"/>
                    <w:bottom w:val="nil"/>
                    <w:right w:val="nil"/>
                  </w:tcBorders>
                  <w:noWrap/>
                  <w:tcMar>
                    <w:top w:w="0" w:type="dxa"/>
                    <w:left w:w="28" w:type="dxa"/>
                    <w:bottom w:w="0" w:type="dxa"/>
                    <w:right w:w="28" w:type="dxa"/>
                  </w:tcMar>
                  <w:vAlign w:val="bottom"/>
                  <w:hideMark/>
                </w:tcPr>
                <w:p w14:paraId="1D4C8FCC"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143</w:t>
                  </w:r>
                </w:p>
              </w:tc>
              <w:tc>
                <w:tcPr>
                  <w:tcW w:w="580" w:type="dxa"/>
                  <w:tcBorders>
                    <w:top w:val="single" w:sz="8" w:space="0" w:color="ADD6EA"/>
                    <w:left w:val="nil"/>
                    <w:bottom w:val="nil"/>
                    <w:right w:val="nil"/>
                  </w:tcBorders>
                  <w:noWrap/>
                  <w:tcMar>
                    <w:top w:w="0" w:type="dxa"/>
                    <w:left w:w="28" w:type="dxa"/>
                    <w:bottom w:w="0" w:type="dxa"/>
                    <w:right w:w="28" w:type="dxa"/>
                  </w:tcMar>
                  <w:vAlign w:val="bottom"/>
                  <w:hideMark/>
                </w:tcPr>
                <w:p w14:paraId="1D3552F7"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-221</w:t>
                  </w:r>
                </w:p>
              </w:tc>
              <w:tc>
                <w:tcPr>
                  <w:tcW w:w="640" w:type="dxa"/>
                  <w:tcBorders>
                    <w:top w:val="single" w:sz="8" w:space="0" w:color="ADD6EA"/>
                    <w:left w:val="nil"/>
                    <w:bottom w:val="nil"/>
                    <w:right w:val="nil"/>
                  </w:tcBorders>
                  <w:noWrap/>
                  <w:tcMar>
                    <w:top w:w="0" w:type="dxa"/>
                    <w:left w:w="28" w:type="dxa"/>
                    <w:bottom w:w="0" w:type="dxa"/>
                    <w:right w:w="28" w:type="dxa"/>
                  </w:tcMar>
                  <w:vAlign w:val="bottom"/>
                  <w:hideMark/>
                </w:tcPr>
                <w:p w14:paraId="21BC8225"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-36</w:t>
                  </w:r>
                </w:p>
              </w:tc>
              <w:tc>
                <w:tcPr>
                  <w:tcW w:w="620" w:type="dxa"/>
                  <w:tcBorders>
                    <w:top w:val="single" w:sz="8" w:space="0" w:color="ADD6EA"/>
                    <w:left w:val="nil"/>
                    <w:bottom w:val="nil"/>
                    <w:right w:val="nil"/>
                  </w:tcBorders>
                  <w:noWrap/>
                  <w:tcMar>
                    <w:top w:w="0" w:type="dxa"/>
                    <w:left w:w="28" w:type="dxa"/>
                    <w:bottom w:w="0" w:type="dxa"/>
                    <w:right w:w="28" w:type="dxa"/>
                  </w:tcMar>
                  <w:vAlign w:val="bottom"/>
                  <w:hideMark/>
                </w:tcPr>
                <w:p w14:paraId="57D98E4F"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67</w:t>
                  </w:r>
                </w:p>
              </w:tc>
              <w:tc>
                <w:tcPr>
                  <w:tcW w:w="560" w:type="dxa"/>
                  <w:tcBorders>
                    <w:top w:val="single" w:sz="8" w:space="0" w:color="ADD6EA"/>
                    <w:left w:val="nil"/>
                    <w:bottom w:val="nil"/>
                    <w:right w:val="nil"/>
                  </w:tcBorders>
                  <w:noWrap/>
                  <w:tcMar>
                    <w:top w:w="0" w:type="dxa"/>
                    <w:left w:w="28" w:type="dxa"/>
                    <w:bottom w:w="0" w:type="dxa"/>
                    <w:right w:w="28" w:type="dxa"/>
                  </w:tcMar>
                  <w:vAlign w:val="bottom"/>
                  <w:hideMark/>
                </w:tcPr>
                <w:p w14:paraId="50354C1F"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-18</w:t>
                  </w:r>
                </w:p>
              </w:tc>
              <w:tc>
                <w:tcPr>
                  <w:tcW w:w="620" w:type="dxa"/>
                  <w:tcBorders>
                    <w:top w:val="single" w:sz="8" w:space="0" w:color="ADD6EA"/>
                    <w:left w:val="nil"/>
                    <w:bottom w:val="nil"/>
                    <w:right w:val="nil"/>
                  </w:tcBorders>
                  <w:noWrap/>
                  <w:tcMar>
                    <w:top w:w="0" w:type="dxa"/>
                    <w:left w:w="28" w:type="dxa"/>
                    <w:bottom w:w="0" w:type="dxa"/>
                    <w:right w:w="28" w:type="dxa"/>
                  </w:tcMar>
                  <w:vAlign w:val="bottom"/>
                  <w:hideMark/>
                </w:tcPr>
                <w:p w14:paraId="27B61422"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87</w:t>
                  </w:r>
                </w:p>
              </w:tc>
              <w:tc>
                <w:tcPr>
                  <w:tcW w:w="660" w:type="dxa"/>
                  <w:tcBorders>
                    <w:top w:val="single" w:sz="8" w:space="0" w:color="ADD6EA"/>
                    <w:left w:val="nil"/>
                    <w:bottom w:val="nil"/>
                    <w:right w:val="nil"/>
                  </w:tcBorders>
                  <w:noWrap/>
                  <w:tcMar>
                    <w:top w:w="0" w:type="dxa"/>
                    <w:left w:w="28" w:type="dxa"/>
                    <w:bottom w:w="0" w:type="dxa"/>
                    <w:right w:w="28" w:type="dxa"/>
                  </w:tcMar>
                  <w:vAlign w:val="bottom"/>
                  <w:hideMark/>
                </w:tcPr>
                <w:p w14:paraId="0F2F3226"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7</w:t>
                  </w:r>
                </w:p>
              </w:tc>
              <w:tc>
                <w:tcPr>
                  <w:tcW w:w="580" w:type="dxa"/>
                  <w:tcBorders>
                    <w:top w:val="single" w:sz="8" w:space="0" w:color="ADD6EA"/>
                    <w:left w:val="nil"/>
                    <w:bottom w:val="nil"/>
                    <w:right w:val="nil"/>
                  </w:tcBorders>
                  <w:noWrap/>
                  <w:tcMar>
                    <w:top w:w="0" w:type="dxa"/>
                    <w:left w:w="28" w:type="dxa"/>
                    <w:bottom w:w="0" w:type="dxa"/>
                    <w:right w:w="28" w:type="dxa"/>
                  </w:tcMar>
                  <w:vAlign w:val="bottom"/>
                  <w:hideMark/>
                </w:tcPr>
                <w:p w14:paraId="20A38E75"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-29</w:t>
                  </w:r>
                </w:p>
              </w:tc>
              <w:tc>
                <w:tcPr>
                  <w:tcW w:w="820" w:type="dxa"/>
                  <w:tcBorders>
                    <w:top w:val="single" w:sz="8" w:space="0" w:color="ADD6EA"/>
                    <w:left w:val="nil"/>
                    <w:bottom w:val="nil"/>
                    <w:right w:val="nil"/>
                  </w:tcBorders>
                  <w:noWrap/>
                  <w:tcMar>
                    <w:top w:w="0" w:type="dxa"/>
                    <w:left w:w="28" w:type="dxa"/>
                    <w:bottom w:w="0" w:type="dxa"/>
                    <w:right w:w="28" w:type="dxa"/>
                  </w:tcMar>
                  <w:vAlign w:val="bottom"/>
                  <w:hideMark/>
                </w:tcPr>
                <w:p w14:paraId="3D9CF040"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304</w:t>
                  </w:r>
                </w:p>
              </w:tc>
            </w:tr>
            <w:tr w:rsidR="0096098C" w:rsidRPr="007C6AFD" w14:paraId="6DC9138D" w14:textId="77777777" w:rsidTr="00B30BC5">
              <w:trPr>
                <w:trHeight w:val="315"/>
              </w:trPr>
              <w:tc>
                <w:tcPr>
                  <w:tcW w:w="2869" w:type="dxa"/>
                  <w:tcBorders>
                    <w:top w:val="single" w:sz="8" w:space="0" w:color="ADD6EA"/>
                    <w:left w:val="nil"/>
                    <w:bottom w:val="single" w:sz="8" w:space="0" w:color="ADD6EA"/>
                    <w:right w:val="nil"/>
                  </w:tcBorders>
                  <w:shd w:val="clear" w:color="auto" w:fill="B6D5E4"/>
                  <w:tcMar>
                    <w:top w:w="0" w:type="dxa"/>
                    <w:left w:w="28" w:type="dxa"/>
                    <w:bottom w:w="0" w:type="dxa"/>
                    <w:right w:w="28" w:type="dxa"/>
                  </w:tcMar>
                  <w:vAlign w:val="bottom"/>
                  <w:hideMark/>
                </w:tcPr>
                <w:p w14:paraId="155FD5C7" w14:textId="77777777" w:rsidR="0096098C" w:rsidRPr="007C6AFD" w:rsidRDefault="0096098C" w:rsidP="0096098C">
                  <w:pPr>
                    <w:keepNext/>
                    <w:keepLines/>
                    <w:pageBreakBefore/>
                    <w:tabs>
                      <w:tab w:val="clear" w:pos="567"/>
                      <w:tab w:val="left" w:pos="1134"/>
                      <w:tab w:val="left" w:pos="1420"/>
                    </w:tabs>
                    <w:spacing w:before="0" w:line="240" w:lineRule="auto"/>
                    <w:rPr>
                      <w:rFonts w:ascii="Open Sans Semibold" w:hAnsi="Open Sans Semibold"/>
                      <w:sz w:val="16"/>
                      <w:szCs w:val="20"/>
                      <w:lang w:eastAsia="en-AU"/>
                    </w:rPr>
                  </w:pPr>
                  <w:r w:rsidRPr="007C6AFD">
                    <w:rPr>
                      <w:rFonts w:ascii="Open Sans Semibold" w:hAnsi="Open Sans Semibold"/>
                      <w:sz w:val="16"/>
                      <w:szCs w:val="20"/>
                      <w:lang w:eastAsia="en-AU"/>
                    </w:rPr>
                    <w:t>Total change in fiscal capacities</w:t>
                  </w:r>
                </w:p>
              </w:tc>
              <w:tc>
                <w:tcPr>
                  <w:tcW w:w="451" w:type="dxa"/>
                  <w:tcBorders>
                    <w:top w:val="single" w:sz="8" w:space="0" w:color="ADD6EA"/>
                    <w:left w:val="nil"/>
                    <w:bottom w:val="single" w:sz="8" w:space="0" w:color="ADD6EA"/>
                    <w:right w:val="nil"/>
                  </w:tcBorders>
                  <w:shd w:val="clear" w:color="auto" w:fill="B6D5E4"/>
                  <w:noWrap/>
                  <w:tcMar>
                    <w:top w:w="0" w:type="dxa"/>
                    <w:left w:w="28" w:type="dxa"/>
                    <w:bottom w:w="0" w:type="dxa"/>
                    <w:right w:w="28" w:type="dxa"/>
                  </w:tcMar>
                  <w:vAlign w:val="bottom"/>
                  <w:hideMark/>
                </w:tcPr>
                <w:p w14:paraId="1898FF6C" w14:textId="77777777" w:rsidR="0096098C" w:rsidRPr="007C6AFD" w:rsidRDefault="0096098C" w:rsidP="0096098C">
                  <w:pPr>
                    <w:keepNext/>
                    <w:keepLines/>
                    <w:pageBreakBefore/>
                    <w:tabs>
                      <w:tab w:val="clear" w:pos="567"/>
                      <w:tab w:val="left" w:pos="1134"/>
                      <w:tab w:val="left" w:pos="1420"/>
                    </w:tabs>
                    <w:spacing w:before="0" w:line="240" w:lineRule="auto"/>
                    <w:jc w:val="right"/>
                    <w:rPr>
                      <w:rFonts w:ascii="Open Sans Semibold" w:hAnsi="Open Sans Semibold"/>
                      <w:sz w:val="16"/>
                      <w:szCs w:val="20"/>
                    </w:rPr>
                  </w:pPr>
                  <w:r w:rsidRPr="007C6AFD">
                    <w:rPr>
                      <w:rFonts w:ascii="Open Sans Semibold" w:hAnsi="Open Sans Semibold"/>
                      <w:sz w:val="16"/>
                      <w:szCs w:val="20"/>
                    </w:rPr>
                    <w:t>978</w:t>
                  </w:r>
                </w:p>
              </w:tc>
              <w:tc>
                <w:tcPr>
                  <w:tcW w:w="580" w:type="dxa"/>
                  <w:tcBorders>
                    <w:top w:val="single" w:sz="8" w:space="0" w:color="ADD6EA"/>
                    <w:left w:val="nil"/>
                    <w:bottom w:val="single" w:sz="8" w:space="0" w:color="ADD6EA"/>
                    <w:right w:val="nil"/>
                  </w:tcBorders>
                  <w:shd w:val="clear" w:color="auto" w:fill="B6D5E4"/>
                  <w:noWrap/>
                  <w:tcMar>
                    <w:top w:w="0" w:type="dxa"/>
                    <w:left w:w="28" w:type="dxa"/>
                    <w:bottom w:w="0" w:type="dxa"/>
                    <w:right w:w="28" w:type="dxa"/>
                  </w:tcMar>
                  <w:vAlign w:val="bottom"/>
                  <w:hideMark/>
                </w:tcPr>
                <w:p w14:paraId="408B9AB1" w14:textId="77777777" w:rsidR="0096098C" w:rsidRPr="007C6AFD" w:rsidRDefault="0096098C" w:rsidP="0096098C">
                  <w:pPr>
                    <w:keepNext/>
                    <w:keepLines/>
                    <w:pageBreakBefore/>
                    <w:tabs>
                      <w:tab w:val="clear" w:pos="567"/>
                      <w:tab w:val="left" w:pos="1134"/>
                      <w:tab w:val="left" w:pos="1420"/>
                    </w:tabs>
                    <w:spacing w:before="0" w:line="240" w:lineRule="auto"/>
                    <w:jc w:val="right"/>
                    <w:rPr>
                      <w:rFonts w:ascii="Open Sans Semibold" w:hAnsi="Open Sans Semibold"/>
                      <w:sz w:val="16"/>
                      <w:szCs w:val="20"/>
                      <w:lang w:eastAsia="en-AU"/>
                    </w:rPr>
                  </w:pPr>
                  <w:r w:rsidRPr="007C6AFD">
                    <w:rPr>
                      <w:rFonts w:ascii="Open Sans Semibold" w:hAnsi="Open Sans Semibold"/>
                      <w:sz w:val="16"/>
                      <w:szCs w:val="20"/>
                      <w:lang w:eastAsia="en-AU"/>
                    </w:rPr>
                    <w:t>-507</w:t>
                  </w:r>
                </w:p>
              </w:tc>
              <w:tc>
                <w:tcPr>
                  <w:tcW w:w="640" w:type="dxa"/>
                  <w:tcBorders>
                    <w:top w:val="single" w:sz="8" w:space="0" w:color="ADD6EA"/>
                    <w:left w:val="nil"/>
                    <w:bottom w:val="single" w:sz="8" w:space="0" w:color="ADD6EA"/>
                    <w:right w:val="nil"/>
                  </w:tcBorders>
                  <w:shd w:val="clear" w:color="auto" w:fill="B6D5E4"/>
                  <w:noWrap/>
                  <w:tcMar>
                    <w:top w:w="0" w:type="dxa"/>
                    <w:left w:w="28" w:type="dxa"/>
                    <w:bottom w:w="0" w:type="dxa"/>
                    <w:right w:w="28" w:type="dxa"/>
                  </w:tcMar>
                  <w:vAlign w:val="bottom"/>
                  <w:hideMark/>
                </w:tcPr>
                <w:p w14:paraId="46BA4494" w14:textId="77777777" w:rsidR="0096098C" w:rsidRPr="007C6AFD" w:rsidRDefault="0096098C" w:rsidP="0096098C">
                  <w:pPr>
                    <w:keepNext/>
                    <w:keepLines/>
                    <w:pageBreakBefore/>
                    <w:tabs>
                      <w:tab w:val="clear" w:pos="567"/>
                      <w:tab w:val="left" w:pos="1134"/>
                      <w:tab w:val="left" w:pos="1420"/>
                    </w:tabs>
                    <w:spacing w:before="0" w:line="240" w:lineRule="auto"/>
                    <w:jc w:val="right"/>
                    <w:rPr>
                      <w:rFonts w:ascii="Open Sans Semibold" w:hAnsi="Open Sans Semibold"/>
                      <w:sz w:val="16"/>
                      <w:szCs w:val="20"/>
                      <w:lang w:eastAsia="en-AU"/>
                    </w:rPr>
                  </w:pPr>
                  <w:r w:rsidRPr="007C6AFD">
                    <w:rPr>
                      <w:rFonts w:ascii="Open Sans Semibold" w:hAnsi="Open Sans Semibold"/>
                      <w:sz w:val="16"/>
                      <w:szCs w:val="20"/>
                      <w:lang w:eastAsia="en-AU"/>
                    </w:rPr>
                    <w:t>243</w:t>
                  </w:r>
                </w:p>
              </w:tc>
              <w:tc>
                <w:tcPr>
                  <w:tcW w:w="620" w:type="dxa"/>
                  <w:tcBorders>
                    <w:top w:val="single" w:sz="8" w:space="0" w:color="ADD6EA"/>
                    <w:left w:val="nil"/>
                    <w:bottom w:val="single" w:sz="8" w:space="0" w:color="ADD6EA"/>
                    <w:right w:val="nil"/>
                  </w:tcBorders>
                  <w:shd w:val="clear" w:color="auto" w:fill="B6D5E4"/>
                  <w:noWrap/>
                  <w:tcMar>
                    <w:top w:w="0" w:type="dxa"/>
                    <w:left w:w="28" w:type="dxa"/>
                    <w:bottom w:w="0" w:type="dxa"/>
                    <w:right w:w="28" w:type="dxa"/>
                  </w:tcMar>
                  <w:vAlign w:val="bottom"/>
                  <w:hideMark/>
                </w:tcPr>
                <w:p w14:paraId="72E5B828" w14:textId="77777777" w:rsidR="0096098C" w:rsidRPr="007C6AFD" w:rsidRDefault="0096098C" w:rsidP="0096098C">
                  <w:pPr>
                    <w:keepNext/>
                    <w:keepLines/>
                    <w:pageBreakBefore/>
                    <w:tabs>
                      <w:tab w:val="clear" w:pos="567"/>
                      <w:tab w:val="left" w:pos="1134"/>
                      <w:tab w:val="left" w:pos="1420"/>
                    </w:tabs>
                    <w:spacing w:before="0" w:line="240" w:lineRule="auto"/>
                    <w:jc w:val="right"/>
                    <w:rPr>
                      <w:rFonts w:ascii="Open Sans Semibold" w:hAnsi="Open Sans Semibold"/>
                      <w:sz w:val="16"/>
                      <w:szCs w:val="20"/>
                      <w:lang w:eastAsia="en-AU"/>
                    </w:rPr>
                  </w:pPr>
                  <w:r w:rsidRPr="007C6AFD">
                    <w:rPr>
                      <w:rFonts w:ascii="Open Sans Semibold" w:hAnsi="Open Sans Semibold"/>
                      <w:sz w:val="16"/>
                      <w:szCs w:val="20"/>
                      <w:lang w:eastAsia="en-AU"/>
                    </w:rPr>
                    <w:t>-846</w:t>
                  </w:r>
                </w:p>
              </w:tc>
              <w:tc>
                <w:tcPr>
                  <w:tcW w:w="560" w:type="dxa"/>
                  <w:tcBorders>
                    <w:top w:val="single" w:sz="8" w:space="0" w:color="ADD6EA"/>
                    <w:left w:val="nil"/>
                    <w:bottom w:val="single" w:sz="8" w:space="0" w:color="ADD6EA"/>
                    <w:right w:val="nil"/>
                  </w:tcBorders>
                  <w:shd w:val="clear" w:color="auto" w:fill="B6D5E4"/>
                  <w:noWrap/>
                  <w:tcMar>
                    <w:top w:w="0" w:type="dxa"/>
                    <w:left w:w="28" w:type="dxa"/>
                    <w:bottom w:w="0" w:type="dxa"/>
                    <w:right w:w="28" w:type="dxa"/>
                  </w:tcMar>
                  <w:vAlign w:val="bottom"/>
                  <w:hideMark/>
                </w:tcPr>
                <w:p w14:paraId="71D6C0ED" w14:textId="77777777" w:rsidR="0096098C" w:rsidRPr="007C6AFD" w:rsidRDefault="0096098C" w:rsidP="0096098C">
                  <w:pPr>
                    <w:keepNext/>
                    <w:keepLines/>
                    <w:pageBreakBefore/>
                    <w:tabs>
                      <w:tab w:val="clear" w:pos="567"/>
                      <w:tab w:val="left" w:pos="1134"/>
                      <w:tab w:val="left" w:pos="1420"/>
                    </w:tabs>
                    <w:spacing w:before="0" w:line="240" w:lineRule="auto"/>
                    <w:jc w:val="right"/>
                    <w:rPr>
                      <w:rFonts w:ascii="Open Sans Semibold" w:hAnsi="Open Sans Semibold"/>
                      <w:sz w:val="16"/>
                      <w:szCs w:val="20"/>
                      <w:lang w:eastAsia="en-AU"/>
                    </w:rPr>
                  </w:pPr>
                  <w:r w:rsidRPr="007C6AFD">
                    <w:rPr>
                      <w:rFonts w:ascii="Open Sans Semibold" w:hAnsi="Open Sans Semibold"/>
                      <w:sz w:val="16"/>
                      <w:szCs w:val="20"/>
                      <w:lang w:eastAsia="en-AU"/>
                    </w:rPr>
                    <w:t>-13</w:t>
                  </w:r>
                </w:p>
              </w:tc>
              <w:tc>
                <w:tcPr>
                  <w:tcW w:w="620" w:type="dxa"/>
                  <w:tcBorders>
                    <w:top w:val="single" w:sz="8" w:space="0" w:color="ADD6EA"/>
                    <w:left w:val="nil"/>
                    <w:bottom w:val="single" w:sz="8" w:space="0" w:color="ADD6EA"/>
                    <w:right w:val="nil"/>
                  </w:tcBorders>
                  <w:shd w:val="clear" w:color="auto" w:fill="B6D5E4"/>
                  <w:noWrap/>
                  <w:tcMar>
                    <w:top w:w="0" w:type="dxa"/>
                    <w:left w:w="28" w:type="dxa"/>
                    <w:bottom w:w="0" w:type="dxa"/>
                    <w:right w:w="28" w:type="dxa"/>
                  </w:tcMar>
                  <w:vAlign w:val="bottom"/>
                  <w:hideMark/>
                </w:tcPr>
                <w:p w14:paraId="56B4419A" w14:textId="77777777" w:rsidR="0096098C" w:rsidRPr="007C6AFD" w:rsidRDefault="0096098C" w:rsidP="0096098C">
                  <w:pPr>
                    <w:keepNext/>
                    <w:keepLines/>
                    <w:pageBreakBefore/>
                    <w:tabs>
                      <w:tab w:val="clear" w:pos="567"/>
                      <w:tab w:val="left" w:pos="1134"/>
                      <w:tab w:val="left" w:pos="1420"/>
                    </w:tabs>
                    <w:spacing w:before="0" w:line="240" w:lineRule="auto"/>
                    <w:jc w:val="right"/>
                    <w:rPr>
                      <w:rFonts w:ascii="Open Sans Semibold" w:hAnsi="Open Sans Semibold"/>
                      <w:sz w:val="16"/>
                      <w:szCs w:val="20"/>
                      <w:lang w:eastAsia="en-AU"/>
                    </w:rPr>
                  </w:pPr>
                  <w:r w:rsidRPr="007C6AFD">
                    <w:rPr>
                      <w:rFonts w:ascii="Open Sans Semibold" w:hAnsi="Open Sans Semibold"/>
                      <w:sz w:val="16"/>
                      <w:szCs w:val="20"/>
                      <w:lang w:eastAsia="en-AU"/>
                    </w:rPr>
                    <w:t>100</w:t>
                  </w:r>
                </w:p>
              </w:tc>
              <w:tc>
                <w:tcPr>
                  <w:tcW w:w="660" w:type="dxa"/>
                  <w:tcBorders>
                    <w:top w:val="single" w:sz="8" w:space="0" w:color="ADD6EA"/>
                    <w:left w:val="nil"/>
                    <w:bottom w:val="single" w:sz="8" w:space="0" w:color="ADD6EA"/>
                    <w:right w:val="nil"/>
                  </w:tcBorders>
                  <w:shd w:val="clear" w:color="auto" w:fill="B6D5E4"/>
                  <w:noWrap/>
                  <w:tcMar>
                    <w:top w:w="0" w:type="dxa"/>
                    <w:left w:w="28" w:type="dxa"/>
                    <w:bottom w:w="0" w:type="dxa"/>
                    <w:right w:w="28" w:type="dxa"/>
                  </w:tcMar>
                  <w:vAlign w:val="bottom"/>
                  <w:hideMark/>
                </w:tcPr>
                <w:p w14:paraId="5C459460" w14:textId="77777777" w:rsidR="0096098C" w:rsidRPr="007C6AFD" w:rsidRDefault="0096098C" w:rsidP="0096098C">
                  <w:pPr>
                    <w:keepNext/>
                    <w:keepLines/>
                    <w:pageBreakBefore/>
                    <w:tabs>
                      <w:tab w:val="clear" w:pos="567"/>
                      <w:tab w:val="left" w:pos="1134"/>
                      <w:tab w:val="left" w:pos="1420"/>
                    </w:tabs>
                    <w:spacing w:before="0" w:line="240" w:lineRule="auto"/>
                    <w:jc w:val="right"/>
                    <w:rPr>
                      <w:rFonts w:ascii="Open Sans Semibold" w:hAnsi="Open Sans Semibold"/>
                      <w:sz w:val="16"/>
                      <w:szCs w:val="20"/>
                      <w:lang w:eastAsia="en-AU"/>
                    </w:rPr>
                  </w:pPr>
                  <w:r w:rsidRPr="007C6AFD">
                    <w:rPr>
                      <w:rFonts w:ascii="Open Sans Semibold" w:hAnsi="Open Sans Semibold"/>
                      <w:sz w:val="16"/>
                      <w:szCs w:val="20"/>
                      <w:lang w:eastAsia="en-AU"/>
                    </w:rPr>
                    <w:t>22</w:t>
                  </w:r>
                </w:p>
              </w:tc>
              <w:tc>
                <w:tcPr>
                  <w:tcW w:w="580" w:type="dxa"/>
                  <w:tcBorders>
                    <w:top w:val="single" w:sz="8" w:space="0" w:color="ADD6EA"/>
                    <w:left w:val="nil"/>
                    <w:bottom w:val="single" w:sz="8" w:space="0" w:color="ADD6EA"/>
                    <w:right w:val="nil"/>
                  </w:tcBorders>
                  <w:shd w:val="clear" w:color="auto" w:fill="B6D5E4"/>
                  <w:noWrap/>
                  <w:tcMar>
                    <w:top w:w="0" w:type="dxa"/>
                    <w:left w:w="28" w:type="dxa"/>
                    <w:bottom w:w="0" w:type="dxa"/>
                    <w:right w:w="28" w:type="dxa"/>
                  </w:tcMar>
                  <w:vAlign w:val="bottom"/>
                  <w:hideMark/>
                </w:tcPr>
                <w:p w14:paraId="745A0223" w14:textId="77777777" w:rsidR="0096098C" w:rsidRPr="007C6AFD" w:rsidRDefault="0096098C" w:rsidP="0096098C">
                  <w:pPr>
                    <w:keepNext/>
                    <w:keepLines/>
                    <w:pageBreakBefore/>
                    <w:tabs>
                      <w:tab w:val="clear" w:pos="567"/>
                      <w:tab w:val="left" w:pos="1134"/>
                      <w:tab w:val="left" w:pos="1420"/>
                    </w:tabs>
                    <w:spacing w:before="0" w:line="240" w:lineRule="auto"/>
                    <w:jc w:val="right"/>
                    <w:rPr>
                      <w:rFonts w:ascii="Open Sans Semibold" w:hAnsi="Open Sans Semibold"/>
                      <w:sz w:val="16"/>
                      <w:szCs w:val="20"/>
                      <w:lang w:eastAsia="en-AU"/>
                    </w:rPr>
                  </w:pPr>
                  <w:r w:rsidRPr="007C6AFD">
                    <w:rPr>
                      <w:rFonts w:ascii="Open Sans Semibold" w:hAnsi="Open Sans Semibold"/>
                      <w:sz w:val="16"/>
                      <w:szCs w:val="20"/>
                      <w:lang w:eastAsia="en-AU"/>
                    </w:rPr>
                    <w:t>23</w:t>
                  </w:r>
                </w:p>
              </w:tc>
              <w:tc>
                <w:tcPr>
                  <w:tcW w:w="820" w:type="dxa"/>
                  <w:tcBorders>
                    <w:top w:val="single" w:sz="8" w:space="0" w:color="ADD6EA"/>
                    <w:left w:val="nil"/>
                    <w:bottom w:val="single" w:sz="8" w:space="0" w:color="ADD6EA"/>
                    <w:right w:val="nil"/>
                  </w:tcBorders>
                  <w:shd w:val="clear" w:color="auto" w:fill="B6D5E4"/>
                  <w:noWrap/>
                  <w:tcMar>
                    <w:top w:w="0" w:type="dxa"/>
                    <w:left w:w="28" w:type="dxa"/>
                    <w:bottom w:w="0" w:type="dxa"/>
                    <w:right w:w="28" w:type="dxa"/>
                  </w:tcMar>
                  <w:vAlign w:val="bottom"/>
                  <w:hideMark/>
                </w:tcPr>
                <w:p w14:paraId="3C10DBB2" w14:textId="77777777" w:rsidR="0096098C" w:rsidRPr="007C6AFD" w:rsidRDefault="0096098C" w:rsidP="0096098C">
                  <w:pPr>
                    <w:keepNext/>
                    <w:keepLines/>
                    <w:pageBreakBefore/>
                    <w:tabs>
                      <w:tab w:val="clear" w:pos="567"/>
                      <w:tab w:val="left" w:pos="1134"/>
                      <w:tab w:val="left" w:pos="1420"/>
                    </w:tabs>
                    <w:spacing w:before="0" w:line="240" w:lineRule="auto"/>
                    <w:jc w:val="right"/>
                    <w:rPr>
                      <w:rFonts w:ascii="Open Sans Semibold" w:hAnsi="Open Sans Semibold"/>
                      <w:sz w:val="16"/>
                      <w:szCs w:val="20"/>
                      <w:lang w:eastAsia="en-AU"/>
                    </w:rPr>
                  </w:pPr>
                  <w:r w:rsidRPr="007C6AFD">
                    <w:rPr>
                      <w:rFonts w:ascii="Open Sans Semibold" w:hAnsi="Open Sans Semibold"/>
                      <w:sz w:val="16"/>
                      <w:szCs w:val="20"/>
                      <w:lang w:eastAsia="en-AU"/>
                    </w:rPr>
                    <w:t>1,366</w:t>
                  </w:r>
                </w:p>
              </w:tc>
            </w:tr>
            <w:tr w:rsidR="0096098C" w:rsidRPr="007C6AFD" w14:paraId="23FCAFC0" w14:textId="77777777" w:rsidTr="00B30BC5">
              <w:trPr>
                <w:trHeight w:val="315"/>
              </w:trPr>
              <w:tc>
                <w:tcPr>
                  <w:tcW w:w="2869" w:type="dxa"/>
                  <w:tcMar>
                    <w:top w:w="0" w:type="dxa"/>
                    <w:left w:w="28" w:type="dxa"/>
                    <w:bottom w:w="0" w:type="dxa"/>
                    <w:right w:w="28" w:type="dxa"/>
                  </w:tcMar>
                  <w:vAlign w:val="bottom"/>
                  <w:hideMark/>
                </w:tcPr>
                <w:p w14:paraId="56000AE6" w14:textId="77777777" w:rsidR="0096098C" w:rsidRPr="007C6AFD" w:rsidRDefault="0096098C" w:rsidP="0096098C">
                  <w:pPr>
                    <w:keepNext/>
                    <w:keepLines/>
                    <w:pageBreakBefore/>
                    <w:tabs>
                      <w:tab w:val="clear" w:pos="567"/>
                    </w:tabs>
                    <w:spacing w:before="0" w:line="240" w:lineRule="auto"/>
                    <w:rPr>
                      <w:rFonts w:eastAsia="Calibri" w:cs="Open Sans Light"/>
                      <w:sz w:val="16"/>
                      <w:szCs w:val="16"/>
                      <w:lang w:eastAsia="en-AU"/>
                    </w:rPr>
                  </w:pPr>
                  <w:r w:rsidRPr="007C6AFD">
                    <w:rPr>
                      <w:rFonts w:eastAsia="Calibri" w:cs="Open Sans Light"/>
                      <w:color w:val="000000"/>
                      <w:sz w:val="16"/>
                      <w:szCs w:val="16"/>
                      <w:lang w:eastAsia="en-AU"/>
                    </w:rPr>
                    <w:t>New arrangements</w:t>
                  </w:r>
                </w:p>
              </w:tc>
              <w:tc>
                <w:tcPr>
                  <w:tcW w:w="451" w:type="dxa"/>
                  <w:noWrap/>
                  <w:tcMar>
                    <w:top w:w="0" w:type="dxa"/>
                    <w:left w:w="28" w:type="dxa"/>
                    <w:bottom w:w="0" w:type="dxa"/>
                    <w:right w:w="28" w:type="dxa"/>
                  </w:tcMar>
                  <w:vAlign w:val="bottom"/>
                  <w:hideMark/>
                </w:tcPr>
                <w:p w14:paraId="5AAEEB00"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-218</w:t>
                  </w:r>
                </w:p>
              </w:tc>
              <w:tc>
                <w:tcPr>
                  <w:tcW w:w="580" w:type="dxa"/>
                  <w:noWrap/>
                  <w:tcMar>
                    <w:top w:w="0" w:type="dxa"/>
                    <w:left w:w="28" w:type="dxa"/>
                    <w:bottom w:w="0" w:type="dxa"/>
                    <w:right w:w="28" w:type="dxa"/>
                  </w:tcMar>
                  <w:vAlign w:val="bottom"/>
                  <w:hideMark/>
                </w:tcPr>
                <w:p w14:paraId="037A49DA"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-179</w:t>
                  </w:r>
                </w:p>
              </w:tc>
              <w:tc>
                <w:tcPr>
                  <w:tcW w:w="640" w:type="dxa"/>
                  <w:noWrap/>
                  <w:tcMar>
                    <w:top w:w="0" w:type="dxa"/>
                    <w:left w:w="28" w:type="dxa"/>
                    <w:bottom w:w="0" w:type="dxa"/>
                    <w:right w:w="28" w:type="dxa"/>
                  </w:tcMar>
                  <w:vAlign w:val="bottom"/>
                  <w:hideMark/>
                </w:tcPr>
                <w:p w14:paraId="056FE46D"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-142</w:t>
                  </w:r>
                </w:p>
              </w:tc>
              <w:tc>
                <w:tcPr>
                  <w:tcW w:w="620" w:type="dxa"/>
                  <w:noWrap/>
                  <w:tcMar>
                    <w:top w:w="0" w:type="dxa"/>
                    <w:left w:w="28" w:type="dxa"/>
                    <w:bottom w:w="0" w:type="dxa"/>
                    <w:right w:w="28" w:type="dxa"/>
                  </w:tcMar>
                  <w:vAlign w:val="bottom"/>
                  <w:hideMark/>
                </w:tcPr>
                <w:p w14:paraId="309ACDDD"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629</w:t>
                  </w:r>
                </w:p>
              </w:tc>
              <w:tc>
                <w:tcPr>
                  <w:tcW w:w="560" w:type="dxa"/>
                  <w:noWrap/>
                  <w:tcMar>
                    <w:top w:w="0" w:type="dxa"/>
                    <w:left w:w="28" w:type="dxa"/>
                    <w:bottom w:w="0" w:type="dxa"/>
                    <w:right w:w="28" w:type="dxa"/>
                  </w:tcMar>
                  <w:vAlign w:val="bottom"/>
                  <w:hideMark/>
                </w:tcPr>
                <w:p w14:paraId="3DD86DD4"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-51</w:t>
                  </w:r>
                </w:p>
              </w:tc>
              <w:tc>
                <w:tcPr>
                  <w:tcW w:w="620" w:type="dxa"/>
                  <w:noWrap/>
                  <w:tcMar>
                    <w:top w:w="0" w:type="dxa"/>
                    <w:left w:w="28" w:type="dxa"/>
                    <w:bottom w:w="0" w:type="dxa"/>
                    <w:right w:w="28" w:type="dxa"/>
                  </w:tcMar>
                  <w:vAlign w:val="bottom"/>
                  <w:hideMark/>
                </w:tcPr>
                <w:p w14:paraId="32FA2FFD"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-17</w:t>
                  </w:r>
                </w:p>
              </w:tc>
              <w:tc>
                <w:tcPr>
                  <w:tcW w:w="660" w:type="dxa"/>
                  <w:noWrap/>
                  <w:tcMar>
                    <w:top w:w="0" w:type="dxa"/>
                    <w:left w:w="28" w:type="dxa"/>
                    <w:bottom w:w="0" w:type="dxa"/>
                    <w:right w:w="28" w:type="dxa"/>
                  </w:tcMar>
                  <w:vAlign w:val="bottom"/>
                  <w:hideMark/>
                </w:tcPr>
                <w:p w14:paraId="430FCBCF"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-12</w:t>
                  </w:r>
                </w:p>
              </w:tc>
              <w:tc>
                <w:tcPr>
                  <w:tcW w:w="580" w:type="dxa"/>
                  <w:noWrap/>
                  <w:tcMar>
                    <w:top w:w="0" w:type="dxa"/>
                    <w:left w:w="28" w:type="dxa"/>
                    <w:bottom w:w="0" w:type="dxa"/>
                    <w:right w:w="28" w:type="dxa"/>
                  </w:tcMar>
                  <w:vAlign w:val="bottom"/>
                  <w:hideMark/>
                </w:tcPr>
                <w:p w14:paraId="500AA84E"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-11</w:t>
                  </w:r>
                </w:p>
              </w:tc>
              <w:tc>
                <w:tcPr>
                  <w:tcW w:w="820" w:type="dxa"/>
                  <w:noWrap/>
                  <w:tcMar>
                    <w:top w:w="0" w:type="dxa"/>
                    <w:left w:w="28" w:type="dxa"/>
                    <w:bottom w:w="0" w:type="dxa"/>
                    <w:right w:w="28" w:type="dxa"/>
                  </w:tcMar>
                  <w:vAlign w:val="bottom"/>
                  <w:hideMark/>
                </w:tcPr>
                <w:p w14:paraId="43E78596"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629</w:t>
                  </w:r>
                </w:p>
              </w:tc>
            </w:tr>
            <w:tr w:rsidR="0096098C" w:rsidRPr="007C6AFD" w14:paraId="03603578" w14:textId="77777777" w:rsidTr="00B30BC5">
              <w:trPr>
                <w:trHeight w:val="315"/>
              </w:trPr>
              <w:tc>
                <w:tcPr>
                  <w:tcW w:w="2869" w:type="dxa"/>
                  <w:tcMar>
                    <w:top w:w="0" w:type="dxa"/>
                    <w:left w:w="28" w:type="dxa"/>
                    <w:bottom w:w="0" w:type="dxa"/>
                    <w:right w:w="28" w:type="dxa"/>
                  </w:tcMar>
                  <w:vAlign w:val="bottom"/>
                  <w:hideMark/>
                </w:tcPr>
                <w:p w14:paraId="2FEF0D93" w14:textId="77777777" w:rsidR="0096098C" w:rsidRPr="007C6AFD" w:rsidRDefault="0096098C" w:rsidP="0096098C">
                  <w:pPr>
                    <w:keepNext/>
                    <w:keepLines/>
                    <w:pageBreakBefore/>
                    <w:tabs>
                      <w:tab w:val="clear" w:pos="567"/>
                    </w:tabs>
                    <w:spacing w:before="0" w:line="240" w:lineRule="auto"/>
                    <w:rPr>
                      <w:rFonts w:eastAsia="Calibri" w:cs="Open Sans Light"/>
                      <w:sz w:val="16"/>
                      <w:szCs w:val="16"/>
                      <w:lang w:eastAsia="en-AU"/>
                    </w:rPr>
                  </w:pPr>
                  <w:r w:rsidRPr="007C6AFD">
                    <w:rPr>
                      <w:rFonts w:eastAsia="Calibri" w:cs="Open Sans Light"/>
                      <w:color w:val="000000"/>
                      <w:sz w:val="16"/>
                      <w:szCs w:val="16"/>
                      <w:lang w:eastAsia="en-AU"/>
                    </w:rPr>
                    <w:t>Change in pool and population</w:t>
                  </w:r>
                </w:p>
              </w:tc>
              <w:tc>
                <w:tcPr>
                  <w:tcW w:w="451" w:type="dxa"/>
                  <w:noWrap/>
                  <w:tcMar>
                    <w:top w:w="0" w:type="dxa"/>
                    <w:left w:w="28" w:type="dxa"/>
                    <w:bottom w:w="0" w:type="dxa"/>
                    <w:right w:w="28" w:type="dxa"/>
                  </w:tcMar>
                  <w:vAlign w:val="bottom"/>
                  <w:hideMark/>
                </w:tcPr>
                <w:p w14:paraId="00E89C6B"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1,134</w:t>
                  </w:r>
                </w:p>
              </w:tc>
              <w:tc>
                <w:tcPr>
                  <w:tcW w:w="580" w:type="dxa"/>
                  <w:noWrap/>
                  <w:tcMar>
                    <w:top w:w="0" w:type="dxa"/>
                    <w:left w:w="28" w:type="dxa"/>
                    <w:bottom w:w="0" w:type="dxa"/>
                    <w:right w:w="28" w:type="dxa"/>
                  </w:tcMar>
                  <w:vAlign w:val="bottom"/>
                  <w:hideMark/>
                </w:tcPr>
                <w:p w14:paraId="76C56A71"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1,029</w:t>
                  </w:r>
                </w:p>
              </w:tc>
              <w:tc>
                <w:tcPr>
                  <w:tcW w:w="640" w:type="dxa"/>
                  <w:noWrap/>
                  <w:tcMar>
                    <w:top w:w="0" w:type="dxa"/>
                    <w:left w:w="28" w:type="dxa"/>
                    <w:bottom w:w="0" w:type="dxa"/>
                    <w:right w:w="28" w:type="dxa"/>
                  </w:tcMar>
                  <w:vAlign w:val="bottom"/>
                  <w:hideMark/>
                </w:tcPr>
                <w:p w14:paraId="0E916C63"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922</w:t>
                  </w:r>
                </w:p>
              </w:tc>
              <w:tc>
                <w:tcPr>
                  <w:tcW w:w="620" w:type="dxa"/>
                  <w:noWrap/>
                  <w:tcMar>
                    <w:top w:w="0" w:type="dxa"/>
                    <w:left w:w="28" w:type="dxa"/>
                    <w:bottom w:w="0" w:type="dxa"/>
                    <w:right w:w="28" w:type="dxa"/>
                  </w:tcMar>
                  <w:vAlign w:val="bottom"/>
                  <w:hideMark/>
                </w:tcPr>
                <w:p w14:paraId="7BF7D03A"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194</w:t>
                  </w:r>
                </w:p>
              </w:tc>
              <w:tc>
                <w:tcPr>
                  <w:tcW w:w="560" w:type="dxa"/>
                  <w:noWrap/>
                  <w:tcMar>
                    <w:top w:w="0" w:type="dxa"/>
                    <w:left w:w="28" w:type="dxa"/>
                    <w:bottom w:w="0" w:type="dxa"/>
                    <w:right w:w="28" w:type="dxa"/>
                  </w:tcMar>
                  <w:vAlign w:val="bottom"/>
                  <w:hideMark/>
                </w:tcPr>
                <w:p w14:paraId="6CFC3F19"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365</w:t>
                  </w:r>
                </w:p>
              </w:tc>
              <w:tc>
                <w:tcPr>
                  <w:tcW w:w="620" w:type="dxa"/>
                  <w:noWrap/>
                  <w:tcMar>
                    <w:top w:w="0" w:type="dxa"/>
                    <w:left w:w="28" w:type="dxa"/>
                    <w:bottom w:w="0" w:type="dxa"/>
                    <w:right w:w="28" w:type="dxa"/>
                  </w:tcMar>
                  <w:vAlign w:val="bottom"/>
                  <w:hideMark/>
                </w:tcPr>
                <w:p w14:paraId="240D9001"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170</w:t>
                  </w:r>
                </w:p>
              </w:tc>
              <w:tc>
                <w:tcPr>
                  <w:tcW w:w="660" w:type="dxa"/>
                  <w:noWrap/>
                  <w:tcMar>
                    <w:top w:w="0" w:type="dxa"/>
                    <w:left w:w="28" w:type="dxa"/>
                    <w:bottom w:w="0" w:type="dxa"/>
                    <w:right w:w="28" w:type="dxa"/>
                  </w:tcMar>
                  <w:vAlign w:val="bottom"/>
                  <w:hideMark/>
                </w:tcPr>
                <w:p w14:paraId="375A3BD3"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79</w:t>
                  </w:r>
                </w:p>
              </w:tc>
              <w:tc>
                <w:tcPr>
                  <w:tcW w:w="580" w:type="dxa"/>
                  <w:noWrap/>
                  <w:tcMar>
                    <w:top w:w="0" w:type="dxa"/>
                    <w:left w:w="28" w:type="dxa"/>
                    <w:bottom w:w="0" w:type="dxa"/>
                    <w:right w:w="28" w:type="dxa"/>
                  </w:tcMar>
                  <w:vAlign w:val="bottom"/>
                  <w:hideMark/>
                </w:tcPr>
                <w:p w14:paraId="1BB5CFBE"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138</w:t>
                  </w:r>
                </w:p>
              </w:tc>
              <w:tc>
                <w:tcPr>
                  <w:tcW w:w="820" w:type="dxa"/>
                  <w:noWrap/>
                  <w:tcMar>
                    <w:top w:w="0" w:type="dxa"/>
                    <w:left w:w="28" w:type="dxa"/>
                    <w:bottom w:w="0" w:type="dxa"/>
                    <w:right w:w="28" w:type="dxa"/>
                  </w:tcMar>
                  <w:vAlign w:val="bottom"/>
                  <w:hideMark/>
                </w:tcPr>
                <w:p w14:paraId="28EF6771" w14:textId="77777777" w:rsidR="0096098C" w:rsidRPr="007C6AFD" w:rsidRDefault="0096098C" w:rsidP="0096098C">
                  <w:pPr>
                    <w:keepNext/>
                    <w:keepLines/>
                    <w:pageBreakBefore/>
                    <w:tabs>
                      <w:tab w:val="clear" w:pos="567"/>
                    </w:tabs>
                    <w:spacing w:before="0" w:line="240" w:lineRule="auto"/>
                    <w:jc w:val="right"/>
                    <w:rPr>
                      <w:rFonts w:eastAsia="Calibri" w:cs="Open Sans Light"/>
                      <w:sz w:val="16"/>
                      <w:szCs w:val="16"/>
                      <w:lang w:eastAsia="en-AU"/>
                    </w:rPr>
                  </w:pPr>
                  <w:r w:rsidRPr="007C6AFD">
                    <w:rPr>
                      <w:rFonts w:eastAsia="Calibri" w:cs="Open Sans Light"/>
                      <w:color w:val="000000"/>
                      <w:sz w:val="16"/>
                      <w:szCs w:val="16"/>
                      <w:lang w:eastAsia="en-AU"/>
                    </w:rPr>
                    <w:t>(b) 4,030</w:t>
                  </w:r>
                </w:p>
              </w:tc>
            </w:tr>
            <w:tr w:rsidR="0096098C" w:rsidRPr="007C6AFD" w14:paraId="5E5F97C3" w14:textId="77777777" w:rsidTr="00B30BC5">
              <w:trPr>
                <w:trHeight w:val="315"/>
              </w:trPr>
              <w:tc>
                <w:tcPr>
                  <w:tcW w:w="2869" w:type="dxa"/>
                  <w:tcBorders>
                    <w:top w:val="single" w:sz="8" w:space="0" w:color="ADD6EA"/>
                    <w:left w:val="nil"/>
                    <w:bottom w:val="single" w:sz="8" w:space="0" w:color="ADD6EA"/>
                    <w:right w:val="nil"/>
                  </w:tcBorders>
                  <w:shd w:val="clear" w:color="auto" w:fill="D6E7F0"/>
                  <w:tcMar>
                    <w:top w:w="0" w:type="dxa"/>
                    <w:left w:w="28" w:type="dxa"/>
                    <w:bottom w:w="0" w:type="dxa"/>
                    <w:right w:w="28" w:type="dxa"/>
                  </w:tcMar>
                  <w:vAlign w:val="bottom"/>
                  <w:hideMark/>
                </w:tcPr>
                <w:p w14:paraId="1CEFE0C9" w14:textId="77777777" w:rsidR="0096098C" w:rsidRPr="007C6AFD" w:rsidRDefault="0096098C" w:rsidP="0096098C">
                  <w:pPr>
                    <w:keepNext/>
                    <w:keepLines/>
                    <w:pageBreakBefore/>
                    <w:tabs>
                      <w:tab w:val="clear" w:pos="567"/>
                      <w:tab w:val="left" w:pos="1134"/>
                      <w:tab w:val="left" w:pos="1420"/>
                    </w:tabs>
                    <w:spacing w:before="0" w:line="240" w:lineRule="auto"/>
                    <w:rPr>
                      <w:rFonts w:ascii="Open Sans Semibold" w:hAnsi="Open Sans Semibold"/>
                      <w:sz w:val="16"/>
                      <w:szCs w:val="20"/>
                      <w:lang w:eastAsia="en-AU"/>
                    </w:rPr>
                  </w:pPr>
                  <w:r w:rsidRPr="007C6AFD">
                    <w:rPr>
                      <w:rFonts w:ascii="Open Sans Semibold" w:hAnsi="Open Sans Semibold"/>
                      <w:sz w:val="16"/>
                      <w:szCs w:val="20"/>
                      <w:lang w:eastAsia="en-AU"/>
                    </w:rPr>
                    <w:t>Total change in GST</w:t>
                  </w:r>
                </w:p>
              </w:tc>
              <w:tc>
                <w:tcPr>
                  <w:tcW w:w="451" w:type="dxa"/>
                  <w:tcBorders>
                    <w:top w:val="single" w:sz="8" w:space="0" w:color="ADD6EA"/>
                    <w:left w:val="nil"/>
                    <w:bottom w:val="single" w:sz="8" w:space="0" w:color="ADD6EA"/>
                    <w:right w:val="nil"/>
                  </w:tcBorders>
                  <w:shd w:val="clear" w:color="auto" w:fill="D6E7F0"/>
                  <w:noWrap/>
                  <w:tcMar>
                    <w:top w:w="0" w:type="dxa"/>
                    <w:left w:w="28" w:type="dxa"/>
                    <w:bottom w:w="0" w:type="dxa"/>
                    <w:right w:w="28" w:type="dxa"/>
                  </w:tcMar>
                  <w:vAlign w:val="bottom"/>
                  <w:hideMark/>
                </w:tcPr>
                <w:p w14:paraId="398F4E98" w14:textId="77777777" w:rsidR="0096098C" w:rsidRPr="007C6AFD" w:rsidRDefault="0096098C" w:rsidP="0096098C">
                  <w:pPr>
                    <w:keepNext/>
                    <w:keepLines/>
                    <w:pageBreakBefore/>
                    <w:tabs>
                      <w:tab w:val="clear" w:pos="567"/>
                      <w:tab w:val="left" w:pos="1134"/>
                      <w:tab w:val="left" w:pos="1420"/>
                    </w:tabs>
                    <w:spacing w:before="0" w:line="240" w:lineRule="auto"/>
                    <w:jc w:val="right"/>
                    <w:rPr>
                      <w:rFonts w:ascii="Open Sans Semibold" w:hAnsi="Open Sans Semibold"/>
                      <w:sz w:val="16"/>
                      <w:szCs w:val="20"/>
                      <w:lang w:eastAsia="en-AU"/>
                    </w:rPr>
                  </w:pPr>
                  <w:r w:rsidRPr="007C6AFD">
                    <w:rPr>
                      <w:rFonts w:ascii="Open Sans Semibold" w:hAnsi="Open Sans Semibold"/>
                      <w:sz w:val="16"/>
                      <w:szCs w:val="20"/>
                      <w:lang w:eastAsia="en-AU"/>
                    </w:rPr>
                    <w:t>1,894</w:t>
                  </w:r>
                </w:p>
              </w:tc>
              <w:tc>
                <w:tcPr>
                  <w:tcW w:w="580" w:type="dxa"/>
                  <w:tcBorders>
                    <w:top w:val="single" w:sz="8" w:space="0" w:color="ADD6EA"/>
                    <w:left w:val="nil"/>
                    <w:bottom w:val="single" w:sz="8" w:space="0" w:color="ADD6EA"/>
                    <w:right w:val="nil"/>
                  </w:tcBorders>
                  <w:shd w:val="clear" w:color="auto" w:fill="D6E7F0"/>
                  <w:noWrap/>
                  <w:tcMar>
                    <w:top w:w="0" w:type="dxa"/>
                    <w:left w:w="28" w:type="dxa"/>
                    <w:bottom w:w="0" w:type="dxa"/>
                    <w:right w:w="28" w:type="dxa"/>
                  </w:tcMar>
                  <w:vAlign w:val="bottom"/>
                  <w:hideMark/>
                </w:tcPr>
                <w:p w14:paraId="49C6F350" w14:textId="77777777" w:rsidR="0096098C" w:rsidRPr="007C6AFD" w:rsidRDefault="0096098C" w:rsidP="0096098C">
                  <w:pPr>
                    <w:keepNext/>
                    <w:keepLines/>
                    <w:pageBreakBefore/>
                    <w:tabs>
                      <w:tab w:val="clear" w:pos="567"/>
                      <w:tab w:val="left" w:pos="1134"/>
                      <w:tab w:val="left" w:pos="1420"/>
                    </w:tabs>
                    <w:spacing w:before="0" w:line="240" w:lineRule="auto"/>
                    <w:jc w:val="right"/>
                    <w:rPr>
                      <w:rFonts w:ascii="Open Sans Semibold" w:hAnsi="Open Sans Semibold"/>
                      <w:sz w:val="16"/>
                      <w:szCs w:val="20"/>
                      <w:lang w:eastAsia="en-AU"/>
                    </w:rPr>
                  </w:pPr>
                  <w:r w:rsidRPr="007C6AFD">
                    <w:rPr>
                      <w:rFonts w:ascii="Open Sans Semibold" w:hAnsi="Open Sans Semibold"/>
                      <w:sz w:val="16"/>
                      <w:szCs w:val="20"/>
                      <w:lang w:eastAsia="en-AU"/>
                    </w:rPr>
                    <w:t>344</w:t>
                  </w:r>
                </w:p>
              </w:tc>
              <w:tc>
                <w:tcPr>
                  <w:tcW w:w="640" w:type="dxa"/>
                  <w:tcBorders>
                    <w:top w:val="single" w:sz="8" w:space="0" w:color="ADD6EA"/>
                    <w:left w:val="nil"/>
                    <w:bottom w:val="single" w:sz="8" w:space="0" w:color="ADD6EA"/>
                    <w:right w:val="nil"/>
                  </w:tcBorders>
                  <w:shd w:val="clear" w:color="auto" w:fill="D6E7F0"/>
                  <w:noWrap/>
                  <w:tcMar>
                    <w:top w:w="0" w:type="dxa"/>
                    <w:left w:w="28" w:type="dxa"/>
                    <w:bottom w:w="0" w:type="dxa"/>
                    <w:right w:w="28" w:type="dxa"/>
                  </w:tcMar>
                  <w:vAlign w:val="bottom"/>
                  <w:hideMark/>
                </w:tcPr>
                <w:p w14:paraId="70711296" w14:textId="77777777" w:rsidR="0096098C" w:rsidRPr="007C6AFD" w:rsidRDefault="0096098C" w:rsidP="0096098C">
                  <w:pPr>
                    <w:keepNext/>
                    <w:keepLines/>
                    <w:pageBreakBefore/>
                    <w:tabs>
                      <w:tab w:val="clear" w:pos="567"/>
                      <w:tab w:val="left" w:pos="1134"/>
                      <w:tab w:val="left" w:pos="1420"/>
                    </w:tabs>
                    <w:spacing w:before="0" w:line="240" w:lineRule="auto"/>
                    <w:jc w:val="right"/>
                    <w:rPr>
                      <w:rFonts w:ascii="Open Sans Semibold" w:hAnsi="Open Sans Semibold"/>
                      <w:sz w:val="16"/>
                      <w:szCs w:val="20"/>
                      <w:lang w:eastAsia="en-AU"/>
                    </w:rPr>
                  </w:pPr>
                  <w:r w:rsidRPr="007C6AFD">
                    <w:rPr>
                      <w:rFonts w:ascii="Open Sans Semibold" w:hAnsi="Open Sans Semibold"/>
                      <w:sz w:val="16"/>
                      <w:szCs w:val="20"/>
                      <w:lang w:eastAsia="en-AU"/>
                    </w:rPr>
                    <w:t>1,023</w:t>
                  </w:r>
                </w:p>
              </w:tc>
              <w:tc>
                <w:tcPr>
                  <w:tcW w:w="620" w:type="dxa"/>
                  <w:tcBorders>
                    <w:top w:val="single" w:sz="8" w:space="0" w:color="ADD6EA"/>
                    <w:left w:val="nil"/>
                    <w:bottom w:val="single" w:sz="8" w:space="0" w:color="ADD6EA"/>
                    <w:right w:val="nil"/>
                  </w:tcBorders>
                  <w:shd w:val="clear" w:color="auto" w:fill="D6E7F0"/>
                  <w:noWrap/>
                  <w:tcMar>
                    <w:top w:w="0" w:type="dxa"/>
                    <w:left w:w="28" w:type="dxa"/>
                    <w:bottom w:w="0" w:type="dxa"/>
                    <w:right w:w="28" w:type="dxa"/>
                  </w:tcMar>
                  <w:vAlign w:val="bottom"/>
                  <w:hideMark/>
                </w:tcPr>
                <w:p w14:paraId="3CE2EC1E" w14:textId="77777777" w:rsidR="0096098C" w:rsidRPr="007C6AFD" w:rsidRDefault="0096098C" w:rsidP="0096098C">
                  <w:pPr>
                    <w:keepNext/>
                    <w:keepLines/>
                    <w:pageBreakBefore/>
                    <w:tabs>
                      <w:tab w:val="clear" w:pos="567"/>
                      <w:tab w:val="left" w:pos="1134"/>
                      <w:tab w:val="left" w:pos="1420"/>
                    </w:tabs>
                    <w:spacing w:before="0" w:line="240" w:lineRule="auto"/>
                    <w:jc w:val="right"/>
                    <w:rPr>
                      <w:rFonts w:ascii="Open Sans Semibold" w:hAnsi="Open Sans Semibold"/>
                      <w:sz w:val="16"/>
                      <w:szCs w:val="20"/>
                      <w:lang w:eastAsia="en-AU"/>
                    </w:rPr>
                  </w:pPr>
                  <w:r w:rsidRPr="007C6AFD">
                    <w:rPr>
                      <w:rFonts w:ascii="Open Sans Semibold" w:hAnsi="Open Sans Semibold"/>
                      <w:sz w:val="16"/>
                      <w:szCs w:val="20"/>
                      <w:lang w:eastAsia="en-AU"/>
                    </w:rPr>
                    <w:t>-23</w:t>
                  </w:r>
                </w:p>
              </w:tc>
              <w:tc>
                <w:tcPr>
                  <w:tcW w:w="560" w:type="dxa"/>
                  <w:tcBorders>
                    <w:top w:val="single" w:sz="8" w:space="0" w:color="ADD6EA"/>
                    <w:left w:val="nil"/>
                    <w:bottom w:val="single" w:sz="8" w:space="0" w:color="ADD6EA"/>
                    <w:right w:val="nil"/>
                  </w:tcBorders>
                  <w:shd w:val="clear" w:color="auto" w:fill="D6E7F0"/>
                  <w:noWrap/>
                  <w:tcMar>
                    <w:top w:w="0" w:type="dxa"/>
                    <w:left w:w="28" w:type="dxa"/>
                    <w:bottom w:w="0" w:type="dxa"/>
                    <w:right w:w="28" w:type="dxa"/>
                  </w:tcMar>
                  <w:vAlign w:val="bottom"/>
                  <w:hideMark/>
                </w:tcPr>
                <w:p w14:paraId="68891CD4" w14:textId="77777777" w:rsidR="0096098C" w:rsidRPr="007C6AFD" w:rsidRDefault="0096098C" w:rsidP="0096098C">
                  <w:pPr>
                    <w:keepNext/>
                    <w:keepLines/>
                    <w:pageBreakBefore/>
                    <w:tabs>
                      <w:tab w:val="clear" w:pos="567"/>
                      <w:tab w:val="left" w:pos="1134"/>
                      <w:tab w:val="left" w:pos="1420"/>
                    </w:tabs>
                    <w:spacing w:before="0" w:line="240" w:lineRule="auto"/>
                    <w:jc w:val="right"/>
                    <w:rPr>
                      <w:rFonts w:ascii="Open Sans Semibold" w:hAnsi="Open Sans Semibold"/>
                      <w:sz w:val="16"/>
                      <w:szCs w:val="20"/>
                      <w:lang w:eastAsia="en-AU"/>
                    </w:rPr>
                  </w:pPr>
                  <w:r w:rsidRPr="007C6AFD">
                    <w:rPr>
                      <w:rFonts w:ascii="Open Sans Semibold" w:hAnsi="Open Sans Semibold"/>
                      <w:sz w:val="16"/>
                      <w:szCs w:val="20"/>
                      <w:lang w:eastAsia="en-AU"/>
                    </w:rPr>
                    <w:t>301</w:t>
                  </w:r>
                </w:p>
              </w:tc>
              <w:tc>
                <w:tcPr>
                  <w:tcW w:w="620" w:type="dxa"/>
                  <w:tcBorders>
                    <w:top w:val="single" w:sz="8" w:space="0" w:color="ADD6EA"/>
                    <w:left w:val="nil"/>
                    <w:bottom w:val="single" w:sz="8" w:space="0" w:color="ADD6EA"/>
                    <w:right w:val="nil"/>
                  </w:tcBorders>
                  <w:shd w:val="clear" w:color="auto" w:fill="D6E7F0"/>
                  <w:noWrap/>
                  <w:tcMar>
                    <w:top w:w="0" w:type="dxa"/>
                    <w:left w:w="28" w:type="dxa"/>
                    <w:bottom w:w="0" w:type="dxa"/>
                    <w:right w:w="28" w:type="dxa"/>
                  </w:tcMar>
                  <w:vAlign w:val="bottom"/>
                  <w:hideMark/>
                </w:tcPr>
                <w:p w14:paraId="6F23DA5D" w14:textId="77777777" w:rsidR="0096098C" w:rsidRPr="007C6AFD" w:rsidRDefault="0096098C" w:rsidP="0096098C">
                  <w:pPr>
                    <w:keepNext/>
                    <w:keepLines/>
                    <w:pageBreakBefore/>
                    <w:tabs>
                      <w:tab w:val="clear" w:pos="567"/>
                      <w:tab w:val="left" w:pos="1134"/>
                      <w:tab w:val="left" w:pos="1420"/>
                    </w:tabs>
                    <w:spacing w:before="0" w:line="240" w:lineRule="auto"/>
                    <w:jc w:val="right"/>
                    <w:rPr>
                      <w:rFonts w:ascii="Open Sans Semibold" w:hAnsi="Open Sans Semibold"/>
                      <w:sz w:val="16"/>
                      <w:szCs w:val="20"/>
                      <w:lang w:eastAsia="en-AU"/>
                    </w:rPr>
                  </w:pPr>
                  <w:r w:rsidRPr="007C6AFD">
                    <w:rPr>
                      <w:rFonts w:ascii="Open Sans Semibold" w:hAnsi="Open Sans Semibold"/>
                      <w:sz w:val="16"/>
                      <w:szCs w:val="20"/>
                      <w:lang w:eastAsia="en-AU"/>
                    </w:rPr>
                    <w:t>253</w:t>
                  </w:r>
                </w:p>
              </w:tc>
              <w:tc>
                <w:tcPr>
                  <w:tcW w:w="660" w:type="dxa"/>
                  <w:tcBorders>
                    <w:top w:val="single" w:sz="8" w:space="0" w:color="ADD6EA"/>
                    <w:left w:val="nil"/>
                    <w:bottom w:val="single" w:sz="8" w:space="0" w:color="ADD6EA"/>
                    <w:right w:val="nil"/>
                  </w:tcBorders>
                  <w:shd w:val="clear" w:color="auto" w:fill="D6E7F0"/>
                  <w:noWrap/>
                  <w:tcMar>
                    <w:top w:w="0" w:type="dxa"/>
                    <w:left w:w="28" w:type="dxa"/>
                    <w:bottom w:w="0" w:type="dxa"/>
                    <w:right w:w="28" w:type="dxa"/>
                  </w:tcMar>
                  <w:vAlign w:val="bottom"/>
                  <w:hideMark/>
                </w:tcPr>
                <w:p w14:paraId="4D7D0A76" w14:textId="77777777" w:rsidR="0096098C" w:rsidRPr="007C6AFD" w:rsidRDefault="0096098C" w:rsidP="0096098C">
                  <w:pPr>
                    <w:keepNext/>
                    <w:keepLines/>
                    <w:pageBreakBefore/>
                    <w:tabs>
                      <w:tab w:val="clear" w:pos="567"/>
                      <w:tab w:val="left" w:pos="1134"/>
                      <w:tab w:val="left" w:pos="1420"/>
                    </w:tabs>
                    <w:spacing w:before="0" w:line="240" w:lineRule="auto"/>
                    <w:jc w:val="right"/>
                    <w:rPr>
                      <w:rFonts w:ascii="Open Sans Semibold" w:hAnsi="Open Sans Semibold"/>
                      <w:sz w:val="16"/>
                      <w:szCs w:val="20"/>
                      <w:lang w:eastAsia="en-AU"/>
                    </w:rPr>
                  </w:pPr>
                  <w:r w:rsidRPr="007C6AFD">
                    <w:rPr>
                      <w:rFonts w:ascii="Open Sans Semibold" w:hAnsi="Open Sans Semibold"/>
                      <w:sz w:val="16"/>
                      <w:szCs w:val="20"/>
                      <w:lang w:eastAsia="en-AU"/>
                    </w:rPr>
                    <w:t>89</w:t>
                  </w:r>
                </w:p>
              </w:tc>
              <w:tc>
                <w:tcPr>
                  <w:tcW w:w="580" w:type="dxa"/>
                  <w:tcBorders>
                    <w:top w:val="single" w:sz="8" w:space="0" w:color="ADD6EA"/>
                    <w:left w:val="nil"/>
                    <w:bottom w:val="single" w:sz="8" w:space="0" w:color="ADD6EA"/>
                    <w:right w:val="nil"/>
                  </w:tcBorders>
                  <w:shd w:val="clear" w:color="auto" w:fill="D6E7F0"/>
                  <w:noWrap/>
                  <w:tcMar>
                    <w:top w:w="0" w:type="dxa"/>
                    <w:left w:w="28" w:type="dxa"/>
                    <w:bottom w:w="0" w:type="dxa"/>
                    <w:right w:w="28" w:type="dxa"/>
                  </w:tcMar>
                  <w:vAlign w:val="bottom"/>
                  <w:hideMark/>
                </w:tcPr>
                <w:p w14:paraId="51072144" w14:textId="77777777" w:rsidR="0096098C" w:rsidRPr="007C6AFD" w:rsidRDefault="0096098C" w:rsidP="0096098C">
                  <w:pPr>
                    <w:keepNext/>
                    <w:keepLines/>
                    <w:pageBreakBefore/>
                    <w:tabs>
                      <w:tab w:val="clear" w:pos="567"/>
                      <w:tab w:val="left" w:pos="1134"/>
                      <w:tab w:val="left" w:pos="1420"/>
                    </w:tabs>
                    <w:spacing w:before="0" w:line="240" w:lineRule="auto"/>
                    <w:jc w:val="right"/>
                    <w:rPr>
                      <w:rFonts w:ascii="Open Sans Semibold" w:hAnsi="Open Sans Semibold"/>
                      <w:sz w:val="16"/>
                      <w:szCs w:val="20"/>
                      <w:lang w:eastAsia="en-AU"/>
                    </w:rPr>
                  </w:pPr>
                  <w:r w:rsidRPr="007C6AFD">
                    <w:rPr>
                      <w:rFonts w:ascii="Open Sans Semibold" w:hAnsi="Open Sans Semibold"/>
                      <w:sz w:val="16"/>
                      <w:szCs w:val="20"/>
                      <w:lang w:eastAsia="en-AU"/>
                    </w:rPr>
                    <w:t>149</w:t>
                  </w:r>
                </w:p>
              </w:tc>
              <w:tc>
                <w:tcPr>
                  <w:tcW w:w="820" w:type="dxa"/>
                  <w:tcBorders>
                    <w:top w:val="single" w:sz="8" w:space="0" w:color="ADD6EA"/>
                    <w:left w:val="nil"/>
                    <w:bottom w:val="single" w:sz="8" w:space="0" w:color="ADD6EA"/>
                    <w:right w:val="nil"/>
                  </w:tcBorders>
                  <w:shd w:val="clear" w:color="auto" w:fill="D6E7F0"/>
                  <w:noWrap/>
                  <w:tcMar>
                    <w:top w:w="0" w:type="dxa"/>
                    <w:left w:w="28" w:type="dxa"/>
                    <w:bottom w:w="0" w:type="dxa"/>
                    <w:right w:w="28" w:type="dxa"/>
                  </w:tcMar>
                  <w:vAlign w:val="bottom"/>
                  <w:hideMark/>
                </w:tcPr>
                <w:p w14:paraId="199403B9" w14:textId="77777777" w:rsidR="0096098C" w:rsidRPr="007C6AFD" w:rsidRDefault="0096098C" w:rsidP="0096098C">
                  <w:pPr>
                    <w:keepNext/>
                    <w:keepLines/>
                    <w:pageBreakBefore/>
                    <w:tabs>
                      <w:tab w:val="clear" w:pos="567"/>
                      <w:tab w:val="left" w:pos="1134"/>
                      <w:tab w:val="left" w:pos="1420"/>
                    </w:tabs>
                    <w:spacing w:before="0" w:line="240" w:lineRule="auto"/>
                    <w:jc w:val="right"/>
                    <w:rPr>
                      <w:rFonts w:ascii="Open Sans Semibold" w:hAnsi="Open Sans Semibold"/>
                      <w:sz w:val="16"/>
                      <w:szCs w:val="20"/>
                      <w:lang w:eastAsia="en-AU"/>
                    </w:rPr>
                  </w:pPr>
                  <w:r w:rsidRPr="007C6AFD">
                    <w:rPr>
                      <w:rFonts w:ascii="Open Sans Semibold" w:hAnsi="Open Sans Semibold"/>
                      <w:sz w:val="16"/>
                      <w:szCs w:val="20"/>
                      <w:lang w:eastAsia="en-AU"/>
                    </w:rPr>
                    <w:t>(b) 4,030</w:t>
                  </w:r>
                </w:p>
              </w:tc>
            </w:tr>
          </w:tbl>
          <w:p w14:paraId="144DFF97" w14:textId="77777777" w:rsidR="0096098C" w:rsidRPr="007C6AFD" w:rsidRDefault="0096098C" w:rsidP="0096098C">
            <w:pPr>
              <w:tabs>
                <w:tab w:val="clear" w:pos="567"/>
                <w:tab w:val="left" w:pos="680"/>
              </w:tabs>
              <w:spacing w:before="40" w:line="240" w:lineRule="auto"/>
              <w:ind w:left="567" w:hanging="567"/>
              <w:rPr>
                <w:sz w:val="14"/>
                <w:lang w:eastAsia="en-AU"/>
              </w:rPr>
            </w:pPr>
            <w:r w:rsidRPr="007C6AFD">
              <w:rPr>
                <w:sz w:val="14"/>
                <w:lang w:eastAsia="en-AU"/>
              </w:rPr>
              <w:t>(a)</w:t>
            </w:r>
            <w:r w:rsidRPr="007C6AFD">
              <w:rPr>
                <w:sz w:val="14"/>
                <w:lang w:eastAsia="en-AU"/>
              </w:rPr>
              <w:tab/>
              <w:t xml:space="preserve">The other revenue and expense effects largely reflect revisions to data and other changes in State circumstances. See the discussion in Chapters 2 to 4 for details of the other revenue and expense effects. </w:t>
            </w:r>
          </w:p>
          <w:p w14:paraId="0F52FEFA" w14:textId="77777777" w:rsidR="0096098C" w:rsidRPr="007C6AFD" w:rsidRDefault="0096098C" w:rsidP="0096098C">
            <w:pPr>
              <w:tabs>
                <w:tab w:val="clear" w:pos="567"/>
                <w:tab w:val="left" w:pos="680"/>
              </w:tabs>
              <w:spacing w:before="40" w:line="240" w:lineRule="auto"/>
              <w:ind w:left="567" w:hanging="567"/>
              <w:rPr>
                <w:sz w:val="14"/>
                <w:lang w:eastAsia="en-AU"/>
              </w:rPr>
            </w:pPr>
            <w:r w:rsidRPr="007C6AFD">
              <w:rPr>
                <w:sz w:val="14"/>
                <w:lang w:eastAsia="en-AU"/>
              </w:rPr>
              <w:t xml:space="preserve">(b) </w:t>
            </w:r>
            <w:r w:rsidRPr="007C6AFD">
              <w:rPr>
                <w:sz w:val="14"/>
                <w:lang w:eastAsia="en-AU"/>
              </w:rPr>
              <w:tab/>
              <w:t>Total increase in GST and top-up payment pool.</w:t>
            </w:r>
          </w:p>
          <w:p w14:paraId="7E0C7C5B" w14:textId="77777777" w:rsidR="0096098C" w:rsidRPr="007C6AFD" w:rsidRDefault="0096098C" w:rsidP="0096098C">
            <w:pPr>
              <w:tabs>
                <w:tab w:val="clear" w:pos="567"/>
                <w:tab w:val="left" w:pos="680"/>
              </w:tabs>
              <w:spacing w:before="40" w:line="240" w:lineRule="auto"/>
              <w:ind w:left="567" w:hanging="567"/>
              <w:rPr>
                <w:sz w:val="14"/>
                <w:lang w:eastAsia="en-AU"/>
              </w:rPr>
            </w:pPr>
            <w:r w:rsidRPr="007C6AFD">
              <w:rPr>
                <w:sz w:val="14"/>
                <w:lang w:eastAsia="en-AU"/>
              </w:rPr>
              <w:t>Source:   Commission calculation.</w:t>
            </w:r>
          </w:p>
          <w:p w14:paraId="27618C82" w14:textId="71E40EC7" w:rsidR="0096098C" w:rsidRPr="007C6AFD" w:rsidRDefault="0096098C" w:rsidP="006C7843">
            <w:pPr>
              <w:widowControl w:val="0"/>
            </w:pPr>
            <w:r w:rsidRPr="007C6AFD">
              <w:rPr>
                <w:rFonts w:eastAsia="Courier New" w:cs="MS Gothic"/>
              </w:rPr>
              <w:t xml:space="preserve">The other States experienced an increased requirement for distribution of the GST pool in this update. A decrease in </w:t>
            </w:r>
            <w:r w:rsidRPr="007C6AFD">
              <w:rPr>
                <w:rFonts w:eastAsia="Courier New" w:cs="MS Gothic"/>
                <w:b/>
                <w:bCs/>
              </w:rPr>
              <w:t>New South Wales</w:t>
            </w:r>
            <w:r w:rsidRPr="00A96857">
              <w:rPr>
                <w:rFonts w:eastAsia="Courier New" w:cs="MS Gothic"/>
              </w:rPr>
              <w:t xml:space="preserve">’ </w:t>
            </w:r>
            <w:r w:rsidRPr="007C6AFD">
              <w:rPr>
                <w:rFonts w:eastAsia="Courier New" w:cs="MS Gothic"/>
              </w:rPr>
              <w:t xml:space="preserve">share of property sales increased its GST requirements. </w:t>
            </w:r>
            <w:r w:rsidRPr="007C6AFD">
              <w:rPr>
                <w:rFonts w:eastAsia="Courier New" w:cs="MS Gothic"/>
                <w:b/>
                <w:bCs/>
              </w:rPr>
              <w:t>Queensland</w:t>
            </w:r>
            <w:r w:rsidRPr="007C6AFD">
              <w:rPr>
                <w:rFonts w:eastAsia="Courier New" w:cs="MS Gothic"/>
              </w:rPr>
              <w:t xml:space="preserve">’s increase was mainly due to below average growth of taxable land values and property sales, and higher investment requirements. These changes were partly offset by downward revisions to natural disaster relief expenses. </w:t>
            </w:r>
            <w:r w:rsidRPr="007C6AFD">
              <w:rPr>
                <w:rFonts w:eastAsia="Courier New" w:cs="MS Gothic"/>
                <w:b/>
                <w:bCs/>
              </w:rPr>
              <w:t>Tasmania</w:t>
            </w:r>
            <w:r w:rsidRPr="007C6AFD">
              <w:rPr>
                <w:rFonts w:eastAsia="Courier New" w:cs="MS Gothic"/>
              </w:rPr>
              <w:t>‘s increased GST distribution mainly reflected an increase in its relative wage costs, and its above average expense needs.</w:t>
            </w:r>
            <w:r w:rsidRPr="007C6AFD">
              <w:rPr>
                <w:rFonts w:eastAsia="Courier New" w:cs="MS Gothic"/>
                <w:vertAlign w:val="superscript"/>
              </w:rPr>
              <w:t>4</w:t>
            </w:r>
            <w:r w:rsidRPr="007C6AFD">
              <w:rPr>
                <w:rFonts w:eastAsia="Courier New" w:cs="MS Gothic"/>
              </w:rPr>
              <w:t xml:space="preserve"> These influences were partly offset by above national average growth in property sales. The </w:t>
            </w:r>
            <w:r w:rsidRPr="007C6AFD">
              <w:rPr>
                <w:rFonts w:eastAsia="Courier New" w:cs="MS Gothic"/>
                <w:b/>
                <w:bCs/>
              </w:rPr>
              <w:t>ACT</w:t>
            </w:r>
            <w:r w:rsidRPr="007C6AFD">
              <w:rPr>
                <w:rFonts w:eastAsia="Courier New" w:cs="MS Gothic"/>
              </w:rPr>
              <w:t xml:space="preserve">’s share of the GST pool increased because of below average growth in taxable payrolls, as well as revisions to payrolls data. Revisions to natural disaster relief expenses also contributed to the </w:t>
            </w:r>
            <w:r w:rsidRPr="007C6AFD">
              <w:rPr>
                <w:rFonts w:eastAsia="Courier New" w:cs="MS Gothic"/>
                <w:b/>
                <w:bCs/>
              </w:rPr>
              <w:t>ACT</w:t>
            </w:r>
            <w:r w:rsidRPr="007C6AFD">
              <w:rPr>
                <w:rFonts w:eastAsia="Courier New" w:cs="MS Gothic"/>
              </w:rPr>
              <w:t xml:space="preserve">’s relative increase in GST requirements. Partially offsetting this was the impact of the </w:t>
            </w:r>
            <w:r w:rsidRPr="007C6AFD">
              <w:rPr>
                <w:rFonts w:eastAsia="Courier New" w:cs="MS Gothic"/>
                <w:b/>
                <w:bCs/>
              </w:rPr>
              <w:t>ACT</w:t>
            </w:r>
            <w:r w:rsidRPr="007C6AFD">
              <w:rPr>
                <w:rFonts w:eastAsia="Courier New" w:cs="MS Gothic"/>
              </w:rPr>
              <w:t xml:space="preserve">’s below average expense needs. </w:t>
            </w:r>
          </w:p>
        </w:tc>
      </w:tr>
      <w:tr w:rsidR="00E97C40" w:rsidRPr="00B039E6" w14:paraId="0200EB11" w14:textId="77777777" w:rsidTr="00E97C40">
        <w:tc>
          <w:tcPr>
            <w:tcW w:w="9175" w:type="dxa"/>
            <w:shd w:val="clear" w:color="auto" w:fill="auto"/>
          </w:tcPr>
          <w:p w14:paraId="0702659D" w14:textId="77777777" w:rsidR="00E97C40" w:rsidRPr="00B039E6" w:rsidRDefault="00E97C40" w:rsidP="00B039E6">
            <w:pPr>
              <w:widowControl w:val="0"/>
              <w:spacing w:before="0"/>
              <w:rPr>
                <w:rFonts w:eastAsia="Courier New" w:cs="MS Gothic"/>
                <w:sz w:val="16"/>
                <w:szCs w:val="18"/>
              </w:rPr>
            </w:pPr>
          </w:p>
        </w:tc>
      </w:tr>
      <w:tr w:rsidR="006C7843" w:rsidRPr="00B039E6" w14:paraId="20FFEA13" w14:textId="77777777" w:rsidTr="00E97C40">
        <w:tc>
          <w:tcPr>
            <w:tcW w:w="9175" w:type="dxa"/>
            <w:shd w:val="clear" w:color="auto" w:fill="auto"/>
          </w:tcPr>
          <w:p w14:paraId="0E1A4619" w14:textId="77777777" w:rsidR="006C7843" w:rsidRPr="00B039E6" w:rsidRDefault="006C7843" w:rsidP="00B039E6">
            <w:pPr>
              <w:widowControl w:val="0"/>
              <w:spacing w:before="0"/>
              <w:rPr>
                <w:rFonts w:eastAsia="Courier New" w:cs="MS Gothic"/>
                <w:sz w:val="16"/>
                <w:szCs w:val="18"/>
              </w:rPr>
            </w:pPr>
          </w:p>
        </w:tc>
      </w:tr>
      <w:tr w:rsidR="00E97C40" w:rsidRPr="007C6AFD" w14:paraId="1760A990" w14:textId="77777777" w:rsidTr="00B30BC5">
        <w:tc>
          <w:tcPr>
            <w:tcW w:w="9175" w:type="dxa"/>
            <w:shd w:val="clear" w:color="auto" w:fill="EBF3F5"/>
          </w:tcPr>
          <w:p w14:paraId="7255AAB0" w14:textId="78469309" w:rsidR="00E97C40" w:rsidRPr="007C6AFD" w:rsidRDefault="00E97C40" w:rsidP="00E97C40">
            <w:pPr>
              <w:widowControl w:val="0"/>
              <w:rPr>
                <w:rFonts w:eastAsia="Courier New" w:cs="MS Gothic"/>
              </w:rPr>
            </w:pPr>
            <w:r w:rsidRPr="007C6AFD">
              <w:rPr>
                <w:rFonts w:eastAsia="Courier New" w:cs="MS Gothic"/>
              </w:rPr>
              <w:t xml:space="preserve">The </w:t>
            </w:r>
            <w:r w:rsidRPr="007C6AFD">
              <w:rPr>
                <w:rFonts w:eastAsia="Courier New" w:cs="MS Gothic"/>
                <w:b/>
                <w:bCs/>
              </w:rPr>
              <w:t>Northern Territory</w:t>
            </w:r>
            <w:r w:rsidRPr="007C6AFD">
              <w:rPr>
                <w:rFonts w:eastAsia="Courier New" w:cs="MS Gothic"/>
              </w:rPr>
              <w:t>’s increased requirement for GST distribution was mainly driven by its above average expense needs.</w:t>
            </w:r>
            <w:r w:rsidRPr="007C6AFD">
              <w:rPr>
                <w:rFonts w:eastAsia="Courier New" w:cs="MS Gothic"/>
                <w:vertAlign w:val="superscript"/>
              </w:rPr>
              <w:t>4</w:t>
            </w:r>
            <w:r w:rsidRPr="007C6AFD">
              <w:rPr>
                <w:rFonts w:eastAsia="Courier New" w:cs="MS Gothic"/>
              </w:rPr>
              <w:t xml:space="preserve"> </w:t>
            </w:r>
          </w:p>
          <w:p w14:paraId="2F84DEB6" w14:textId="5B8216AD" w:rsidR="00E97C40" w:rsidRPr="007C6AFD" w:rsidRDefault="00E97C40" w:rsidP="00E97C40">
            <w:pPr>
              <w:widowControl w:val="0"/>
              <w:outlineLvl w:val="5"/>
              <w:rPr>
                <w:rFonts w:ascii="Montserrat Semi Bold" w:eastAsiaTheme="majorEastAsia" w:hAnsi="Montserrat Semi Bold" w:cstheme="majorBidi"/>
                <w:i/>
                <w:iCs/>
                <w:color w:val="636466"/>
              </w:rPr>
            </w:pPr>
            <w:r w:rsidRPr="007C6AFD">
              <w:t xml:space="preserve">For all States other than </w:t>
            </w:r>
            <w:r w:rsidRPr="007C6AFD">
              <w:rPr>
                <w:b/>
                <w:bCs/>
              </w:rPr>
              <w:t>Western Australia</w:t>
            </w:r>
            <w:r w:rsidRPr="007C6AFD">
              <w:t xml:space="preserve">, strong </w:t>
            </w:r>
            <w:r w:rsidRPr="007C6AFD">
              <w:rPr>
                <w:rFonts w:eastAsia="Courier New" w:cs="MS Gothic"/>
              </w:rPr>
              <w:t xml:space="preserve">growth in the value of mining production in </w:t>
            </w:r>
            <w:r w:rsidRPr="007C6AFD">
              <w:rPr>
                <w:rFonts w:eastAsia="Courier New" w:cs="MS Gothic"/>
                <w:b/>
                <w:bCs/>
              </w:rPr>
              <w:t>Western Australia</w:t>
            </w:r>
            <w:r w:rsidRPr="007C6AFD">
              <w:rPr>
                <w:rFonts w:eastAsia="Courier New" w:cs="MS Gothic"/>
              </w:rPr>
              <w:t xml:space="preserve"> led to a reduction in their relative ability to raise mining revenue</w:t>
            </w:r>
            <w:r w:rsidRPr="007C6AFD">
              <w:t xml:space="preserve">. This contributed to increasing their relative GST shares. For </w:t>
            </w:r>
            <w:r w:rsidRPr="007C6AFD">
              <w:rPr>
                <w:b/>
                <w:bCs/>
              </w:rPr>
              <w:t>Victoria</w:t>
            </w:r>
            <w:r w:rsidRPr="007C6AFD">
              <w:t xml:space="preserve"> and </w:t>
            </w:r>
            <w:r w:rsidRPr="007C6AFD">
              <w:rPr>
                <w:b/>
                <w:bCs/>
              </w:rPr>
              <w:t>South Australia</w:t>
            </w:r>
            <w:r w:rsidRPr="007C6AFD">
              <w:t xml:space="preserve">, this partially offset the other factors that reduced their shares. </w:t>
            </w:r>
            <w:r w:rsidRPr="007C6AFD">
              <w:rPr>
                <w:rFonts w:eastAsia="Courier New" w:cs="MS Gothic"/>
              </w:rPr>
              <w:t xml:space="preserve">For </w:t>
            </w:r>
            <w:r w:rsidRPr="007C6AFD">
              <w:rPr>
                <w:rFonts w:eastAsia="Courier New" w:cs="MS Gothic"/>
                <w:b/>
                <w:bCs/>
              </w:rPr>
              <w:t>New South Wales</w:t>
            </w:r>
            <w:r w:rsidRPr="007C6AFD">
              <w:rPr>
                <w:rFonts w:eastAsia="Courier New" w:cs="MS Gothic"/>
              </w:rPr>
              <w:t xml:space="preserve">, </w:t>
            </w:r>
            <w:r w:rsidRPr="007C6AFD">
              <w:rPr>
                <w:rFonts w:eastAsia="Courier New" w:cs="MS Gothic"/>
                <w:b/>
                <w:bCs/>
              </w:rPr>
              <w:t>Queensland</w:t>
            </w:r>
            <w:r w:rsidRPr="007C6AFD">
              <w:rPr>
                <w:rFonts w:eastAsia="Courier New" w:cs="MS Gothic"/>
              </w:rPr>
              <w:t xml:space="preserve">, </w:t>
            </w:r>
            <w:r w:rsidRPr="007C6AFD">
              <w:rPr>
                <w:rFonts w:eastAsia="Courier New" w:cs="MS Gothic"/>
                <w:b/>
                <w:bCs/>
              </w:rPr>
              <w:t>Tasmania</w:t>
            </w:r>
            <w:r w:rsidRPr="007C6AFD">
              <w:rPr>
                <w:rFonts w:eastAsia="Courier New" w:cs="MS Gothic"/>
              </w:rPr>
              <w:t xml:space="preserve"> and the </w:t>
            </w:r>
            <w:r w:rsidRPr="007C6AFD">
              <w:rPr>
                <w:rFonts w:eastAsia="Courier New" w:cs="MS Gothic"/>
                <w:b/>
                <w:bCs/>
              </w:rPr>
              <w:t>ACT</w:t>
            </w:r>
            <w:r w:rsidRPr="007C6AFD">
              <w:rPr>
                <w:rFonts w:eastAsia="Courier New" w:cs="MS Gothic"/>
              </w:rPr>
              <w:t xml:space="preserve">, this accentuated growth in their GST shares. In the case of the </w:t>
            </w:r>
            <w:r w:rsidRPr="007C6AFD">
              <w:rPr>
                <w:rFonts w:eastAsia="Courier New" w:cs="MS Gothic"/>
                <w:b/>
                <w:bCs/>
              </w:rPr>
              <w:t>Northern Territory</w:t>
            </w:r>
            <w:r w:rsidRPr="007C6AFD">
              <w:rPr>
                <w:rFonts w:eastAsia="Courier New" w:cs="MS Gothic"/>
              </w:rPr>
              <w:t>, the impact on its relative ability to raise mining revenue was offset by growth in the value of other minerals produced in the Northern Territory.</w:t>
            </w:r>
          </w:p>
        </w:tc>
      </w:tr>
    </w:tbl>
    <w:p w14:paraId="0B432183" w14:textId="7E1EB6B6" w:rsidR="007C6AFD" w:rsidRDefault="007C6AFD" w:rsidP="007C6AFD"/>
    <w:p w14:paraId="58E2E2B6" w14:textId="2FFAD475" w:rsidR="008204B2" w:rsidRDefault="008204B2" w:rsidP="008204B2"/>
    <w:p w14:paraId="44B54B72" w14:textId="2F0C6C45" w:rsidR="003330C1" w:rsidRDefault="003330C1" w:rsidP="008204B2"/>
    <w:p w14:paraId="0AA267D0" w14:textId="06CCE667" w:rsidR="00704365" w:rsidRDefault="00704365" w:rsidP="008204B2"/>
    <w:p w14:paraId="7DAFB337" w14:textId="587B2EDA" w:rsidR="00704365" w:rsidRDefault="00704365" w:rsidP="008204B2"/>
    <w:p w14:paraId="08C1545D" w14:textId="7BCE2E3A" w:rsidR="00704365" w:rsidRDefault="00704365" w:rsidP="008204B2"/>
    <w:p w14:paraId="2FD05AFC" w14:textId="673F4F62" w:rsidR="00704365" w:rsidRDefault="00704365" w:rsidP="008204B2"/>
    <w:p w14:paraId="02D55AA4" w14:textId="4E02F89B" w:rsidR="00704365" w:rsidRDefault="00704365" w:rsidP="008204B2"/>
    <w:p w14:paraId="63082089" w14:textId="49D50A86" w:rsidR="00704365" w:rsidRDefault="00704365" w:rsidP="008204B2"/>
    <w:p w14:paraId="0D019FF5" w14:textId="1262355A" w:rsidR="00704365" w:rsidRDefault="00704365" w:rsidP="008204B2"/>
    <w:p w14:paraId="5CA56BC6" w14:textId="51247FF8" w:rsidR="00704365" w:rsidRDefault="00704365" w:rsidP="008204B2"/>
    <w:p w14:paraId="004E1C4C" w14:textId="4FA042DC" w:rsidR="00704365" w:rsidRDefault="00704365" w:rsidP="008204B2"/>
    <w:p w14:paraId="5231D50D" w14:textId="5CC747DC" w:rsidR="00704365" w:rsidRDefault="00704365" w:rsidP="008204B2"/>
    <w:p w14:paraId="641CB197" w14:textId="3BD5D28F" w:rsidR="00704365" w:rsidRDefault="00704365" w:rsidP="008204B2"/>
    <w:p w14:paraId="14FB9696" w14:textId="12CCBBC8" w:rsidR="00704365" w:rsidRDefault="00704365" w:rsidP="008204B2"/>
    <w:p w14:paraId="534C9F7A" w14:textId="3D8EF186" w:rsidR="00704365" w:rsidRDefault="00704365" w:rsidP="008204B2"/>
    <w:p w14:paraId="2FD4723B" w14:textId="042EFF07" w:rsidR="00704365" w:rsidRDefault="00704365" w:rsidP="008204B2"/>
    <w:p w14:paraId="19FA6EDC" w14:textId="377BB40E" w:rsidR="00704365" w:rsidRDefault="00704365" w:rsidP="008204B2"/>
    <w:p w14:paraId="1FB75787" w14:textId="57A592BC" w:rsidR="00704365" w:rsidRDefault="00704365" w:rsidP="008204B2"/>
    <w:p w14:paraId="05FB1516" w14:textId="0C6497DB" w:rsidR="00704365" w:rsidRDefault="00704365" w:rsidP="008204B2"/>
    <w:p w14:paraId="0A225C24" w14:textId="633591AA" w:rsidR="00704365" w:rsidRDefault="00704365" w:rsidP="008204B2"/>
    <w:p w14:paraId="192216A1" w14:textId="4BCAD93B" w:rsidR="00704365" w:rsidRDefault="00704365" w:rsidP="008204B2"/>
    <w:p w14:paraId="3FFC95DC" w14:textId="580DE233" w:rsidR="00704365" w:rsidRDefault="00704365" w:rsidP="008204B2"/>
    <w:p w14:paraId="27ABB118" w14:textId="00B5B526" w:rsidR="00704365" w:rsidRDefault="00704365" w:rsidP="008204B2"/>
    <w:p w14:paraId="23CF30AD" w14:textId="777BD70A" w:rsidR="00704365" w:rsidRDefault="00704365" w:rsidP="008204B2"/>
    <w:p w14:paraId="02BD4753" w14:textId="77777777" w:rsidR="006C7843" w:rsidRDefault="006C7843" w:rsidP="008204B2"/>
    <w:p w14:paraId="06B20AB1" w14:textId="6D069189" w:rsidR="00BB472B" w:rsidRPr="004A4C99" w:rsidRDefault="005D4F04" w:rsidP="00704365">
      <w:pPr>
        <w:pStyle w:val="Caption"/>
        <w:keepNext w:val="0"/>
        <w:keepLines w:val="0"/>
        <w:widowControl w:val="0"/>
        <w:spacing w:before="120" w:after="0"/>
        <w:jc w:val="center"/>
      </w:pPr>
      <w:r w:rsidRPr="008E3EBC">
        <w:t>For more information, see the 2021 Update report</w:t>
      </w:r>
    </w:p>
    <w:sectPr w:rsidR="00BB472B" w:rsidRPr="004A4C99" w:rsidSect="00786444">
      <w:headerReference w:type="default" r:id="rId11"/>
      <w:footerReference w:type="default" r:id="rId12"/>
      <w:headerReference w:type="first" r:id="rId13"/>
      <w:footerReference w:type="first" r:id="rId14"/>
      <w:pgSz w:w="11899" w:h="16838" w:code="9"/>
      <w:pgMar w:top="1361" w:right="1418" w:bottom="1134" w:left="1418" w:header="567" w:footer="45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6844A6" w14:textId="77777777" w:rsidR="007239D8" w:rsidRDefault="007239D8">
      <w:r>
        <w:separator/>
      </w:r>
    </w:p>
  </w:endnote>
  <w:endnote w:type="continuationSeparator" w:id="0">
    <w:p w14:paraId="6934BEF0" w14:textId="77777777" w:rsidR="007239D8" w:rsidRDefault="007239D8">
      <w:r>
        <w:continuationSeparator/>
      </w:r>
    </w:p>
  </w:endnote>
  <w:endnote w:type="continuationNotice" w:id="1">
    <w:p w14:paraId="08D229F5" w14:textId="77777777" w:rsidR="007239D8" w:rsidRDefault="007239D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Ultra Light">
    <w:panose1 w:val="000003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ontserrat Extra Bold">
    <w:panose1 w:val="00000900000000000000"/>
    <w:charset w:val="00"/>
    <w:family w:val="modern"/>
    <w:notTrueType/>
    <w:pitch w:val="variable"/>
    <w:sig w:usb0="00000007" w:usb1="00000000" w:usb2="00000000" w:usb3="00000000" w:csb0="00000093" w:csb1="00000000"/>
  </w:font>
  <w:font w:name="Montserrat Semi Bold">
    <w:panose1 w:val="00000700000000000000"/>
    <w:charset w:val="00"/>
    <w:family w:val="modern"/>
    <w:notTrueType/>
    <w:pitch w:val="variable"/>
    <w:sig w:usb0="00000007" w:usb1="00000000" w:usb2="00000000" w:usb3="00000000" w:csb0="00000093" w:csb1="00000000"/>
  </w:font>
  <w:font w:name="Montserrat Light">
    <w:panose1 w:val="00000400000000000000"/>
    <w:charset w:val="00"/>
    <w:family w:val="auto"/>
    <w:pitch w:val="variable"/>
    <w:sig w:usb0="20000207" w:usb1="00000000" w:usb2="00000000" w:usb3="00000000" w:csb0="00000197" w:csb1="00000000"/>
  </w:font>
  <w:font w:name="Open Sans Semibold">
    <w:panose1 w:val="020B07060308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EF8C7" w14:textId="6493E6B9" w:rsidR="00AB1A13" w:rsidRPr="00061222" w:rsidRDefault="001F76E7" w:rsidP="002C43E1">
    <w:pPr>
      <w:pStyle w:val="Footer"/>
      <w:pBdr>
        <w:top w:val="single" w:sz="12" w:space="1" w:color="004563"/>
      </w:pBdr>
      <w:tabs>
        <w:tab w:val="clear" w:pos="567"/>
        <w:tab w:val="clear" w:pos="4513"/>
        <w:tab w:val="clear" w:pos="9026"/>
        <w:tab w:val="right" w:pos="851"/>
      </w:tabs>
      <w:ind w:left="0" w:right="0"/>
      <w:jc w:val="left"/>
      <w:rPr>
        <w:rFonts w:ascii="Montserrat Semi Bold" w:hAnsi="Montserrat Semi Bold"/>
        <w:b w:val="0"/>
        <w:bCs/>
        <w:sz w:val="22"/>
        <w:szCs w:val="24"/>
        <w:lang w:val="en-US"/>
      </w:rPr>
    </w:pPr>
    <w:r>
      <w:rPr>
        <w:rFonts w:ascii="Montserrat Semi Bold" w:hAnsi="Montserrat Semi Bold"/>
        <w:b w:val="0"/>
        <w:bCs/>
        <w:sz w:val="22"/>
        <w:szCs w:val="24"/>
        <w:lang w:val="en-US"/>
      </w:rPr>
      <w:t>2021 Update</w:t>
    </w:r>
    <w:r w:rsidR="00690104">
      <w:rPr>
        <w:rFonts w:ascii="Montserrat Semi Bold" w:hAnsi="Montserrat Semi Bold"/>
        <w:b w:val="0"/>
        <w:bCs/>
        <w:sz w:val="22"/>
        <w:szCs w:val="24"/>
        <w:lang w:val="en-US"/>
      </w:rPr>
      <w:t xml:space="preserve"> — </w:t>
    </w:r>
    <w:r w:rsidR="007C6AFD">
      <w:rPr>
        <w:rFonts w:ascii="Montserrat Semi Bold" w:hAnsi="Montserrat Semi Bold"/>
        <w:b w:val="0"/>
        <w:bCs/>
        <w:sz w:val="22"/>
        <w:szCs w:val="24"/>
        <w:lang w:val="en-US"/>
      </w:rPr>
      <w:t>Executive</w:t>
    </w:r>
    <w:r w:rsidR="00690104">
      <w:rPr>
        <w:rFonts w:ascii="Montserrat Semi Bold" w:hAnsi="Montserrat Semi Bold"/>
        <w:b w:val="0"/>
        <w:bCs/>
        <w:sz w:val="22"/>
        <w:szCs w:val="24"/>
        <w:lang w:val="en-US"/>
      </w:rPr>
      <w:t xml:space="preserve"> </w:t>
    </w:r>
    <w:r w:rsidR="00D75003">
      <w:rPr>
        <w:rFonts w:ascii="Montserrat Semi Bold" w:hAnsi="Montserrat Semi Bold"/>
        <w:b w:val="0"/>
        <w:bCs/>
        <w:sz w:val="22"/>
        <w:szCs w:val="24"/>
        <w:lang w:val="en-US"/>
      </w:rPr>
      <w:t>summary</w:t>
    </w:r>
    <w:r w:rsidR="00690104">
      <w:rPr>
        <w:rFonts w:ascii="Montserrat Semi Bold" w:hAnsi="Montserrat Semi Bold"/>
        <w:b w:val="0"/>
        <w:bCs/>
        <w:sz w:val="22"/>
        <w:szCs w:val="24"/>
        <w:lang w:val="en-US"/>
      </w:rPr>
      <w:tab/>
    </w:r>
    <w:r w:rsidR="00690104">
      <w:rPr>
        <w:rFonts w:ascii="Montserrat Semi Bold" w:hAnsi="Montserrat Semi Bold"/>
        <w:b w:val="0"/>
        <w:bCs/>
        <w:sz w:val="22"/>
        <w:szCs w:val="24"/>
        <w:lang w:val="en-US"/>
      </w:rPr>
      <w:tab/>
    </w:r>
    <w:r w:rsidR="00690104">
      <w:rPr>
        <w:rFonts w:ascii="Montserrat Semi Bold" w:hAnsi="Montserrat Semi Bold"/>
        <w:b w:val="0"/>
        <w:bCs/>
        <w:sz w:val="22"/>
        <w:szCs w:val="24"/>
        <w:lang w:val="en-US"/>
      </w:rPr>
      <w:tab/>
    </w:r>
    <w:r w:rsidR="007C6AFD">
      <w:rPr>
        <w:rFonts w:ascii="Montserrat Semi Bold" w:hAnsi="Montserrat Semi Bold"/>
        <w:b w:val="0"/>
        <w:bCs/>
        <w:sz w:val="22"/>
        <w:szCs w:val="24"/>
        <w:lang w:val="en-US"/>
      </w:rPr>
      <w:tab/>
    </w:r>
    <w:r w:rsidR="00061222">
      <w:rPr>
        <w:rFonts w:ascii="Montserrat Semi Bold" w:hAnsi="Montserrat Semi Bold"/>
        <w:b w:val="0"/>
        <w:bCs/>
        <w:sz w:val="22"/>
        <w:szCs w:val="24"/>
        <w:lang w:val="en-US"/>
      </w:rPr>
      <w:t>cgc.gov.a</w:t>
    </w:r>
    <w:r w:rsidR="00BD397F">
      <w:rPr>
        <w:rFonts w:ascii="Montserrat Semi Bold" w:hAnsi="Montserrat Semi Bold"/>
        <w:b w:val="0"/>
        <w:bCs/>
        <w:sz w:val="22"/>
        <w:szCs w:val="24"/>
        <w:lang w:val="en-US"/>
      </w:rPr>
      <w:t>u</w:t>
    </w:r>
    <w:r w:rsidR="00BD397F">
      <w:rPr>
        <w:rFonts w:ascii="Montserrat Semi Bold" w:hAnsi="Montserrat Semi Bold"/>
        <w:b w:val="0"/>
        <w:bCs/>
        <w:sz w:val="22"/>
        <w:szCs w:val="24"/>
        <w:lang w:val="en-US"/>
      </w:rPr>
      <w:tab/>
      <w:t xml:space="preserve">       page </w:t>
    </w:r>
    <w:r w:rsidR="00BD397F" w:rsidRPr="00BD397F">
      <w:rPr>
        <w:rFonts w:ascii="Montserrat Semi Bold" w:hAnsi="Montserrat Semi Bold"/>
        <w:b w:val="0"/>
        <w:bCs/>
        <w:sz w:val="22"/>
        <w:szCs w:val="24"/>
        <w:lang w:val="en-US"/>
      </w:rPr>
      <w:fldChar w:fldCharType="begin"/>
    </w:r>
    <w:r w:rsidR="00BD397F" w:rsidRPr="00BD397F">
      <w:rPr>
        <w:rFonts w:ascii="Montserrat Semi Bold" w:hAnsi="Montserrat Semi Bold"/>
        <w:b w:val="0"/>
        <w:bCs/>
        <w:sz w:val="22"/>
        <w:szCs w:val="24"/>
        <w:lang w:val="en-US"/>
      </w:rPr>
      <w:instrText xml:space="preserve"> PAGE   \* MERGEFORMAT </w:instrText>
    </w:r>
    <w:r w:rsidR="00BD397F" w:rsidRPr="00BD397F">
      <w:rPr>
        <w:rFonts w:ascii="Montserrat Semi Bold" w:hAnsi="Montserrat Semi Bold"/>
        <w:b w:val="0"/>
        <w:bCs/>
        <w:sz w:val="22"/>
        <w:szCs w:val="24"/>
        <w:lang w:val="en-US"/>
      </w:rPr>
      <w:fldChar w:fldCharType="separate"/>
    </w:r>
    <w:r w:rsidR="00BD397F" w:rsidRPr="00BD397F">
      <w:rPr>
        <w:rFonts w:ascii="Montserrat Semi Bold" w:hAnsi="Montserrat Semi Bold"/>
        <w:b w:val="0"/>
        <w:bCs/>
        <w:noProof/>
        <w:sz w:val="22"/>
        <w:szCs w:val="24"/>
        <w:lang w:val="en-US"/>
      </w:rPr>
      <w:t>1</w:t>
    </w:r>
    <w:r w:rsidR="00BD397F" w:rsidRPr="00BD397F">
      <w:rPr>
        <w:rFonts w:ascii="Montserrat Semi Bold" w:hAnsi="Montserrat Semi Bold"/>
        <w:b w:val="0"/>
        <w:bCs/>
        <w:noProof/>
        <w:sz w:val="22"/>
        <w:szCs w:val="24"/>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33E33" w14:textId="6A7206E0" w:rsidR="00690104" w:rsidRPr="002478F7" w:rsidRDefault="00690104" w:rsidP="00690104">
    <w:pPr>
      <w:pStyle w:val="Footer"/>
      <w:pBdr>
        <w:top w:val="single" w:sz="24" w:space="1" w:color="004563"/>
      </w:pBdr>
      <w:tabs>
        <w:tab w:val="clear" w:pos="567"/>
        <w:tab w:val="clear" w:pos="4513"/>
        <w:tab w:val="clear" w:pos="9026"/>
        <w:tab w:val="right" w:pos="851"/>
      </w:tabs>
      <w:ind w:left="0" w:right="0"/>
      <w:jc w:val="left"/>
      <w:rPr>
        <w:rFonts w:ascii="Montserrat Semi Bold" w:hAnsi="Montserrat Semi Bold"/>
        <w:b w:val="0"/>
        <w:bCs/>
        <w:sz w:val="22"/>
        <w:szCs w:val="24"/>
        <w:lang w:val="en-US"/>
      </w:rPr>
    </w:pPr>
    <w:r>
      <w:rPr>
        <w:rFonts w:ascii="Montserrat Semi Bold" w:hAnsi="Montserrat Semi Bold"/>
        <w:b w:val="0"/>
        <w:bCs/>
        <w:sz w:val="22"/>
        <w:szCs w:val="24"/>
        <w:lang w:val="en-US"/>
      </w:rPr>
      <w:t xml:space="preserve">2020 Review — New South Wales </w:t>
    </w:r>
    <w:r w:rsidR="00D75003">
      <w:rPr>
        <w:rFonts w:ascii="Montserrat Semi Bold" w:hAnsi="Montserrat Semi Bold"/>
        <w:b w:val="0"/>
        <w:bCs/>
        <w:sz w:val="22"/>
        <w:szCs w:val="24"/>
        <w:lang w:val="en-US"/>
      </w:rPr>
      <w:t>summary</w:t>
    </w:r>
    <w:r>
      <w:rPr>
        <w:rFonts w:ascii="Montserrat Semi Bold" w:hAnsi="Montserrat Semi Bold"/>
        <w:b w:val="0"/>
        <w:bCs/>
        <w:sz w:val="22"/>
        <w:szCs w:val="24"/>
        <w:lang w:val="en-US"/>
      </w:rPr>
      <w:tab/>
    </w:r>
    <w:r>
      <w:rPr>
        <w:rFonts w:ascii="Montserrat Semi Bold" w:hAnsi="Montserrat Semi Bold"/>
        <w:b w:val="0"/>
        <w:bCs/>
        <w:sz w:val="22"/>
        <w:szCs w:val="24"/>
        <w:lang w:val="en-US"/>
      </w:rPr>
      <w:tab/>
    </w:r>
    <w:r>
      <w:rPr>
        <w:rFonts w:ascii="Montserrat Semi Bold" w:hAnsi="Montserrat Semi Bold"/>
        <w:b w:val="0"/>
        <w:bCs/>
        <w:sz w:val="22"/>
        <w:szCs w:val="24"/>
        <w:lang w:val="en-US"/>
      </w:rPr>
      <w:tab/>
    </w:r>
    <w:r>
      <w:rPr>
        <w:rFonts w:ascii="Montserrat Semi Bold" w:hAnsi="Montserrat Semi Bold"/>
        <w:b w:val="0"/>
        <w:bCs/>
        <w:sz w:val="22"/>
        <w:szCs w:val="24"/>
        <w:lang w:val="en-US"/>
      </w:rPr>
      <w:tab/>
    </w:r>
    <w:r>
      <w:rPr>
        <w:rFonts w:ascii="Montserrat Semi Bold" w:hAnsi="Montserrat Semi Bold"/>
        <w:b w:val="0"/>
        <w:bCs/>
        <w:sz w:val="22"/>
        <w:szCs w:val="24"/>
        <w:lang w:val="en-US"/>
      </w:rPr>
      <w:tab/>
    </w:r>
    <w:r>
      <w:rPr>
        <w:rFonts w:ascii="Montserrat Semi Bold" w:hAnsi="Montserrat Semi Bold"/>
        <w:b w:val="0"/>
        <w:bCs/>
        <w:sz w:val="22"/>
        <w:szCs w:val="24"/>
        <w:lang w:val="en-US"/>
      </w:rPr>
      <w:tab/>
      <w:t xml:space="preserve">     </w:t>
    </w:r>
    <w:r w:rsidRPr="004C12B4">
      <w:rPr>
        <w:rFonts w:ascii="Montserrat Semi Bold" w:hAnsi="Montserrat Semi Bold"/>
        <w:b w:val="0"/>
        <w:bCs/>
        <w:sz w:val="22"/>
        <w:szCs w:val="24"/>
        <w:lang w:val="en-US"/>
      </w:rPr>
      <w:fldChar w:fldCharType="begin"/>
    </w:r>
    <w:r w:rsidRPr="004C12B4">
      <w:rPr>
        <w:rFonts w:ascii="Montserrat Semi Bold" w:hAnsi="Montserrat Semi Bold"/>
        <w:b w:val="0"/>
        <w:bCs/>
        <w:sz w:val="22"/>
        <w:szCs w:val="24"/>
        <w:lang w:val="en-US"/>
      </w:rPr>
      <w:instrText xml:space="preserve"> PAGE   \* MERGEFORMAT </w:instrText>
    </w:r>
    <w:r w:rsidRPr="004C12B4">
      <w:rPr>
        <w:rFonts w:ascii="Montserrat Semi Bold" w:hAnsi="Montserrat Semi Bold"/>
        <w:b w:val="0"/>
        <w:bCs/>
        <w:sz w:val="22"/>
        <w:szCs w:val="24"/>
        <w:lang w:val="en-US"/>
      </w:rPr>
      <w:fldChar w:fldCharType="separate"/>
    </w:r>
    <w:r>
      <w:rPr>
        <w:rFonts w:ascii="Montserrat Semi Bold" w:hAnsi="Montserrat Semi Bold"/>
        <w:b w:val="0"/>
        <w:bCs/>
        <w:sz w:val="22"/>
        <w:szCs w:val="24"/>
        <w:lang w:val="en-US"/>
      </w:rPr>
      <w:t>2</w:t>
    </w:r>
    <w:r w:rsidRPr="004C12B4">
      <w:rPr>
        <w:rFonts w:ascii="Montserrat Semi Bold" w:hAnsi="Montserrat Semi Bold"/>
        <w:b w:val="0"/>
        <w:bCs/>
        <w:noProof/>
        <w:sz w:val="22"/>
        <w:szCs w:val="24"/>
        <w:lang w:val="en-US"/>
      </w:rPr>
      <w:fldChar w:fldCharType="end"/>
    </w:r>
  </w:p>
  <w:p w14:paraId="3F8D8BF6" w14:textId="39826681" w:rsidR="002F2AE2" w:rsidRPr="00690104" w:rsidRDefault="002F2AE2" w:rsidP="00690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D6B017" w14:textId="77777777" w:rsidR="007239D8" w:rsidRPr="00201B3A" w:rsidRDefault="007239D8" w:rsidP="00B039E6">
      <w:pPr>
        <w:spacing w:before="0"/>
        <w:rPr>
          <w:color w:val="ADD6EA"/>
        </w:rPr>
      </w:pPr>
    </w:p>
  </w:footnote>
  <w:footnote w:type="continuationSeparator" w:id="0">
    <w:p w14:paraId="35A8A8C5" w14:textId="77777777" w:rsidR="007239D8" w:rsidRDefault="007239D8">
      <w:r>
        <w:continuationSeparator/>
      </w:r>
    </w:p>
  </w:footnote>
  <w:footnote w:type="continuationNotice" w:id="1">
    <w:p w14:paraId="3F82244D" w14:textId="77777777" w:rsidR="007239D8" w:rsidRDefault="007239D8">
      <w:pPr>
        <w:spacing w:before="0" w:line="240" w:lineRule="auto"/>
      </w:pPr>
    </w:p>
  </w:footnote>
  <w:footnote w:id="2">
    <w:p w14:paraId="29696387" w14:textId="77777777" w:rsidR="007C6AFD" w:rsidRDefault="007C6AFD" w:rsidP="007C6AFD">
      <w:pPr>
        <w:pStyle w:val="FootnoteText"/>
      </w:pPr>
      <w:r>
        <w:rPr>
          <w:rStyle w:val="FootnoteReference"/>
        </w:rPr>
        <w:footnoteRef/>
      </w:r>
      <w:r>
        <w:t xml:space="preserve"> </w:t>
      </w:r>
      <w:r>
        <w:tab/>
      </w:r>
      <w:r w:rsidRPr="00AB5B45">
        <w:rPr>
          <w:i/>
        </w:rPr>
        <w:t>Treasury Laws Amendment (Making sure every State and Territory gets their Fair Share of GST) Act 2018</w:t>
      </w:r>
      <w:r>
        <w:rPr>
          <w:i/>
        </w:rPr>
        <w:t>.</w:t>
      </w:r>
    </w:p>
  </w:footnote>
  <w:footnote w:id="3">
    <w:p w14:paraId="4B1BE9B7" w14:textId="77777777" w:rsidR="007C6AFD" w:rsidRDefault="007C6AFD" w:rsidP="007C6AFD">
      <w:pPr>
        <w:pStyle w:val="FootnoteText"/>
      </w:pPr>
      <w:r>
        <w:rPr>
          <w:rStyle w:val="FootnoteReference"/>
        </w:rPr>
        <w:footnoteRef/>
      </w:r>
      <w:r>
        <w:t xml:space="preserve"> </w:t>
      </w:r>
      <w:r>
        <w:tab/>
        <w:t xml:space="preserve">A relativity is a </w:t>
      </w:r>
      <w:r w:rsidRPr="00B81121">
        <w:t xml:space="preserve">per capita weight </w:t>
      </w:r>
      <w:r>
        <w:t xml:space="preserve">calculated </w:t>
      </w:r>
      <w:r w:rsidRPr="00B81121">
        <w:t>by the Commission</w:t>
      </w:r>
      <w:r>
        <w:t>. It is used to allocate States’ shares of the GST</w:t>
      </w:r>
      <w:r w:rsidRPr="00B81121">
        <w:t xml:space="preserve"> pool. </w:t>
      </w:r>
    </w:p>
  </w:footnote>
  <w:footnote w:id="4">
    <w:p w14:paraId="1EBFDDD5" w14:textId="77777777" w:rsidR="003330C1" w:rsidRDefault="003330C1" w:rsidP="003330C1">
      <w:pPr>
        <w:pStyle w:val="FootnoteText"/>
      </w:pPr>
      <w:r>
        <w:rPr>
          <w:rStyle w:val="FootnoteReference"/>
        </w:rPr>
        <w:footnoteRef/>
      </w:r>
      <w:r>
        <w:t xml:space="preserve"> </w:t>
      </w:r>
      <w:r>
        <w:tab/>
        <w:t>However, the Commission consulted with States on COVID-19 and this will inform its assessments in future years.</w:t>
      </w:r>
    </w:p>
  </w:footnote>
  <w:footnote w:id="5">
    <w:p w14:paraId="35CC1D9A" w14:textId="77777777" w:rsidR="0096098C" w:rsidRDefault="0096098C" w:rsidP="0096098C">
      <w:pPr>
        <w:pStyle w:val="FootnoteText"/>
      </w:pPr>
      <w:r>
        <w:rPr>
          <w:rStyle w:val="FootnoteReference"/>
        </w:rPr>
        <w:footnoteRef/>
      </w:r>
      <w:r>
        <w:t xml:space="preserve"> </w:t>
      </w:r>
      <w:r>
        <w:tab/>
        <w:t xml:space="preserve">The reduction in GST revenue in 2019-20, along with high growth in States’ spending, has meant that States </w:t>
      </w:r>
      <w:r w:rsidRPr="0029319D">
        <w:t>with expense needs</w:t>
      </w:r>
      <w:r>
        <w:t xml:space="preserve"> below average (such as </w:t>
      </w:r>
      <w:r w:rsidRPr="0029319D">
        <w:t>Victoria and the ACT</w:t>
      </w:r>
      <w:r>
        <w:t xml:space="preserve">) were assessed as requiring a lower share of the GST pool than otherwise. </w:t>
      </w:r>
      <w:r w:rsidRPr="0029319D">
        <w:t xml:space="preserve">States with </w:t>
      </w:r>
      <w:r>
        <w:t xml:space="preserve">expense needs </w:t>
      </w:r>
      <w:r w:rsidRPr="0029319D">
        <w:t xml:space="preserve">above average </w:t>
      </w:r>
      <w:r>
        <w:t>(</w:t>
      </w:r>
      <w:r w:rsidRPr="0029319D">
        <w:t>such as the Northern Territory and Tasmania</w:t>
      </w:r>
      <w:r>
        <w:t xml:space="preserve">) were assessed as requiring a larger share of the GST pool than otherwise. </w:t>
      </w:r>
      <w:r w:rsidRPr="00A8778C">
        <w:t xml:space="preserve">This </w:t>
      </w:r>
      <w:r>
        <w:t>is because</w:t>
      </w:r>
      <w:r w:rsidRPr="00A8778C">
        <w:t xml:space="preserve"> the proportion of the GST pool required to enable States to cover their assessed expenses and equalise their fiscal capacities increase</w:t>
      </w:r>
      <w:r>
        <w:t>d</w:t>
      </w:r>
      <w:r w:rsidRPr="00A8778C">
        <w:t>, with the result that less can be distributed on an equal per capita basis.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27182" w14:textId="77777777" w:rsidR="00061222" w:rsidRDefault="00061222" w:rsidP="00061222">
    <w:pPr>
      <w:pStyle w:val="Header"/>
      <w:tabs>
        <w:tab w:val="left" w:pos="2028"/>
      </w:tabs>
      <w:spacing w:before="200"/>
    </w:pPr>
  </w:p>
  <w:p w14:paraId="6EA8EA3B" w14:textId="146C4841" w:rsidR="009D5534" w:rsidRPr="00061222" w:rsidRDefault="00061222" w:rsidP="002C43E1">
    <w:pPr>
      <w:pStyle w:val="Header"/>
      <w:pBdr>
        <w:bottom w:val="single" w:sz="12" w:space="1" w:color="004563"/>
      </w:pBdr>
      <w:spacing w:before="200"/>
      <w:jc w:val="center"/>
    </w:pPr>
    <w:r>
      <w:rPr>
        <w:noProof/>
      </w:rPr>
      <w:drawing>
        <wp:anchor distT="0" distB="0" distL="114300" distR="114300" simplePos="0" relativeHeight="251656192" behindDoc="1" locked="0" layoutInCell="1" allowOverlap="1" wp14:anchorId="3CED6F1C" wp14:editId="7BCC64C7">
          <wp:simplePos x="0" y="0"/>
          <wp:positionH relativeFrom="column">
            <wp:posOffset>1140511</wp:posOffset>
          </wp:positionH>
          <wp:positionV relativeFrom="topMargin">
            <wp:posOffset>252095</wp:posOffset>
          </wp:positionV>
          <wp:extent cx="3427200" cy="648000"/>
          <wp:effectExtent l="0" t="0" r="1905" b="0"/>
          <wp:wrapNone/>
          <wp:docPr id="7" name="Picture 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GC_Crest_Inline_CGC_Blue_1(200mm).jpg"/>
                  <pic:cNvPicPr/>
                </pic:nvPicPr>
                <pic:blipFill>
                  <a:blip r:embed="rId1">
                    <a:extLst>
                      <a:ext uri="{28A0092B-C50C-407E-A947-70E740481C1C}">
                        <a14:useLocalDpi xmlns:a14="http://schemas.microsoft.com/office/drawing/2010/main" val="0"/>
                      </a:ext>
                    </a:extLst>
                  </a:blip>
                  <a:stretch>
                    <a:fillRect/>
                  </a:stretch>
                </pic:blipFill>
                <pic:spPr>
                  <a:xfrm>
                    <a:off x="0" y="0"/>
                    <a:ext cx="34272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BE5E8" w14:textId="15D05562" w:rsidR="000349FF" w:rsidRDefault="000349FF" w:rsidP="009076A2">
    <w:pPr>
      <w:pStyle w:val="Header"/>
      <w:tabs>
        <w:tab w:val="left" w:pos="2028"/>
      </w:tabs>
      <w:spacing w:before="200"/>
    </w:pPr>
  </w:p>
  <w:p w14:paraId="481C3F99" w14:textId="6E00ED48" w:rsidR="002F2AE2" w:rsidRDefault="001B6448" w:rsidP="000349FF">
    <w:pPr>
      <w:pStyle w:val="Header"/>
      <w:pBdr>
        <w:bottom w:val="single" w:sz="24" w:space="1" w:color="004563"/>
      </w:pBdr>
      <w:spacing w:before="200"/>
      <w:jc w:val="center"/>
    </w:pPr>
    <w:r>
      <w:rPr>
        <w:noProof/>
      </w:rPr>
      <w:drawing>
        <wp:anchor distT="0" distB="0" distL="114300" distR="114300" simplePos="0" relativeHeight="251658240" behindDoc="1" locked="0" layoutInCell="1" allowOverlap="1" wp14:anchorId="4D8D66DF" wp14:editId="04319361">
          <wp:simplePos x="0" y="0"/>
          <wp:positionH relativeFrom="column">
            <wp:posOffset>1140511</wp:posOffset>
          </wp:positionH>
          <wp:positionV relativeFrom="topMargin">
            <wp:posOffset>252095</wp:posOffset>
          </wp:positionV>
          <wp:extent cx="3427200" cy="648000"/>
          <wp:effectExtent l="0" t="0" r="1905" b="0"/>
          <wp:wrapNone/>
          <wp:docPr id="8" name="Picture 8"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GC_Crest_Inline_CGC_Blue_1(200mm).jpg"/>
                  <pic:cNvPicPr/>
                </pic:nvPicPr>
                <pic:blipFill>
                  <a:blip r:embed="rId1">
                    <a:extLst>
                      <a:ext uri="{28A0092B-C50C-407E-A947-70E740481C1C}">
                        <a14:useLocalDpi xmlns:a14="http://schemas.microsoft.com/office/drawing/2010/main" val="0"/>
                      </a:ext>
                    </a:extLst>
                  </a:blip>
                  <a:stretch>
                    <a:fillRect/>
                  </a:stretch>
                </pic:blipFill>
                <pic:spPr>
                  <a:xfrm>
                    <a:off x="0" y="0"/>
                    <a:ext cx="34272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A7E6E2E"/>
    <w:lvl w:ilvl="0">
      <w:start w:val="1"/>
      <w:numFmt w:val="decimal"/>
      <w:lvlText w:val="%1."/>
      <w:lvlJc w:val="left"/>
      <w:pPr>
        <w:tabs>
          <w:tab w:val="num" w:pos="1492"/>
        </w:tabs>
        <w:ind w:left="1492" w:hanging="360"/>
      </w:pPr>
    </w:lvl>
  </w:abstractNum>
  <w:abstractNum w:abstractNumId="1" w15:restartNumberingAfterBreak="0">
    <w:nsid w:val="FFFFFF7D"/>
    <w:multiLevelType w:val="multilevel"/>
    <w:tmpl w:val="0458F1CA"/>
    <w:lvl w:ilvl="0">
      <w:start w:val="1"/>
      <w:numFmt w:val="decimal"/>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0354E828"/>
    <w:lvl w:ilvl="0">
      <w:start w:val="1"/>
      <w:numFmt w:val="decimal"/>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84E2530C"/>
    <w:lvl w:ilvl="0">
      <w:start w:val="1"/>
      <w:numFmt w:val="decimal"/>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hybridMultilevel"/>
    <w:tmpl w:val="9B662458"/>
    <w:lvl w:ilvl="0" w:tplc="009838EC">
      <w:start w:val="1"/>
      <w:numFmt w:val="bullet"/>
      <w:lvlText w:val=""/>
      <w:lvlJc w:val="left"/>
      <w:pPr>
        <w:tabs>
          <w:tab w:val="num" w:pos="1492"/>
        </w:tabs>
        <w:ind w:left="1492" w:hanging="360"/>
      </w:pPr>
      <w:rPr>
        <w:rFonts w:ascii="Symbol" w:hAnsi="Symbol" w:hint="default"/>
      </w:rPr>
    </w:lvl>
    <w:lvl w:ilvl="1" w:tplc="099AB190">
      <w:numFmt w:val="decimal"/>
      <w:lvlText w:val=""/>
      <w:lvlJc w:val="left"/>
    </w:lvl>
    <w:lvl w:ilvl="2" w:tplc="6BD431B2">
      <w:numFmt w:val="decimal"/>
      <w:lvlText w:val=""/>
      <w:lvlJc w:val="left"/>
    </w:lvl>
    <w:lvl w:ilvl="3" w:tplc="C3F65406">
      <w:numFmt w:val="decimal"/>
      <w:lvlText w:val=""/>
      <w:lvlJc w:val="left"/>
    </w:lvl>
    <w:lvl w:ilvl="4" w:tplc="03460AD6">
      <w:numFmt w:val="decimal"/>
      <w:lvlText w:val=""/>
      <w:lvlJc w:val="left"/>
    </w:lvl>
    <w:lvl w:ilvl="5" w:tplc="164E368A">
      <w:numFmt w:val="decimal"/>
      <w:lvlText w:val=""/>
      <w:lvlJc w:val="left"/>
    </w:lvl>
    <w:lvl w:ilvl="6" w:tplc="A290107A">
      <w:numFmt w:val="decimal"/>
      <w:lvlText w:val=""/>
      <w:lvlJc w:val="left"/>
    </w:lvl>
    <w:lvl w:ilvl="7" w:tplc="7832BBF2">
      <w:numFmt w:val="decimal"/>
      <w:lvlText w:val=""/>
      <w:lvlJc w:val="left"/>
    </w:lvl>
    <w:lvl w:ilvl="8" w:tplc="E21CE4E6">
      <w:numFmt w:val="decimal"/>
      <w:lvlText w:val=""/>
      <w:lvlJc w:val="left"/>
    </w:lvl>
  </w:abstractNum>
  <w:abstractNum w:abstractNumId="5" w15:restartNumberingAfterBreak="0">
    <w:nsid w:val="FFFFFF81"/>
    <w:multiLevelType w:val="hybridMultilevel"/>
    <w:tmpl w:val="4B1CD802"/>
    <w:lvl w:ilvl="0" w:tplc="AE441AA8">
      <w:start w:val="1"/>
      <w:numFmt w:val="bullet"/>
      <w:lvlText w:val=""/>
      <w:lvlJc w:val="left"/>
      <w:pPr>
        <w:tabs>
          <w:tab w:val="num" w:pos="1209"/>
        </w:tabs>
        <w:ind w:left="1209" w:hanging="360"/>
      </w:pPr>
      <w:rPr>
        <w:rFonts w:ascii="Symbol" w:hAnsi="Symbol" w:hint="default"/>
      </w:rPr>
    </w:lvl>
    <w:lvl w:ilvl="1" w:tplc="16B8E9C2">
      <w:numFmt w:val="decimal"/>
      <w:lvlText w:val=""/>
      <w:lvlJc w:val="left"/>
    </w:lvl>
    <w:lvl w:ilvl="2" w:tplc="683E90FC">
      <w:numFmt w:val="decimal"/>
      <w:lvlText w:val=""/>
      <w:lvlJc w:val="left"/>
    </w:lvl>
    <w:lvl w:ilvl="3" w:tplc="B3BCA75C">
      <w:numFmt w:val="decimal"/>
      <w:lvlText w:val=""/>
      <w:lvlJc w:val="left"/>
    </w:lvl>
    <w:lvl w:ilvl="4" w:tplc="0E86AD10">
      <w:numFmt w:val="decimal"/>
      <w:lvlText w:val=""/>
      <w:lvlJc w:val="left"/>
    </w:lvl>
    <w:lvl w:ilvl="5" w:tplc="D73EEAD6">
      <w:numFmt w:val="decimal"/>
      <w:lvlText w:val=""/>
      <w:lvlJc w:val="left"/>
    </w:lvl>
    <w:lvl w:ilvl="6" w:tplc="AFC83142">
      <w:numFmt w:val="decimal"/>
      <w:lvlText w:val=""/>
      <w:lvlJc w:val="left"/>
    </w:lvl>
    <w:lvl w:ilvl="7" w:tplc="25D4A930">
      <w:numFmt w:val="decimal"/>
      <w:lvlText w:val=""/>
      <w:lvlJc w:val="left"/>
    </w:lvl>
    <w:lvl w:ilvl="8" w:tplc="FFE8F1E8">
      <w:numFmt w:val="decimal"/>
      <w:lvlText w:val=""/>
      <w:lvlJc w:val="left"/>
    </w:lvl>
  </w:abstractNum>
  <w:abstractNum w:abstractNumId="6" w15:restartNumberingAfterBreak="0">
    <w:nsid w:val="FFFFFF82"/>
    <w:multiLevelType w:val="hybridMultilevel"/>
    <w:tmpl w:val="E1FADDEA"/>
    <w:lvl w:ilvl="0" w:tplc="4A8AF710">
      <w:start w:val="1"/>
      <w:numFmt w:val="bullet"/>
      <w:lvlText w:val=""/>
      <w:lvlJc w:val="left"/>
      <w:pPr>
        <w:tabs>
          <w:tab w:val="num" w:pos="926"/>
        </w:tabs>
        <w:ind w:left="926" w:hanging="360"/>
      </w:pPr>
      <w:rPr>
        <w:rFonts w:ascii="Symbol" w:hAnsi="Symbol" w:hint="default"/>
      </w:rPr>
    </w:lvl>
    <w:lvl w:ilvl="1" w:tplc="E5EC1EFA">
      <w:numFmt w:val="decimal"/>
      <w:lvlText w:val=""/>
      <w:lvlJc w:val="left"/>
    </w:lvl>
    <w:lvl w:ilvl="2" w:tplc="E8849E8E">
      <w:numFmt w:val="decimal"/>
      <w:lvlText w:val=""/>
      <w:lvlJc w:val="left"/>
    </w:lvl>
    <w:lvl w:ilvl="3" w:tplc="39666C92">
      <w:numFmt w:val="decimal"/>
      <w:lvlText w:val=""/>
      <w:lvlJc w:val="left"/>
    </w:lvl>
    <w:lvl w:ilvl="4" w:tplc="7598CEEA">
      <w:numFmt w:val="decimal"/>
      <w:lvlText w:val=""/>
      <w:lvlJc w:val="left"/>
    </w:lvl>
    <w:lvl w:ilvl="5" w:tplc="62F4B136">
      <w:numFmt w:val="decimal"/>
      <w:lvlText w:val=""/>
      <w:lvlJc w:val="left"/>
    </w:lvl>
    <w:lvl w:ilvl="6" w:tplc="E01AE8E0">
      <w:numFmt w:val="decimal"/>
      <w:lvlText w:val=""/>
      <w:lvlJc w:val="left"/>
    </w:lvl>
    <w:lvl w:ilvl="7" w:tplc="9C8E6220">
      <w:numFmt w:val="decimal"/>
      <w:lvlText w:val=""/>
      <w:lvlJc w:val="left"/>
    </w:lvl>
    <w:lvl w:ilvl="8" w:tplc="0100A5DA">
      <w:numFmt w:val="decimal"/>
      <w:lvlText w:val=""/>
      <w:lvlJc w:val="left"/>
    </w:lvl>
  </w:abstractNum>
  <w:abstractNum w:abstractNumId="7" w15:restartNumberingAfterBreak="0">
    <w:nsid w:val="FFFFFF83"/>
    <w:multiLevelType w:val="hybridMultilevel"/>
    <w:tmpl w:val="5AF61ED2"/>
    <w:lvl w:ilvl="0" w:tplc="6820F948">
      <w:start w:val="1"/>
      <w:numFmt w:val="bullet"/>
      <w:lvlText w:val=""/>
      <w:lvlJc w:val="left"/>
      <w:pPr>
        <w:tabs>
          <w:tab w:val="num" w:pos="643"/>
        </w:tabs>
        <w:ind w:left="643" w:hanging="360"/>
      </w:pPr>
      <w:rPr>
        <w:rFonts w:ascii="Symbol" w:hAnsi="Symbol" w:hint="default"/>
      </w:rPr>
    </w:lvl>
    <w:lvl w:ilvl="1" w:tplc="0386A720">
      <w:numFmt w:val="decimal"/>
      <w:lvlText w:val=""/>
      <w:lvlJc w:val="left"/>
    </w:lvl>
    <w:lvl w:ilvl="2" w:tplc="1A50C8B2">
      <w:numFmt w:val="decimal"/>
      <w:lvlText w:val=""/>
      <w:lvlJc w:val="left"/>
    </w:lvl>
    <w:lvl w:ilvl="3" w:tplc="EA0C65B6">
      <w:numFmt w:val="decimal"/>
      <w:lvlText w:val=""/>
      <w:lvlJc w:val="left"/>
    </w:lvl>
    <w:lvl w:ilvl="4" w:tplc="750A9172">
      <w:numFmt w:val="decimal"/>
      <w:lvlText w:val=""/>
      <w:lvlJc w:val="left"/>
    </w:lvl>
    <w:lvl w:ilvl="5" w:tplc="45065280">
      <w:numFmt w:val="decimal"/>
      <w:lvlText w:val=""/>
      <w:lvlJc w:val="left"/>
    </w:lvl>
    <w:lvl w:ilvl="6" w:tplc="49B6600E">
      <w:numFmt w:val="decimal"/>
      <w:lvlText w:val=""/>
      <w:lvlJc w:val="left"/>
    </w:lvl>
    <w:lvl w:ilvl="7" w:tplc="910C09EE">
      <w:numFmt w:val="decimal"/>
      <w:lvlText w:val=""/>
      <w:lvlJc w:val="left"/>
    </w:lvl>
    <w:lvl w:ilvl="8" w:tplc="4CB66B2C">
      <w:numFmt w:val="decimal"/>
      <w:lvlText w:val=""/>
      <w:lvlJc w:val="left"/>
    </w:lvl>
  </w:abstractNum>
  <w:abstractNum w:abstractNumId="8" w15:restartNumberingAfterBreak="0">
    <w:nsid w:val="FFFFFF88"/>
    <w:multiLevelType w:val="hybridMultilevel"/>
    <w:tmpl w:val="4B68661E"/>
    <w:lvl w:ilvl="0" w:tplc="935E1830">
      <w:start w:val="1"/>
      <w:numFmt w:val="decimal"/>
      <w:lvlText w:val="%1."/>
      <w:lvlJc w:val="left"/>
      <w:pPr>
        <w:tabs>
          <w:tab w:val="num" w:pos="360"/>
        </w:tabs>
        <w:ind w:left="360" w:hanging="360"/>
      </w:pPr>
    </w:lvl>
    <w:lvl w:ilvl="1" w:tplc="27786F78">
      <w:numFmt w:val="decimal"/>
      <w:lvlText w:val=""/>
      <w:lvlJc w:val="left"/>
    </w:lvl>
    <w:lvl w:ilvl="2" w:tplc="CC0EC688">
      <w:numFmt w:val="decimal"/>
      <w:lvlText w:val=""/>
      <w:lvlJc w:val="left"/>
    </w:lvl>
    <w:lvl w:ilvl="3" w:tplc="074A19A8">
      <w:numFmt w:val="decimal"/>
      <w:lvlText w:val=""/>
      <w:lvlJc w:val="left"/>
    </w:lvl>
    <w:lvl w:ilvl="4" w:tplc="C6DC8584">
      <w:numFmt w:val="decimal"/>
      <w:lvlText w:val=""/>
      <w:lvlJc w:val="left"/>
    </w:lvl>
    <w:lvl w:ilvl="5" w:tplc="AFB4280E">
      <w:numFmt w:val="decimal"/>
      <w:lvlText w:val=""/>
      <w:lvlJc w:val="left"/>
    </w:lvl>
    <w:lvl w:ilvl="6" w:tplc="0A3604E4">
      <w:numFmt w:val="decimal"/>
      <w:lvlText w:val=""/>
      <w:lvlJc w:val="left"/>
    </w:lvl>
    <w:lvl w:ilvl="7" w:tplc="D7B278C2">
      <w:numFmt w:val="decimal"/>
      <w:lvlText w:val=""/>
      <w:lvlJc w:val="left"/>
    </w:lvl>
    <w:lvl w:ilvl="8" w:tplc="2AE4EAC8">
      <w:numFmt w:val="decimal"/>
      <w:lvlText w:val=""/>
      <w:lvlJc w:val="left"/>
    </w:lvl>
  </w:abstractNum>
  <w:abstractNum w:abstractNumId="9" w15:restartNumberingAfterBreak="0">
    <w:nsid w:val="FFFFFF89"/>
    <w:multiLevelType w:val="hybridMultilevel"/>
    <w:tmpl w:val="1F8ED308"/>
    <w:lvl w:ilvl="0" w:tplc="D9B489F0">
      <w:start w:val="1"/>
      <w:numFmt w:val="bullet"/>
      <w:lvlText w:val=""/>
      <w:lvlJc w:val="left"/>
      <w:pPr>
        <w:tabs>
          <w:tab w:val="num" w:pos="360"/>
        </w:tabs>
        <w:ind w:left="360" w:hanging="360"/>
      </w:pPr>
      <w:rPr>
        <w:rFonts w:ascii="Symbol" w:hAnsi="Symbol" w:hint="default"/>
      </w:rPr>
    </w:lvl>
    <w:lvl w:ilvl="1" w:tplc="42F4ECA8">
      <w:numFmt w:val="decimal"/>
      <w:lvlText w:val=""/>
      <w:lvlJc w:val="left"/>
    </w:lvl>
    <w:lvl w:ilvl="2" w:tplc="A354726A">
      <w:numFmt w:val="decimal"/>
      <w:lvlText w:val=""/>
      <w:lvlJc w:val="left"/>
    </w:lvl>
    <w:lvl w:ilvl="3" w:tplc="E6A281A4">
      <w:numFmt w:val="decimal"/>
      <w:lvlText w:val=""/>
      <w:lvlJc w:val="left"/>
    </w:lvl>
    <w:lvl w:ilvl="4" w:tplc="EBB413F0">
      <w:numFmt w:val="decimal"/>
      <w:lvlText w:val=""/>
      <w:lvlJc w:val="left"/>
    </w:lvl>
    <w:lvl w:ilvl="5" w:tplc="5C94ED7E">
      <w:numFmt w:val="decimal"/>
      <w:lvlText w:val=""/>
      <w:lvlJc w:val="left"/>
    </w:lvl>
    <w:lvl w:ilvl="6" w:tplc="9580D24E">
      <w:numFmt w:val="decimal"/>
      <w:lvlText w:val=""/>
      <w:lvlJc w:val="left"/>
    </w:lvl>
    <w:lvl w:ilvl="7" w:tplc="BBE6E1F8">
      <w:numFmt w:val="decimal"/>
      <w:lvlText w:val=""/>
      <w:lvlJc w:val="left"/>
    </w:lvl>
    <w:lvl w:ilvl="8" w:tplc="78327554">
      <w:numFmt w:val="decimal"/>
      <w:lvlText w:val=""/>
      <w:lvlJc w:val="left"/>
    </w:lvl>
  </w:abstractNum>
  <w:abstractNum w:abstractNumId="10" w15:restartNumberingAfterBreak="0">
    <w:nsid w:val="0085161D"/>
    <w:multiLevelType w:val="hybridMultilevel"/>
    <w:tmpl w:val="522261EA"/>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53D7BB4"/>
    <w:multiLevelType w:val="hybridMultilevel"/>
    <w:tmpl w:val="410E2C24"/>
    <w:lvl w:ilvl="0" w:tplc="F5BE4672">
      <w:start w:val="1"/>
      <w:numFmt w:val="decimal"/>
      <w:suff w:val="space"/>
      <w:lvlText w:val="Chapter %1"/>
      <w:lvlJc w:val="left"/>
      <w:pPr>
        <w:ind w:left="0" w:firstLine="0"/>
      </w:pPr>
      <w:rPr>
        <w:rFonts w:hint="default"/>
      </w:rPr>
    </w:lvl>
    <w:lvl w:ilvl="1" w:tplc="EDEE545A">
      <w:start w:val="1"/>
      <w:numFmt w:val="decimal"/>
      <w:lvlText w:val="%2"/>
      <w:lvlJc w:val="left"/>
      <w:pPr>
        <w:tabs>
          <w:tab w:val="num" w:pos="567"/>
        </w:tabs>
        <w:ind w:left="567" w:hanging="567"/>
      </w:pPr>
      <w:rPr>
        <w:rFonts w:hint="default"/>
      </w:rPr>
    </w:lvl>
    <w:lvl w:ilvl="2" w:tplc="53045B34">
      <w:start w:val="1"/>
      <w:numFmt w:val="none"/>
      <w:suff w:val="nothing"/>
      <w:lvlText w:val=""/>
      <w:lvlJc w:val="left"/>
      <w:pPr>
        <w:ind w:left="0" w:firstLine="0"/>
      </w:pPr>
      <w:rPr>
        <w:rFonts w:hint="default"/>
      </w:rPr>
    </w:lvl>
    <w:lvl w:ilvl="3" w:tplc="60D2AEC0">
      <w:start w:val="1"/>
      <w:numFmt w:val="none"/>
      <w:suff w:val="nothing"/>
      <w:lvlText w:val=""/>
      <w:lvlJc w:val="left"/>
      <w:pPr>
        <w:ind w:left="0" w:firstLine="0"/>
      </w:pPr>
      <w:rPr>
        <w:rFonts w:hint="default"/>
      </w:rPr>
    </w:lvl>
    <w:lvl w:ilvl="4" w:tplc="A3F2187A">
      <w:start w:val="1"/>
      <w:numFmt w:val="none"/>
      <w:suff w:val="nothing"/>
      <w:lvlText w:val=""/>
      <w:lvlJc w:val="left"/>
      <w:pPr>
        <w:ind w:left="0" w:firstLine="0"/>
      </w:pPr>
      <w:rPr>
        <w:rFonts w:hint="default"/>
      </w:rPr>
    </w:lvl>
    <w:lvl w:ilvl="5" w:tplc="5142C2C4">
      <w:start w:val="1"/>
      <w:numFmt w:val="none"/>
      <w:suff w:val="nothing"/>
      <w:lvlText w:val=""/>
      <w:lvlJc w:val="left"/>
      <w:pPr>
        <w:ind w:left="0" w:firstLine="0"/>
      </w:pPr>
      <w:rPr>
        <w:rFonts w:hint="default"/>
      </w:rPr>
    </w:lvl>
    <w:lvl w:ilvl="6" w:tplc="93BAC212">
      <w:start w:val="1"/>
      <w:numFmt w:val="none"/>
      <w:suff w:val="nothing"/>
      <w:lvlText w:val=""/>
      <w:lvlJc w:val="left"/>
      <w:pPr>
        <w:ind w:left="0" w:firstLine="0"/>
      </w:pPr>
      <w:rPr>
        <w:rFonts w:hint="default"/>
      </w:rPr>
    </w:lvl>
    <w:lvl w:ilvl="7" w:tplc="D06A2F04">
      <w:start w:val="1"/>
      <w:numFmt w:val="none"/>
      <w:suff w:val="nothing"/>
      <w:lvlText w:val=""/>
      <w:lvlJc w:val="left"/>
      <w:pPr>
        <w:ind w:left="0" w:firstLine="0"/>
      </w:pPr>
      <w:rPr>
        <w:rFonts w:hint="default"/>
      </w:rPr>
    </w:lvl>
    <w:lvl w:ilvl="8" w:tplc="FFA28478">
      <w:start w:val="1"/>
      <w:numFmt w:val="none"/>
      <w:suff w:val="nothing"/>
      <w:lvlText w:val=""/>
      <w:lvlJc w:val="left"/>
      <w:pPr>
        <w:ind w:left="0" w:firstLine="0"/>
      </w:pPr>
      <w:rPr>
        <w:rFonts w:hint="default"/>
      </w:rPr>
    </w:lvl>
  </w:abstractNum>
  <w:abstractNum w:abstractNumId="12" w15:restartNumberingAfterBreak="0">
    <w:nsid w:val="15BF05D3"/>
    <w:multiLevelType w:val="hybridMultilevel"/>
    <w:tmpl w:val="BDDC239A"/>
    <w:lvl w:ilvl="0" w:tplc="51BAAD84">
      <w:start w:val="1"/>
      <w:numFmt w:val="bullet"/>
      <w:pStyle w:val="CGCBullet2"/>
      <w:lvlText w:val=""/>
      <w:lvlJc w:val="left"/>
      <w:pPr>
        <w:ind w:left="720" w:hanging="360"/>
      </w:pPr>
      <w:rPr>
        <w:rFonts w:ascii="Symbol" w:hAnsi="Symbol" w:hint="default"/>
        <w:b/>
        <w:color w:val="5CA5C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E71B9C"/>
    <w:multiLevelType w:val="hybridMultilevel"/>
    <w:tmpl w:val="46B88E1E"/>
    <w:lvl w:ilvl="0" w:tplc="CA885F44">
      <w:start w:val="1"/>
      <w:numFmt w:val="bullet"/>
      <w:pStyle w:val="CGCBullet1"/>
      <w:lvlText w:val=""/>
      <w:lvlJc w:val="left"/>
      <w:pPr>
        <w:ind w:left="720" w:hanging="360"/>
      </w:pPr>
      <w:rPr>
        <w:rFonts w:ascii="Symbol" w:hAnsi="Symbol" w:hint="default"/>
        <w:color w:val="5CA5C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AF3A2E"/>
    <w:multiLevelType w:val="hybridMultilevel"/>
    <w:tmpl w:val="CA8C0118"/>
    <w:lvl w:ilvl="0" w:tplc="BF5E1D0E">
      <w:start w:val="1"/>
      <w:numFmt w:val="none"/>
      <w:lvlText w:val="%1."/>
      <w:lvlJc w:val="left"/>
      <w:pPr>
        <w:tabs>
          <w:tab w:val="num" w:pos="0"/>
        </w:tabs>
        <w:ind w:left="0" w:firstLine="0"/>
      </w:pPr>
      <w:rPr>
        <w:rFonts w:hint="default"/>
      </w:rPr>
    </w:lvl>
    <w:lvl w:ilvl="1" w:tplc="0DC2480C">
      <w:start w:val="1"/>
      <w:numFmt w:val="none"/>
      <w:lvlText w:val="%2"/>
      <w:lvlJc w:val="left"/>
      <w:pPr>
        <w:tabs>
          <w:tab w:val="num" w:pos="720"/>
        </w:tabs>
        <w:ind w:left="720" w:firstLine="0"/>
      </w:pPr>
      <w:rPr>
        <w:rFonts w:hint="default"/>
      </w:rPr>
    </w:lvl>
    <w:lvl w:ilvl="2" w:tplc="4770F872">
      <w:start w:val="1"/>
      <w:numFmt w:val="none"/>
      <w:lvlText w:val="%3"/>
      <w:lvlJc w:val="left"/>
      <w:pPr>
        <w:tabs>
          <w:tab w:val="num" w:pos="0"/>
        </w:tabs>
        <w:ind w:left="0" w:firstLine="0"/>
      </w:pPr>
      <w:rPr>
        <w:rFonts w:hint="default"/>
      </w:rPr>
    </w:lvl>
    <w:lvl w:ilvl="3" w:tplc="B7A48DA8">
      <w:start w:val="1"/>
      <w:numFmt w:val="none"/>
      <w:lvlText w:val="%4)"/>
      <w:lvlJc w:val="left"/>
      <w:pPr>
        <w:tabs>
          <w:tab w:val="num" w:pos="2160"/>
        </w:tabs>
        <w:ind w:left="2160" w:firstLine="0"/>
      </w:pPr>
      <w:rPr>
        <w:rFonts w:hint="default"/>
      </w:rPr>
    </w:lvl>
    <w:lvl w:ilvl="4" w:tplc="0BAC01D6">
      <w:start w:val="1"/>
      <w:numFmt w:val="none"/>
      <w:lvlText w:val="(%5)"/>
      <w:lvlJc w:val="left"/>
      <w:pPr>
        <w:tabs>
          <w:tab w:val="num" w:pos="2880"/>
        </w:tabs>
        <w:ind w:left="2880" w:firstLine="0"/>
      </w:pPr>
      <w:rPr>
        <w:rFonts w:hint="default"/>
      </w:rPr>
    </w:lvl>
    <w:lvl w:ilvl="5" w:tplc="CFF69A98">
      <w:start w:val="1"/>
      <w:numFmt w:val="lowerLetter"/>
      <w:lvlText w:val="(%6)"/>
      <w:lvlJc w:val="left"/>
      <w:pPr>
        <w:tabs>
          <w:tab w:val="num" w:pos="3960"/>
        </w:tabs>
        <w:ind w:left="3600" w:firstLine="0"/>
      </w:pPr>
      <w:rPr>
        <w:rFonts w:hint="default"/>
      </w:rPr>
    </w:lvl>
    <w:lvl w:ilvl="6" w:tplc="2EC81B6A">
      <w:start w:val="1"/>
      <w:numFmt w:val="lowerRoman"/>
      <w:lvlText w:val="(%7)"/>
      <w:lvlJc w:val="left"/>
      <w:pPr>
        <w:tabs>
          <w:tab w:val="num" w:pos="4680"/>
        </w:tabs>
        <w:ind w:left="4320" w:firstLine="0"/>
      </w:pPr>
      <w:rPr>
        <w:rFonts w:hint="default"/>
      </w:rPr>
    </w:lvl>
    <w:lvl w:ilvl="7" w:tplc="176E3B00">
      <w:start w:val="1"/>
      <w:numFmt w:val="lowerLetter"/>
      <w:pStyle w:val="Heading8"/>
      <w:lvlText w:val="(%8)"/>
      <w:lvlJc w:val="left"/>
      <w:pPr>
        <w:tabs>
          <w:tab w:val="num" w:pos="5400"/>
        </w:tabs>
        <w:ind w:left="5040" w:firstLine="0"/>
      </w:pPr>
      <w:rPr>
        <w:rFonts w:hint="default"/>
      </w:rPr>
    </w:lvl>
    <w:lvl w:ilvl="8" w:tplc="F2BCDD4E">
      <w:start w:val="1"/>
      <w:numFmt w:val="lowerRoman"/>
      <w:pStyle w:val="Heading9"/>
      <w:lvlText w:val="(%9)"/>
      <w:lvlJc w:val="left"/>
      <w:pPr>
        <w:tabs>
          <w:tab w:val="num" w:pos="6120"/>
        </w:tabs>
        <w:ind w:left="5760" w:firstLine="0"/>
      </w:pPr>
      <w:rPr>
        <w:rFonts w:hint="default"/>
      </w:rPr>
    </w:lvl>
  </w:abstractNum>
  <w:abstractNum w:abstractNumId="15" w15:restartNumberingAfterBreak="0">
    <w:nsid w:val="305A2F29"/>
    <w:multiLevelType w:val="hybridMultilevel"/>
    <w:tmpl w:val="25EAF598"/>
    <w:lvl w:ilvl="0" w:tplc="245E7AAC">
      <w:start w:val="1"/>
      <w:numFmt w:val="decimal"/>
      <w:lvlText w:val="%1"/>
      <w:lvlJc w:val="left"/>
      <w:pPr>
        <w:ind w:left="720" w:hanging="360"/>
      </w:pPr>
      <w:rPr>
        <w:rFonts w:ascii="Open Sans Light" w:hAnsi="Open Sans Light" w:hint="default"/>
        <w:b w:val="0"/>
        <w:i w:val="0"/>
        <w:caps w:val="0"/>
        <w:strike w:val="0"/>
        <w:dstrike w:val="0"/>
        <w:vanish w:val="0"/>
        <w:color w:val="000000" w:themeColor="text1"/>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17A6023"/>
    <w:multiLevelType w:val="hybridMultilevel"/>
    <w:tmpl w:val="1262912E"/>
    <w:lvl w:ilvl="0" w:tplc="9B9083DC">
      <w:start w:val="1"/>
      <w:numFmt w:val="lowerRoman"/>
      <w:lvlText w:val="%1"/>
      <w:lvlJc w:val="left"/>
      <w:pPr>
        <w:ind w:left="20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DDF17EB"/>
    <w:multiLevelType w:val="hybridMultilevel"/>
    <w:tmpl w:val="85E628F8"/>
    <w:lvl w:ilvl="0" w:tplc="13B2E7F6">
      <w:start w:val="1"/>
      <w:numFmt w:val="decimal"/>
      <w:pStyle w:val="CGCParaNumber"/>
      <w:lvlText w:val="%1"/>
      <w:lvlJc w:val="left"/>
      <w:pPr>
        <w:ind w:left="360" w:hanging="360"/>
      </w:pPr>
      <w:rPr>
        <w:rFonts w:ascii="Open Sans Light" w:hAnsi="Open Sans Light" w:hint="default"/>
        <w:b w:val="0"/>
        <w:i w:val="0"/>
        <w:caps w:val="0"/>
        <w:strike w:val="0"/>
        <w:dstrike w:val="0"/>
        <w:vanish w:val="0"/>
        <w:color w:val="000000" w:themeColor="text1"/>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6B56961"/>
    <w:multiLevelType w:val="hybridMultilevel"/>
    <w:tmpl w:val="EC0A00E0"/>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19" w15:restartNumberingAfterBreak="0">
    <w:nsid w:val="6D517EA6"/>
    <w:multiLevelType w:val="hybridMultilevel"/>
    <w:tmpl w:val="8CEE0058"/>
    <w:lvl w:ilvl="0" w:tplc="92B25D52">
      <w:start w:val="1"/>
      <w:numFmt w:val="bullet"/>
      <w:lvlText w:val=""/>
      <w:lvlJc w:val="left"/>
      <w:pPr>
        <w:tabs>
          <w:tab w:val="num" w:pos="927"/>
        </w:tabs>
        <w:ind w:left="927" w:hanging="360"/>
      </w:pPr>
      <w:rPr>
        <w:rFonts w:ascii="Symbol" w:hAnsi="Symbol" w:hint="default"/>
      </w:rPr>
    </w:lvl>
    <w:lvl w:ilvl="1" w:tplc="6D68C4EA">
      <w:start w:val="1"/>
      <w:numFmt w:val="lowerLetter"/>
      <w:lvlText w:val="%2)"/>
      <w:lvlJc w:val="left"/>
      <w:pPr>
        <w:tabs>
          <w:tab w:val="num" w:pos="1593"/>
        </w:tabs>
        <w:ind w:left="1593" w:hanging="360"/>
      </w:pPr>
      <w:rPr>
        <w:rFonts w:hint="default"/>
      </w:rPr>
    </w:lvl>
    <w:lvl w:ilvl="2" w:tplc="D35C0BA6">
      <w:start w:val="1"/>
      <w:numFmt w:val="lowerRoman"/>
      <w:lvlText w:val="%3)"/>
      <w:lvlJc w:val="left"/>
      <w:pPr>
        <w:tabs>
          <w:tab w:val="num" w:pos="1953"/>
        </w:tabs>
        <w:ind w:left="1953" w:hanging="360"/>
      </w:pPr>
      <w:rPr>
        <w:rFonts w:hint="default"/>
      </w:rPr>
    </w:lvl>
    <w:lvl w:ilvl="3" w:tplc="283251E2">
      <w:start w:val="1"/>
      <w:numFmt w:val="decimal"/>
      <w:lvlText w:val="(%4)"/>
      <w:lvlJc w:val="left"/>
      <w:pPr>
        <w:tabs>
          <w:tab w:val="num" w:pos="2313"/>
        </w:tabs>
        <w:ind w:left="2313" w:hanging="360"/>
      </w:pPr>
      <w:rPr>
        <w:rFonts w:hint="default"/>
      </w:rPr>
    </w:lvl>
    <w:lvl w:ilvl="4" w:tplc="AFD4D014">
      <w:start w:val="1"/>
      <w:numFmt w:val="lowerLetter"/>
      <w:lvlText w:val="(%5)"/>
      <w:lvlJc w:val="left"/>
      <w:pPr>
        <w:tabs>
          <w:tab w:val="num" w:pos="2673"/>
        </w:tabs>
        <w:ind w:left="2673" w:hanging="360"/>
      </w:pPr>
      <w:rPr>
        <w:rFonts w:hint="default"/>
      </w:rPr>
    </w:lvl>
    <w:lvl w:ilvl="5" w:tplc="431878C0">
      <w:start w:val="1"/>
      <w:numFmt w:val="lowerRoman"/>
      <w:lvlText w:val="(%6)"/>
      <w:lvlJc w:val="left"/>
      <w:pPr>
        <w:tabs>
          <w:tab w:val="num" w:pos="3033"/>
        </w:tabs>
        <w:ind w:left="3033" w:hanging="360"/>
      </w:pPr>
      <w:rPr>
        <w:rFonts w:hint="default"/>
      </w:rPr>
    </w:lvl>
    <w:lvl w:ilvl="6" w:tplc="F7EE122E">
      <w:start w:val="1"/>
      <w:numFmt w:val="decimal"/>
      <w:lvlText w:val="%7."/>
      <w:lvlJc w:val="left"/>
      <w:pPr>
        <w:tabs>
          <w:tab w:val="num" w:pos="3393"/>
        </w:tabs>
        <w:ind w:left="3393" w:hanging="360"/>
      </w:pPr>
      <w:rPr>
        <w:rFonts w:hint="default"/>
      </w:rPr>
    </w:lvl>
    <w:lvl w:ilvl="7" w:tplc="DA160100">
      <w:start w:val="1"/>
      <w:numFmt w:val="lowerLetter"/>
      <w:lvlText w:val="%8."/>
      <w:lvlJc w:val="left"/>
      <w:pPr>
        <w:tabs>
          <w:tab w:val="num" w:pos="3753"/>
        </w:tabs>
        <w:ind w:left="3753" w:hanging="360"/>
      </w:pPr>
      <w:rPr>
        <w:rFonts w:hint="default"/>
      </w:rPr>
    </w:lvl>
    <w:lvl w:ilvl="8" w:tplc="D20E15CC">
      <w:start w:val="1"/>
      <w:numFmt w:val="lowerRoman"/>
      <w:lvlText w:val="%9."/>
      <w:lvlJc w:val="left"/>
      <w:pPr>
        <w:tabs>
          <w:tab w:val="num" w:pos="4113"/>
        </w:tabs>
        <w:ind w:left="4113" w:hanging="360"/>
      </w:pPr>
      <w:rPr>
        <w:rFonts w:hint="default"/>
      </w:rPr>
    </w:lvl>
  </w:abstractNum>
  <w:abstractNum w:abstractNumId="20" w15:restartNumberingAfterBreak="0">
    <w:nsid w:val="77D62F87"/>
    <w:multiLevelType w:val="hybridMultilevel"/>
    <w:tmpl w:val="E332B1EE"/>
    <w:lvl w:ilvl="0" w:tplc="7898E74C">
      <w:start w:val="1"/>
      <w:numFmt w:val="bulle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4"/>
  </w:num>
  <w:num w:numId="3">
    <w:abstractNumId w:val="19"/>
  </w:num>
  <w:num w:numId="4">
    <w:abstractNumId w:val="16"/>
  </w:num>
  <w:num w:numId="5">
    <w:abstractNumId w:val="20"/>
  </w:num>
  <w:num w:numId="6">
    <w:abstractNumId w:val="15"/>
  </w:num>
  <w:num w:numId="7">
    <w:abstractNumId w:val="13"/>
  </w:num>
  <w:num w:numId="8">
    <w:abstractNumId w:val="12"/>
  </w:num>
  <w:num w:numId="9">
    <w:abstractNumId w:val="10"/>
  </w:num>
  <w:num w:numId="10">
    <w:abstractNumId w:val="18"/>
  </w:num>
  <w:num w:numId="11">
    <w:abstractNumId w:val="15"/>
  </w:num>
  <w:num w:numId="12">
    <w:abstractNumId w:val="13"/>
  </w:num>
  <w:num w:numId="13">
    <w:abstractNumId w:val="12"/>
  </w:num>
  <w:num w:numId="14">
    <w:abstractNumId w:val="10"/>
  </w:num>
  <w:num w:numId="15">
    <w:abstractNumId w:val="18"/>
  </w:num>
  <w:num w:numId="16">
    <w:abstractNumId w:val="15"/>
  </w:num>
  <w:num w:numId="17">
    <w:abstractNumId w:val="13"/>
  </w:num>
  <w:num w:numId="18">
    <w:abstractNumId w:val="12"/>
  </w:num>
  <w:num w:numId="19">
    <w:abstractNumId w:val="10"/>
  </w:num>
  <w:num w:numId="20">
    <w:abstractNumId w:val="18"/>
  </w:num>
  <w:num w:numId="21">
    <w:abstractNumId w:val="15"/>
  </w:num>
  <w:num w:numId="22">
    <w:abstractNumId w:val="13"/>
  </w:num>
  <w:num w:numId="23">
    <w:abstractNumId w:val="12"/>
  </w:num>
  <w:num w:numId="24">
    <w:abstractNumId w:val="10"/>
  </w:num>
  <w:num w:numId="25">
    <w:abstractNumId w:val="18"/>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5"/>
  </w:num>
  <w:num w:numId="37">
    <w:abstractNumId w:val="17"/>
  </w:num>
  <w:num w:numId="38">
    <w:abstractNumId w:val="15"/>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87D7D"/>
    <w:rsid w:val="00011803"/>
    <w:rsid w:val="000159D2"/>
    <w:rsid w:val="00015B3F"/>
    <w:rsid w:val="00016FE0"/>
    <w:rsid w:val="00021609"/>
    <w:rsid w:val="00022EA9"/>
    <w:rsid w:val="00024745"/>
    <w:rsid w:val="00032F41"/>
    <w:rsid w:val="000347E9"/>
    <w:rsid w:val="000349FF"/>
    <w:rsid w:val="0004123E"/>
    <w:rsid w:val="00041748"/>
    <w:rsid w:val="00041E84"/>
    <w:rsid w:val="000424EA"/>
    <w:rsid w:val="00042BC8"/>
    <w:rsid w:val="00047EAB"/>
    <w:rsid w:val="000512CF"/>
    <w:rsid w:val="00056373"/>
    <w:rsid w:val="00061111"/>
    <w:rsid w:val="00061222"/>
    <w:rsid w:val="000624BB"/>
    <w:rsid w:val="000648E8"/>
    <w:rsid w:val="00077E84"/>
    <w:rsid w:val="00090AEF"/>
    <w:rsid w:val="00090CF6"/>
    <w:rsid w:val="00093796"/>
    <w:rsid w:val="000A3898"/>
    <w:rsid w:val="000A52A1"/>
    <w:rsid w:val="000B0C94"/>
    <w:rsid w:val="000B2942"/>
    <w:rsid w:val="000B3557"/>
    <w:rsid w:val="000B64E3"/>
    <w:rsid w:val="000B67BC"/>
    <w:rsid w:val="000B7BE2"/>
    <w:rsid w:val="000C2B68"/>
    <w:rsid w:val="000C6238"/>
    <w:rsid w:val="000D1354"/>
    <w:rsid w:val="000D7085"/>
    <w:rsid w:val="000D7C54"/>
    <w:rsid w:val="000E0210"/>
    <w:rsid w:val="000E4AD2"/>
    <w:rsid w:val="000E4EE3"/>
    <w:rsid w:val="000E53E0"/>
    <w:rsid w:val="000E6AA5"/>
    <w:rsid w:val="000E7F56"/>
    <w:rsid w:val="000F11E8"/>
    <w:rsid w:val="000F1CDA"/>
    <w:rsid w:val="000F324D"/>
    <w:rsid w:val="000F36F9"/>
    <w:rsid w:val="001039C2"/>
    <w:rsid w:val="001040AD"/>
    <w:rsid w:val="001065F8"/>
    <w:rsid w:val="0011178C"/>
    <w:rsid w:val="001128CA"/>
    <w:rsid w:val="00112CF0"/>
    <w:rsid w:val="00113110"/>
    <w:rsid w:val="00116827"/>
    <w:rsid w:val="00120B57"/>
    <w:rsid w:val="001211AB"/>
    <w:rsid w:val="001218B8"/>
    <w:rsid w:val="00124C6E"/>
    <w:rsid w:val="00124ED1"/>
    <w:rsid w:val="00133A55"/>
    <w:rsid w:val="00136497"/>
    <w:rsid w:val="00136879"/>
    <w:rsid w:val="00141BD1"/>
    <w:rsid w:val="00147115"/>
    <w:rsid w:val="001477CE"/>
    <w:rsid w:val="001564FD"/>
    <w:rsid w:val="00161EFB"/>
    <w:rsid w:val="0016723A"/>
    <w:rsid w:val="001711DC"/>
    <w:rsid w:val="00171294"/>
    <w:rsid w:val="00171A05"/>
    <w:rsid w:val="00172F3A"/>
    <w:rsid w:val="001730FD"/>
    <w:rsid w:val="00173798"/>
    <w:rsid w:val="00173BE6"/>
    <w:rsid w:val="00173E72"/>
    <w:rsid w:val="001765AF"/>
    <w:rsid w:val="001807C0"/>
    <w:rsid w:val="001811DE"/>
    <w:rsid w:val="00182A48"/>
    <w:rsid w:val="00186733"/>
    <w:rsid w:val="00187145"/>
    <w:rsid w:val="0019214A"/>
    <w:rsid w:val="00195C3F"/>
    <w:rsid w:val="00197F3C"/>
    <w:rsid w:val="001A2D44"/>
    <w:rsid w:val="001A3F59"/>
    <w:rsid w:val="001B0110"/>
    <w:rsid w:val="001B3048"/>
    <w:rsid w:val="001B6448"/>
    <w:rsid w:val="001B696E"/>
    <w:rsid w:val="001B6A56"/>
    <w:rsid w:val="001C2CEC"/>
    <w:rsid w:val="001C469B"/>
    <w:rsid w:val="001C6A71"/>
    <w:rsid w:val="001C7D06"/>
    <w:rsid w:val="001D46EA"/>
    <w:rsid w:val="001D638B"/>
    <w:rsid w:val="001D6DFA"/>
    <w:rsid w:val="001E0F7A"/>
    <w:rsid w:val="001E303D"/>
    <w:rsid w:val="001E492F"/>
    <w:rsid w:val="001E4FEB"/>
    <w:rsid w:val="001E6180"/>
    <w:rsid w:val="001E674B"/>
    <w:rsid w:val="001E68FC"/>
    <w:rsid w:val="001F1CD6"/>
    <w:rsid w:val="001F337C"/>
    <w:rsid w:val="001F45CA"/>
    <w:rsid w:val="001F535C"/>
    <w:rsid w:val="001F76E7"/>
    <w:rsid w:val="00201B3A"/>
    <w:rsid w:val="00204026"/>
    <w:rsid w:val="0020557F"/>
    <w:rsid w:val="00212948"/>
    <w:rsid w:val="00215461"/>
    <w:rsid w:val="00217839"/>
    <w:rsid w:val="00222589"/>
    <w:rsid w:val="00225A3B"/>
    <w:rsid w:val="00226EE9"/>
    <w:rsid w:val="0023081D"/>
    <w:rsid w:val="0023329C"/>
    <w:rsid w:val="00236201"/>
    <w:rsid w:val="00236DC0"/>
    <w:rsid w:val="002373A2"/>
    <w:rsid w:val="00242517"/>
    <w:rsid w:val="0024260B"/>
    <w:rsid w:val="00243F6F"/>
    <w:rsid w:val="0024401F"/>
    <w:rsid w:val="0024569B"/>
    <w:rsid w:val="00253E9A"/>
    <w:rsid w:val="00255B5A"/>
    <w:rsid w:val="0025634B"/>
    <w:rsid w:val="002671A2"/>
    <w:rsid w:val="00267496"/>
    <w:rsid w:val="00270B61"/>
    <w:rsid w:val="00271CEF"/>
    <w:rsid w:val="00272511"/>
    <w:rsid w:val="00275B68"/>
    <w:rsid w:val="00277EF8"/>
    <w:rsid w:val="00280880"/>
    <w:rsid w:val="002845EA"/>
    <w:rsid w:val="00285692"/>
    <w:rsid w:val="00286EBE"/>
    <w:rsid w:val="00295B70"/>
    <w:rsid w:val="002A2A08"/>
    <w:rsid w:val="002A2D93"/>
    <w:rsid w:val="002A44B9"/>
    <w:rsid w:val="002A4E42"/>
    <w:rsid w:val="002A77C3"/>
    <w:rsid w:val="002B10B0"/>
    <w:rsid w:val="002B169C"/>
    <w:rsid w:val="002B42AD"/>
    <w:rsid w:val="002B4D35"/>
    <w:rsid w:val="002B51C3"/>
    <w:rsid w:val="002B6EFD"/>
    <w:rsid w:val="002B6F33"/>
    <w:rsid w:val="002B79F0"/>
    <w:rsid w:val="002B7F3E"/>
    <w:rsid w:val="002C1D9C"/>
    <w:rsid w:val="002C366F"/>
    <w:rsid w:val="002C43E1"/>
    <w:rsid w:val="002C4CA9"/>
    <w:rsid w:val="002C7093"/>
    <w:rsid w:val="002D1E5F"/>
    <w:rsid w:val="002D2270"/>
    <w:rsid w:val="002D6F4A"/>
    <w:rsid w:val="002E25A8"/>
    <w:rsid w:val="002E762E"/>
    <w:rsid w:val="002F04DE"/>
    <w:rsid w:val="002F1CD3"/>
    <w:rsid w:val="002F2AE2"/>
    <w:rsid w:val="002F6E28"/>
    <w:rsid w:val="002F7857"/>
    <w:rsid w:val="002F7B51"/>
    <w:rsid w:val="002F7E68"/>
    <w:rsid w:val="00302E5E"/>
    <w:rsid w:val="00307400"/>
    <w:rsid w:val="00307DEF"/>
    <w:rsid w:val="00310FCD"/>
    <w:rsid w:val="00311D33"/>
    <w:rsid w:val="00313584"/>
    <w:rsid w:val="00313664"/>
    <w:rsid w:val="00314F90"/>
    <w:rsid w:val="0032344D"/>
    <w:rsid w:val="0033102E"/>
    <w:rsid w:val="00331401"/>
    <w:rsid w:val="003330C1"/>
    <w:rsid w:val="00333234"/>
    <w:rsid w:val="00335ED1"/>
    <w:rsid w:val="00336293"/>
    <w:rsid w:val="00337EF8"/>
    <w:rsid w:val="003405B4"/>
    <w:rsid w:val="00342A60"/>
    <w:rsid w:val="0034379D"/>
    <w:rsid w:val="0034646D"/>
    <w:rsid w:val="00346EE2"/>
    <w:rsid w:val="00347BE5"/>
    <w:rsid w:val="003522E0"/>
    <w:rsid w:val="0035267F"/>
    <w:rsid w:val="003546F6"/>
    <w:rsid w:val="00354E50"/>
    <w:rsid w:val="0035580D"/>
    <w:rsid w:val="00361C1B"/>
    <w:rsid w:val="003639FB"/>
    <w:rsid w:val="00363BF7"/>
    <w:rsid w:val="00364DB3"/>
    <w:rsid w:val="00365746"/>
    <w:rsid w:val="00367B4D"/>
    <w:rsid w:val="0038132B"/>
    <w:rsid w:val="00382103"/>
    <w:rsid w:val="00382AE5"/>
    <w:rsid w:val="00391E62"/>
    <w:rsid w:val="003929D2"/>
    <w:rsid w:val="00393FA5"/>
    <w:rsid w:val="003951DD"/>
    <w:rsid w:val="003A27BB"/>
    <w:rsid w:val="003A2E4F"/>
    <w:rsid w:val="003A6B53"/>
    <w:rsid w:val="003A76F1"/>
    <w:rsid w:val="003B15C1"/>
    <w:rsid w:val="003B673D"/>
    <w:rsid w:val="003B7FDB"/>
    <w:rsid w:val="003C2257"/>
    <w:rsid w:val="003C2577"/>
    <w:rsid w:val="003C36F3"/>
    <w:rsid w:val="003C3A2E"/>
    <w:rsid w:val="003C4448"/>
    <w:rsid w:val="003C6A45"/>
    <w:rsid w:val="003D3D91"/>
    <w:rsid w:val="003D4708"/>
    <w:rsid w:val="003D477A"/>
    <w:rsid w:val="003E161C"/>
    <w:rsid w:val="003E2B9F"/>
    <w:rsid w:val="003E6314"/>
    <w:rsid w:val="003E6615"/>
    <w:rsid w:val="003E74B4"/>
    <w:rsid w:val="003E79F9"/>
    <w:rsid w:val="003F12E9"/>
    <w:rsid w:val="003F2D8D"/>
    <w:rsid w:val="003F59F4"/>
    <w:rsid w:val="003F6492"/>
    <w:rsid w:val="00401575"/>
    <w:rsid w:val="00404DCD"/>
    <w:rsid w:val="00405688"/>
    <w:rsid w:val="004077D6"/>
    <w:rsid w:val="004121E7"/>
    <w:rsid w:val="00414E51"/>
    <w:rsid w:val="00420F04"/>
    <w:rsid w:val="00423099"/>
    <w:rsid w:val="00424E79"/>
    <w:rsid w:val="0042661C"/>
    <w:rsid w:val="004274B3"/>
    <w:rsid w:val="00443EC1"/>
    <w:rsid w:val="004447AD"/>
    <w:rsid w:val="00453264"/>
    <w:rsid w:val="004532AD"/>
    <w:rsid w:val="004613A4"/>
    <w:rsid w:val="0046225D"/>
    <w:rsid w:val="00462B54"/>
    <w:rsid w:val="00463064"/>
    <w:rsid w:val="004720A6"/>
    <w:rsid w:val="00472461"/>
    <w:rsid w:val="00474C38"/>
    <w:rsid w:val="0047540E"/>
    <w:rsid w:val="004761A6"/>
    <w:rsid w:val="004772E3"/>
    <w:rsid w:val="004809B8"/>
    <w:rsid w:val="004821B9"/>
    <w:rsid w:val="00487EE9"/>
    <w:rsid w:val="00491D88"/>
    <w:rsid w:val="00492060"/>
    <w:rsid w:val="00492625"/>
    <w:rsid w:val="00495B8F"/>
    <w:rsid w:val="0049605C"/>
    <w:rsid w:val="004965F7"/>
    <w:rsid w:val="004A4C99"/>
    <w:rsid w:val="004A6E06"/>
    <w:rsid w:val="004A7048"/>
    <w:rsid w:val="004B0A0A"/>
    <w:rsid w:val="004B1C4B"/>
    <w:rsid w:val="004B2249"/>
    <w:rsid w:val="004B60CB"/>
    <w:rsid w:val="004C0FB8"/>
    <w:rsid w:val="004C1CB5"/>
    <w:rsid w:val="004C64FE"/>
    <w:rsid w:val="004D1B53"/>
    <w:rsid w:val="004E5325"/>
    <w:rsid w:val="004E581E"/>
    <w:rsid w:val="004E769A"/>
    <w:rsid w:val="004E7D14"/>
    <w:rsid w:val="004F0C96"/>
    <w:rsid w:val="004F129E"/>
    <w:rsid w:val="004F40BA"/>
    <w:rsid w:val="00500ACD"/>
    <w:rsid w:val="00504061"/>
    <w:rsid w:val="00505BAE"/>
    <w:rsid w:val="00506956"/>
    <w:rsid w:val="0051201A"/>
    <w:rsid w:val="0051244C"/>
    <w:rsid w:val="00515380"/>
    <w:rsid w:val="005176CA"/>
    <w:rsid w:val="005177E7"/>
    <w:rsid w:val="005204B9"/>
    <w:rsid w:val="00526462"/>
    <w:rsid w:val="00537A77"/>
    <w:rsid w:val="00541727"/>
    <w:rsid w:val="00541A14"/>
    <w:rsid w:val="00543F9C"/>
    <w:rsid w:val="00546D39"/>
    <w:rsid w:val="00547A9A"/>
    <w:rsid w:val="00547CC3"/>
    <w:rsid w:val="00550E84"/>
    <w:rsid w:val="00551368"/>
    <w:rsid w:val="00556332"/>
    <w:rsid w:val="005577B0"/>
    <w:rsid w:val="00561895"/>
    <w:rsid w:val="00562084"/>
    <w:rsid w:val="00567D45"/>
    <w:rsid w:val="00570EED"/>
    <w:rsid w:val="005716FC"/>
    <w:rsid w:val="005721A4"/>
    <w:rsid w:val="00575DEF"/>
    <w:rsid w:val="00577BD0"/>
    <w:rsid w:val="00581586"/>
    <w:rsid w:val="00583A33"/>
    <w:rsid w:val="00586175"/>
    <w:rsid w:val="005867D2"/>
    <w:rsid w:val="00592669"/>
    <w:rsid w:val="00593AE2"/>
    <w:rsid w:val="005963CC"/>
    <w:rsid w:val="00596E19"/>
    <w:rsid w:val="005A241E"/>
    <w:rsid w:val="005A5563"/>
    <w:rsid w:val="005A6174"/>
    <w:rsid w:val="005A6FED"/>
    <w:rsid w:val="005B1BC4"/>
    <w:rsid w:val="005B3E02"/>
    <w:rsid w:val="005B6894"/>
    <w:rsid w:val="005C13B2"/>
    <w:rsid w:val="005C27E3"/>
    <w:rsid w:val="005C37CB"/>
    <w:rsid w:val="005C459C"/>
    <w:rsid w:val="005C6115"/>
    <w:rsid w:val="005C6E0F"/>
    <w:rsid w:val="005C7076"/>
    <w:rsid w:val="005D1A9F"/>
    <w:rsid w:val="005D1BE6"/>
    <w:rsid w:val="005D3F54"/>
    <w:rsid w:val="005D4F04"/>
    <w:rsid w:val="005D52FA"/>
    <w:rsid w:val="005D7746"/>
    <w:rsid w:val="005E1C62"/>
    <w:rsid w:val="005E266F"/>
    <w:rsid w:val="005E2817"/>
    <w:rsid w:val="005E2C89"/>
    <w:rsid w:val="005E5734"/>
    <w:rsid w:val="005E73CE"/>
    <w:rsid w:val="005F00BD"/>
    <w:rsid w:val="005F07DC"/>
    <w:rsid w:val="005F2DC4"/>
    <w:rsid w:val="005F3022"/>
    <w:rsid w:val="005F64FB"/>
    <w:rsid w:val="006002C5"/>
    <w:rsid w:val="0060251E"/>
    <w:rsid w:val="00602DDE"/>
    <w:rsid w:val="00611737"/>
    <w:rsid w:val="0061425B"/>
    <w:rsid w:val="00614DE8"/>
    <w:rsid w:val="006210B1"/>
    <w:rsid w:val="00622669"/>
    <w:rsid w:val="00622FE1"/>
    <w:rsid w:val="00625CE5"/>
    <w:rsid w:val="00632C0D"/>
    <w:rsid w:val="00635027"/>
    <w:rsid w:val="006361E5"/>
    <w:rsid w:val="00644A7B"/>
    <w:rsid w:val="006510EC"/>
    <w:rsid w:val="006556D9"/>
    <w:rsid w:val="00661C46"/>
    <w:rsid w:val="006652D3"/>
    <w:rsid w:val="00667CF3"/>
    <w:rsid w:val="006723C0"/>
    <w:rsid w:val="006769C4"/>
    <w:rsid w:val="00677627"/>
    <w:rsid w:val="00677BD5"/>
    <w:rsid w:val="0068025E"/>
    <w:rsid w:val="00680D4D"/>
    <w:rsid w:val="00690104"/>
    <w:rsid w:val="00690425"/>
    <w:rsid w:val="00693C87"/>
    <w:rsid w:val="00695DEE"/>
    <w:rsid w:val="00696A25"/>
    <w:rsid w:val="006A05C7"/>
    <w:rsid w:val="006A2981"/>
    <w:rsid w:val="006A5A51"/>
    <w:rsid w:val="006A607B"/>
    <w:rsid w:val="006A6E27"/>
    <w:rsid w:val="006A72B0"/>
    <w:rsid w:val="006B3E4D"/>
    <w:rsid w:val="006B6A00"/>
    <w:rsid w:val="006C52B9"/>
    <w:rsid w:val="006C7843"/>
    <w:rsid w:val="006D1DFE"/>
    <w:rsid w:val="006E1B81"/>
    <w:rsid w:val="006E6BC2"/>
    <w:rsid w:val="006E77BB"/>
    <w:rsid w:val="0070150E"/>
    <w:rsid w:val="00704365"/>
    <w:rsid w:val="00705DB8"/>
    <w:rsid w:val="00713225"/>
    <w:rsid w:val="00713997"/>
    <w:rsid w:val="00714A52"/>
    <w:rsid w:val="00715C24"/>
    <w:rsid w:val="0072198C"/>
    <w:rsid w:val="007239D8"/>
    <w:rsid w:val="0072512A"/>
    <w:rsid w:val="00731BA9"/>
    <w:rsid w:val="00731EE6"/>
    <w:rsid w:val="00732CA9"/>
    <w:rsid w:val="007355A6"/>
    <w:rsid w:val="00740A71"/>
    <w:rsid w:val="00741028"/>
    <w:rsid w:val="007477C5"/>
    <w:rsid w:val="00747938"/>
    <w:rsid w:val="00760479"/>
    <w:rsid w:val="00762AFB"/>
    <w:rsid w:val="00765BA8"/>
    <w:rsid w:val="00766007"/>
    <w:rsid w:val="0077001B"/>
    <w:rsid w:val="00770A26"/>
    <w:rsid w:val="00770D07"/>
    <w:rsid w:val="007719FF"/>
    <w:rsid w:val="00786444"/>
    <w:rsid w:val="007864C9"/>
    <w:rsid w:val="007972EE"/>
    <w:rsid w:val="007A1364"/>
    <w:rsid w:val="007A24A0"/>
    <w:rsid w:val="007A3CB4"/>
    <w:rsid w:val="007A4AB2"/>
    <w:rsid w:val="007A4E6B"/>
    <w:rsid w:val="007A5E68"/>
    <w:rsid w:val="007A61C8"/>
    <w:rsid w:val="007B1906"/>
    <w:rsid w:val="007B1BF7"/>
    <w:rsid w:val="007B5783"/>
    <w:rsid w:val="007B70EB"/>
    <w:rsid w:val="007C0142"/>
    <w:rsid w:val="007C1495"/>
    <w:rsid w:val="007C1BB0"/>
    <w:rsid w:val="007C27AA"/>
    <w:rsid w:val="007C3B23"/>
    <w:rsid w:val="007C404B"/>
    <w:rsid w:val="007C4BAE"/>
    <w:rsid w:val="007C6AFD"/>
    <w:rsid w:val="007D1D3B"/>
    <w:rsid w:val="007D5960"/>
    <w:rsid w:val="007D6A29"/>
    <w:rsid w:val="007E114E"/>
    <w:rsid w:val="007E487F"/>
    <w:rsid w:val="007E4B2D"/>
    <w:rsid w:val="007E587D"/>
    <w:rsid w:val="007E71E9"/>
    <w:rsid w:val="007F1D06"/>
    <w:rsid w:val="007F4CD5"/>
    <w:rsid w:val="007F56EC"/>
    <w:rsid w:val="008010D7"/>
    <w:rsid w:val="008018B9"/>
    <w:rsid w:val="00803443"/>
    <w:rsid w:val="00804AC1"/>
    <w:rsid w:val="0080680D"/>
    <w:rsid w:val="00812C05"/>
    <w:rsid w:val="0081322A"/>
    <w:rsid w:val="008162AB"/>
    <w:rsid w:val="008204B2"/>
    <w:rsid w:val="00821A4C"/>
    <w:rsid w:val="0082288E"/>
    <w:rsid w:val="008248F7"/>
    <w:rsid w:val="00825D08"/>
    <w:rsid w:val="0083557A"/>
    <w:rsid w:val="00837528"/>
    <w:rsid w:val="00843E6F"/>
    <w:rsid w:val="00846E4A"/>
    <w:rsid w:val="00851AF5"/>
    <w:rsid w:val="00851FB5"/>
    <w:rsid w:val="0086345D"/>
    <w:rsid w:val="008647DE"/>
    <w:rsid w:val="00864B95"/>
    <w:rsid w:val="00870EC3"/>
    <w:rsid w:val="008712AF"/>
    <w:rsid w:val="008800D3"/>
    <w:rsid w:val="00881642"/>
    <w:rsid w:val="00882EAA"/>
    <w:rsid w:val="00886CDD"/>
    <w:rsid w:val="0089214D"/>
    <w:rsid w:val="0089393B"/>
    <w:rsid w:val="00893C0D"/>
    <w:rsid w:val="008A1AC6"/>
    <w:rsid w:val="008A20DA"/>
    <w:rsid w:val="008A35CA"/>
    <w:rsid w:val="008B16C3"/>
    <w:rsid w:val="008B33CD"/>
    <w:rsid w:val="008B5C8F"/>
    <w:rsid w:val="008B5F16"/>
    <w:rsid w:val="008B7722"/>
    <w:rsid w:val="008C0409"/>
    <w:rsid w:val="008C0E5C"/>
    <w:rsid w:val="008C7EBB"/>
    <w:rsid w:val="008D348B"/>
    <w:rsid w:val="008D646E"/>
    <w:rsid w:val="008E13F6"/>
    <w:rsid w:val="008E2BE4"/>
    <w:rsid w:val="008E32E9"/>
    <w:rsid w:val="008E3EAE"/>
    <w:rsid w:val="008E3EBC"/>
    <w:rsid w:val="008E644A"/>
    <w:rsid w:val="008E6B4E"/>
    <w:rsid w:val="008E7970"/>
    <w:rsid w:val="008E7C34"/>
    <w:rsid w:val="008F0C36"/>
    <w:rsid w:val="008F377B"/>
    <w:rsid w:val="008F5FC3"/>
    <w:rsid w:val="00902884"/>
    <w:rsid w:val="009076A2"/>
    <w:rsid w:val="00915512"/>
    <w:rsid w:val="0091729F"/>
    <w:rsid w:val="009233CC"/>
    <w:rsid w:val="009240D8"/>
    <w:rsid w:val="009360D7"/>
    <w:rsid w:val="009362C9"/>
    <w:rsid w:val="00942387"/>
    <w:rsid w:val="0094460F"/>
    <w:rsid w:val="009458F6"/>
    <w:rsid w:val="0094626F"/>
    <w:rsid w:val="009462D2"/>
    <w:rsid w:val="0096098C"/>
    <w:rsid w:val="00965003"/>
    <w:rsid w:val="009652D5"/>
    <w:rsid w:val="009677F8"/>
    <w:rsid w:val="00971146"/>
    <w:rsid w:val="00971800"/>
    <w:rsid w:val="00972A9A"/>
    <w:rsid w:val="00984913"/>
    <w:rsid w:val="00984B47"/>
    <w:rsid w:val="00990D42"/>
    <w:rsid w:val="00991675"/>
    <w:rsid w:val="00991AE1"/>
    <w:rsid w:val="00992008"/>
    <w:rsid w:val="00996409"/>
    <w:rsid w:val="00996D00"/>
    <w:rsid w:val="009A03DC"/>
    <w:rsid w:val="009A1DE6"/>
    <w:rsid w:val="009A6CF3"/>
    <w:rsid w:val="009B43BF"/>
    <w:rsid w:val="009B4A2D"/>
    <w:rsid w:val="009C1E0B"/>
    <w:rsid w:val="009C615B"/>
    <w:rsid w:val="009C7AFC"/>
    <w:rsid w:val="009D545A"/>
    <w:rsid w:val="009D5534"/>
    <w:rsid w:val="009D6D44"/>
    <w:rsid w:val="009E1877"/>
    <w:rsid w:val="009E22FA"/>
    <w:rsid w:val="009E4744"/>
    <w:rsid w:val="009E480D"/>
    <w:rsid w:val="009E4EC9"/>
    <w:rsid w:val="009E5D5A"/>
    <w:rsid w:val="009F0566"/>
    <w:rsid w:val="009F0943"/>
    <w:rsid w:val="009F2017"/>
    <w:rsid w:val="009F2262"/>
    <w:rsid w:val="009F4ADA"/>
    <w:rsid w:val="009F6A0D"/>
    <w:rsid w:val="00A07991"/>
    <w:rsid w:val="00A10CDE"/>
    <w:rsid w:val="00A13522"/>
    <w:rsid w:val="00A158D6"/>
    <w:rsid w:val="00A15D37"/>
    <w:rsid w:val="00A1680D"/>
    <w:rsid w:val="00A17570"/>
    <w:rsid w:val="00A17B57"/>
    <w:rsid w:val="00A23AB0"/>
    <w:rsid w:val="00A255B3"/>
    <w:rsid w:val="00A266C5"/>
    <w:rsid w:val="00A309C6"/>
    <w:rsid w:val="00A31297"/>
    <w:rsid w:val="00A32E4E"/>
    <w:rsid w:val="00A37610"/>
    <w:rsid w:val="00A42348"/>
    <w:rsid w:val="00A43BD3"/>
    <w:rsid w:val="00A505DE"/>
    <w:rsid w:val="00A5327C"/>
    <w:rsid w:val="00A54815"/>
    <w:rsid w:val="00A5721C"/>
    <w:rsid w:val="00A57316"/>
    <w:rsid w:val="00A615BC"/>
    <w:rsid w:val="00A63831"/>
    <w:rsid w:val="00A65534"/>
    <w:rsid w:val="00A67913"/>
    <w:rsid w:val="00A81A94"/>
    <w:rsid w:val="00A81BDD"/>
    <w:rsid w:val="00A85526"/>
    <w:rsid w:val="00A86F2E"/>
    <w:rsid w:val="00A907D8"/>
    <w:rsid w:val="00A9681E"/>
    <w:rsid w:val="00A96857"/>
    <w:rsid w:val="00AA007A"/>
    <w:rsid w:val="00AB073E"/>
    <w:rsid w:val="00AB1A13"/>
    <w:rsid w:val="00AB4E9F"/>
    <w:rsid w:val="00AB6121"/>
    <w:rsid w:val="00AC210F"/>
    <w:rsid w:val="00AC319E"/>
    <w:rsid w:val="00AC4BC7"/>
    <w:rsid w:val="00AD3837"/>
    <w:rsid w:val="00AD5CD6"/>
    <w:rsid w:val="00AE3A1E"/>
    <w:rsid w:val="00AE4D9C"/>
    <w:rsid w:val="00AE734F"/>
    <w:rsid w:val="00AF0557"/>
    <w:rsid w:val="00AF2656"/>
    <w:rsid w:val="00AF5F9E"/>
    <w:rsid w:val="00AF6110"/>
    <w:rsid w:val="00AF6AC6"/>
    <w:rsid w:val="00B00611"/>
    <w:rsid w:val="00B039E6"/>
    <w:rsid w:val="00B04354"/>
    <w:rsid w:val="00B0501C"/>
    <w:rsid w:val="00B10515"/>
    <w:rsid w:val="00B106C5"/>
    <w:rsid w:val="00B218C9"/>
    <w:rsid w:val="00B249FC"/>
    <w:rsid w:val="00B260DA"/>
    <w:rsid w:val="00B317E7"/>
    <w:rsid w:val="00B33A57"/>
    <w:rsid w:val="00B34083"/>
    <w:rsid w:val="00B37728"/>
    <w:rsid w:val="00B41FFE"/>
    <w:rsid w:val="00B45C64"/>
    <w:rsid w:val="00B46A32"/>
    <w:rsid w:val="00B46B29"/>
    <w:rsid w:val="00B47A36"/>
    <w:rsid w:val="00B53547"/>
    <w:rsid w:val="00B53597"/>
    <w:rsid w:val="00B55D3E"/>
    <w:rsid w:val="00B57239"/>
    <w:rsid w:val="00B60146"/>
    <w:rsid w:val="00B61484"/>
    <w:rsid w:val="00B62590"/>
    <w:rsid w:val="00B6729F"/>
    <w:rsid w:val="00B82136"/>
    <w:rsid w:val="00B82627"/>
    <w:rsid w:val="00B90AA7"/>
    <w:rsid w:val="00B940E0"/>
    <w:rsid w:val="00B94335"/>
    <w:rsid w:val="00B94D55"/>
    <w:rsid w:val="00BA27FC"/>
    <w:rsid w:val="00BA2D1D"/>
    <w:rsid w:val="00BA65E5"/>
    <w:rsid w:val="00BB09DF"/>
    <w:rsid w:val="00BB3FC5"/>
    <w:rsid w:val="00BB472B"/>
    <w:rsid w:val="00BC2B3B"/>
    <w:rsid w:val="00BC4579"/>
    <w:rsid w:val="00BC5418"/>
    <w:rsid w:val="00BC76B9"/>
    <w:rsid w:val="00BD2A60"/>
    <w:rsid w:val="00BD3131"/>
    <w:rsid w:val="00BD397F"/>
    <w:rsid w:val="00BD3D24"/>
    <w:rsid w:val="00BE4F68"/>
    <w:rsid w:val="00BF2F68"/>
    <w:rsid w:val="00BF3D5D"/>
    <w:rsid w:val="00BF7E6C"/>
    <w:rsid w:val="00C0018A"/>
    <w:rsid w:val="00C00905"/>
    <w:rsid w:val="00C01C15"/>
    <w:rsid w:val="00C035B5"/>
    <w:rsid w:val="00C07A50"/>
    <w:rsid w:val="00C116EC"/>
    <w:rsid w:val="00C11ABD"/>
    <w:rsid w:val="00C14FB2"/>
    <w:rsid w:val="00C15891"/>
    <w:rsid w:val="00C176AC"/>
    <w:rsid w:val="00C21EF9"/>
    <w:rsid w:val="00C222F7"/>
    <w:rsid w:val="00C22C15"/>
    <w:rsid w:val="00C24743"/>
    <w:rsid w:val="00C24839"/>
    <w:rsid w:val="00C27C23"/>
    <w:rsid w:val="00C32851"/>
    <w:rsid w:val="00C41C84"/>
    <w:rsid w:val="00C43ACF"/>
    <w:rsid w:val="00C554D4"/>
    <w:rsid w:val="00C557CD"/>
    <w:rsid w:val="00C579C1"/>
    <w:rsid w:val="00C61B02"/>
    <w:rsid w:val="00C63163"/>
    <w:rsid w:val="00C719A2"/>
    <w:rsid w:val="00C72165"/>
    <w:rsid w:val="00C766C4"/>
    <w:rsid w:val="00C80CFA"/>
    <w:rsid w:val="00C83041"/>
    <w:rsid w:val="00C90B42"/>
    <w:rsid w:val="00C9475D"/>
    <w:rsid w:val="00C95056"/>
    <w:rsid w:val="00C951FD"/>
    <w:rsid w:val="00C97294"/>
    <w:rsid w:val="00CA33B3"/>
    <w:rsid w:val="00CA7F28"/>
    <w:rsid w:val="00CB0768"/>
    <w:rsid w:val="00CB131F"/>
    <w:rsid w:val="00CB4DCD"/>
    <w:rsid w:val="00CB4F2D"/>
    <w:rsid w:val="00CB5359"/>
    <w:rsid w:val="00CC0F86"/>
    <w:rsid w:val="00CC1690"/>
    <w:rsid w:val="00CC472B"/>
    <w:rsid w:val="00CC665A"/>
    <w:rsid w:val="00CC6A6B"/>
    <w:rsid w:val="00CE04A0"/>
    <w:rsid w:val="00CE34DC"/>
    <w:rsid w:val="00CF0E93"/>
    <w:rsid w:val="00CF6A55"/>
    <w:rsid w:val="00D0179C"/>
    <w:rsid w:val="00D04E33"/>
    <w:rsid w:val="00D07FB4"/>
    <w:rsid w:val="00D20C70"/>
    <w:rsid w:val="00D21FA8"/>
    <w:rsid w:val="00D236B7"/>
    <w:rsid w:val="00D23E48"/>
    <w:rsid w:val="00D244BE"/>
    <w:rsid w:val="00D32A13"/>
    <w:rsid w:val="00D35A8D"/>
    <w:rsid w:val="00D43096"/>
    <w:rsid w:val="00D46AB2"/>
    <w:rsid w:val="00D46F93"/>
    <w:rsid w:val="00D47815"/>
    <w:rsid w:val="00D520FA"/>
    <w:rsid w:val="00D54582"/>
    <w:rsid w:val="00D5759E"/>
    <w:rsid w:val="00D62793"/>
    <w:rsid w:val="00D656EB"/>
    <w:rsid w:val="00D74E0D"/>
    <w:rsid w:val="00D75003"/>
    <w:rsid w:val="00D76BAC"/>
    <w:rsid w:val="00D771FD"/>
    <w:rsid w:val="00D7796D"/>
    <w:rsid w:val="00D81B18"/>
    <w:rsid w:val="00D81C9F"/>
    <w:rsid w:val="00D83541"/>
    <w:rsid w:val="00D86CA3"/>
    <w:rsid w:val="00D87785"/>
    <w:rsid w:val="00D93A16"/>
    <w:rsid w:val="00D9496D"/>
    <w:rsid w:val="00D96252"/>
    <w:rsid w:val="00D97B7C"/>
    <w:rsid w:val="00DA0768"/>
    <w:rsid w:val="00DA161A"/>
    <w:rsid w:val="00DA1795"/>
    <w:rsid w:val="00DA3A19"/>
    <w:rsid w:val="00DA5A94"/>
    <w:rsid w:val="00DA743D"/>
    <w:rsid w:val="00DB089F"/>
    <w:rsid w:val="00DB2355"/>
    <w:rsid w:val="00DB3BB4"/>
    <w:rsid w:val="00DB6554"/>
    <w:rsid w:val="00DC0517"/>
    <w:rsid w:val="00DC0F02"/>
    <w:rsid w:val="00DC0F8D"/>
    <w:rsid w:val="00DC2284"/>
    <w:rsid w:val="00DC2E98"/>
    <w:rsid w:val="00DC3CA4"/>
    <w:rsid w:val="00DC4880"/>
    <w:rsid w:val="00DC7F1B"/>
    <w:rsid w:val="00DE0CAD"/>
    <w:rsid w:val="00DE4578"/>
    <w:rsid w:val="00DE4B6A"/>
    <w:rsid w:val="00DE5381"/>
    <w:rsid w:val="00DF04EE"/>
    <w:rsid w:val="00DF24FB"/>
    <w:rsid w:val="00DF3E35"/>
    <w:rsid w:val="00DF3FD3"/>
    <w:rsid w:val="00DF785C"/>
    <w:rsid w:val="00E03ED5"/>
    <w:rsid w:val="00E06243"/>
    <w:rsid w:val="00E07169"/>
    <w:rsid w:val="00E14D9E"/>
    <w:rsid w:val="00E1688C"/>
    <w:rsid w:val="00E22665"/>
    <w:rsid w:val="00E26286"/>
    <w:rsid w:val="00E27542"/>
    <w:rsid w:val="00E30499"/>
    <w:rsid w:val="00E30B51"/>
    <w:rsid w:val="00E324BB"/>
    <w:rsid w:val="00E35305"/>
    <w:rsid w:val="00E377E8"/>
    <w:rsid w:val="00E41ADB"/>
    <w:rsid w:val="00E43464"/>
    <w:rsid w:val="00E45206"/>
    <w:rsid w:val="00E47A69"/>
    <w:rsid w:val="00E50471"/>
    <w:rsid w:val="00E571BB"/>
    <w:rsid w:val="00E616F0"/>
    <w:rsid w:val="00E728DD"/>
    <w:rsid w:val="00E74435"/>
    <w:rsid w:val="00E758AD"/>
    <w:rsid w:val="00E77193"/>
    <w:rsid w:val="00E77D4E"/>
    <w:rsid w:val="00E87D7D"/>
    <w:rsid w:val="00E916A3"/>
    <w:rsid w:val="00E91860"/>
    <w:rsid w:val="00E92B03"/>
    <w:rsid w:val="00E93E9B"/>
    <w:rsid w:val="00E94777"/>
    <w:rsid w:val="00E954B7"/>
    <w:rsid w:val="00E969DB"/>
    <w:rsid w:val="00E96FDB"/>
    <w:rsid w:val="00E97C40"/>
    <w:rsid w:val="00EA107B"/>
    <w:rsid w:val="00EA1DCF"/>
    <w:rsid w:val="00EA2D82"/>
    <w:rsid w:val="00EB614D"/>
    <w:rsid w:val="00EC16F1"/>
    <w:rsid w:val="00EC5857"/>
    <w:rsid w:val="00ED05D6"/>
    <w:rsid w:val="00ED0C6F"/>
    <w:rsid w:val="00ED2FCC"/>
    <w:rsid w:val="00ED3A9B"/>
    <w:rsid w:val="00ED41CE"/>
    <w:rsid w:val="00ED513C"/>
    <w:rsid w:val="00EE3F2C"/>
    <w:rsid w:val="00EE52E8"/>
    <w:rsid w:val="00EE5F75"/>
    <w:rsid w:val="00EE6427"/>
    <w:rsid w:val="00EE7453"/>
    <w:rsid w:val="00EF23C8"/>
    <w:rsid w:val="00EF2722"/>
    <w:rsid w:val="00EF6805"/>
    <w:rsid w:val="00F00508"/>
    <w:rsid w:val="00F01E52"/>
    <w:rsid w:val="00F02875"/>
    <w:rsid w:val="00F042DC"/>
    <w:rsid w:val="00F07099"/>
    <w:rsid w:val="00F105EA"/>
    <w:rsid w:val="00F11117"/>
    <w:rsid w:val="00F12541"/>
    <w:rsid w:val="00F133BC"/>
    <w:rsid w:val="00F15BC9"/>
    <w:rsid w:val="00F2035F"/>
    <w:rsid w:val="00F22035"/>
    <w:rsid w:val="00F22D18"/>
    <w:rsid w:val="00F26545"/>
    <w:rsid w:val="00F31885"/>
    <w:rsid w:val="00F32F7C"/>
    <w:rsid w:val="00F3399C"/>
    <w:rsid w:val="00F36C87"/>
    <w:rsid w:val="00F40F2A"/>
    <w:rsid w:val="00F44757"/>
    <w:rsid w:val="00F46927"/>
    <w:rsid w:val="00F53CCD"/>
    <w:rsid w:val="00F55854"/>
    <w:rsid w:val="00F56813"/>
    <w:rsid w:val="00F66AB7"/>
    <w:rsid w:val="00F70110"/>
    <w:rsid w:val="00F7027B"/>
    <w:rsid w:val="00F72C93"/>
    <w:rsid w:val="00F80A88"/>
    <w:rsid w:val="00F81C5D"/>
    <w:rsid w:val="00F81C6A"/>
    <w:rsid w:val="00F823F5"/>
    <w:rsid w:val="00F9170D"/>
    <w:rsid w:val="00F94368"/>
    <w:rsid w:val="00F9494C"/>
    <w:rsid w:val="00F9645D"/>
    <w:rsid w:val="00FA15C8"/>
    <w:rsid w:val="00FA2A0B"/>
    <w:rsid w:val="00FA2D86"/>
    <w:rsid w:val="00FA348C"/>
    <w:rsid w:val="00FA4C39"/>
    <w:rsid w:val="00FB0AD8"/>
    <w:rsid w:val="00FB4DBB"/>
    <w:rsid w:val="00FB6FBF"/>
    <w:rsid w:val="00FC725D"/>
    <w:rsid w:val="00FC7437"/>
    <w:rsid w:val="00FD171C"/>
    <w:rsid w:val="00FD5D02"/>
    <w:rsid w:val="00FE2C17"/>
    <w:rsid w:val="00FF072F"/>
    <w:rsid w:val="00FF135C"/>
    <w:rsid w:val="5D912BB3"/>
    <w:rsid w:val="63C6ECA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AD06A5"/>
  <w15:chartTrackingRefBased/>
  <w15:docId w15:val="{CF690E73-BDB0-4E82-9F49-40B8AC556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03D"/>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D46F93"/>
    <w:pPr>
      <w:keepNext/>
      <w:widowControl w:val="0"/>
      <w:spacing w:line="240" w:lineRule="auto"/>
      <w:outlineLvl w:val="0"/>
    </w:pPr>
    <w:rPr>
      <w:rFonts w:ascii="Montserrat Ultra Light" w:eastAsiaTheme="majorEastAsia" w:hAnsi="Montserrat Ultra Light" w:cstheme="majorBidi"/>
      <w:b/>
      <w:bCs/>
      <w:color w:val="004563"/>
      <w:sz w:val="56"/>
      <w:szCs w:val="28"/>
    </w:rPr>
  </w:style>
  <w:style w:type="paragraph" w:styleId="Heading2">
    <w:name w:val="heading 2"/>
    <w:basedOn w:val="Normal"/>
    <w:next w:val="Heading3"/>
    <w:link w:val="Heading2Char"/>
    <w:uiPriority w:val="9"/>
    <w:qFormat/>
    <w:rsid w:val="00D46F93"/>
    <w:pPr>
      <w:keepNext/>
      <w:widowControl w:val="0"/>
      <w:spacing w:after="120" w:line="240" w:lineRule="auto"/>
      <w:outlineLvl w:val="1"/>
    </w:pPr>
    <w:rPr>
      <w:rFonts w:ascii="Montserrat Ultra Light" w:eastAsiaTheme="majorEastAsia" w:hAnsi="Montserrat Ultra Light" w:cstheme="majorBidi"/>
      <w:b/>
      <w:bCs/>
      <w:color w:val="004563"/>
      <w:sz w:val="56"/>
      <w:szCs w:val="26"/>
    </w:rPr>
  </w:style>
  <w:style w:type="paragraph" w:styleId="Heading3">
    <w:name w:val="heading 3"/>
    <w:basedOn w:val="Normal"/>
    <w:next w:val="Heading4"/>
    <w:link w:val="Heading3Char"/>
    <w:uiPriority w:val="9"/>
    <w:qFormat/>
    <w:rsid w:val="00D46F93"/>
    <w:pPr>
      <w:keepNext/>
      <w:widowControl w:val="0"/>
      <w:spacing w:before="240" w:line="240" w:lineRule="auto"/>
      <w:outlineLvl w:val="2"/>
    </w:pPr>
    <w:rPr>
      <w:rFonts w:ascii="Montserrat Extra Bold" w:eastAsiaTheme="majorEastAsia" w:hAnsi="Montserrat Extra Bold" w:cstheme="majorBidi"/>
      <w:bCs/>
      <w:color w:val="004563"/>
      <w:sz w:val="32"/>
    </w:rPr>
  </w:style>
  <w:style w:type="paragraph" w:styleId="Heading4">
    <w:name w:val="heading 4"/>
    <w:basedOn w:val="Normal"/>
    <w:next w:val="Heading5"/>
    <w:link w:val="Heading4Char"/>
    <w:uiPriority w:val="9"/>
    <w:qFormat/>
    <w:rsid w:val="006B6A00"/>
    <w:pPr>
      <w:keepNext/>
      <w:widowControl w:val="0"/>
      <w:spacing w:before="200" w:line="240" w:lineRule="auto"/>
      <w:outlineLvl w:val="3"/>
    </w:pPr>
    <w:rPr>
      <w:rFonts w:ascii="Montserrat Semi Bold" w:eastAsiaTheme="majorEastAsia" w:hAnsi="Montserrat Semi Bold" w:cstheme="majorBidi"/>
      <w:bCs/>
      <w:iCs/>
      <w:color w:val="006991"/>
      <w:sz w:val="28"/>
    </w:rPr>
  </w:style>
  <w:style w:type="paragraph" w:styleId="Heading5">
    <w:name w:val="heading 5"/>
    <w:basedOn w:val="Normal"/>
    <w:next w:val="Heading6"/>
    <w:link w:val="Heading5Char"/>
    <w:uiPriority w:val="9"/>
    <w:qFormat/>
    <w:rsid w:val="00D46F93"/>
    <w:pPr>
      <w:keepNext/>
      <w:tabs>
        <w:tab w:val="clear" w:pos="567"/>
      </w:tabs>
      <w:outlineLvl w:val="4"/>
    </w:pPr>
    <w:rPr>
      <w:rFonts w:ascii="Montserrat Semi Bold" w:eastAsiaTheme="majorEastAsia" w:hAnsi="Montserrat Semi Bold" w:cstheme="majorBidi"/>
      <w:color w:val="636466"/>
      <w:sz w:val="24"/>
    </w:rPr>
  </w:style>
  <w:style w:type="paragraph" w:styleId="Heading6">
    <w:name w:val="heading 6"/>
    <w:basedOn w:val="Normal"/>
    <w:next w:val="Normal"/>
    <w:link w:val="Heading6Char"/>
    <w:uiPriority w:val="9"/>
    <w:qFormat/>
    <w:rsid w:val="00D46F93"/>
    <w:pPr>
      <w:keepNext/>
      <w:keepLines/>
      <w:outlineLvl w:val="5"/>
    </w:pPr>
    <w:rPr>
      <w:rFonts w:ascii="Montserrat Semi Bold" w:eastAsiaTheme="majorEastAsia" w:hAnsi="Montserrat Semi Bold" w:cstheme="majorBidi"/>
      <w:i/>
      <w:iCs/>
      <w:color w:val="636466"/>
    </w:rPr>
  </w:style>
  <w:style w:type="paragraph" w:styleId="Heading7">
    <w:name w:val="heading 7"/>
    <w:basedOn w:val="Heading5"/>
    <w:next w:val="Normal"/>
    <w:link w:val="Heading7Char"/>
    <w:uiPriority w:val="9"/>
    <w:semiHidden/>
    <w:rsid w:val="00201B3A"/>
    <w:pPr>
      <w:keepLines/>
      <w:spacing w:before="200"/>
      <w:outlineLvl w:val="6"/>
    </w:pPr>
    <w:rPr>
      <w:i/>
      <w:iCs/>
      <w:color w:val="939598"/>
      <w:sz w:val="20"/>
    </w:rPr>
  </w:style>
  <w:style w:type="paragraph" w:styleId="Heading8">
    <w:name w:val="heading 8"/>
    <w:aliases w:val="(Do not use),(Sub-section Nos)"/>
    <w:basedOn w:val="Normal"/>
    <w:next w:val="Normal"/>
    <w:semiHidden/>
    <w:rsid w:val="00765BA8"/>
    <w:pPr>
      <w:numPr>
        <w:ilvl w:val="7"/>
        <w:numId w:val="2"/>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2"/>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licationtitle1">
    <w:name w:val="Publication title 1"/>
    <w:basedOn w:val="Normal"/>
    <w:next w:val="Normal"/>
    <w:rsid w:val="00D520FA"/>
    <w:pPr>
      <w:spacing w:line="240" w:lineRule="auto"/>
      <w:jc w:val="center"/>
    </w:pPr>
    <w:rPr>
      <w:rFonts w:ascii="Montserrat Extra Bold" w:hAnsi="Montserrat Extra Bold"/>
      <w:color w:val="004563"/>
      <w:sz w:val="60"/>
    </w:rPr>
  </w:style>
  <w:style w:type="paragraph" w:styleId="Caption">
    <w:name w:val="caption"/>
    <w:basedOn w:val="Normal"/>
    <w:next w:val="Normal"/>
    <w:link w:val="CaptionChar"/>
    <w:qFormat/>
    <w:rsid w:val="003A76F1"/>
    <w:pPr>
      <w:keepNext/>
      <w:keepLines/>
      <w:tabs>
        <w:tab w:val="clear" w:pos="567"/>
        <w:tab w:val="left" w:pos="1134"/>
        <w:tab w:val="left" w:pos="1418"/>
      </w:tabs>
      <w:spacing w:before="200" w:after="40" w:line="240" w:lineRule="auto"/>
      <w:ind w:left="1134" w:hanging="1134"/>
    </w:pPr>
    <w:rPr>
      <w:rFonts w:ascii="Montserrat Light" w:hAnsi="Montserrat Light"/>
      <w:b/>
      <w:bCs/>
      <w:color w:val="004563"/>
      <w:szCs w:val="20"/>
    </w:rPr>
  </w:style>
  <w:style w:type="paragraph" w:customStyle="1" w:styleId="Publicationtitle2">
    <w:name w:val="Publication title 2"/>
    <w:basedOn w:val="Publicationtitle1"/>
    <w:next w:val="Normal"/>
    <w:rsid w:val="00D520FA"/>
    <w:pPr>
      <w:spacing w:before="0"/>
    </w:pPr>
    <w:rPr>
      <w:rFonts w:ascii="Montserrat Ultra Light" w:hAnsi="Montserrat Ultra Light"/>
      <w:b/>
      <w:color w:val="60B5D7"/>
      <w:sz w:val="52"/>
    </w:rPr>
  </w:style>
  <w:style w:type="paragraph" w:customStyle="1" w:styleId="Publicationtitle3">
    <w:name w:val="Publication title 3"/>
    <w:basedOn w:val="Publicationtitle2"/>
    <w:next w:val="Normal"/>
    <w:rsid w:val="00D520FA"/>
    <w:rPr>
      <w:b w:val="0"/>
      <w:color w:val="004563"/>
    </w:rPr>
  </w:style>
  <w:style w:type="paragraph" w:customStyle="1" w:styleId="CGCTableFootnote">
    <w:name w:val="CGC Table Footnote"/>
    <w:basedOn w:val="Normal"/>
    <w:next w:val="Normal"/>
    <w:rsid w:val="00D46F93"/>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E616F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customStyle="1" w:styleId="TableRowNormal">
    <w:name w:val="TableRowNormal"/>
    <w:basedOn w:val="Normal"/>
    <w:rsid w:val="00765BA8"/>
    <w:pPr>
      <w:keepNext/>
      <w:keepLines/>
      <w:tabs>
        <w:tab w:val="left" w:pos="475"/>
        <w:tab w:val="left" w:pos="1440"/>
        <w:tab w:val="left" w:pos="2160"/>
        <w:tab w:val="left" w:pos="2880"/>
      </w:tabs>
      <w:spacing w:before="60" w:after="60" w:line="200" w:lineRule="atLeast"/>
      <w:ind w:left="144" w:hanging="144"/>
      <w:jc w:val="right"/>
    </w:pPr>
    <w:rPr>
      <w:szCs w:val="20"/>
    </w:rPr>
  </w:style>
  <w:style w:type="paragraph" w:customStyle="1" w:styleId="CGCTableStub">
    <w:name w:val="CGC Table Stub"/>
    <w:basedOn w:val="Normal"/>
    <w:link w:val="CGCTableStubChar"/>
    <w:rsid w:val="00D46F93"/>
    <w:pPr>
      <w:keepNext/>
      <w:keepLines/>
      <w:tabs>
        <w:tab w:val="left" w:pos="284"/>
      </w:tabs>
      <w:spacing w:before="60" w:after="60" w:line="200" w:lineRule="atLeast"/>
    </w:pPr>
    <w:rPr>
      <w:rFonts w:asciiTheme="minorHAnsi" w:hAnsiTheme="minorHAnsi"/>
      <w:szCs w:val="20"/>
    </w:rPr>
  </w:style>
  <w:style w:type="paragraph" w:customStyle="1" w:styleId="CGCTableheader">
    <w:name w:val="CGC Table header"/>
    <w:basedOn w:val="CGCTablerow"/>
    <w:next w:val="Normal"/>
    <w:rsid w:val="00011803"/>
    <w:rPr>
      <w:rFonts w:ascii="Open Sans Semibold" w:hAnsi="Open Sans Semibold" w:cs="Open Sans Semibold"/>
      <w:color w:val="FFFFFF" w:themeColor="background1"/>
      <w:lang w:val="en-US"/>
    </w:rPr>
  </w:style>
  <w:style w:type="character" w:styleId="FootnoteReference">
    <w:name w:val="footnote reference"/>
    <w:basedOn w:val="DefaultParagraphFont"/>
    <w:qFormat/>
    <w:rsid w:val="00D46F93"/>
    <w:rPr>
      <w:vertAlign w:val="superscript"/>
    </w:rPr>
  </w:style>
  <w:style w:type="paragraph" w:customStyle="1" w:styleId="CGCTablesubhead1">
    <w:name w:val="CGC Table subhead1"/>
    <w:basedOn w:val="Normal"/>
    <w:rsid w:val="00011803"/>
    <w:pPr>
      <w:spacing w:before="0" w:line="240" w:lineRule="auto"/>
    </w:pPr>
    <w:rPr>
      <w:rFonts w:ascii="Open Sans Semibold" w:hAnsi="Open Sans Semibold"/>
      <w:sz w:val="16"/>
      <w:lang w:val="en-US"/>
    </w:rPr>
  </w:style>
  <w:style w:type="paragraph" w:styleId="DocumentMap">
    <w:name w:val="Document Map"/>
    <w:basedOn w:val="Normal"/>
    <w:rsid w:val="00765BA8"/>
    <w:pPr>
      <w:shd w:val="clear" w:color="auto" w:fill="000080"/>
    </w:pPr>
    <w:rPr>
      <w:rFonts w:ascii="Tahoma" w:hAnsi="Tahoma" w:cs="Tahoma"/>
      <w:szCs w:val="20"/>
    </w:rPr>
  </w:style>
  <w:style w:type="paragraph" w:styleId="ListParagraph">
    <w:name w:val="List Paragraph"/>
    <w:basedOn w:val="Normal"/>
    <w:uiPriority w:val="34"/>
    <w:rsid w:val="006E1B81"/>
    <w:pPr>
      <w:ind w:left="720"/>
      <w:contextualSpacing/>
    </w:pPr>
  </w:style>
  <w:style w:type="paragraph" w:styleId="Footer">
    <w:name w:val="footer"/>
    <w:basedOn w:val="Normal"/>
    <w:link w:val="FooterChar"/>
    <w:uiPriority w:val="99"/>
    <w:unhideWhenUsed/>
    <w:rsid w:val="00011803"/>
    <w:pPr>
      <w:tabs>
        <w:tab w:val="center" w:pos="4513"/>
        <w:tab w:val="right" w:pos="9026"/>
      </w:tabs>
      <w:spacing w:before="0" w:line="240" w:lineRule="auto"/>
      <w:ind w:left="-284" w:right="-284"/>
      <w:jc w:val="right"/>
    </w:pPr>
    <w:rPr>
      <w:rFonts w:ascii="Montserrat Ultra Light" w:hAnsi="Montserrat Ultra Light"/>
      <w:b/>
      <w:color w:val="004563"/>
    </w:rPr>
  </w:style>
  <w:style w:type="paragraph" w:styleId="FootnoteText">
    <w:name w:val="footnote text"/>
    <w:basedOn w:val="Normal"/>
    <w:link w:val="FootnoteTextChar"/>
    <w:qFormat/>
    <w:rsid w:val="00F3399C"/>
    <w:pPr>
      <w:tabs>
        <w:tab w:val="left" w:pos="680"/>
      </w:tabs>
      <w:spacing w:before="40" w:line="240" w:lineRule="auto"/>
      <w:ind w:left="113" w:hanging="113"/>
    </w:pPr>
    <w:rPr>
      <w:sz w:val="14"/>
      <w:szCs w:val="20"/>
    </w:rPr>
  </w:style>
  <w:style w:type="paragraph" w:styleId="Header">
    <w:name w:val="header"/>
    <w:basedOn w:val="Normal"/>
    <w:link w:val="HeaderChar"/>
    <w:uiPriority w:val="99"/>
    <w:unhideWhenUsed/>
    <w:rsid w:val="00F3399C"/>
    <w:pPr>
      <w:tabs>
        <w:tab w:val="clear" w:pos="567"/>
        <w:tab w:val="center" w:pos="4513"/>
        <w:tab w:val="right" w:pos="9026"/>
      </w:tabs>
      <w:spacing w:line="240" w:lineRule="auto"/>
    </w:pPr>
    <w:rPr>
      <w:rFonts w:ascii="Montserrat Ultra Light" w:hAnsi="Montserrat Ultra Light"/>
      <w:color w:val="004563"/>
    </w:rPr>
  </w:style>
  <w:style w:type="character" w:styleId="Hyperlink">
    <w:name w:val="Hyperlink"/>
    <w:basedOn w:val="DefaultParagraphFont"/>
    <w:uiPriority w:val="99"/>
    <w:unhideWhenUsed/>
    <w:qFormat/>
    <w:rsid w:val="00D46F93"/>
    <w:rPr>
      <w:color w:val="006991"/>
      <w:u w:val="single"/>
    </w:rPr>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F3399C"/>
    <w:rPr>
      <w:rFonts w:ascii="Montserrat Ultra Light" w:hAnsi="Montserrat Ultra Light"/>
      <w:color w:val="004563"/>
      <w:sz w:val="20"/>
    </w:rPr>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GCTablesubhead2">
    <w:name w:val="CGC Table subhead2"/>
    <w:basedOn w:val="Normal"/>
    <w:rsid w:val="00011803"/>
    <w:pPr>
      <w:spacing w:before="0" w:line="240" w:lineRule="auto"/>
    </w:pPr>
    <w:rPr>
      <w:rFonts w:ascii="Open Sans Semibold" w:hAnsi="Open Sans Semibold"/>
      <w:sz w:val="16"/>
      <w:lang w:val="en-US"/>
    </w:rPr>
  </w:style>
  <w:style w:type="paragraph" w:customStyle="1" w:styleId="TableRowUnits">
    <w:name w:val="TableRowUnits"/>
    <w:basedOn w:val="Normal"/>
    <w:rsid w:val="00765BA8"/>
    <w:pPr>
      <w:keepNext/>
      <w:keepLines/>
      <w:tabs>
        <w:tab w:val="left" w:pos="475"/>
        <w:tab w:val="left" w:pos="1440"/>
        <w:tab w:val="left" w:pos="2160"/>
        <w:tab w:val="left" w:pos="2880"/>
      </w:tabs>
      <w:spacing w:line="240" w:lineRule="auto"/>
      <w:jc w:val="right"/>
    </w:pPr>
    <w:rPr>
      <w:szCs w:val="20"/>
    </w:rPr>
  </w:style>
  <w:style w:type="paragraph" w:styleId="TOAHeading">
    <w:name w:val="toa heading"/>
    <w:basedOn w:val="Normal"/>
    <w:next w:val="Normal"/>
    <w:rsid w:val="00581586"/>
    <w:rPr>
      <w:rFonts w:cs="Arial"/>
      <w:b/>
      <w:bCs/>
    </w:rPr>
  </w:style>
  <w:style w:type="paragraph" w:styleId="TOC1">
    <w:name w:val="toc 1"/>
    <w:basedOn w:val="Normal"/>
    <w:next w:val="Normal"/>
    <w:uiPriority w:val="39"/>
    <w:rsid w:val="00581586"/>
    <w:pPr>
      <w:tabs>
        <w:tab w:val="clear" w:pos="567"/>
        <w:tab w:val="right" w:pos="8942"/>
      </w:tabs>
      <w:ind w:left="113"/>
    </w:pPr>
    <w:rPr>
      <w:rFonts w:ascii="Open Sans" w:hAnsi="Open Sans"/>
      <w:b/>
      <w:bCs/>
      <w:color w:val="636466"/>
      <w:szCs w:val="20"/>
    </w:rPr>
  </w:style>
  <w:style w:type="paragraph" w:styleId="TOC2">
    <w:name w:val="toc 2"/>
    <w:basedOn w:val="Normal"/>
    <w:next w:val="Normal"/>
    <w:rsid w:val="00581586"/>
    <w:pPr>
      <w:tabs>
        <w:tab w:val="clear" w:pos="567"/>
        <w:tab w:val="right" w:pos="8942"/>
      </w:tabs>
      <w:spacing w:before="0"/>
      <w:ind w:left="113"/>
    </w:pPr>
    <w:rPr>
      <w:rFonts w:ascii="Open Sans" w:hAnsi="Open Sans"/>
      <w:color w:val="636466"/>
      <w:szCs w:val="20"/>
    </w:rPr>
  </w:style>
  <w:style w:type="paragraph" w:styleId="TOC3">
    <w:name w:val="toc 3"/>
    <w:basedOn w:val="Normal"/>
    <w:next w:val="Normal"/>
    <w:uiPriority w:val="39"/>
    <w:rsid w:val="00581586"/>
    <w:pPr>
      <w:tabs>
        <w:tab w:val="clear" w:pos="567"/>
        <w:tab w:val="right" w:pos="8942"/>
      </w:tabs>
      <w:spacing w:before="40"/>
      <w:ind w:left="397"/>
    </w:pPr>
    <w:rPr>
      <w:iCs/>
      <w:color w:val="636466"/>
    </w:rPr>
  </w:style>
  <w:style w:type="paragraph" w:styleId="TOC4">
    <w:name w:val="toc 4"/>
    <w:basedOn w:val="Normal"/>
    <w:next w:val="Normal"/>
    <w:uiPriority w:val="39"/>
    <w:rsid w:val="00581586"/>
    <w:pPr>
      <w:tabs>
        <w:tab w:val="clear" w:pos="567"/>
        <w:tab w:val="right" w:pos="8942"/>
      </w:tabs>
      <w:spacing w:before="40" w:line="276" w:lineRule="auto"/>
      <w:ind w:left="680"/>
    </w:pPr>
    <w:rPr>
      <w:i/>
      <w:color w:val="636466"/>
    </w:rPr>
  </w:style>
  <w:style w:type="paragraph" w:styleId="TOC5">
    <w:name w:val="toc 5"/>
    <w:basedOn w:val="Normal"/>
    <w:next w:val="Normal"/>
    <w:autoRedefine/>
    <w:unhideWhenUsed/>
    <w:rsid w:val="00581586"/>
    <w:pPr>
      <w:tabs>
        <w:tab w:val="clear" w:pos="567"/>
      </w:tabs>
      <w:ind w:left="799"/>
    </w:pPr>
    <w:rPr>
      <w:lang w:val="en-US"/>
    </w:rPr>
  </w:style>
  <w:style w:type="paragraph" w:styleId="TOC6">
    <w:name w:val="toc 6"/>
    <w:basedOn w:val="Normal"/>
    <w:next w:val="Normal"/>
    <w:autoRedefine/>
    <w:unhideWhenUsed/>
    <w:rsid w:val="00581586"/>
    <w:pPr>
      <w:tabs>
        <w:tab w:val="clear" w:pos="567"/>
      </w:tabs>
      <w:ind w:left="998"/>
    </w:pPr>
    <w:rPr>
      <w:lang w:val="en-US"/>
    </w:rPr>
  </w:style>
  <w:style w:type="character" w:customStyle="1" w:styleId="Heading1Char">
    <w:name w:val="Heading 1 Char"/>
    <w:basedOn w:val="DefaultParagraphFont"/>
    <w:link w:val="Heading1"/>
    <w:uiPriority w:val="9"/>
    <w:rsid w:val="00D46F93"/>
    <w:rPr>
      <w:rFonts w:ascii="Montserrat Ultra Light" w:eastAsiaTheme="majorEastAsia" w:hAnsi="Montserrat Ultra Light" w:cstheme="majorBidi"/>
      <w:b/>
      <w:bCs/>
      <w:color w:val="004563"/>
      <w:sz w:val="56"/>
      <w:szCs w:val="28"/>
    </w:rPr>
  </w:style>
  <w:style w:type="character" w:customStyle="1" w:styleId="Heading2Char">
    <w:name w:val="Heading 2 Char"/>
    <w:basedOn w:val="DefaultParagraphFont"/>
    <w:link w:val="Heading2"/>
    <w:uiPriority w:val="9"/>
    <w:rsid w:val="00D46F93"/>
    <w:rPr>
      <w:rFonts w:ascii="Montserrat Ultra Light" w:eastAsiaTheme="majorEastAsia" w:hAnsi="Montserrat Ultra Light" w:cstheme="majorBidi"/>
      <w:b/>
      <w:bCs/>
      <w:color w:val="004563"/>
      <w:sz w:val="56"/>
      <w:szCs w:val="26"/>
    </w:rPr>
  </w:style>
  <w:style w:type="character" w:customStyle="1" w:styleId="Heading3Char">
    <w:name w:val="Heading 3 Char"/>
    <w:basedOn w:val="DefaultParagraphFont"/>
    <w:link w:val="Heading3"/>
    <w:uiPriority w:val="9"/>
    <w:rsid w:val="00D46F93"/>
    <w:rPr>
      <w:rFonts w:ascii="Montserrat Extra Bold" w:eastAsiaTheme="majorEastAsia" w:hAnsi="Montserrat Extra Bold" w:cstheme="majorBidi"/>
      <w:bCs/>
      <w:color w:val="004563"/>
      <w:sz w:val="32"/>
    </w:rPr>
  </w:style>
  <w:style w:type="character" w:customStyle="1" w:styleId="Heading4Char">
    <w:name w:val="Heading 4 Char"/>
    <w:basedOn w:val="DefaultParagraphFont"/>
    <w:link w:val="Heading4"/>
    <w:uiPriority w:val="9"/>
    <w:rsid w:val="006B6A00"/>
    <w:rPr>
      <w:rFonts w:ascii="Montserrat Semi Bold" w:eastAsiaTheme="majorEastAsia" w:hAnsi="Montserrat Semi Bold" w:cstheme="majorBidi"/>
      <w:bCs/>
      <w:iCs/>
      <w:color w:val="006991"/>
      <w:sz w:val="28"/>
    </w:rPr>
  </w:style>
  <w:style w:type="character" w:customStyle="1" w:styleId="Heading5Char">
    <w:name w:val="Heading 5 Char"/>
    <w:basedOn w:val="DefaultParagraphFont"/>
    <w:link w:val="Heading5"/>
    <w:uiPriority w:val="9"/>
    <w:rsid w:val="00D46F93"/>
    <w:rPr>
      <w:rFonts w:ascii="Montserrat Semi Bold" w:eastAsiaTheme="majorEastAsia" w:hAnsi="Montserrat Semi Bold" w:cstheme="majorBidi"/>
      <w:color w:val="636466"/>
      <w:sz w:val="24"/>
    </w:rPr>
  </w:style>
  <w:style w:type="paragraph" w:styleId="TOCHeading">
    <w:name w:val="TOC Heading"/>
    <w:basedOn w:val="Heading1"/>
    <w:next w:val="Normal"/>
    <w:uiPriority w:val="39"/>
    <w:semiHidden/>
    <w:unhideWhenUsed/>
    <w:qFormat/>
    <w:rsid w:val="00D46F93"/>
    <w:pPr>
      <w:keepLines/>
      <w:spacing w:before="480" w:line="320" w:lineRule="atLeast"/>
      <w:outlineLvl w:val="9"/>
    </w:pPr>
    <w:rPr>
      <w:rFonts w:asciiTheme="majorHAnsi" w:hAnsiTheme="majorHAnsi"/>
      <w:caps/>
      <w:color w:val="365F91" w:themeColor="accent1" w:themeShade="BF"/>
      <w:sz w:val="28"/>
    </w:rPr>
  </w:style>
  <w:style w:type="character" w:customStyle="1" w:styleId="FooterChar">
    <w:name w:val="Footer Char"/>
    <w:basedOn w:val="DefaultParagraphFont"/>
    <w:link w:val="Footer"/>
    <w:uiPriority w:val="99"/>
    <w:rsid w:val="00011803"/>
    <w:rPr>
      <w:rFonts w:ascii="Montserrat Ultra Light" w:hAnsi="Montserrat Ultra Light"/>
      <w:b/>
      <w:color w:val="004563"/>
      <w:sz w:val="20"/>
    </w:rPr>
  </w:style>
  <w:style w:type="character" w:customStyle="1" w:styleId="HeaderChar">
    <w:name w:val="Header Char"/>
    <w:basedOn w:val="DefaultParagraphFont"/>
    <w:link w:val="Header"/>
    <w:uiPriority w:val="99"/>
    <w:rsid w:val="00F3399C"/>
    <w:rPr>
      <w:rFonts w:ascii="Montserrat Ultra Light" w:hAnsi="Montserrat Ultra Light"/>
      <w:color w:val="004563"/>
      <w:sz w:val="20"/>
      <w:lang w:val="en-US"/>
    </w:rPr>
  </w:style>
  <w:style w:type="paragraph" w:customStyle="1" w:styleId="CGCDataCaption">
    <w:name w:val="CGC Data Caption"/>
    <w:basedOn w:val="CGCTableFootnote"/>
    <w:next w:val="Normal"/>
    <w:link w:val="DataCaptionChar"/>
    <w:rsid w:val="00622669"/>
  </w:style>
  <w:style w:type="character" w:customStyle="1" w:styleId="CaptionChar">
    <w:name w:val="Caption Char"/>
    <w:basedOn w:val="DefaultParagraphFont"/>
    <w:link w:val="Caption"/>
    <w:rsid w:val="003A76F1"/>
    <w:rPr>
      <w:rFonts w:ascii="Montserrat Light" w:hAnsi="Montserrat Light"/>
      <w:b/>
      <w:bCs/>
      <w:color w:val="004563"/>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rsid w:val="00F3399C"/>
    <w:rPr>
      <w:rFonts w:ascii="Open Sans Light" w:hAnsi="Open Sans Light"/>
      <w:sz w:val="14"/>
      <w:szCs w:val="20"/>
      <w:lang w:val="en-US"/>
    </w:rPr>
  </w:style>
  <w:style w:type="character" w:customStyle="1" w:styleId="Heading6Char">
    <w:name w:val="Heading 6 Char"/>
    <w:basedOn w:val="DefaultParagraphFont"/>
    <w:link w:val="Heading6"/>
    <w:uiPriority w:val="9"/>
    <w:rsid w:val="00D46F93"/>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201B3A"/>
    <w:rPr>
      <w:rFonts w:ascii="Montserrat Semi Bold" w:eastAsiaTheme="majorEastAsia" w:hAnsi="Montserrat Semi Bold" w:cstheme="majorBidi"/>
      <w:i/>
      <w:iCs/>
      <w:color w:val="939598"/>
      <w:sz w:val="20"/>
    </w:rPr>
  </w:style>
  <w:style w:type="paragraph" w:customStyle="1" w:styleId="CGCParaNumber">
    <w:name w:val="CGC Para Number"/>
    <w:basedOn w:val="Normal"/>
    <w:autoRedefine/>
    <w:qFormat/>
    <w:rsid w:val="00581586"/>
    <w:pPr>
      <w:numPr>
        <w:numId w:val="37"/>
      </w:numPr>
    </w:pPr>
  </w:style>
  <w:style w:type="paragraph" w:customStyle="1" w:styleId="CGCBullet1">
    <w:name w:val="CGC Bullet 1"/>
    <w:basedOn w:val="Normal"/>
    <w:qFormat/>
    <w:rsid w:val="00364DB3"/>
    <w:pPr>
      <w:numPr>
        <w:numId w:val="22"/>
      </w:numPr>
      <w:ind w:left="924" w:hanging="357"/>
    </w:pPr>
  </w:style>
  <w:style w:type="paragraph" w:customStyle="1" w:styleId="CGCBullet2">
    <w:name w:val="CGC Bullet 2"/>
    <w:basedOn w:val="Normal"/>
    <w:autoRedefine/>
    <w:qFormat/>
    <w:rsid w:val="009A1DE6"/>
    <w:pPr>
      <w:numPr>
        <w:numId w:val="23"/>
      </w:numPr>
      <w:ind w:left="924" w:hanging="357"/>
    </w:pPr>
  </w:style>
  <w:style w:type="paragraph" w:customStyle="1" w:styleId="CGCBullet3">
    <w:name w:val="CGC Bullet 3"/>
    <w:basedOn w:val="Normal"/>
    <w:qFormat/>
    <w:rsid w:val="00401575"/>
    <w:pPr>
      <w:numPr>
        <w:numId w:val="24"/>
      </w:numPr>
      <w:ind w:left="1491" w:hanging="357"/>
    </w:pPr>
  </w:style>
  <w:style w:type="paragraph" w:customStyle="1" w:styleId="CGCQuoteText">
    <w:name w:val="CGC Quote Text"/>
    <w:basedOn w:val="Normal"/>
    <w:next w:val="Normal"/>
    <w:rsid w:val="00F3399C"/>
    <w:pPr>
      <w:spacing w:after="120"/>
      <w:ind w:left="1418" w:right="1134"/>
    </w:pPr>
  </w:style>
  <w:style w:type="paragraph" w:customStyle="1" w:styleId="CGCQuoteBullet">
    <w:name w:val="CGC Quote Bullet"/>
    <w:basedOn w:val="CGCQuoteText"/>
    <w:next w:val="Normal"/>
    <w:rsid w:val="00F3399C"/>
    <w:pPr>
      <w:numPr>
        <w:numId w:val="25"/>
      </w:numPr>
      <w:spacing w:after="0"/>
      <w:ind w:left="1775" w:right="1418" w:hanging="357"/>
    </w:pPr>
  </w:style>
  <w:style w:type="paragraph" w:customStyle="1" w:styleId="CGCTablerow">
    <w:name w:val="CGC Table row"/>
    <w:basedOn w:val="Normal"/>
    <w:rsid w:val="00D46F93"/>
    <w:pPr>
      <w:spacing w:before="0" w:line="240" w:lineRule="auto"/>
    </w:pPr>
    <w:rPr>
      <w:sz w:val="16"/>
    </w:rPr>
  </w:style>
  <w:style w:type="paragraph" w:customStyle="1" w:styleId="CGCTablenote">
    <w:name w:val="CGC Table note"/>
    <w:basedOn w:val="Normal"/>
    <w:next w:val="Normal"/>
    <w:qFormat/>
    <w:rsid w:val="00277EF8"/>
    <w:pPr>
      <w:tabs>
        <w:tab w:val="left" w:pos="680"/>
      </w:tabs>
      <w:spacing w:before="40" w:line="240" w:lineRule="auto"/>
      <w:ind w:left="567" w:hanging="567"/>
    </w:pPr>
    <w:rPr>
      <w:sz w:val="14"/>
    </w:rPr>
  </w:style>
  <w:style w:type="character" w:customStyle="1" w:styleId="CGCTableHeadingChar">
    <w:name w:val="CGC Table Heading Char"/>
    <w:basedOn w:val="DefaultParagraphFont"/>
    <w:link w:val="CGCTableHeading"/>
    <w:rsid w:val="00E616F0"/>
    <w:rPr>
      <w:rFonts w:ascii="Montserrat Ultra Light" w:hAnsi="Montserrat Ultra Light"/>
      <w:b/>
      <w:sz w:val="20"/>
      <w:szCs w:val="20"/>
      <w:lang w:val="en-US"/>
    </w:rPr>
  </w:style>
  <w:style w:type="character" w:customStyle="1" w:styleId="CGCTableStubChar">
    <w:name w:val="CGC Table Stub Char"/>
    <w:basedOn w:val="DefaultParagraphFont"/>
    <w:link w:val="CGCTableStub"/>
    <w:rsid w:val="00D46F93"/>
    <w:rPr>
      <w:sz w:val="20"/>
      <w:szCs w:val="20"/>
    </w:rPr>
  </w:style>
  <w:style w:type="paragraph" w:styleId="NoSpacing">
    <w:name w:val="No Spacing"/>
    <w:link w:val="NoSpacingChar"/>
    <w:uiPriority w:val="1"/>
    <w:rsid w:val="00D46F93"/>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D46F93"/>
    <w:rPr>
      <w:sz w:val="24"/>
    </w:rPr>
  </w:style>
  <w:style w:type="paragraph" w:styleId="BalloonText">
    <w:name w:val="Balloon Text"/>
    <w:basedOn w:val="Normal"/>
    <w:link w:val="BalloonTextChar"/>
    <w:uiPriority w:val="99"/>
    <w:semiHidden/>
    <w:unhideWhenUsed/>
    <w:rsid w:val="00E87D7D"/>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D7D"/>
    <w:rPr>
      <w:rFonts w:ascii="Segoe UI" w:hAnsi="Segoe UI" w:cs="Segoe UI"/>
      <w:sz w:val="18"/>
      <w:szCs w:val="18"/>
    </w:rPr>
  </w:style>
  <w:style w:type="character" w:styleId="CommentReference">
    <w:name w:val="annotation reference"/>
    <w:basedOn w:val="DefaultParagraphFont"/>
    <w:semiHidden/>
    <w:unhideWhenUsed/>
    <w:rsid w:val="00124C6E"/>
    <w:rPr>
      <w:sz w:val="16"/>
      <w:szCs w:val="16"/>
    </w:rPr>
  </w:style>
  <w:style w:type="paragraph" w:styleId="CommentText">
    <w:name w:val="annotation text"/>
    <w:basedOn w:val="Normal"/>
    <w:link w:val="CommentTextChar"/>
    <w:semiHidden/>
    <w:unhideWhenUsed/>
    <w:rsid w:val="00124C6E"/>
    <w:pPr>
      <w:spacing w:line="240" w:lineRule="auto"/>
    </w:pPr>
    <w:rPr>
      <w:szCs w:val="20"/>
    </w:rPr>
  </w:style>
  <w:style w:type="character" w:customStyle="1" w:styleId="CommentTextChar">
    <w:name w:val="Comment Text Char"/>
    <w:basedOn w:val="DefaultParagraphFont"/>
    <w:link w:val="CommentText"/>
    <w:semiHidden/>
    <w:rsid w:val="00124C6E"/>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124C6E"/>
    <w:rPr>
      <w:b/>
      <w:bCs/>
    </w:rPr>
  </w:style>
  <w:style w:type="character" w:customStyle="1" w:styleId="CommentSubjectChar">
    <w:name w:val="Comment Subject Char"/>
    <w:basedOn w:val="CommentTextChar"/>
    <w:link w:val="CommentSubject"/>
    <w:semiHidden/>
    <w:rsid w:val="00124C6E"/>
    <w:rPr>
      <w:rFonts w:ascii="Open Sans Light" w:hAnsi="Open Sans Light"/>
      <w:b/>
      <w:bCs/>
      <w:sz w:val="20"/>
      <w:szCs w:val="20"/>
    </w:rPr>
  </w:style>
  <w:style w:type="character" w:customStyle="1" w:styleId="normaltextrun">
    <w:name w:val="normaltextrun"/>
    <w:basedOn w:val="DefaultParagraphFont"/>
    <w:rsid w:val="000F3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979578505">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244490112">
      <w:bodyDiv w:val="1"/>
      <w:marLeft w:val="0"/>
      <w:marRight w:val="0"/>
      <w:marTop w:val="0"/>
      <w:marBottom w:val="0"/>
      <w:divBdr>
        <w:top w:val="none" w:sz="0" w:space="0" w:color="auto"/>
        <w:left w:val="none" w:sz="0" w:space="0" w:color="auto"/>
        <w:bottom w:val="none" w:sz="0" w:space="0" w:color="auto"/>
        <w:right w:val="none" w:sz="0" w:space="0" w:color="auto"/>
      </w:divBdr>
    </w:div>
    <w:div w:id="1446726646">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2077118166">
      <w:bodyDiv w:val="1"/>
      <w:marLeft w:val="0"/>
      <w:marRight w:val="0"/>
      <w:marTop w:val="0"/>
      <w:marBottom w:val="0"/>
      <w:divBdr>
        <w:top w:val="none" w:sz="0" w:space="0" w:color="auto"/>
        <w:left w:val="none" w:sz="0" w:space="0" w:color="auto"/>
        <w:bottom w:val="none" w:sz="0" w:space="0" w:color="auto"/>
        <w:right w:val="none" w:sz="0" w:space="0" w:color="auto"/>
      </w:divBdr>
    </w:div>
    <w:div w:id="213490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43D68F53E1BD4E9ECEBD00E85D966D" ma:contentTypeVersion="6" ma:contentTypeDescription="Create a new document." ma:contentTypeScope="" ma:versionID="71c6065bf8e40a47664c5aa93b8031da">
  <xsd:schema xmlns:xsd="http://www.w3.org/2001/XMLSchema" xmlns:xs="http://www.w3.org/2001/XMLSchema" xmlns:p="http://schemas.microsoft.com/office/2006/metadata/properties" xmlns:ns2="21a828ce-1c6d-4919-9a14-089f126d13b4" xmlns:ns3="2a8e6efc-e215-41f5-8ffc-7ca1f51f808a" targetNamespace="http://schemas.microsoft.com/office/2006/metadata/properties" ma:root="true" ma:fieldsID="87a0c277ab3b79337e00fe611ba969bf" ns2:_="" ns3:_="">
    <xsd:import namespace="21a828ce-1c6d-4919-9a14-089f126d13b4"/>
    <xsd:import namespace="2a8e6efc-e215-41f5-8ffc-7ca1f51f80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a828ce-1c6d-4919-9a14-089f126d13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8e6efc-e215-41f5-8ffc-7ca1f51f80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F7387A-45C9-4D70-B9DA-233935901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a828ce-1c6d-4919-9a14-089f126d13b4"/>
    <ds:schemaRef ds:uri="2a8e6efc-e215-41f5-8ffc-7ca1f51f8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F46CCD-EF38-40E1-B677-8389689FA6A0}">
  <ds:schemaRefs>
    <ds:schemaRef ds:uri="http://schemas.openxmlformats.org/officeDocument/2006/bibliography"/>
  </ds:schemaRefs>
</ds:datastoreItem>
</file>

<file path=customXml/itemProps3.xml><?xml version="1.0" encoding="utf-8"?>
<ds:datastoreItem xmlns:ds="http://schemas.openxmlformats.org/officeDocument/2006/customXml" ds:itemID="{38EDB58D-7CA3-49B9-9043-A7149A30B8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D72712-1B19-45FB-ADF0-BCE91516FF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1524</Words>
  <Characters>8692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vt:lpstr>
    </vt:vector>
  </TitlesOfParts>
  <Company>The Commonwealth Grants Commission</Company>
  <LinksUpToDate>false</LinksUpToDate>
  <CharactersWithSpaces>10196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Deborah Fleming</dc:creator>
  <cp:keywords/>
  <dc:description/>
  <cp:lastModifiedBy>Deborah Fleming</cp:lastModifiedBy>
  <cp:revision>7</cp:revision>
  <cp:lastPrinted>2021-02-23T01:25:00Z</cp:lastPrinted>
  <dcterms:created xsi:type="dcterms:W3CDTF">2021-02-23T01:16:00Z</dcterms:created>
  <dcterms:modified xsi:type="dcterms:W3CDTF">2021-02-23T04:34:00Z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0x0101001043D68F53E1BD4E9ECEBD00E85D966D</vt:lpwstr>
  </property>
</Properties>
</file>