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4.xml" ContentType="application/vnd.openxmlformats-officedocument.wordprocessingml.foot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16.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1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18.xml" ContentType="application/vnd.openxmlformats-officedocument.wordprocessingml.footer+xml"/>
  <Override PartName="/word/header45.xml" ContentType="application/vnd.openxmlformats-officedocument.wordprocessingml.header+xml"/>
  <Override PartName="/word/footer19.xml" ContentType="application/vnd.openxmlformats-officedocument.wordprocessingml.footer+xml"/>
  <Override PartName="/word/header46.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CA3629" w14:textId="7FF418A1" w:rsidR="00165998" w:rsidRPr="00442A3B" w:rsidRDefault="00E425F9" w:rsidP="00FE22D0">
      <w:pPr>
        <w:rPr>
          <w:color w:val="FFFFFF" w:themeColor="background1"/>
        </w:rPr>
      </w:pPr>
      <w:r w:rsidRPr="00442A3B">
        <w:rPr>
          <w:noProof/>
        </w:rPr>
        <mc:AlternateContent>
          <mc:Choice Requires="wps">
            <w:drawing>
              <wp:anchor distT="0" distB="0" distL="114300" distR="114300" simplePos="0" relativeHeight="251659264" behindDoc="1" locked="0" layoutInCell="1" allowOverlap="1" wp14:anchorId="73CC55E1" wp14:editId="00091A98">
                <wp:simplePos x="0" y="0"/>
                <wp:positionH relativeFrom="margin">
                  <wp:posOffset>-540385</wp:posOffset>
                </wp:positionH>
                <wp:positionV relativeFrom="margin">
                  <wp:posOffset>-8436610</wp:posOffset>
                </wp:positionV>
                <wp:extent cx="7561263" cy="18578513"/>
                <wp:effectExtent l="0" t="0" r="1905"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1263" cy="18578513"/>
                        </a:xfrm>
                        <a:prstGeom prst="rect">
                          <a:avLst/>
                        </a:prstGeom>
                        <a:solidFill>
                          <a:srgbClr val="0045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25F6E3" w14:textId="77777777" w:rsidR="00577F4E" w:rsidRDefault="00577F4E" w:rsidP="001D231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C55E1" id="Rectangle 3" o:spid="_x0000_s1026" alt="&quot;&quot;" style="position:absolute;margin-left:-42.55pt;margin-top:-664.3pt;width:595.4pt;height:1462.9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" fillcolor="#004563" stroked="f" strokeweight="2pt">
                <v:textbox inset="0,0,0,0">
                  <w:txbxContent>
                    <w:p w14:paraId="3825F6E3" w14:textId="77777777" w:rsidR="00577F4E" w:rsidRDefault="00577F4E" w:rsidP="001D2315"/>
                  </w:txbxContent>
                </v:textbox>
                <w10:wrap anchorx="margin" anchory="margin"/>
              </v:rect>
            </w:pict>
          </mc:Fallback>
        </mc:AlternateContent>
      </w:r>
    </w:p>
    <w:p w14:paraId="098C6D02" w14:textId="77777777" w:rsidR="00165998" w:rsidRPr="00442A3B" w:rsidRDefault="00165998" w:rsidP="00165998">
      <w:pPr>
        <w:jc w:val="center"/>
        <w:rPr>
          <w:color w:val="FFFFFF" w:themeColor="background1"/>
        </w:rPr>
      </w:pPr>
      <w:r w:rsidRPr="00442A3B">
        <w:rPr>
          <w:noProof/>
        </w:rPr>
        <w:drawing>
          <wp:inline distT="0" distB="0" distL="0" distR="0" wp14:anchorId="1C40DEC4" wp14:editId="58198C15">
            <wp:extent cx="2944800" cy="1425600"/>
            <wp:effectExtent l="0" t="0" r="8255" b="3175"/>
            <wp:docPr id="2050929467" name="Picture 24" descr="Decorative: Commonwealth Grants Commission cr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929467" name="Picture 24" descr="Decorative: Commonwealth Grants Commission crest"/>
                    <pic:cNvPicPr/>
                  </pic:nvPicPr>
                  <pic:blipFill>
                    <a:blip r:embed="rId11">
                      <a:extLst>
                        <a:ext uri="{28A0092B-C50C-407E-A947-70E740481C1C}">
                          <a14:useLocalDpi xmlns:a14="http://schemas.microsoft.com/office/drawing/2010/main" val="0"/>
                        </a:ext>
                      </a:extLst>
                    </a:blip>
                    <a:stretch>
                      <a:fillRect/>
                    </a:stretch>
                  </pic:blipFill>
                  <pic:spPr>
                    <a:xfrm>
                      <a:off x="0" y="0"/>
                      <a:ext cx="2944800" cy="1425600"/>
                    </a:xfrm>
                    <a:prstGeom prst="rect">
                      <a:avLst/>
                    </a:prstGeom>
                  </pic:spPr>
                </pic:pic>
              </a:graphicData>
            </a:graphic>
          </wp:inline>
        </w:drawing>
      </w:r>
    </w:p>
    <w:p w14:paraId="6B3E9C59" w14:textId="77777777" w:rsidR="00165998" w:rsidRPr="00442A3B" w:rsidRDefault="00165998" w:rsidP="00165998"/>
    <w:p w14:paraId="5C00EC21" w14:textId="77777777" w:rsidR="00165998" w:rsidRPr="00442A3B" w:rsidRDefault="00165998" w:rsidP="00165998"/>
    <w:p w14:paraId="2A6F9A1D" w14:textId="77777777" w:rsidR="00165998" w:rsidRPr="00442A3B" w:rsidRDefault="00165998" w:rsidP="00165998"/>
    <w:p w14:paraId="16780223" w14:textId="77777777" w:rsidR="00165998" w:rsidRPr="00442A3B" w:rsidRDefault="00165998" w:rsidP="00165998"/>
    <w:p w14:paraId="14F6A3A7" w14:textId="0B7F9214" w:rsidR="00165998" w:rsidRPr="00442A3B" w:rsidRDefault="00165998" w:rsidP="00165998">
      <w:pPr>
        <w:pStyle w:val="Publicationtitle1"/>
        <w:rPr>
          <w:color w:val="FFFFFF" w:themeColor="background1"/>
        </w:rPr>
      </w:pPr>
      <w:r w:rsidRPr="00442A3B">
        <w:rPr>
          <w:color w:val="FFFFFF" w:themeColor="background1"/>
        </w:rPr>
        <w:t xml:space="preserve">Report on </w:t>
      </w:r>
      <w:r w:rsidRPr="00442A3B">
        <w:br/>
      </w:r>
      <w:r w:rsidRPr="00442A3B">
        <w:rPr>
          <w:color w:val="FFFFFF" w:themeColor="background1"/>
        </w:rPr>
        <w:t>GST Revenue Sharing Relativities</w:t>
      </w:r>
    </w:p>
    <w:p w14:paraId="54F0F437" w14:textId="7D0B48B7" w:rsidR="00165998" w:rsidRPr="00442A3B" w:rsidRDefault="00165998" w:rsidP="00165998">
      <w:pPr>
        <w:pStyle w:val="Publicationtitle1"/>
        <w:spacing w:before="360"/>
        <w:rPr>
          <w:color w:val="FFFFFF" w:themeColor="background1"/>
        </w:rPr>
      </w:pPr>
      <w:r w:rsidRPr="00442A3B">
        <w:rPr>
          <w:color w:val="FFFFFF" w:themeColor="background1"/>
        </w:rPr>
        <w:t>2021 Update</w:t>
      </w:r>
    </w:p>
    <w:p w14:paraId="3AD5C4D0" w14:textId="77777777" w:rsidR="00165998" w:rsidRPr="00442A3B" w:rsidRDefault="00165998" w:rsidP="00165998"/>
    <w:p w14:paraId="35EC2971" w14:textId="77777777" w:rsidR="00165998" w:rsidRPr="00442A3B" w:rsidRDefault="00165998" w:rsidP="00165998"/>
    <w:p w14:paraId="3FFEB1A3" w14:textId="1076230B" w:rsidR="00165998" w:rsidRPr="00442A3B" w:rsidRDefault="00165998" w:rsidP="00165998">
      <w:pPr>
        <w:pStyle w:val="Publicationtitle2"/>
      </w:pPr>
      <w:r w:rsidRPr="00442A3B">
        <w:t>GST revenue sharing</w:t>
      </w:r>
      <w:r w:rsidRPr="00442A3B">
        <w:br/>
        <w:t>relativities for 202</w:t>
      </w:r>
      <w:r w:rsidR="006B6A43" w:rsidRPr="00442A3B">
        <w:t>1</w:t>
      </w:r>
      <w:r w:rsidRPr="00442A3B">
        <w:noBreakHyphen/>
        <w:t>22</w:t>
      </w:r>
    </w:p>
    <w:p w14:paraId="28F18F09" w14:textId="77777777" w:rsidR="00165998" w:rsidRPr="00442A3B" w:rsidRDefault="00165998" w:rsidP="00165998"/>
    <w:p w14:paraId="5609176C" w14:textId="77777777" w:rsidR="00165998" w:rsidRPr="00442A3B" w:rsidRDefault="00165998" w:rsidP="00165998"/>
    <w:p w14:paraId="35D46B31" w14:textId="77777777" w:rsidR="00165998" w:rsidRPr="00442A3B" w:rsidRDefault="00165998" w:rsidP="00165998"/>
    <w:p w14:paraId="1408F66B" w14:textId="36E22058" w:rsidR="008F519E" w:rsidRPr="00442A3B" w:rsidRDefault="008F519E" w:rsidP="00165998"/>
    <w:p w14:paraId="1BFF8FA9" w14:textId="36370902" w:rsidR="008F519E" w:rsidRPr="00442A3B" w:rsidRDefault="008F519E" w:rsidP="00165998"/>
    <w:p w14:paraId="7861578E" w14:textId="4968EDE1" w:rsidR="008F519E" w:rsidRPr="00442A3B" w:rsidRDefault="008F519E" w:rsidP="00165998"/>
    <w:p w14:paraId="597A9DFD" w14:textId="500BD72A" w:rsidR="008F519E" w:rsidRPr="00442A3B" w:rsidRDefault="008F519E" w:rsidP="00165998"/>
    <w:p w14:paraId="714A4171" w14:textId="77777777" w:rsidR="008F519E" w:rsidRPr="00442A3B" w:rsidRDefault="008F519E" w:rsidP="00165998"/>
    <w:p w14:paraId="3121124A" w14:textId="0438C37F" w:rsidR="00165998" w:rsidRPr="00442A3B" w:rsidRDefault="008F519E" w:rsidP="008F519E">
      <w:pPr>
        <w:pStyle w:val="Publicationtitle3"/>
        <w:rPr>
          <w:color w:val="FFFFFF" w:themeColor="background1"/>
        </w:rPr>
      </w:pPr>
      <w:r w:rsidRPr="00442A3B">
        <w:rPr>
          <w:color w:val="FFFFFF" w:themeColor="background1"/>
        </w:rPr>
        <w:t>Canberra</w:t>
      </w:r>
    </w:p>
    <w:p w14:paraId="5CC77267" w14:textId="77777777" w:rsidR="00165998" w:rsidRPr="00442A3B" w:rsidRDefault="00165998" w:rsidP="00165998"/>
    <w:p w14:paraId="6A7CCB3B" w14:textId="77777777" w:rsidR="00165998" w:rsidRPr="00442A3B" w:rsidRDefault="00165998" w:rsidP="00165998"/>
    <w:p w14:paraId="508D9343" w14:textId="77777777" w:rsidR="00165998" w:rsidRPr="00442A3B" w:rsidRDefault="00165998" w:rsidP="00165998"/>
    <w:p w14:paraId="625762B4" w14:textId="77777777" w:rsidR="00165998" w:rsidRPr="00442A3B" w:rsidRDefault="00165998" w:rsidP="00165998">
      <w:pPr>
        <w:sectPr w:rsidR="00165998" w:rsidRPr="00442A3B" w:rsidSect="00623DD0">
          <w:footnotePr>
            <w:numRestart w:val="eachSect"/>
          </w:footnotePr>
          <w:pgSz w:w="11907" w:h="16840" w:code="9"/>
          <w:pgMar w:top="851" w:right="851" w:bottom="851" w:left="851" w:header="567" w:footer="567" w:gutter="0"/>
          <w:pgNumType w:start="1"/>
          <w:cols w:space="720"/>
          <w:titlePg/>
          <w:docGrid w:linePitch="360"/>
        </w:sectPr>
      </w:pPr>
    </w:p>
    <w:p w14:paraId="4D728CC6" w14:textId="77777777" w:rsidR="00165998" w:rsidRPr="00442A3B" w:rsidRDefault="00165998" w:rsidP="009B48F5">
      <w:pPr>
        <w:rPr>
          <w:rFonts w:ascii="Montserrat ExtraBold" w:hAnsi="Montserrat ExtraBold"/>
          <w:color w:val="004563"/>
          <w:sz w:val="28"/>
          <w:szCs w:val="28"/>
        </w:rPr>
      </w:pPr>
      <w:r w:rsidRPr="00442A3B">
        <w:rPr>
          <w:rFonts w:ascii="Montserrat ExtraBold" w:hAnsi="Montserrat ExtraBold"/>
          <w:color w:val="004563"/>
          <w:sz w:val="28"/>
          <w:szCs w:val="28"/>
        </w:rPr>
        <w:lastRenderedPageBreak/>
        <w:t>Copyright</w:t>
      </w:r>
    </w:p>
    <w:p w14:paraId="3E8F6BA9" w14:textId="6BB9FF74" w:rsidR="00165998" w:rsidRPr="00442A3B" w:rsidRDefault="00165998" w:rsidP="00165998">
      <w:r w:rsidRPr="00442A3B">
        <w:t>© Commonwealth of Australia 202</w:t>
      </w:r>
      <w:r w:rsidR="001B3188" w:rsidRPr="00442A3B">
        <w:t>1</w:t>
      </w:r>
      <w:r w:rsidRPr="00442A3B">
        <w:tab/>
      </w:r>
      <w:r w:rsidRPr="00442A3B">
        <w:tab/>
        <w:t>ISBN: 978-0-6485912-</w:t>
      </w:r>
      <w:r w:rsidR="00F857A2" w:rsidRPr="00442A3B">
        <w:t>2-1</w:t>
      </w:r>
    </w:p>
    <w:p w14:paraId="1F22032B" w14:textId="4A85D71E" w:rsidR="00165998" w:rsidRPr="00442A3B" w:rsidRDefault="00165998" w:rsidP="00165998">
      <w:r w:rsidRPr="00442A3B">
        <w:t xml:space="preserve">With the exception of the Commonwealth Coat of Arms, all material presented in this document is provided under </w:t>
      </w:r>
      <w:hyperlink r:id="rId12" w:history="1">
        <w:r w:rsidRPr="00442A3B">
          <w:rPr>
            <w:rStyle w:val="Hyperlink"/>
          </w:rPr>
          <w:t>Creative Commons Attribution 4.0</w:t>
        </w:r>
      </w:hyperlink>
      <w:r w:rsidRPr="00442A3B">
        <w:t xml:space="preserve"> (https://creativecommons.org/licenses/by/4.0/) licence. The details of the relevant licence conditions are available on the Creative Commons website as is the full legal code for </w:t>
      </w:r>
      <w:hyperlink r:id="rId13" w:history="1">
        <w:r w:rsidRPr="00442A3B">
          <w:rPr>
            <w:rStyle w:val="Hyperlink"/>
          </w:rPr>
          <w:t>CC BY 4.0 International</w:t>
        </w:r>
      </w:hyperlink>
      <w:r w:rsidRPr="00442A3B">
        <w:t xml:space="preserve"> (https://creativecommons.org/licenses/by/4.0/legalcode). </w:t>
      </w:r>
    </w:p>
    <w:p w14:paraId="76E05B1D" w14:textId="77777777" w:rsidR="00165998" w:rsidRPr="00442A3B" w:rsidRDefault="00165998" w:rsidP="00165998">
      <w:r w:rsidRPr="00442A3B">
        <w:rPr>
          <w:noProof/>
          <w:lang w:eastAsia="en-AU"/>
        </w:rPr>
        <w:drawing>
          <wp:inline distT="0" distB="0" distL="0" distR="0" wp14:anchorId="5ABE6D69" wp14:editId="56782AC9">
            <wp:extent cx="828675" cy="295275"/>
            <wp:effectExtent l="19050" t="0" r="9525" b="0"/>
            <wp:docPr id="16" name="Picture 1" descr="Creative Commons -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4" cstate="print"/>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14:paraId="18146737" w14:textId="77777777" w:rsidR="00165998" w:rsidRPr="00442A3B" w:rsidRDefault="00165998" w:rsidP="00165998"/>
    <w:p w14:paraId="61C8703C" w14:textId="77777777" w:rsidR="00165998" w:rsidRPr="00442A3B" w:rsidRDefault="00165998" w:rsidP="00165998">
      <w:pPr>
        <w:rPr>
          <w:rFonts w:ascii="Montserrat ExtraBold" w:hAnsi="Montserrat ExtraBold"/>
          <w:color w:val="004563"/>
          <w:sz w:val="28"/>
          <w:szCs w:val="28"/>
        </w:rPr>
      </w:pPr>
      <w:r w:rsidRPr="00442A3B">
        <w:rPr>
          <w:rFonts w:ascii="Montserrat ExtraBold" w:hAnsi="Montserrat ExtraBold"/>
          <w:color w:val="004563"/>
          <w:sz w:val="28"/>
          <w:szCs w:val="28"/>
        </w:rPr>
        <w:t>Use of the Coat of Arms</w:t>
      </w:r>
    </w:p>
    <w:p w14:paraId="6186A408" w14:textId="0B9A7FF4" w:rsidR="00165998" w:rsidRPr="00442A3B" w:rsidRDefault="00165998" w:rsidP="00165998">
      <w:r w:rsidRPr="00442A3B">
        <w:t xml:space="preserve">The terms under which the Coat of Arms can be used are detailed on the </w:t>
      </w:r>
      <w:hyperlink r:id="rId15" w:history="1">
        <w:r w:rsidRPr="00442A3B">
          <w:rPr>
            <w:rStyle w:val="Hyperlink"/>
          </w:rPr>
          <w:t>It’s an Honour website</w:t>
        </w:r>
      </w:hyperlink>
      <w:r w:rsidRPr="00442A3B">
        <w:t xml:space="preserve"> (https://www.pmc.gov.au/government/commonwealth-coat-arms). </w:t>
      </w:r>
    </w:p>
    <w:p w14:paraId="054FB8E0" w14:textId="77777777" w:rsidR="00165998" w:rsidRPr="00442A3B" w:rsidRDefault="00165998" w:rsidP="00165998">
      <w:pPr>
        <w:rPr>
          <w:rFonts w:ascii="Montserrat ExtraBold" w:hAnsi="Montserrat ExtraBold"/>
          <w:color w:val="004563"/>
          <w:sz w:val="28"/>
          <w:szCs w:val="28"/>
        </w:rPr>
      </w:pPr>
      <w:r w:rsidRPr="00442A3B">
        <w:rPr>
          <w:rFonts w:ascii="Montserrat ExtraBold" w:hAnsi="Montserrat ExtraBold"/>
          <w:color w:val="004563"/>
          <w:sz w:val="28"/>
          <w:szCs w:val="28"/>
        </w:rPr>
        <w:t>Attribution</w:t>
      </w:r>
    </w:p>
    <w:p w14:paraId="5E74276A" w14:textId="422897EC" w:rsidR="00165998" w:rsidRPr="00442A3B" w:rsidRDefault="00165998" w:rsidP="00165998">
      <w:r w:rsidRPr="00442A3B">
        <w:t xml:space="preserve">The recommended attribution for this document is Commonwealth Grants Commission, </w:t>
      </w:r>
      <w:r w:rsidRPr="00442A3B">
        <w:rPr>
          <w:i/>
        </w:rPr>
        <w:t xml:space="preserve">Report on GST Revenue Sharing Relativities </w:t>
      </w:r>
      <w:r w:rsidR="005909B1" w:rsidRPr="00442A3B">
        <w:rPr>
          <w:i/>
        </w:rPr>
        <w:t>2021 Update</w:t>
      </w:r>
      <w:r w:rsidRPr="00442A3B">
        <w:rPr>
          <w:i/>
        </w:rPr>
        <w:t>.</w:t>
      </w:r>
    </w:p>
    <w:p w14:paraId="2918F6A2" w14:textId="77777777" w:rsidR="00165998" w:rsidRPr="00442A3B" w:rsidRDefault="00165998" w:rsidP="00165998">
      <w:pPr>
        <w:rPr>
          <w:rFonts w:ascii="Montserrat ExtraBold" w:hAnsi="Montserrat ExtraBold"/>
          <w:color w:val="004563"/>
          <w:sz w:val="28"/>
          <w:szCs w:val="28"/>
        </w:rPr>
      </w:pPr>
      <w:r w:rsidRPr="00442A3B">
        <w:rPr>
          <w:rFonts w:ascii="Montserrat ExtraBold" w:hAnsi="Montserrat ExtraBold"/>
          <w:color w:val="004563"/>
          <w:sz w:val="28"/>
          <w:szCs w:val="28"/>
        </w:rPr>
        <w:t>Contact us</w:t>
      </w:r>
    </w:p>
    <w:p w14:paraId="3DBA789F" w14:textId="77777777" w:rsidR="00165998" w:rsidRPr="00442A3B" w:rsidRDefault="00165998" w:rsidP="00165998">
      <w:pPr>
        <w:spacing w:before="0"/>
      </w:pPr>
      <w:r w:rsidRPr="00442A3B">
        <w:t>Inquiries regarding the licence and any use of this document should be directed to:</w:t>
      </w:r>
    </w:p>
    <w:p w14:paraId="35B24873" w14:textId="77777777" w:rsidR="00165998" w:rsidRPr="00442A3B" w:rsidRDefault="00165998" w:rsidP="00165998">
      <w:r w:rsidRPr="00442A3B">
        <w:t>Secretary</w:t>
      </w:r>
    </w:p>
    <w:p w14:paraId="139231B5" w14:textId="77777777" w:rsidR="00165998" w:rsidRPr="00442A3B" w:rsidRDefault="00165998" w:rsidP="00165998">
      <w:pPr>
        <w:spacing w:before="0"/>
      </w:pPr>
      <w:r w:rsidRPr="00442A3B">
        <w:t>Commonwealth Grants Commission</w:t>
      </w:r>
    </w:p>
    <w:p w14:paraId="6A899CA1" w14:textId="77777777" w:rsidR="00165998" w:rsidRPr="00442A3B" w:rsidRDefault="00165998" w:rsidP="00165998">
      <w:pPr>
        <w:spacing w:before="0"/>
      </w:pPr>
      <w:r w:rsidRPr="00442A3B">
        <w:t>Second Floor, Phoenix House</w:t>
      </w:r>
    </w:p>
    <w:p w14:paraId="3C4ACF50" w14:textId="77777777" w:rsidR="00165998" w:rsidRPr="00442A3B" w:rsidRDefault="00165998" w:rsidP="009B48F5">
      <w:r w:rsidRPr="00442A3B">
        <w:t>86-88 Northbourne Avenue</w:t>
      </w:r>
    </w:p>
    <w:p w14:paraId="1D000F73" w14:textId="77777777" w:rsidR="00165998" w:rsidRPr="00442A3B" w:rsidRDefault="00165998" w:rsidP="00165998">
      <w:pPr>
        <w:spacing w:before="0"/>
      </w:pPr>
      <w:r w:rsidRPr="00442A3B">
        <w:t>BRADDON ACT 2612</w:t>
      </w:r>
    </w:p>
    <w:p w14:paraId="265D6B06" w14:textId="77777777" w:rsidR="00165998" w:rsidRPr="00442A3B" w:rsidRDefault="00165998" w:rsidP="00165998">
      <w:pPr>
        <w:spacing w:before="0"/>
      </w:pPr>
      <w:r w:rsidRPr="00442A3B">
        <w:t>Telephone (02) 6218 5700</w:t>
      </w:r>
    </w:p>
    <w:p w14:paraId="68DF7A27" w14:textId="412B7641" w:rsidR="00165998" w:rsidRPr="00442A3B" w:rsidRDefault="00165998" w:rsidP="00165998">
      <w:pPr>
        <w:spacing w:before="0"/>
      </w:pPr>
      <w:r w:rsidRPr="00442A3B">
        <w:t xml:space="preserve">Email </w:t>
      </w:r>
      <w:hyperlink r:id="rId16" w:history="1">
        <w:r w:rsidRPr="00442A3B">
          <w:rPr>
            <w:rStyle w:val="Hyperlink"/>
          </w:rPr>
          <w:t>secretary@cgc.gov.au</w:t>
        </w:r>
      </w:hyperlink>
    </w:p>
    <w:p w14:paraId="605E141D" w14:textId="77777777" w:rsidR="00165998" w:rsidRPr="00442A3B" w:rsidRDefault="00165998" w:rsidP="00165998">
      <w:pPr>
        <w:rPr>
          <w:rFonts w:ascii="Montserrat ExtraBold" w:hAnsi="Montserrat ExtraBold"/>
          <w:color w:val="004563"/>
          <w:sz w:val="28"/>
          <w:szCs w:val="28"/>
        </w:rPr>
      </w:pPr>
      <w:r w:rsidRPr="00442A3B">
        <w:rPr>
          <w:rFonts w:ascii="Montserrat ExtraBold" w:hAnsi="Montserrat ExtraBold"/>
          <w:color w:val="004563"/>
          <w:sz w:val="28"/>
          <w:szCs w:val="28"/>
        </w:rPr>
        <w:t>Internet</w:t>
      </w:r>
    </w:p>
    <w:p w14:paraId="14369699" w14:textId="0684C5E3" w:rsidR="00165998" w:rsidRPr="00442A3B" w:rsidRDefault="00165998" w:rsidP="00165998">
      <w:r w:rsidRPr="00442A3B">
        <w:t xml:space="preserve">A copy of this report can be obtained from the </w:t>
      </w:r>
      <w:hyperlink r:id="rId17" w:history="1">
        <w:r w:rsidRPr="00442A3B">
          <w:rPr>
            <w:rStyle w:val="Hyperlink"/>
          </w:rPr>
          <w:t>Commission’s website</w:t>
        </w:r>
      </w:hyperlink>
      <w:r w:rsidRPr="00442A3B">
        <w:t xml:space="preserve"> (http</w:t>
      </w:r>
      <w:r w:rsidR="00B745B9" w:rsidRPr="00442A3B">
        <w:t>s</w:t>
      </w:r>
      <w:r w:rsidRPr="00442A3B">
        <w:t>://www.cgc.gov.au).</w:t>
      </w:r>
    </w:p>
    <w:p w14:paraId="0D3C1AF1" w14:textId="77777777" w:rsidR="00165998" w:rsidRPr="00442A3B" w:rsidRDefault="00165998" w:rsidP="00165998">
      <w:pPr>
        <w:pStyle w:val="Heading4"/>
        <w:sectPr w:rsidR="00165998" w:rsidRPr="00442A3B" w:rsidSect="00623DD0">
          <w:headerReference w:type="default" r:id="rId18"/>
          <w:footerReference w:type="default" r:id="rId19"/>
          <w:headerReference w:type="first" r:id="rId20"/>
          <w:footerReference w:type="first" r:id="rId21"/>
          <w:footnotePr>
            <w:numRestart w:val="eachSect"/>
          </w:footnotePr>
          <w:pgSz w:w="11907" w:h="16840" w:code="9"/>
          <w:pgMar w:top="1418" w:right="1474" w:bottom="851" w:left="1474" w:header="567" w:footer="567" w:gutter="0"/>
          <w:pgNumType w:start="1"/>
          <w:cols w:space="720"/>
          <w:vAlign w:val="bottom"/>
          <w:titlePg/>
          <w:docGrid w:linePitch="360"/>
        </w:sectPr>
      </w:pPr>
    </w:p>
    <w:p w14:paraId="4BD43508" w14:textId="102A58E9" w:rsidR="00165998" w:rsidRDefault="0089002B" w:rsidP="0067161C">
      <w:pPr>
        <w:pStyle w:val="Heading2"/>
        <w:rPr>
          <w:noProof/>
        </w:rPr>
      </w:pPr>
      <w:bookmarkStart w:id="9" w:name="_Toc65050513"/>
      <w:r w:rsidRPr="00442A3B">
        <w:rPr>
          <w:noProof/>
        </w:rPr>
        <w:lastRenderedPageBreak/>
        <w:t>Letter of transmittal</w:t>
      </w:r>
      <w:bookmarkEnd w:id="9"/>
      <w:r w:rsidRPr="00442A3B">
        <w:rPr>
          <w:noProof/>
        </w:rPr>
        <w:t xml:space="preserve"> </w:t>
      </w:r>
    </w:p>
    <w:p w14:paraId="423E2BD8" w14:textId="39AA8D9D" w:rsidR="00EF2147" w:rsidRPr="00EF2147" w:rsidRDefault="008F56B6" w:rsidP="00EF2147">
      <w:pPr>
        <w:pStyle w:val="NoSpacing"/>
      </w:pPr>
      <w:r>
        <w:rPr>
          <w:noProof/>
        </w:rPr>
        <w:drawing>
          <wp:inline distT="0" distB="0" distL="0" distR="0" wp14:anchorId="33DB9CB8" wp14:editId="055B5572">
            <wp:extent cx="5427593" cy="8152211"/>
            <wp:effectExtent l="19050" t="19050" r="20955" b="20320"/>
            <wp:docPr id="18" name="Picture 18" descr="Text, letter of transmittal, signed 24 February 202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 of transmittal, signed 24 February 2021&#10;&#10;"/>
                    <pic:cNvPicPr/>
                  </pic:nvPicPr>
                  <pic:blipFill rotWithShape="1">
                    <a:blip r:embed="rId22">
                      <a:extLst>
                        <a:ext uri="{BEBA8EAE-BF5A-486C-A8C5-ECC9F3942E4B}">
                          <a14:imgProps xmlns:a14="http://schemas.microsoft.com/office/drawing/2010/main">
                            <a14:imgLayer r:embed="rId23">
                              <a14:imgEffect>
                                <a14:sharpenSoften amount="28000"/>
                              </a14:imgEffect>
                            </a14:imgLayer>
                          </a14:imgProps>
                        </a:ext>
                        <a:ext uri="{28A0092B-C50C-407E-A947-70E740481C1C}">
                          <a14:useLocalDpi xmlns:a14="http://schemas.microsoft.com/office/drawing/2010/main" val="0"/>
                        </a:ext>
                      </a:extLst>
                    </a:blip>
                    <a:srcRect l="5451" t="1429" r="1405" b="4016"/>
                    <a:stretch/>
                  </pic:blipFill>
                  <pic:spPr bwMode="auto">
                    <a:xfrm>
                      <a:off x="0" y="0"/>
                      <a:ext cx="5450568" cy="8186719"/>
                    </a:xfrm>
                    <a:prstGeom prst="rect">
                      <a:avLst/>
                    </a:prstGeom>
                    <a:ln w="6350">
                      <a:solidFill>
                        <a:schemeClr val="bg1">
                          <a:lumMod val="85000"/>
                        </a:schemeClr>
                      </a:solidFill>
                    </a:ln>
                    <a:extLst>
                      <a:ext uri="{53640926-AAD7-44D8-BBD7-CCE9431645EC}">
                        <a14:shadowObscured xmlns:a14="http://schemas.microsoft.com/office/drawing/2010/main"/>
                      </a:ext>
                    </a:extLst>
                  </pic:spPr>
                </pic:pic>
              </a:graphicData>
            </a:graphic>
          </wp:inline>
        </w:drawing>
      </w:r>
    </w:p>
    <w:p w14:paraId="289553BE" w14:textId="24618265" w:rsidR="003571A9" w:rsidRPr="00442A3B" w:rsidRDefault="003571A9" w:rsidP="00165998">
      <w:pPr>
        <w:sectPr w:rsidR="003571A9" w:rsidRPr="00442A3B" w:rsidSect="00623DD0">
          <w:headerReference w:type="default" r:id="rId24"/>
          <w:footerReference w:type="default" r:id="rId25"/>
          <w:headerReference w:type="first" r:id="rId26"/>
          <w:footerReference w:type="first" r:id="rId27"/>
          <w:footnotePr>
            <w:numRestart w:val="eachSect"/>
          </w:footnotePr>
          <w:pgSz w:w="11907" w:h="16840" w:code="9"/>
          <w:pgMar w:top="1418" w:right="1474" w:bottom="1418" w:left="1474" w:header="567" w:footer="567" w:gutter="0"/>
          <w:pgNumType w:fmt="lowerRoman" w:start="1"/>
          <w:cols w:space="720"/>
          <w:titlePg/>
          <w:docGrid w:linePitch="360"/>
        </w:sectPr>
      </w:pPr>
    </w:p>
    <w:p w14:paraId="03BA6DA7" w14:textId="77777777" w:rsidR="00165998" w:rsidRPr="00442A3B" w:rsidRDefault="00165998" w:rsidP="00165998">
      <w:pPr>
        <w:pStyle w:val="Heading2"/>
      </w:pPr>
      <w:bookmarkStart w:id="10" w:name="_Toc65050514"/>
      <w:r w:rsidRPr="00442A3B">
        <w:lastRenderedPageBreak/>
        <w:t>Acknowledgements</w:t>
      </w:r>
      <w:bookmarkEnd w:id="10"/>
    </w:p>
    <w:p w14:paraId="52C95E60" w14:textId="7E51BA76" w:rsidR="004901F4" w:rsidRPr="00442A3B" w:rsidRDefault="00165998" w:rsidP="004901F4">
      <w:r w:rsidRPr="00442A3B">
        <w:t xml:space="preserve">The Commission appreciates the co-operation extended to the Commission and its staff </w:t>
      </w:r>
      <w:r w:rsidR="004901F4" w:rsidRPr="00442A3B">
        <w:t>during this update by staff of Commonwealth and State Treasuries and other agencies.</w:t>
      </w:r>
    </w:p>
    <w:p w14:paraId="220D5A0A" w14:textId="3FBF636F" w:rsidR="00165998" w:rsidRPr="00442A3B" w:rsidRDefault="004901F4" w:rsidP="004901F4">
      <w:r w:rsidRPr="00442A3B">
        <w:t xml:space="preserve">The Commission also acknowledges the commitment and </w:t>
      </w:r>
      <w:r w:rsidR="008E0030" w:rsidRPr="00442A3B">
        <w:t>excellent</w:t>
      </w:r>
      <w:r w:rsidRPr="00442A3B">
        <w:t xml:space="preserve"> contribution of its staff.</w:t>
      </w:r>
    </w:p>
    <w:p w14:paraId="5C50960D" w14:textId="77777777" w:rsidR="00165998" w:rsidRPr="00442A3B" w:rsidRDefault="00165998" w:rsidP="00165998"/>
    <w:p w14:paraId="1A9958BA" w14:textId="77777777" w:rsidR="00165998" w:rsidRPr="00442A3B" w:rsidRDefault="00165998" w:rsidP="00165998">
      <w:pPr>
        <w:pStyle w:val="Heading5"/>
        <w:sectPr w:rsidR="00165998" w:rsidRPr="00442A3B" w:rsidSect="00623DD0">
          <w:headerReference w:type="default" r:id="rId28"/>
          <w:footerReference w:type="default" r:id="rId29"/>
          <w:headerReference w:type="first" r:id="rId30"/>
          <w:footnotePr>
            <w:numRestart w:val="eachSect"/>
          </w:footnotePr>
          <w:pgSz w:w="11907" w:h="16840" w:code="9"/>
          <w:pgMar w:top="1418" w:right="1474" w:bottom="1418" w:left="1474" w:header="567" w:footer="567" w:gutter="0"/>
          <w:pgNumType w:fmt="lowerRoman"/>
          <w:cols w:space="720"/>
          <w:titlePg/>
          <w:docGrid w:linePitch="360"/>
        </w:sectPr>
      </w:pPr>
    </w:p>
    <w:p w14:paraId="3FA89546" w14:textId="5B8B6C09" w:rsidR="00165998" w:rsidRPr="00442A3B" w:rsidRDefault="00165998" w:rsidP="001D2315">
      <w:pPr>
        <w:pStyle w:val="Heading2"/>
        <w:keepNext w:val="0"/>
      </w:pPr>
      <w:bookmarkStart w:id="27" w:name="_Toc65050515"/>
      <w:r w:rsidRPr="00442A3B">
        <w:lastRenderedPageBreak/>
        <w:t>Terms of referenc</w:t>
      </w:r>
      <w:r w:rsidR="00C00E3A" w:rsidRPr="00442A3B">
        <w:t>e</w:t>
      </w:r>
      <w:bookmarkEnd w:id="27"/>
    </w:p>
    <w:p w14:paraId="7A595B65" w14:textId="7D12A88C" w:rsidR="00165998" w:rsidRPr="00442A3B" w:rsidRDefault="00422401" w:rsidP="001D2315">
      <w:pPr>
        <w:widowControl w:val="0"/>
        <w:tabs>
          <w:tab w:val="clear" w:pos="567"/>
        </w:tabs>
        <w:spacing w:before="0" w:after="160" w:line="259" w:lineRule="auto"/>
      </w:pPr>
      <w:r w:rsidRPr="00442A3B">
        <w:rPr>
          <w:noProof/>
        </w:rPr>
        <w:drawing>
          <wp:inline distT="0" distB="0" distL="0" distR="0" wp14:anchorId="4FD8EC48" wp14:editId="726350C7">
            <wp:extent cx="5542059" cy="8409305"/>
            <wp:effectExtent l="0" t="0" r="1905" b="0"/>
            <wp:docPr id="15" name="Picture 15" descr="Terms of reference signed by Treasurer, the Hon Josh Frydenburg MP, on 11 February 2021, pag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rms of reference signed by Treasurer, the Hon Josh Frydenburg MP, on 11 February 2021, page one"/>
                    <pic:cNvPicPr/>
                  </pic:nvPicPr>
                  <pic:blipFill rotWithShape="1">
                    <a:blip r:embed="rId31"/>
                    <a:srcRect t="1373" r="2577"/>
                    <a:stretch/>
                  </pic:blipFill>
                  <pic:spPr bwMode="auto">
                    <a:xfrm>
                      <a:off x="0" y="0"/>
                      <a:ext cx="5542344" cy="8409737"/>
                    </a:xfrm>
                    <a:prstGeom prst="rect">
                      <a:avLst/>
                    </a:prstGeom>
                    <a:ln>
                      <a:noFill/>
                    </a:ln>
                    <a:extLst>
                      <a:ext uri="{53640926-AAD7-44D8-BBD7-CCE9431645EC}">
                        <a14:shadowObscured xmlns:a14="http://schemas.microsoft.com/office/drawing/2010/main"/>
                      </a:ext>
                    </a:extLst>
                  </pic:spPr>
                </pic:pic>
              </a:graphicData>
            </a:graphic>
          </wp:inline>
        </w:drawing>
      </w:r>
    </w:p>
    <w:p w14:paraId="0ED38FA1" w14:textId="328735D0" w:rsidR="00165998" w:rsidRPr="00442A3B" w:rsidRDefault="001D2315" w:rsidP="00165998">
      <w:r w:rsidRPr="00442A3B">
        <w:rPr>
          <w:noProof/>
        </w:rPr>
        <w:lastRenderedPageBreak/>
        <w:drawing>
          <wp:inline distT="0" distB="0" distL="0" distR="0" wp14:anchorId="08282DD4" wp14:editId="7D9258BD">
            <wp:extent cx="5688965" cy="7419975"/>
            <wp:effectExtent l="0" t="0" r="6985" b="9525"/>
            <wp:docPr id="17" name="Picture 17" descr="Terms of reference signed by Treasurer, the Hon Josh Frydenburg MP, on 11 February 2021, page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rms of reference signed by Treasurer, the Hon Josh Frydenburg MP, on 11 February 2021, page two"/>
                    <pic:cNvPicPr/>
                  </pic:nvPicPr>
                  <pic:blipFill rotWithShape="1">
                    <a:blip r:embed="rId32"/>
                    <a:srcRect/>
                    <a:stretch/>
                  </pic:blipFill>
                  <pic:spPr>
                    <a:xfrm>
                      <a:off x="0" y="0"/>
                      <a:ext cx="5688965" cy="7419975"/>
                    </a:xfrm>
                    <a:prstGeom prst="rect">
                      <a:avLst/>
                    </a:prstGeom>
                  </pic:spPr>
                </pic:pic>
              </a:graphicData>
            </a:graphic>
          </wp:inline>
        </w:drawing>
      </w:r>
    </w:p>
    <w:p w14:paraId="0CB8D977" w14:textId="306C97C6" w:rsidR="00165998" w:rsidRPr="00442A3B" w:rsidRDefault="00165998" w:rsidP="00165998"/>
    <w:p w14:paraId="510743B2" w14:textId="7CFA70DD" w:rsidR="001D2315" w:rsidRPr="00442A3B" w:rsidRDefault="00FD2646" w:rsidP="00165998">
      <w:r w:rsidRPr="00442A3B">
        <w:rPr>
          <w:noProof/>
        </w:rPr>
        <w:lastRenderedPageBreak/>
        <w:drawing>
          <wp:inline distT="0" distB="0" distL="0" distR="0" wp14:anchorId="2EC8B8E9" wp14:editId="4923CD93">
            <wp:extent cx="5688965" cy="7178675"/>
            <wp:effectExtent l="0" t="0" r="6985" b="3175"/>
            <wp:docPr id="21" name="Picture 21" descr="Terms of reference signed by Treasurer, the Hon Josh Frydenburg MP, on 11 February 2021, page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rms of reference signed by Treasurer, the Hon Josh Frydenburg MP, on 11 February 2021, page three"/>
                    <pic:cNvPicPr/>
                  </pic:nvPicPr>
                  <pic:blipFill>
                    <a:blip r:embed="rId33"/>
                    <a:stretch>
                      <a:fillRect/>
                    </a:stretch>
                  </pic:blipFill>
                  <pic:spPr>
                    <a:xfrm>
                      <a:off x="0" y="0"/>
                      <a:ext cx="5688965" cy="7178675"/>
                    </a:xfrm>
                    <a:prstGeom prst="rect">
                      <a:avLst/>
                    </a:prstGeom>
                  </pic:spPr>
                </pic:pic>
              </a:graphicData>
            </a:graphic>
          </wp:inline>
        </w:drawing>
      </w:r>
    </w:p>
    <w:p w14:paraId="09619A24" w14:textId="77777777" w:rsidR="001D2315" w:rsidRPr="00442A3B" w:rsidRDefault="001D2315" w:rsidP="00165998"/>
    <w:p w14:paraId="78732ADF" w14:textId="70365D22" w:rsidR="001D2315" w:rsidRPr="00442A3B" w:rsidRDefault="001D2315" w:rsidP="00165998">
      <w:r w:rsidRPr="00442A3B">
        <w:rPr>
          <w:noProof/>
        </w:rPr>
        <w:lastRenderedPageBreak/>
        <w:drawing>
          <wp:inline distT="0" distB="0" distL="0" distR="0" wp14:anchorId="709FC767" wp14:editId="52315201">
            <wp:extent cx="5688965" cy="7532425"/>
            <wp:effectExtent l="0" t="0" r="6985" b="0"/>
            <wp:docPr id="19" name="Picture 19" descr="Terms of reference signed by Treasurer, the Hon Josh Frydenburg MP, on 11 February 2021, page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rms of reference signed by Treasurer, the Hon Josh Frydenburg MP, on 11 February 2021, page four"/>
                    <pic:cNvPicPr/>
                  </pic:nvPicPr>
                  <pic:blipFill rotWithShape="1">
                    <a:blip r:embed="rId34"/>
                    <a:srcRect t="4246"/>
                    <a:stretch/>
                  </pic:blipFill>
                  <pic:spPr bwMode="auto">
                    <a:xfrm>
                      <a:off x="0" y="0"/>
                      <a:ext cx="5688965" cy="7532425"/>
                    </a:xfrm>
                    <a:prstGeom prst="rect">
                      <a:avLst/>
                    </a:prstGeom>
                    <a:ln>
                      <a:noFill/>
                    </a:ln>
                    <a:extLst>
                      <a:ext uri="{53640926-AAD7-44D8-BBD7-CCE9431645EC}">
                        <a14:shadowObscured xmlns:a14="http://schemas.microsoft.com/office/drawing/2010/main"/>
                      </a:ext>
                    </a:extLst>
                  </pic:spPr>
                </pic:pic>
              </a:graphicData>
            </a:graphic>
          </wp:inline>
        </w:drawing>
      </w:r>
    </w:p>
    <w:p w14:paraId="4194508B" w14:textId="3EC72820" w:rsidR="001D2315" w:rsidRPr="00442A3B" w:rsidRDefault="001D2315" w:rsidP="00165998"/>
    <w:p w14:paraId="6030E855" w14:textId="77777777" w:rsidR="001D2315" w:rsidRPr="00442A3B" w:rsidRDefault="001D2315" w:rsidP="00165998"/>
    <w:p w14:paraId="6539C816" w14:textId="6E26C3C2" w:rsidR="00FD2646" w:rsidRPr="00442A3B" w:rsidRDefault="00FD2646" w:rsidP="00165998">
      <w:pPr>
        <w:sectPr w:rsidR="00FD2646" w:rsidRPr="00442A3B" w:rsidSect="00623DD0">
          <w:headerReference w:type="default" r:id="rId35"/>
          <w:footerReference w:type="default" r:id="rId36"/>
          <w:headerReference w:type="first" r:id="rId37"/>
          <w:footnotePr>
            <w:numRestart w:val="eachSect"/>
          </w:footnotePr>
          <w:pgSz w:w="11907" w:h="16840" w:code="9"/>
          <w:pgMar w:top="1418" w:right="1474" w:bottom="1134" w:left="1474" w:header="567" w:footer="567" w:gutter="0"/>
          <w:pgNumType w:fmt="lowerRoman"/>
          <w:cols w:space="720"/>
          <w:titlePg/>
          <w:docGrid w:linePitch="360"/>
        </w:sectPr>
      </w:pPr>
    </w:p>
    <w:p w14:paraId="74BDE176" w14:textId="3CAD1114" w:rsidR="00165998" w:rsidRPr="00442A3B" w:rsidRDefault="00165998" w:rsidP="00165998">
      <w:pPr>
        <w:pStyle w:val="Heading2"/>
      </w:pPr>
      <w:bookmarkStart w:id="28" w:name="_Toc65050516"/>
      <w:r w:rsidRPr="00442A3B">
        <w:lastRenderedPageBreak/>
        <w:t>List of acronyms</w:t>
      </w:r>
      <w:bookmarkEnd w:id="28"/>
      <w:r w:rsidRPr="00442A3B">
        <w:t xml:space="preserve"> </w:t>
      </w:r>
    </w:p>
    <w:tbl>
      <w:tblPr>
        <w:tblW w:w="8940" w:type="dxa"/>
        <w:tblInd w:w="93" w:type="dxa"/>
        <w:tblBorders>
          <w:top w:val="single" w:sz="4" w:space="0" w:color="ADD6EA"/>
          <w:bottom w:val="single" w:sz="4" w:space="0" w:color="ADD6EA"/>
          <w:insideH w:val="single" w:sz="4" w:space="0" w:color="ADD6EA"/>
        </w:tblBorders>
        <w:tblLook w:val="04A0" w:firstRow="1" w:lastRow="0" w:firstColumn="1" w:lastColumn="0" w:noHBand="0" w:noVBand="1"/>
      </w:tblPr>
      <w:tblGrid>
        <w:gridCol w:w="1440"/>
        <w:gridCol w:w="7500"/>
      </w:tblGrid>
      <w:tr w:rsidR="00165998" w:rsidRPr="00442A3B" w14:paraId="32D67745" w14:textId="77777777" w:rsidTr="0072313A">
        <w:trPr>
          <w:trHeight w:val="315"/>
        </w:trPr>
        <w:tc>
          <w:tcPr>
            <w:tcW w:w="1440" w:type="dxa"/>
            <w:shd w:val="clear" w:color="auto" w:fill="auto"/>
          </w:tcPr>
          <w:p w14:paraId="36CCC977" w14:textId="77777777" w:rsidR="00165998" w:rsidRPr="00442A3B" w:rsidRDefault="00165998" w:rsidP="0072313A">
            <w:pPr>
              <w:spacing w:before="0"/>
            </w:pPr>
            <w:r w:rsidRPr="00442A3B">
              <w:t>ABS</w:t>
            </w:r>
          </w:p>
        </w:tc>
        <w:tc>
          <w:tcPr>
            <w:tcW w:w="7500" w:type="dxa"/>
            <w:shd w:val="clear" w:color="auto" w:fill="auto"/>
          </w:tcPr>
          <w:p w14:paraId="6959BDE2" w14:textId="77777777" w:rsidR="00165998" w:rsidRPr="00442A3B" w:rsidRDefault="00165998" w:rsidP="0072313A">
            <w:pPr>
              <w:spacing w:before="0"/>
            </w:pPr>
            <w:r w:rsidRPr="00442A3B">
              <w:t>Australian Bureau of Statistics</w:t>
            </w:r>
          </w:p>
        </w:tc>
      </w:tr>
      <w:tr w:rsidR="00521598" w:rsidRPr="00442A3B" w14:paraId="00CDBFC5" w14:textId="77777777" w:rsidTr="00593799">
        <w:trPr>
          <w:trHeight w:val="315"/>
        </w:trPr>
        <w:tc>
          <w:tcPr>
            <w:tcW w:w="1440" w:type="dxa"/>
            <w:shd w:val="clear" w:color="auto" w:fill="auto"/>
          </w:tcPr>
          <w:p w14:paraId="49219FEC" w14:textId="77777777" w:rsidR="00521598" w:rsidRPr="00442A3B" w:rsidRDefault="00521598" w:rsidP="00593799">
            <w:pPr>
              <w:spacing w:before="0"/>
            </w:pPr>
            <w:r w:rsidRPr="00442A3B">
              <w:t>ACT</w:t>
            </w:r>
          </w:p>
        </w:tc>
        <w:tc>
          <w:tcPr>
            <w:tcW w:w="7500" w:type="dxa"/>
            <w:shd w:val="clear" w:color="auto" w:fill="auto"/>
          </w:tcPr>
          <w:p w14:paraId="2A00EE96" w14:textId="77777777" w:rsidR="00521598" w:rsidRPr="00442A3B" w:rsidRDefault="00521598" w:rsidP="00593799">
            <w:pPr>
              <w:spacing w:before="0"/>
            </w:pPr>
            <w:r w:rsidRPr="00442A3B">
              <w:t>Australian Capital Territory</w:t>
            </w:r>
          </w:p>
        </w:tc>
      </w:tr>
      <w:tr w:rsidR="00165998" w:rsidRPr="00442A3B" w14:paraId="211E4DD7" w14:textId="77777777" w:rsidTr="0072313A">
        <w:trPr>
          <w:trHeight w:val="315"/>
        </w:trPr>
        <w:tc>
          <w:tcPr>
            <w:tcW w:w="1440" w:type="dxa"/>
            <w:shd w:val="clear" w:color="auto" w:fill="auto"/>
          </w:tcPr>
          <w:p w14:paraId="25C86BAB" w14:textId="77777777" w:rsidR="00165998" w:rsidRPr="00442A3B" w:rsidRDefault="00165998" w:rsidP="0072313A">
            <w:pPr>
              <w:spacing w:before="0"/>
            </w:pPr>
            <w:r w:rsidRPr="00442A3B">
              <w:t>EPC</w:t>
            </w:r>
          </w:p>
        </w:tc>
        <w:tc>
          <w:tcPr>
            <w:tcW w:w="7500" w:type="dxa"/>
            <w:shd w:val="clear" w:color="auto" w:fill="auto"/>
          </w:tcPr>
          <w:p w14:paraId="14D7427C" w14:textId="77777777" w:rsidR="00165998" w:rsidRPr="00442A3B" w:rsidRDefault="00165998" w:rsidP="0072313A">
            <w:pPr>
              <w:spacing w:before="0"/>
            </w:pPr>
            <w:r w:rsidRPr="00442A3B">
              <w:t>Equal per capita</w:t>
            </w:r>
          </w:p>
        </w:tc>
      </w:tr>
      <w:tr w:rsidR="00165998" w:rsidRPr="00442A3B" w14:paraId="5CF6288B" w14:textId="77777777" w:rsidTr="0072313A">
        <w:trPr>
          <w:trHeight w:val="315"/>
        </w:trPr>
        <w:tc>
          <w:tcPr>
            <w:tcW w:w="1440" w:type="dxa"/>
            <w:shd w:val="clear" w:color="auto" w:fill="auto"/>
          </w:tcPr>
          <w:p w14:paraId="636B90E3" w14:textId="77777777" w:rsidR="00165998" w:rsidRPr="00442A3B" w:rsidRDefault="00165998" w:rsidP="0072313A">
            <w:pPr>
              <w:spacing w:before="0"/>
            </w:pPr>
            <w:r w:rsidRPr="00442A3B">
              <w:t>GST</w:t>
            </w:r>
          </w:p>
        </w:tc>
        <w:tc>
          <w:tcPr>
            <w:tcW w:w="7500" w:type="dxa"/>
            <w:shd w:val="clear" w:color="auto" w:fill="auto"/>
          </w:tcPr>
          <w:p w14:paraId="30A249CE" w14:textId="77777777" w:rsidR="00165998" w:rsidRPr="00442A3B" w:rsidRDefault="00165998" w:rsidP="0072313A">
            <w:pPr>
              <w:spacing w:before="0"/>
            </w:pPr>
            <w:r w:rsidRPr="00442A3B">
              <w:t>Goods and Services Tax</w:t>
            </w:r>
          </w:p>
        </w:tc>
      </w:tr>
      <w:tr w:rsidR="00165998" w:rsidRPr="00442A3B" w14:paraId="56B23ECC" w14:textId="77777777" w:rsidTr="0072313A">
        <w:trPr>
          <w:trHeight w:val="315"/>
        </w:trPr>
        <w:tc>
          <w:tcPr>
            <w:tcW w:w="1440" w:type="dxa"/>
            <w:shd w:val="clear" w:color="auto" w:fill="auto"/>
          </w:tcPr>
          <w:p w14:paraId="6A7E4BFD" w14:textId="77777777" w:rsidR="00165998" w:rsidRPr="00442A3B" w:rsidRDefault="00165998" w:rsidP="0072313A">
            <w:pPr>
              <w:spacing w:before="0"/>
            </w:pPr>
            <w:r w:rsidRPr="00442A3B">
              <w:t>HFE</w:t>
            </w:r>
          </w:p>
        </w:tc>
        <w:tc>
          <w:tcPr>
            <w:tcW w:w="7500" w:type="dxa"/>
            <w:shd w:val="clear" w:color="auto" w:fill="auto"/>
          </w:tcPr>
          <w:p w14:paraId="0A360D8B" w14:textId="77777777" w:rsidR="00165998" w:rsidRPr="00442A3B" w:rsidRDefault="00165998" w:rsidP="0072313A">
            <w:pPr>
              <w:spacing w:before="0"/>
            </w:pPr>
            <w:r w:rsidRPr="00442A3B">
              <w:t>Horizontal fiscal equalisation</w:t>
            </w:r>
          </w:p>
        </w:tc>
      </w:tr>
      <w:tr w:rsidR="00165998" w:rsidRPr="00442A3B" w14:paraId="4048BC79" w14:textId="77777777" w:rsidTr="0072313A">
        <w:trPr>
          <w:trHeight w:val="315"/>
        </w:trPr>
        <w:tc>
          <w:tcPr>
            <w:tcW w:w="1440" w:type="dxa"/>
            <w:shd w:val="clear" w:color="auto" w:fill="auto"/>
          </w:tcPr>
          <w:p w14:paraId="5555C210" w14:textId="77777777" w:rsidR="00165998" w:rsidRPr="00442A3B" w:rsidRDefault="00165998" w:rsidP="0072313A">
            <w:pPr>
              <w:spacing w:before="0"/>
            </w:pPr>
            <w:r w:rsidRPr="00442A3B">
              <w:t>NDIS</w:t>
            </w:r>
          </w:p>
        </w:tc>
        <w:tc>
          <w:tcPr>
            <w:tcW w:w="7500" w:type="dxa"/>
            <w:shd w:val="clear" w:color="auto" w:fill="auto"/>
          </w:tcPr>
          <w:p w14:paraId="5602B0E2" w14:textId="77777777" w:rsidR="00165998" w:rsidRPr="00442A3B" w:rsidRDefault="00165998" w:rsidP="0072313A">
            <w:pPr>
              <w:spacing w:before="0"/>
            </w:pPr>
            <w:r w:rsidRPr="00442A3B">
              <w:t>National Disability Insurance Scheme</w:t>
            </w:r>
          </w:p>
        </w:tc>
      </w:tr>
      <w:tr w:rsidR="00DB67B9" w:rsidRPr="00442A3B" w14:paraId="29BE4105" w14:textId="77777777" w:rsidTr="0072313A">
        <w:trPr>
          <w:trHeight w:val="315"/>
        </w:trPr>
        <w:tc>
          <w:tcPr>
            <w:tcW w:w="1440" w:type="dxa"/>
            <w:shd w:val="clear" w:color="auto" w:fill="auto"/>
          </w:tcPr>
          <w:p w14:paraId="17CA5605" w14:textId="2ABB36AF" w:rsidR="00DB67B9" w:rsidRPr="00442A3B" w:rsidRDefault="00DB67B9" w:rsidP="0072313A">
            <w:pPr>
              <w:spacing w:before="0"/>
            </w:pPr>
            <w:r w:rsidRPr="00442A3B">
              <w:t>SDC</w:t>
            </w:r>
          </w:p>
        </w:tc>
        <w:tc>
          <w:tcPr>
            <w:tcW w:w="7500" w:type="dxa"/>
            <w:shd w:val="clear" w:color="auto" w:fill="auto"/>
          </w:tcPr>
          <w:p w14:paraId="4852C0E1" w14:textId="4915CF16" w:rsidR="00DB67B9" w:rsidRPr="00442A3B" w:rsidRDefault="00DB67B9" w:rsidP="0072313A">
            <w:pPr>
              <w:spacing w:before="0"/>
            </w:pPr>
            <w:r w:rsidRPr="00442A3B">
              <w:t>Sociodemographic composition</w:t>
            </w:r>
          </w:p>
        </w:tc>
      </w:tr>
      <w:tr w:rsidR="007E3BF6" w:rsidRPr="00442A3B" w14:paraId="379B01B2" w14:textId="77777777" w:rsidTr="0072313A">
        <w:trPr>
          <w:trHeight w:val="315"/>
        </w:trPr>
        <w:tc>
          <w:tcPr>
            <w:tcW w:w="1440" w:type="dxa"/>
            <w:shd w:val="clear" w:color="auto" w:fill="auto"/>
          </w:tcPr>
          <w:p w14:paraId="6B53B69C" w14:textId="1A157BAB" w:rsidR="007E3BF6" w:rsidRPr="00442A3B" w:rsidRDefault="007E3BF6" w:rsidP="0072313A">
            <w:pPr>
              <w:spacing w:before="0"/>
            </w:pPr>
            <w:r w:rsidRPr="00442A3B">
              <w:t>SDS</w:t>
            </w:r>
          </w:p>
        </w:tc>
        <w:tc>
          <w:tcPr>
            <w:tcW w:w="7500" w:type="dxa"/>
            <w:shd w:val="clear" w:color="auto" w:fill="auto"/>
          </w:tcPr>
          <w:p w14:paraId="059170A4" w14:textId="670D1BB6" w:rsidR="007E3BF6" w:rsidRPr="00442A3B" w:rsidRDefault="007E3BF6" w:rsidP="0072313A">
            <w:pPr>
              <w:spacing w:before="0"/>
            </w:pPr>
            <w:r w:rsidRPr="00442A3B">
              <w:rPr>
                <w:lang w:val="en-US"/>
              </w:rPr>
              <w:t>Service delivery scale</w:t>
            </w:r>
          </w:p>
        </w:tc>
      </w:tr>
    </w:tbl>
    <w:p w14:paraId="7A9EC840" w14:textId="77777777" w:rsidR="00165998" w:rsidRPr="00442A3B" w:rsidRDefault="00165998" w:rsidP="00165998"/>
    <w:p w14:paraId="3875321E" w14:textId="77777777" w:rsidR="00165998" w:rsidRPr="00442A3B" w:rsidRDefault="00165998" w:rsidP="00165998"/>
    <w:p w14:paraId="03106DE9" w14:textId="77777777" w:rsidR="00165998" w:rsidRPr="00442A3B" w:rsidRDefault="00165998" w:rsidP="00165998">
      <w:pPr>
        <w:sectPr w:rsidR="00165998" w:rsidRPr="00442A3B" w:rsidSect="00623DD0">
          <w:headerReference w:type="default" r:id="rId38"/>
          <w:headerReference w:type="first" r:id="rId39"/>
          <w:footnotePr>
            <w:numRestart w:val="eachSect"/>
          </w:footnotePr>
          <w:pgSz w:w="11907" w:h="16840" w:code="9"/>
          <w:pgMar w:top="1418" w:right="1474" w:bottom="1304" w:left="1474" w:header="567" w:footer="567" w:gutter="0"/>
          <w:pgNumType w:fmt="lowerRoman"/>
          <w:cols w:space="720"/>
          <w:titlePg/>
          <w:docGrid w:linePitch="360"/>
        </w:sectPr>
      </w:pPr>
    </w:p>
    <w:p w14:paraId="28554249" w14:textId="77777777" w:rsidR="00165998" w:rsidRPr="00442A3B" w:rsidRDefault="00165998" w:rsidP="00165998">
      <w:pPr>
        <w:pStyle w:val="Heading2"/>
      </w:pPr>
      <w:bookmarkStart w:id="37" w:name="_Toc65050517"/>
      <w:r w:rsidRPr="00442A3B">
        <w:lastRenderedPageBreak/>
        <w:t>Purpose of this report</w:t>
      </w:r>
      <w:bookmarkEnd w:id="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9175"/>
      </w:tblGrid>
      <w:tr w:rsidR="00165998" w:rsidRPr="00442A3B" w14:paraId="45FFB792" w14:textId="77777777" w:rsidTr="0072313A">
        <w:tc>
          <w:tcPr>
            <w:tcW w:w="9282" w:type="dxa"/>
            <w:shd w:val="clear" w:color="auto" w:fill="EBF3F5"/>
            <w:tcMar>
              <w:top w:w="85" w:type="dxa"/>
              <w:bottom w:w="85" w:type="dxa"/>
            </w:tcMar>
          </w:tcPr>
          <w:p w14:paraId="05A74EA0" w14:textId="336D02A1" w:rsidR="00913F31" w:rsidRPr="00442A3B" w:rsidRDefault="00913F31" w:rsidP="00913F31">
            <w:r w:rsidRPr="00442A3B">
              <w:t xml:space="preserve">This report contains the Commission’s response to the </w:t>
            </w:r>
            <w:r w:rsidR="009A1DA8" w:rsidRPr="00442A3B">
              <w:t xml:space="preserve">Commonwealth Treasurer’s </w:t>
            </w:r>
            <w:r w:rsidRPr="00442A3B">
              <w:t xml:space="preserve">terms of reference for the </w:t>
            </w:r>
            <w:r w:rsidR="005909B1" w:rsidRPr="00442A3B">
              <w:t>2021 Update</w:t>
            </w:r>
            <w:r w:rsidRPr="00442A3B">
              <w:t xml:space="preserve"> </w:t>
            </w:r>
            <w:r w:rsidR="00323575" w:rsidRPr="00442A3B">
              <w:t>dated</w:t>
            </w:r>
            <w:r w:rsidR="00E8338D" w:rsidRPr="00442A3B">
              <w:t xml:space="preserve"> </w:t>
            </w:r>
            <w:r w:rsidR="00A55F56" w:rsidRPr="00442A3B">
              <w:t>11</w:t>
            </w:r>
            <w:r w:rsidRPr="00442A3B">
              <w:t xml:space="preserve"> February 20</w:t>
            </w:r>
            <w:r w:rsidR="00C35394" w:rsidRPr="00442A3B">
              <w:t>21</w:t>
            </w:r>
            <w:r w:rsidRPr="00442A3B">
              <w:t xml:space="preserve">. </w:t>
            </w:r>
          </w:p>
          <w:p w14:paraId="7E7FF86F" w14:textId="23A14A29" w:rsidR="00913F31" w:rsidRPr="00442A3B" w:rsidRDefault="00913F31" w:rsidP="00913F31">
            <w:r w:rsidRPr="00442A3B">
              <w:t xml:space="preserve">The Commission has been asked to advise how Goods and Services Tax (GST) revenue should be distributed among the States </w:t>
            </w:r>
            <w:r w:rsidR="0089391D">
              <w:t xml:space="preserve">and Territories (States) </w:t>
            </w:r>
            <w:r w:rsidRPr="00442A3B">
              <w:t xml:space="preserve">in </w:t>
            </w:r>
            <w:r w:rsidR="008E6B9B" w:rsidRPr="00442A3B">
              <w:t>2021-22</w:t>
            </w:r>
            <w:r w:rsidRPr="00442A3B">
              <w:t>. As directed in the terms of reference the Commission has:</w:t>
            </w:r>
          </w:p>
          <w:p w14:paraId="0E6AAFE4" w14:textId="0938F44A" w:rsidR="00913F31" w:rsidRPr="00442A3B" w:rsidRDefault="00913F31" w:rsidP="00913F31">
            <w:pPr>
              <w:pStyle w:val="CGCBullet1"/>
            </w:pPr>
            <w:r w:rsidRPr="00442A3B">
              <w:t xml:space="preserve">used the same principles and methods used in the </w:t>
            </w:r>
            <w:r w:rsidR="005909B1" w:rsidRPr="00442A3B">
              <w:t>2020 Review</w:t>
            </w:r>
          </w:p>
          <w:p w14:paraId="2DEA7128" w14:textId="68168238" w:rsidR="00913F31" w:rsidRPr="00442A3B" w:rsidRDefault="00913F31" w:rsidP="00913F31">
            <w:pPr>
              <w:pStyle w:val="CGCBullet1"/>
            </w:pPr>
            <w:r w:rsidRPr="00442A3B">
              <w:t xml:space="preserve">used the latest available reliable data for the </w:t>
            </w:r>
            <w:r w:rsidR="005E563D" w:rsidRPr="00442A3B">
              <w:t>3</w:t>
            </w:r>
            <w:r w:rsidRPr="00442A3B">
              <w:t xml:space="preserve"> years </w:t>
            </w:r>
            <w:r w:rsidR="008E6B9B" w:rsidRPr="00442A3B">
              <w:t>20</w:t>
            </w:r>
            <w:r w:rsidR="00AF5846" w:rsidRPr="00442A3B">
              <w:t>17-18</w:t>
            </w:r>
            <w:r w:rsidRPr="00442A3B">
              <w:t xml:space="preserve"> to 201</w:t>
            </w:r>
            <w:r w:rsidR="00AF5846" w:rsidRPr="00442A3B">
              <w:t>9-20</w:t>
            </w:r>
          </w:p>
          <w:p w14:paraId="1603CF45" w14:textId="53932EB1" w:rsidR="00913F31" w:rsidRPr="00442A3B" w:rsidRDefault="00913F31" w:rsidP="00913F31">
            <w:pPr>
              <w:pStyle w:val="CGCBullet1"/>
            </w:pPr>
            <w:r w:rsidRPr="00442A3B">
              <w:t xml:space="preserve">followed the guidance </w:t>
            </w:r>
            <w:r w:rsidR="00852993" w:rsidRPr="00442A3B">
              <w:t xml:space="preserve">contained </w:t>
            </w:r>
            <w:r w:rsidR="007867E0" w:rsidRPr="00442A3B">
              <w:t xml:space="preserve">in the </w:t>
            </w:r>
            <w:r w:rsidR="005909B1" w:rsidRPr="00442A3B">
              <w:t>2020 Review</w:t>
            </w:r>
            <w:r w:rsidR="00852993" w:rsidRPr="00442A3B">
              <w:t xml:space="preserve"> </w:t>
            </w:r>
            <w:r w:rsidRPr="00442A3B">
              <w:t xml:space="preserve">on the treatment of Commonwealth payments and </w:t>
            </w:r>
            <w:r w:rsidR="00607808" w:rsidRPr="00442A3B">
              <w:t xml:space="preserve">the Treasurer’s </w:t>
            </w:r>
            <w:r w:rsidRPr="00442A3B">
              <w:t xml:space="preserve">direction on how some payments should be treated. </w:t>
            </w:r>
          </w:p>
          <w:p w14:paraId="36D5E004" w14:textId="047BAFD2" w:rsidR="00165998" w:rsidRPr="00442A3B" w:rsidRDefault="00913F31" w:rsidP="00913F31">
            <w:pPr>
              <w:spacing w:after="120"/>
            </w:pPr>
            <w:r w:rsidRPr="00442A3B">
              <w:t>Details of the Commission’s task</w:t>
            </w:r>
            <w:r w:rsidR="00F708CE" w:rsidRPr="00442A3B">
              <w:t>,</w:t>
            </w:r>
            <w:r w:rsidR="00AF6E22" w:rsidRPr="00442A3B">
              <w:t xml:space="preserve"> and principles</w:t>
            </w:r>
            <w:r w:rsidRPr="00442A3B">
              <w:t xml:space="preserve"> </w:t>
            </w:r>
            <w:r w:rsidR="00AF6E22" w:rsidRPr="00442A3B">
              <w:t>used in undertaking it</w:t>
            </w:r>
            <w:r w:rsidR="00F708CE" w:rsidRPr="00442A3B">
              <w:t>,</w:t>
            </w:r>
            <w:r w:rsidR="00AF6E22" w:rsidRPr="00442A3B">
              <w:t xml:space="preserve"> </w:t>
            </w:r>
            <w:r w:rsidRPr="00442A3B">
              <w:t xml:space="preserve">are in Chapter </w:t>
            </w:r>
            <w:r w:rsidR="00AF6E22" w:rsidRPr="00442A3B">
              <w:t>2</w:t>
            </w:r>
            <w:r w:rsidRPr="00442A3B">
              <w:t xml:space="preserve"> of the </w:t>
            </w:r>
            <w:r w:rsidRPr="00442A3B">
              <w:rPr>
                <w:i/>
                <w:iCs/>
              </w:rPr>
              <w:t xml:space="preserve">Report on GST Revenue Sharing Relativities, </w:t>
            </w:r>
            <w:r w:rsidR="005909B1" w:rsidRPr="00442A3B">
              <w:rPr>
                <w:i/>
                <w:iCs/>
              </w:rPr>
              <w:t>2020 Review</w:t>
            </w:r>
            <w:r w:rsidRPr="00442A3B">
              <w:t xml:space="preserve">, Volume </w:t>
            </w:r>
            <w:r w:rsidR="00AF6E22" w:rsidRPr="00442A3B">
              <w:t>2</w:t>
            </w:r>
            <w:r w:rsidRPr="00442A3B">
              <w:t xml:space="preserve">. </w:t>
            </w:r>
            <w:r w:rsidR="009C5856" w:rsidRPr="00442A3B">
              <w:t>The report</w:t>
            </w:r>
            <w:r w:rsidRPr="00442A3B">
              <w:t xml:space="preserve"> </w:t>
            </w:r>
            <w:r w:rsidR="00926BCD">
              <w:t xml:space="preserve">is </w:t>
            </w:r>
            <w:r w:rsidRPr="00442A3B">
              <w:t>available on the Commission’s website (https://www.cgc.gov.au/). An overview of the Commission’s update processes</w:t>
            </w:r>
            <w:r w:rsidR="0089391D">
              <w:t> </w:t>
            </w:r>
            <w:r w:rsidRPr="00442A3B">
              <w:t>is also available on the website</w:t>
            </w:r>
            <w:r w:rsidR="00165998" w:rsidRPr="00442A3B">
              <w:t>.</w:t>
            </w:r>
            <w:r w:rsidR="0066568A" w:rsidRPr="00442A3B">
              <w:t xml:space="preserve"> </w:t>
            </w:r>
          </w:p>
        </w:tc>
      </w:tr>
    </w:tbl>
    <w:p w14:paraId="7E3225C4" w14:textId="77777777" w:rsidR="00165998" w:rsidRPr="00442A3B" w:rsidRDefault="00165998" w:rsidP="00165998"/>
    <w:p w14:paraId="64DFC637" w14:textId="77777777" w:rsidR="00165998" w:rsidRPr="00442A3B" w:rsidRDefault="00165998" w:rsidP="00165998">
      <w:pPr>
        <w:sectPr w:rsidR="00165998" w:rsidRPr="00442A3B" w:rsidSect="00623DD0">
          <w:headerReference w:type="default" r:id="rId40"/>
          <w:headerReference w:type="first" r:id="rId41"/>
          <w:footnotePr>
            <w:numRestart w:val="eachSect"/>
          </w:footnotePr>
          <w:pgSz w:w="11907" w:h="16840" w:code="9"/>
          <w:pgMar w:top="1418" w:right="1474" w:bottom="1418" w:left="1474" w:header="567" w:footer="567" w:gutter="0"/>
          <w:pgNumType w:fmt="lowerRoman"/>
          <w:cols w:space="720"/>
          <w:titlePg/>
          <w:docGrid w:linePitch="360"/>
        </w:sectPr>
      </w:pPr>
    </w:p>
    <w:p w14:paraId="77C4091D" w14:textId="77777777" w:rsidR="00165998" w:rsidRPr="00442A3B" w:rsidRDefault="00165998" w:rsidP="00165998">
      <w:pPr>
        <w:pStyle w:val="TOCtitle"/>
      </w:pPr>
      <w:bookmarkStart w:id="46" w:name="_Hlk31200095"/>
      <w:r w:rsidRPr="00442A3B">
        <w:lastRenderedPageBreak/>
        <w:t xml:space="preserve">Contents </w:t>
      </w:r>
    </w:p>
    <w:bookmarkEnd w:id="46"/>
    <w:p w14:paraId="359718AE" w14:textId="1F590966" w:rsidR="00AE0E45" w:rsidRDefault="00165998">
      <w:pPr>
        <w:pStyle w:val="TOC1"/>
        <w:rPr>
          <w:rFonts w:asciiTheme="minorHAnsi" w:eastAsiaTheme="minorEastAsia" w:hAnsiTheme="minorHAnsi"/>
          <w:b w:val="0"/>
          <w:bCs w:val="0"/>
          <w:noProof/>
          <w:color w:val="auto"/>
          <w:sz w:val="22"/>
          <w:szCs w:val="22"/>
          <w:lang w:eastAsia="en-AU"/>
        </w:rPr>
      </w:pPr>
      <w:r w:rsidRPr="00442A3B">
        <w:fldChar w:fldCharType="begin"/>
      </w:r>
      <w:r w:rsidRPr="00442A3B">
        <w:instrText xml:space="preserve"> TOC \o "2-2" \f \h \z \u \t "Heading 2,1,Heading 3,3,Heading 4,4" </w:instrText>
      </w:r>
      <w:r w:rsidRPr="00442A3B">
        <w:fldChar w:fldCharType="separate"/>
      </w:r>
      <w:hyperlink w:anchor="_Toc65050513" w:history="1">
        <w:r w:rsidR="00AE0E45" w:rsidRPr="00720FC6">
          <w:rPr>
            <w:rStyle w:val="Hyperlink"/>
            <w:noProof/>
          </w:rPr>
          <w:t>Letter of transmittal</w:t>
        </w:r>
        <w:r w:rsidR="00AE0E45">
          <w:rPr>
            <w:noProof/>
            <w:webHidden/>
          </w:rPr>
          <w:tab/>
        </w:r>
        <w:r w:rsidR="00AE0E45">
          <w:rPr>
            <w:noProof/>
            <w:webHidden/>
          </w:rPr>
          <w:fldChar w:fldCharType="begin"/>
        </w:r>
        <w:r w:rsidR="00AE0E45">
          <w:rPr>
            <w:noProof/>
            <w:webHidden/>
          </w:rPr>
          <w:instrText xml:space="preserve"> PAGEREF _Toc65050513 \h </w:instrText>
        </w:r>
        <w:r w:rsidR="00AE0E45">
          <w:rPr>
            <w:noProof/>
            <w:webHidden/>
          </w:rPr>
        </w:r>
        <w:r w:rsidR="00AE0E45">
          <w:rPr>
            <w:noProof/>
            <w:webHidden/>
          </w:rPr>
          <w:fldChar w:fldCharType="separate"/>
        </w:r>
        <w:r w:rsidR="00FC3D3D">
          <w:rPr>
            <w:noProof/>
            <w:webHidden/>
          </w:rPr>
          <w:t>i</w:t>
        </w:r>
        <w:r w:rsidR="00AE0E45">
          <w:rPr>
            <w:noProof/>
            <w:webHidden/>
          </w:rPr>
          <w:fldChar w:fldCharType="end"/>
        </w:r>
      </w:hyperlink>
    </w:p>
    <w:p w14:paraId="009AA3EE" w14:textId="7839ED77" w:rsidR="00AE0E45" w:rsidRDefault="00A254DE">
      <w:pPr>
        <w:pStyle w:val="TOC1"/>
        <w:rPr>
          <w:rFonts w:asciiTheme="minorHAnsi" w:eastAsiaTheme="minorEastAsia" w:hAnsiTheme="minorHAnsi"/>
          <w:b w:val="0"/>
          <w:bCs w:val="0"/>
          <w:noProof/>
          <w:color w:val="auto"/>
          <w:sz w:val="22"/>
          <w:szCs w:val="22"/>
          <w:lang w:eastAsia="en-AU"/>
        </w:rPr>
      </w:pPr>
      <w:hyperlink w:anchor="_Toc65050514" w:history="1">
        <w:r w:rsidR="00AE0E45" w:rsidRPr="00720FC6">
          <w:rPr>
            <w:rStyle w:val="Hyperlink"/>
            <w:noProof/>
          </w:rPr>
          <w:t>Acknowledgements</w:t>
        </w:r>
        <w:r w:rsidR="00AE0E45">
          <w:rPr>
            <w:noProof/>
            <w:webHidden/>
          </w:rPr>
          <w:tab/>
        </w:r>
        <w:r w:rsidR="00AE0E45">
          <w:rPr>
            <w:noProof/>
            <w:webHidden/>
          </w:rPr>
          <w:fldChar w:fldCharType="begin"/>
        </w:r>
        <w:r w:rsidR="00AE0E45">
          <w:rPr>
            <w:noProof/>
            <w:webHidden/>
          </w:rPr>
          <w:instrText xml:space="preserve"> PAGEREF _Toc65050514 \h </w:instrText>
        </w:r>
        <w:r w:rsidR="00AE0E45">
          <w:rPr>
            <w:noProof/>
            <w:webHidden/>
          </w:rPr>
        </w:r>
        <w:r w:rsidR="00AE0E45">
          <w:rPr>
            <w:noProof/>
            <w:webHidden/>
          </w:rPr>
          <w:fldChar w:fldCharType="separate"/>
        </w:r>
        <w:r w:rsidR="00FC3D3D">
          <w:rPr>
            <w:noProof/>
            <w:webHidden/>
          </w:rPr>
          <w:t>ii</w:t>
        </w:r>
        <w:r w:rsidR="00AE0E45">
          <w:rPr>
            <w:noProof/>
            <w:webHidden/>
          </w:rPr>
          <w:fldChar w:fldCharType="end"/>
        </w:r>
      </w:hyperlink>
    </w:p>
    <w:p w14:paraId="478F9756" w14:textId="055D2A55" w:rsidR="00AE0E45" w:rsidRDefault="00A254DE">
      <w:pPr>
        <w:pStyle w:val="TOC1"/>
        <w:rPr>
          <w:rFonts w:asciiTheme="minorHAnsi" w:eastAsiaTheme="minorEastAsia" w:hAnsiTheme="minorHAnsi"/>
          <w:b w:val="0"/>
          <w:bCs w:val="0"/>
          <w:noProof/>
          <w:color w:val="auto"/>
          <w:sz w:val="22"/>
          <w:szCs w:val="22"/>
          <w:lang w:eastAsia="en-AU"/>
        </w:rPr>
      </w:pPr>
      <w:hyperlink w:anchor="_Toc65050515" w:history="1">
        <w:r w:rsidR="00AE0E45" w:rsidRPr="00720FC6">
          <w:rPr>
            <w:rStyle w:val="Hyperlink"/>
            <w:noProof/>
          </w:rPr>
          <w:t>Terms of reference</w:t>
        </w:r>
        <w:r w:rsidR="00AE0E45">
          <w:rPr>
            <w:noProof/>
            <w:webHidden/>
          </w:rPr>
          <w:tab/>
        </w:r>
        <w:r w:rsidR="00AE0E45">
          <w:rPr>
            <w:noProof/>
            <w:webHidden/>
          </w:rPr>
          <w:fldChar w:fldCharType="begin"/>
        </w:r>
        <w:r w:rsidR="00AE0E45">
          <w:rPr>
            <w:noProof/>
            <w:webHidden/>
          </w:rPr>
          <w:instrText xml:space="preserve"> PAGEREF _Toc65050515 \h </w:instrText>
        </w:r>
        <w:r w:rsidR="00AE0E45">
          <w:rPr>
            <w:noProof/>
            <w:webHidden/>
          </w:rPr>
        </w:r>
        <w:r w:rsidR="00AE0E45">
          <w:rPr>
            <w:noProof/>
            <w:webHidden/>
          </w:rPr>
          <w:fldChar w:fldCharType="separate"/>
        </w:r>
        <w:r w:rsidR="00FC3D3D">
          <w:rPr>
            <w:noProof/>
            <w:webHidden/>
          </w:rPr>
          <w:t>iii</w:t>
        </w:r>
        <w:r w:rsidR="00AE0E45">
          <w:rPr>
            <w:noProof/>
            <w:webHidden/>
          </w:rPr>
          <w:fldChar w:fldCharType="end"/>
        </w:r>
      </w:hyperlink>
    </w:p>
    <w:p w14:paraId="6AAD88B8" w14:textId="10566542" w:rsidR="00AE0E45" w:rsidRDefault="00A254DE">
      <w:pPr>
        <w:pStyle w:val="TOC1"/>
        <w:rPr>
          <w:rFonts w:asciiTheme="minorHAnsi" w:eastAsiaTheme="minorEastAsia" w:hAnsiTheme="minorHAnsi"/>
          <w:b w:val="0"/>
          <w:bCs w:val="0"/>
          <w:noProof/>
          <w:color w:val="auto"/>
          <w:sz w:val="22"/>
          <w:szCs w:val="22"/>
          <w:lang w:eastAsia="en-AU"/>
        </w:rPr>
      </w:pPr>
      <w:hyperlink w:anchor="_Toc65050516" w:history="1">
        <w:r w:rsidR="00AE0E45" w:rsidRPr="00720FC6">
          <w:rPr>
            <w:rStyle w:val="Hyperlink"/>
            <w:noProof/>
          </w:rPr>
          <w:t>List of acronyms</w:t>
        </w:r>
        <w:r w:rsidR="00AE0E45">
          <w:rPr>
            <w:noProof/>
            <w:webHidden/>
          </w:rPr>
          <w:tab/>
        </w:r>
        <w:r w:rsidR="00AE0E45">
          <w:rPr>
            <w:noProof/>
            <w:webHidden/>
          </w:rPr>
          <w:fldChar w:fldCharType="begin"/>
        </w:r>
        <w:r w:rsidR="00AE0E45">
          <w:rPr>
            <w:noProof/>
            <w:webHidden/>
          </w:rPr>
          <w:instrText xml:space="preserve"> PAGEREF _Toc65050516 \h </w:instrText>
        </w:r>
        <w:r w:rsidR="00AE0E45">
          <w:rPr>
            <w:noProof/>
            <w:webHidden/>
          </w:rPr>
        </w:r>
        <w:r w:rsidR="00AE0E45">
          <w:rPr>
            <w:noProof/>
            <w:webHidden/>
          </w:rPr>
          <w:fldChar w:fldCharType="separate"/>
        </w:r>
        <w:r w:rsidR="00FC3D3D">
          <w:rPr>
            <w:noProof/>
            <w:webHidden/>
          </w:rPr>
          <w:t>vii</w:t>
        </w:r>
        <w:r w:rsidR="00AE0E45">
          <w:rPr>
            <w:noProof/>
            <w:webHidden/>
          </w:rPr>
          <w:fldChar w:fldCharType="end"/>
        </w:r>
      </w:hyperlink>
    </w:p>
    <w:p w14:paraId="1E62F547" w14:textId="43238753" w:rsidR="00AE0E45" w:rsidRDefault="00A254DE">
      <w:pPr>
        <w:pStyle w:val="TOC1"/>
        <w:rPr>
          <w:rFonts w:asciiTheme="minorHAnsi" w:eastAsiaTheme="minorEastAsia" w:hAnsiTheme="minorHAnsi"/>
          <w:b w:val="0"/>
          <w:bCs w:val="0"/>
          <w:noProof/>
          <w:color w:val="auto"/>
          <w:sz w:val="22"/>
          <w:szCs w:val="22"/>
          <w:lang w:eastAsia="en-AU"/>
        </w:rPr>
      </w:pPr>
      <w:hyperlink w:anchor="_Toc65050517" w:history="1">
        <w:r w:rsidR="00AE0E45" w:rsidRPr="00720FC6">
          <w:rPr>
            <w:rStyle w:val="Hyperlink"/>
            <w:noProof/>
          </w:rPr>
          <w:t>Purpose of this report</w:t>
        </w:r>
        <w:r w:rsidR="00AE0E45">
          <w:rPr>
            <w:noProof/>
            <w:webHidden/>
          </w:rPr>
          <w:tab/>
        </w:r>
        <w:r w:rsidR="00AE0E45">
          <w:rPr>
            <w:noProof/>
            <w:webHidden/>
          </w:rPr>
          <w:fldChar w:fldCharType="begin"/>
        </w:r>
        <w:r w:rsidR="00AE0E45">
          <w:rPr>
            <w:noProof/>
            <w:webHidden/>
          </w:rPr>
          <w:instrText xml:space="preserve"> PAGEREF _Toc65050517 \h </w:instrText>
        </w:r>
        <w:r w:rsidR="00AE0E45">
          <w:rPr>
            <w:noProof/>
            <w:webHidden/>
          </w:rPr>
        </w:r>
        <w:r w:rsidR="00AE0E45">
          <w:rPr>
            <w:noProof/>
            <w:webHidden/>
          </w:rPr>
          <w:fldChar w:fldCharType="separate"/>
        </w:r>
        <w:r w:rsidR="00FC3D3D">
          <w:rPr>
            <w:noProof/>
            <w:webHidden/>
          </w:rPr>
          <w:t>viii</w:t>
        </w:r>
        <w:r w:rsidR="00AE0E45">
          <w:rPr>
            <w:noProof/>
            <w:webHidden/>
          </w:rPr>
          <w:fldChar w:fldCharType="end"/>
        </w:r>
      </w:hyperlink>
    </w:p>
    <w:p w14:paraId="556876FD" w14:textId="5C3063D1" w:rsidR="00AE0E45" w:rsidRDefault="00A254DE">
      <w:pPr>
        <w:pStyle w:val="TOC1"/>
        <w:rPr>
          <w:rFonts w:asciiTheme="minorHAnsi" w:eastAsiaTheme="minorEastAsia" w:hAnsiTheme="minorHAnsi"/>
          <w:b w:val="0"/>
          <w:bCs w:val="0"/>
          <w:noProof/>
          <w:color w:val="auto"/>
          <w:sz w:val="22"/>
          <w:szCs w:val="22"/>
          <w:lang w:eastAsia="en-AU"/>
        </w:rPr>
      </w:pPr>
      <w:hyperlink w:anchor="_Toc65050518" w:history="1">
        <w:r w:rsidR="00AE0E45" w:rsidRPr="00720FC6">
          <w:rPr>
            <w:rStyle w:val="Hyperlink"/>
            <w:noProof/>
          </w:rPr>
          <w:t>Executive summary</w:t>
        </w:r>
        <w:r w:rsidR="00AE0E45">
          <w:rPr>
            <w:noProof/>
            <w:webHidden/>
          </w:rPr>
          <w:tab/>
        </w:r>
        <w:r w:rsidR="00AE0E45">
          <w:rPr>
            <w:noProof/>
            <w:webHidden/>
          </w:rPr>
          <w:fldChar w:fldCharType="begin"/>
        </w:r>
        <w:r w:rsidR="00AE0E45">
          <w:rPr>
            <w:noProof/>
            <w:webHidden/>
          </w:rPr>
          <w:instrText xml:space="preserve"> PAGEREF _Toc65050518 \h </w:instrText>
        </w:r>
        <w:r w:rsidR="00AE0E45">
          <w:rPr>
            <w:noProof/>
            <w:webHidden/>
          </w:rPr>
        </w:r>
        <w:r w:rsidR="00AE0E45">
          <w:rPr>
            <w:noProof/>
            <w:webHidden/>
          </w:rPr>
          <w:fldChar w:fldCharType="separate"/>
        </w:r>
        <w:r w:rsidR="00FC3D3D">
          <w:rPr>
            <w:noProof/>
            <w:webHidden/>
          </w:rPr>
          <w:t>xi</w:t>
        </w:r>
        <w:r w:rsidR="00AE0E45">
          <w:rPr>
            <w:noProof/>
            <w:webHidden/>
          </w:rPr>
          <w:fldChar w:fldCharType="end"/>
        </w:r>
      </w:hyperlink>
    </w:p>
    <w:p w14:paraId="23A9ABB7" w14:textId="0549F5BA" w:rsidR="00AE0E45" w:rsidRDefault="00A254DE">
      <w:pPr>
        <w:pStyle w:val="TOC1"/>
        <w:tabs>
          <w:tab w:val="left" w:pos="680"/>
        </w:tabs>
        <w:rPr>
          <w:rFonts w:asciiTheme="minorHAnsi" w:eastAsiaTheme="minorEastAsia" w:hAnsiTheme="minorHAnsi"/>
          <w:b w:val="0"/>
          <w:bCs w:val="0"/>
          <w:noProof/>
          <w:color w:val="auto"/>
          <w:sz w:val="22"/>
          <w:szCs w:val="22"/>
          <w:lang w:eastAsia="en-AU"/>
        </w:rPr>
      </w:pPr>
      <w:hyperlink w:anchor="_Toc65050519" w:history="1">
        <w:r w:rsidR="00AE0E45" w:rsidRPr="00720FC6">
          <w:rPr>
            <w:rStyle w:val="Hyperlink"/>
            <w:noProof/>
          </w:rPr>
          <w:t>1</w:t>
        </w:r>
        <w:r w:rsidR="00AE0E45">
          <w:rPr>
            <w:rFonts w:asciiTheme="minorHAnsi" w:eastAsiaTheme="minorEastAsia" w:hAnsiTheme="minorHAnsi"/>
            <w:b w:val="0"/>
            <w:bCs w:val="0"/>
            <w:noProof/>
            <w:color w:val="auto"/>
            <w:sz w:val="22"/>
            <w:szCs w:val="22"/>
            <w:lang w:eastAsia="en-AU"/>
          </w:rPr>
          <w:tab/>
        </w:r>
        <w:r w:rsidR="00AE0E45" w:rsidRPr="00720FC6">
          <w:rPr>
            <w:rStyle w:val="Hyperlink"/>
            <w:noProof/>
          </w:rPr>
          <w:t>Recommended GST pool distribution</w:t>
        </w:r>
        <w:r w:rsidR="00AE0E45">
          <w:rPr>
            <w:noProof/>
            <w:webHidden/>
          </w:rPr>
          <w:tab/>
        </w:r>
        <w:r w:rsidR="00AE0E45">
          <w:rPr>
            <w:noProof/>
            <w:webHidden/>
          </w:rPr>
          <w:fldChar w:fldCharType="begin"/>
        </w:r>
        <w:r w:rsidR="00AE0E45">
          <w:rPr>
            <w:noProof/>
            <w:webHidden/>
          </w:rPr>
          <w:instrText xml:space="preserve"> PAGEREF _Toc65050519 \h </w:instrText>
        </w:r>
        <w:r w:rsidR="00AE0E45">
          <w:rPr>
            <w:noProof/>
            <w:webHidden/>
          </w:rPr>
        </w:r>
        <w:r w:rsidR="00AE0E45">
          <w:rPr>
            <w:noProof/>
            <w:webHidden/>
          </w:rPr>
          <w:fldChar w:fldCharType="separate"/>
        </w:r>
        <w:r w:rsidR="00FC3D3D">
          <w:rPr>
            <w:noProof/>
            <w:webHidden/>
          </w:rPr>
          <w:t>1</w:t>
        </w:r>
        <w:r w:rsidR="00AE0E45">
          <w:rPr>
            <w:noProof/>
            <w:webHidden/>
          </w:rPr>
          <w:fldChar w:fldCharType="end"/>
        </w:r>
      </w:hyperlink>
    </w:p>
    <w:p w14:paraId="3F2D6339" w14:textId="09A1CCC5" w:rsidR="00AE0E45" w:rsidRDefault="00A254DE">
      <w:pPr>
        <w:pStyle w:val="TOC3"/>
        <w:rPr>
          <w:rFonts w:asciiTheme="minorHAnsi" w:eastAsiaTheme="minorEastAsia" w:hAnsiTheme="minorHAnsi"/>
          <w:iCs w:val="0"/>
          <w:noProof/>
          <w:color w:val="auto"/>
          <w:sz w:val="22"/>
          <w:lang w:eastAsia="en-AU"/>
        </w:rPr>
      </w:pPr>
      <w:hyperlink w:anchor="_Toc65050520" w:history="1">
        <w:r w:rsidR="00AE0E45" w:rsidRPr="00720FC6">
          <w:rPr>
            <w:rStyle w:val="Hyperlink"/>
            <w:noProof/>
          </w:rPr>
          <w:t>Key points</w:t>
        </w:r>
        <w:r w:rsidR="00AE0E45">
          <w:rPr>
            <w:noProof/>
            <w:webHidden/>
          </w:rPr>
          <w:tab/>
        </w:r>
        <w:r w:rsidR="00AE0E45">
          <w:rPr>
            <w:noProof/>
            <w:webHidden/>
          </w:rPr>
          <w:fldChar w:fldCharType="begin"/>
        </w:r>
        <w:r w:rsidR="00AE0E45">
          <w:rPr>
            <w:noProof/>
            <w:webHidden/>
          </w:rPr>
          <w:instrText xml:space="preserve"> PAGEREF _Toc65050520 \h </w:instrText>
        </w:r>
        <w:r w:rsidR="00AE0E45">
          <w:rPr>
            <w:noProof/>
            <w:webHidden/>
          </w:rPr>
        </w:r>
        <w:r w:rsidR="00AE0E45">
          <w:rPr>
            <w:noProof/>
            <w:webHidden/>
          </w:rPr>
          <w:fldChar w:fldCharType="separate"/>
        </w:r>
        <w:r w:rsidR="00FC3D3D">
          <w:rPr>
            <w:noProof/>
            <w:webHidden/>
          </w:rPr>
          <w:t>1</w:t>
        </w:r>
        <w:r w:rsidR="00AE0E45">
          <w:rPr>
            <w:noProof/>
            <w:webHidden/>
          </w:rPr>
          <w:fldChar w:fldCharType="end"/>
        </w:r>
      </w:hyperlink>
    </w:p>
    <w:p w14:paraId="4B445015" w14:textId="74F38A81" w:rsidR="00AE0E45" w:rsidRDefault="00A254DE">
      <w:pPr>
        <w:pStyle w:val="TOC3"/>
        <w:rPr>
          <w:rFonts w:asciiTheme="minorHAnsi" w:eastAsiaTheme="minorEastAsia" w:hAnsiTheme="minorHAnsi"/>
          <w:iCs w:val="0"/>
          <w:noProof/>
          <w:color w:val="auto"/>
          <w:sz w:val="22"/>
          <w:lang w:eastAsia="en-AU"/>
        </w:rPr>
      </w:pPr>
      <w:hyperlink w:anchor="_Toc65050521" w:history="1">
        <w:r w:rsidR="00AE0E45" w:rsidRPr="00720FC6">
          <w:rPr>
            <w:rStyle w:val="Hyperlink"/>
            <w:noProof/>
          </w:rPr>
          <w:t>Recommended GST pool distribution</w:t>
        </w:r>
        <w:r w:rsidR="00AE0E45">
          <w:rPr>
            <w:noProof/>
            <w:webHidden/>
          </w:rPr>
          <w:tab/>
        </w:r>
        <w:r w:rsidR="00AE0E45">
          <w:rPr>
            <w:noProof/>
            <w:webHidden/>
          </w:rPr>
          <w:fldChar w:fldCharType="begin"/>
        </w:r>
        <w:r w:rsidR="00AE0E45">
          <w:rPr>
            <w:noProof/>
            <w:webHidden/>
          </w:rPr>
          <w:instrText xml:space="preserve"> PAGEREF _Toc65050521 \h </w:instrText>
        </w:r>
        <w:r w:rsidR="00AE0E45">
          <w:rPr>
            <w:noProof/>
            <w:webHidden/>
          </w:rPr>
        </w:r>
        <w:r w:rsidR="00AE0E45">
          <w:rPr>
            <w:noProof/>
            <w:webHidden/>
          </w:rPr>
          <w:fldChar w:fldCharType="separate"/>
        </w:r>
        <w:r w:rsidR="00FC3D3D">
          <w:rPr>
            <w:noProof/>
            <w:webHidden/>
          </w:rPr>
          <w:t>1</w:t>
        </w:r>
        <w:r w:rsidR="00AE0E45">
          <w:rPr>
            <w:noProof/>
            <w:webHidden/>
          </w:rPr>
          <w:fldChar w:fldCharType="end"/>
        </w:r>
      </w:hyperlink>
    </w:p>
    <w:p w14:paraId="16C10F52" w14:textId="566AA122" w:rsidR="00AE0E45" w:rsidRDefault="00A254DE">
      <w:pPr>
        <w:pStyle w:val="TOC3"/>
        <w:rPr>
          <w:rFonts w:asciiTheme="minorHAnsi" w:eastAsiaTheme="minorEastAsia" w:hAnsiTheme="minorHAnsi"/>
          <w:iCs w:val="0"/>
          <w:noProof/>
          <w:color w:val="auto"/>
          <w:sz w:val="22"/>
          <w:lang w:eastAsia="en-AU"/>
        </w:rPr>
      </w:pPr>
      <w:hyperlink w:anchor="_Toc65050522" w:history="1">
        <w:r w:rsidR="00AE0E45" w:rsidRPr="00720FC6">
          <w:rPr>
            <w:rStyle w:val="Hyperlink"/>
            <w:noProof/>
          </w:rPr>
          <w:t>Movements in the GST distribution</w:t>
        </w:r>
        <w:r w:rsidR="00AE0E45">
          <w:rPr>
            <w:noProof/>
            <w:webHidden/>
          </w:rPr>
          <w:tab/>
        </w:r>
        <w:r w:rsidR="00AE0E45">
          <w:rPr>
            <w:noProof/>
            <w:webHidden/>
          </w:rPr>
          <w:fldChar w:fldCharType="begin"/>
        </w:r>
        <w:r w:rsidR="00AE0E45">
          <w:rPr>
            <w:noProof/>
            <w:webHidden/>
          </w:rPr>
          <w:instrText xml:space="preserve"> PAGEREF _Toc65050522 \h </w:instrText>
        </w:r>
        <w:r w:rsidR="00AE0E45">
          <w:rPr>
            <w:noProof/>
            <w:webHidden/>
          </w:rPr>
        </w:r>
        <w:r w:rsidR="00AE0E45">
          <w:rPr>
            <w:noProof/>
            <w:webHidden/>
          </w:rPr>
          <w:fldChar w:fldCharType="separate"/>
        </w:r>
        <w:r w:rsidR="00FC3D3D">
          <w:rPr>
            <w:noProof/>
            <w:webHidden/>
          </w:rPr>
          <w:t>4</w:t>
        </w:r>
        <w:r w:rsidR="00AE0E45">
          <w:rPr>
            <w:noProof/>
            <w:webHidden/>
          </w:rPr>
          <w:fldChar w:fldCharType="end"/>
        </w:r>
      </w:hyperlink>
    </w:p>
    <w:p w14:paraId="07758087" w14:textId="4D5F4DDC" w:rsidR="00AE0E45" w:rsidRDefault="00A254DE">
      <w:pPr>
        <w:pStyle w:val="TOC4"/>
        <w:rPr>
          <w:rFonts w:asciiTheme="minorHAnsi" w:eastAsiaTheme="minorEastAsia" w:hAnsiTheme="minorHAnsi"/>
          <w:i w:val="0"/>
          <w:noProof/>
          <w:color w:val="auto"/>
          <w:sz w:val="22"/>
          <w:lang w:eastAsia="en-AU"/>
        </w:rPr>
      </w:pPr>
      <w:hyperlink w:anchor="_Toc65050523" w:history="1">
        <w:r w:rsidR="00AE0E45" w:rsidRPr="00720FC6">
          <w:rPr>
            <w:rStyle w:val="Hyperlink"/>
            <w:noProof/>
          </w:rPr>
          <w:t>Contribution to change in distribution of GST from 2020-21 to 2021-22</w:t>
        </w:r>
        <w:r w:rsidR="00AE0E45">
          <w:rPr>
            <w:noProof/>
            <w:webHidden/>
          </w:rPr>
          <w:tab/>
        </w:r>
        <w:r w:rsidR="00AE0E45">
          <w:rPr>
            <w:noProof/>
            <w:webHidden/>
          </w:rPr>
          <w:fldChar w:fldCharType="begin"/>
        </w:r>
        <w:r w:rsidR="00AE0E45">
          <w:rPr>
            <w:noProof/>
            <w:webHidden/>
          </w:rPr>
          <w:instrText xml:space="preserve"> PAGEREF _Toc65050523 \h </w:instrText>
        </w:r>
        <w:r w:rsidR="00AE0E45">
          <w:rPr>
            <w:noProof/>
            <w:webHidden/>
          </w:rPr>
        </w:r>
        <w:r w:rsidR="00AE0E45">
          <w:rPr>
            <w:noProof/>
            <w:webHidden/>
          </w:rPr>
          <w:fldChar w:fldCharType="separate"/>
        </w:r>
        <w:r w:rsidR="00FC3D3D">
          <w:rPr>
            <w:noProof/>
            <w:webHidden/>
          </w:rPr>
          <w:t>5</w:t>
        </w:r>
        <w:r w:rsidR="00AE0E45">
          <w:rPr>
            <w:noProof/>
            <w:webHidden/>
          </w:rPr>
          <w:fldChar w:fldCharType="end"/>
        </w:r>
      </w:hyperlink>
    </w:p>
    <w:p w14:paraId="41D07650" w14:textId="55A41678" w:rsidR="00AE0E45" w:rsidRDefault="00A254DE">
      <w:pPr>
        <w:pStyle w:val="TOC1"/>
        <w:tabs>
          <w:tab w:val="left" w:pos="680"/>
        </w:tabs>
        <w:rPr>
          <w:rFonts w:asciiTheme="minorHAnsi" w:eastAsiaTheme="minorEastAsia" w:hAnsiTheme="minorHAnsi"/>
          <w:b w:val="0"/>
          <w:bCs w:val="0"/>
          <w:noProof/>
          <w:color w:val="auto"/>
          <w:sz w:val="22"/>
          <w:szCs w:val="22"/>
          <w:lang w:eastAsia="en-AU"/>
        </w:rPr>
      </w:pPr>
      <w:hyperlink w:anchor="_Toc65050524" w:history="1">
        <w:r w:rsidR="00AE0E45" w:rsidRPr="00720FC6">
          <w:rPr>
            <w:rStyle w:val="Hyperlink"/>
            <w:noProof/>
          </w:rPr>
          <w:t>2</w:t>
        </w:r>
        <w:r w:rsidR="00AE0E45">
          <w:rPr>
            <w:rFonts w:asciiTheme="minorHAnsi" w:eastAsiaTheme="minorEastAsia" w:hAnsiTheme="minorHAnsi"/>
            <w:b w:val="0"/>
            <w:bCs w:val="0"/>
            <w:noProof/>
            <w:color w:val="auto"/>
            <w:sz w:val="22"/>
            <w:szCs w:val="22"/>
            <w:lang w:eastAsia="en-AU"/>
          </w:rPr>
          <w:tab/>
        </w:r>
        <w:r w:rsidR="00AE0E45" w:rsidRPr="00720FC6">
          <w:rPr>
            <w:rStyle w:val="Hyperlink"/>
            <w:noProof/>
          </w:rPr>
          <w:t>Changes since the 2020 Review</w:t>
        </w:r>
        <w:r w:rsidR="00AE0E45">
          <w:rPr>
            <w:noProof/>
            <w:webHidden/>
          </w:rPr>
          <w:tab/>
        </w:r>
        <w:r w:rsidR="00AE0E45">
          <w:rPr>
            <w:noProof/>
            <w:webHidden/>
          </w:rPr>
          <w:fldChar w:fldCharType="begin"/>
        </w:r>
        <w:r w:rsidR="00AE0E45">
          <w:rPr>
            <w:noProof/>
            <w:webHidden/>
          </w:rPr>
          <w:instrText xml:space="preserve"> PAGEREF _Toc65050524 \h </w:instrText>
        </w:r>
        <w:r w:rsidR="00AE0E45">
          <w:rPr>
            <w:noProof/>
            <w:webHidden/>
          </w:rPr>
        </w:r>
        <w:r w:rsidR="00AE0E45">
          <w:rPr>
            <w:noProof/>
            <w:webHidden/>
          </w:rPr>
          <w:fldChar w:fldCharType="separate"/>
        </w:r>
        <w:r w:rsidR="00FC3D3D">
          <w:rPr>
            <w:noProof/>
            <w:webHidden/>
          </w:rPr>
          <w:t>7</w:t>
        </w:r>
        <w:r w:rsidR="00AE0E45">
          <w:rPr>
            <w:noProof/>
            <w:webHidden/>
          </w:rPr>
          <w:fldChar w:fldCharType="end"/>
        </w:r>
      </w:hyperlink>
    </w:p>
    <w:p w14:paraId="7557A889" w14:textId="568069CB" w:rsidR="00AE0E45" w:rsidRDefault="00A254DE">
      <w:pPr>
        <w:pStyle w:val="TOC3"/>
        <w:rPr>
          <w:rFonts w:asciiTheme="minorHAnsi" w:eastAsiaTheme="minorEastAsia" w:hAnsiTheme="minorHAnsi"/>
          <w:iCs w:val="0"/>
          <w:noProof/>
          <w:color w:val="auto"/>
          <w:sz w:val="22"/>
          <w:lang w:eastAsia="en-AU"/>
        </w:rPr>
      </w:pPr>
      <w:hyperlink w:anchor="_Toc65050525" w:history="1">
        <w:r w:rsidR="00AE0E45" w:rsidRPr="00720FC6">
          <w:rPr>
            <w:rStyle w:val="Hyperlink"/>
            <w:noProof/>
          </w:rPr>
          <w:t>Key points</w:t>
        </w:r>
        <w:r w:rsidR="00AE0E45">
          <w:rPr>
            <w:noProof/>
            <w:webHidden/>
          </w:rPr>
          <w:tab/>
        </w:r>
        <w:r w:rsidR="00AE0E45">
          <w:rPr>
            <w:noProof/>
            <w:webHidden/>
          </w:rPr>
          <w:fldChar w:fldCharType="begin"/>
        </w:r>
        <w:r w:rsidR="00AE0E45">
          <w:rPr>
            <w:noProof/>
            <w:webHidden/>
          </w:rPr>
          <w:instrText xml:space="preserve"> PAGEREF _Toc65050525 \h </w:instrText>
        </w:r>
        <w:r w:rsidR="00AE0E45">
          <w:rPr>
            <w:noProof/>
            <w:webHidden/>
          </w:rPr>
        </w:r>
        <w:r w:rsidR="00AE0E45">
          <w:rPr>
            <w:noProof/>
            <w:webHidden/>
          </w:rPr>
          <w:fldChar w:fldCharType="separate"/>
        </w:r>
        <w:r w:rsidR="00FC3D3D">
          <w:rPr>
            <w:noProof/>
            <w:webHidden/>
          </w:rPr>
          <w:t>7</w:t>
        </w:r>
        <w:r w:rsidR="00AE0E45">
          <w:rPr>
            <w:noProof/>
            <w:webHidden/>
          </w:rPr>
          <w:fldChar w:fldCharType="end"/>
        </w:r>
      </w:hyperlink>
    </w:p>
    <w:p w14:paraId="3EE988EE" w14:textId="7978BFBC" w:rsidR="00AE0E45" w:rsidRDefault="00A254DE">
      <w:pPr>
        <w:pStyle w:val="TOC3"/>
        <w:rPr>
          <w:rFonts w:asciiTheme="minorHAnsi" w:eastAsiaTheme="minorEastAsia" w:hAnsiTheme="minorHAnsi"/>
          <w:iCs w:val="0"/>
          <w:noProof/>
          <w:color w:val="auto"/>
          <w:sz w:val="22"/>
          <w:lang w:eastAsia="en-AU"/>
        </w:rPr>
      </w:pPr>
      <w:hyperlink w:anchor="_Toc65050526" w:history="1">
        <w:r w:rsidR="00AE0E45" w:rsidRPr="00720FC6">
          <w:rPr>
            <w:rStyle w:val="Hyperlink"/>
            <w:noProof/>
          </w:rPr>
          <w:t>Why State fiscal capacities changed</w:t>
        </w:r>
        <w:r w:rsidR="00AE0E45">
          <w:rPr>
            <w:noProof/>
            <w:webHidden/>
          </w:rPr>
          <w:tab/>
        </w:r>
        <w:r w:rsidR="00AE0E45">
          <w:rPr>
            <w:noProof/>
            <w:webHidden/>
          </w:rPr>
          <w:fldChar w:fldCharType="begin"/>
        </w:r>
        <w:r w:rsidR="00AE0E45">
          <w:rPr>
            <w:noProof/>
            <w:webHidden/>
          </w:rPr>
          <w:instrText xml:space="preserve"> PAGEREF _Toc65050526 \h </w:instrText>
        </w:r>
        <w:r w:rsidR="00AE0E45">
          <w:rPr>
            <w:noProof/>
            <w:webHidden/>
          </w:rPr>
        </w:r>
        <w:r w:rsidR="00AE0E45">
          <w:rPr>
            <w:noProof/>
            <w:webHidden/>
          </w:rPr>
          <w:fldChar w:fldCharType="separate"/>
        </w:r>
        <w:r w:rsidR="00FC3D3D">
          <w:rPr>
            <w:noProof/>
            <w:webHidden/>
          </w:rPr>
          <w:t>7</w:t>
        </w:r>
        <w:r w:rsidR="00AE0E45">
          <w:rPr>
            <w:noProof/>
            <w:webHidden/>
          </w:rPr>
          <w:fldChar w:fldCharType="end"/>
        </w:r>
      </w:hyperlink>
    </w:p>
    <w:p w14:paraId="2036E15D" w14:textId="181DF953" w:rsidR="00AE0E45" w:rsidRDefault="00A254DE">
      <w:pPr>
        <w:pStyle w:val="TOC4"/>
        <w:rPr>
          <w:rFonts w:asciiTheme="minorHAnsi" w:eastAsiaTheme="minorEastAsia" w:hAnsiTheme="minorHAnsi"/>
          <w:i w:val="0"/>
          <w:noProof/>
          <w:color w:val="auto"/>
          <w:sz w:val="22"/>
          <w:lang w:eastAsia="en-AU"/>
        </w:rPr>
      </w:pPr>
      <w:hyperlink w:anchor="_Toc65050527" w:history="1">
        <w:r w:rsidR="00AE0E45" w:rsidRPr="00720FC6">
          <w:rPr>
            <w:rStyle w:val="Hyperlink"/>
            <w:noProof/>
          </w:rPr>
          <w:t>Data revisions</w:t>
        </w:r>
        <w:r w:rsidR="00AE0E45">
          <w:rPr>
            <w:noProof/>
            <w:webHidden/>
          </w:rPr>
          <w:tab/>
        </w:r>
        <w:r w:rsidR="00AE0E45">
          <w:rPr>
            <w:noProof/>
            <w:webHidden/>
          </w:rPr>
          <w:fldChar w:fldCharType="begin"/>
        </w:r>
        <w:r w:rsidR="00AE0E45">
          <w:rPr>
            <w:noProof/>
            <w:webHidden/>
          </w:rPr>
          <w:instrText xml:space="preserve"> PAGEREF _Toc65050527 \h </w:instrText>
        </w:r>
        <w:r w:rsidR="00AE0E45">
          <w:rPr>
            <w:noProof/>
            <w:webHidden/>
          </w:rPr>
        </w:r>
        <w:r w:rsidR="00AE0E45">
          <w:rPr>
            <w:noProof/>
            <w:webHidden/>
          </w:rPr>
          <w:fldChar w:fldCharType="separate"/>
        </w:r>
        <w:r w:rsidR="00FC3D3D">
          <w:rPr>
            <w:noProof/>
            <w:webHidden/>
          </w:rPr>
          <w:t>8</w:t>
        </w:r>
        <w:r w:rsidR="00AE0E45">
          <w:rPr>
            <w:noProof/>
            <w:webHidden/>
          </w:rPr>
          <w:fldChar w:fldCharType="end"/>
        </w:r>
      </w:hyperlink>
    </w:p>
    <w:p w14:paraId="74706A86" w14:textId="09BB9D4A" w:rsidR="00AE0E45" w:rsidRDefault="00A254DE">
      <w:pPr>
        <w:pStyle w:val="TOC4"/>
        <w:rPr>
          <w:rFonts w:asciiTheme="minorHAnsi" w:eastAsiaTheme="minorEastAsia" w:hAnsiTheme="minorHAnsi"/>
          <w:i w:val="0"/>
          <w:noProof/>
          <w:color w:val="auto"/>
          <w:sz w:val="22"/>
          <w:lang w:eastAsia="en-AU"/>
        </w:rPr>
      </w:pPr>
      <w:hyperlink w:anchor="_Toc65050528" w:history="1">
        <w:r w:rsidR="00AE0E45" w:rsidRPr="00720FC6">
          <w:rPr>
            <w:rStyle w:val="Hyperlink"/>
            <w:noProof/>
          </w:rPr>
          <w:t>Changes in State circumstances</w:t>
        </w:r>
        <w:r w:rsidR="00AE0E45">
          <w:rPr>
            <w:noProof/>
            <w:webHidden/>
          </w:rPr>
          <w:tab/>
        </w:r>
        <w:r w:rsidR="00AE0E45">
          <w:rPr>
            <w:noProof/>
            <w:webHidden/>
          </w:rPr>
          <w:fldChar w:fldCharType="begin"/>
        </w:r>
        <w:r w:rsidR="00AE0E45">
          <w:rPr>
            <w:noProof/>
            <w:webHidden/>
          </w:rPr>
          <w:instrText xml:space="preserve"> PAGEREF _Toc65050528 \h </w:instrText>
        </w:r>
        <w:r w:rsidR="00AE0E45">
          <w:rPr>
            <w:noProof/>
            <w:webHidden/>
          </w:rPr>
        </w:r>
        <w:r w:rsidR="00AE0E45">
          <w:rPr>
            <w:noProof/>
            <w:webHidden/>
          </w:rPr>
          <w:fldChar w:fldCharType="separate"/>
        </w:r>
        <w:r w:rsidR="00FC3D3D">
          <w:rPr>
            <w:noProof/>
            <w:webHidden/>
          </w:rPr>
          <w:t>10</w:t>
        </w:r>
        <w:r w:rsidR="00AE0E45">
          <w:rPr>
            <w:noProof/>
            <w:webHidden/>
          </w:rPr>
          <w:fldChar w:fldCharType="end"/>
        </w:r>
      </w:hyperlink>
    </w:p>
    <w:p w14:paraId="17B38A4C" w14:textId="434BB51B" w:rsidR="00AE0E45" w:rsidRDefault="00A254DE">
      <w:pPr>
        <w:pStyle w:val="TOC4"/>
        <w:rPr>
          <w:rFonts w:asciiTheme="minorHAnsi" w:eastAsiaTheme="minorEastAsia" w:hAnsiTheme="minorHAnsi"/>
          <w:i w:val="0"/>
          <w:noProof/>
          <w:color w:val="auto"/>
          <w:sz w:val="22"/>
          <w:lang w:eastAsia="en-AU"/>
        </w:rPr>
      </w:pPr>
      <w:hyperlink w:anchor="_Toc65050529" w:history="1">
        <w:r w:rsidR="00AE0E45" w:rsidRPr="00720FC6">
          <w:rPr>
            <w:rStyle w:val="Hyperlink"/>
            <w:noProof/>
          </w:rPr>
          <w:t>Iron ore and Western Australia’s revenue raising capacity</w:t>
        </w:r>
        <w:r w:rsidR="00AE0E45">
          <w:rPr>
            <w:noProof/>
            <w:webHidden/>
          </w:rPr>
          <w:tab/>
        </w:r>
        <w:r w:rsidR="00AE0E45">
          <w:rPr>
            <w:noProof/>
            <w:webHidden/>
          </w:rPr>
          <w:fldChar w:fldCharType="begin"/>
        </w:r>
        <w:r w:rsidR="00AE0E45">
          <w:rPr>
            <w:noProof/>
            <w:webHidden/>
          </w:rPr>
          <w:instrText xml:space="preserve"> PAGEREF _Toc65050529 \h </w:instrText>
        </w:r>
        <w:r w:rsidR="00AE0E45">
          <w:rPr>
            <w:noProof/>
            <w:webHidden/>
          </w:rPr>
        </w:r>
        <w:r w:rsidR="00AE0E45">
          <w:rPr>
            <w:noProof/>
            <w:webHidden/>
          </w:rPr>
          <w:fldChar w:fldCharType="separate"/>
        </w:r>
        <w:r w:rsidR="00FC3D3D">
          <w:rPr>
            <w:noProof/>
            <w:webHidden/>
          </w:rPr>
          <w:t>12</w:t>
        </w:r>
        <w:r w:rsidR="00AE0E45">
          <w:rPr>
            <w:noProof/>
            <w:webHidden/>
          </w:rPr>
          <w:fldChar w:fldCharType="end"/>
        </w:r>
      </w:hyperlink>
    </w:p>
    <w:p w14:paraId="5DCD4393" w14:textId="37170E76" w:rsidR="00AE0E45" w:rsidRDefault="00A254DE">
      <w:pPr>
        <w:pStyle w:val="TOC3"/>
        <w:rPr>
          <w:rFonts w:asciiTheme="minorHAnsi" w:eastAsiaTheme="minorEastAsia" w:hAnsiTheme="minorHAnsi"/>
          <w:iCs w:val="0"/>
          <w:noProof/>
          <w:color w:val="auto"/>
          <w:sz w:val="22"/>
          <w:lang w:eastAsia="en-AU"/>
        </w:rPr>
      </w:pPr>
      <w:hyperlink w:anchor="_Toc65050530" w:history="1">
        <w:r w:rsidR="00AE0E45" w:rsidRPr="00720FC6">
          <w:rPr>
            <w:rStyle w:val="Hyperlink"/>
            <w:noProof/>
          </w:rPr>
          <w:t>Why State fiscal capacities differ from each other</w:t>
        </w:r>
        <w:r w:rsidR="00AE0E45">
          <w:rPr>
            <w:noProof/>
            <w:webHidden/>
          </w:rPr>
          <w:tab/>
        </w:r>
        <w:r w:rsidR="00AE0E45">
          <w:rPr>
            <w:noProof/>
            <w:webHidden/>
          </w:rPr>
          <w:fldChar w:fldCharType="begin"/>
        </w:r>
        <w:r w:rsidR="00AE0E45">
          <w:rPr>
            <w:noProof/>
            <w:webHidden/>
          </w:rPr>
          <w:instrText xml:space="preserve"> PAGEREF _Toc65050530 \h </w:instrText>
        </w:r>
        <w:r w:rsidR="00AE0E45">
          <w:rPr>
            <w:noProof/>
            <w:webHidden/>
          </w:rPr>
        </w:r>
        <w:r w:rsidR="00AE0E45">
          <w:rPr>
            <w:noProof/>
            <w:webHidden/>
          </w:rPr>
          <w:fldChar w:fldCharType="separate"/>
        </w:r>
        <w:r w:rsidR="00FC3D3D">
          <w:rPr>
            <w:noProof/>
            <w:webHidden/>
          </w:rPr>
          <w:t>17</w:t>
        </w:r>
        <w:r w:rsidR="00AE0E45">
          <w:rPr>
            <w:noProof/>
            <w:webHidden/>
          </w:rPr>
          <w:fldChar w:fldCharType="end"/>
        </w:r>
      </w:hyperlink>
    </w:p>
    <w:p w14:paraId="26A6408F" w14:textId="35FC1622" w:rsidR="00AE0E45" w:rsidRDefault="00A254DE">
      <w:pPr>
        <w:pStyle w:val="TOC4"/>
        <w:rPr>
          <w:rFonts w:asciiTheme="minorHAnsi" w:eastAsiaTheme="minorEastAsia" w:hAnsiTheme="minorHAnsi"/>
          <w:i w:val="0"/>
          <w:noProof/>
          <w:color w:val="auto"/>
          <w:sz w:val="22"/>
          <w:lang w:eastAsia="en-AU"/>
        </w:rPr>
      </w:pPr>
      <w:hyperlink w:anchor="_Toc65050531" w:history="1">
        <w:r w:rsidR="00AE0E45" w:rsidRPr="00720FC6">
          <w:rPr>
            <w:rStyle w:val="Hyperlink"/>
            <w:noProof/>
          </w:rPr>
          <w:t>New South Wales’ GST requirement is higher than Victoria’s</w:t>
        </w:r>
        <w:r w:rsidR="00AE0E45">
          <w:rPr>
            <w:noProof/>
            <w:webHidden/>
          </w:rPr>
          <w:tab/>
        </w:r>
        <w:r w:rsidR="00AE0E45">
          <w:rPr>
            <w:noProof/>
            <w:webHidden/>
          </w:rPr>
          <w:fldChar w:fldCharType="begin"/>
        </w:r>
        <w:r w:rsidR="00AE0E45">
          <w:rPr>
            <w:noProof/>
            <w:webHidden/>
          </w:rPr>
          <w:instrText xml:space="preserve"> PAGEREF _Toc65050531 \h </w:instrText>
        </w:r>
        <w:r w:rsidR="00AE0E45">
          <w:rPr>
            <w:noProof/>
            <w:webHidden/>
          </w:rPr>
        </w:r>
        <w:r w:rsidR="00AE0E45">
          <w:rPr>
            <w:noProof/>
            <w:webHidden/>
          </w:rPr>
          <w:fldChar w:fldCharType="separate"/>
        </w:r>
        <w:r w:rsidR="00FC3D3D">
          <w:rPr>
            <w:noProof/>
            <w:webHidden/>
          </w:rPr>
          <w:t>19</w:t>
        </w:r>
        <w:r w:rsidR="00AE0E45">
          <w:rPr>
            <w:noProof/>
            <w:webHidden/>
          </w:rPr>
          <w:fldChar w:fldCharType="end"/>
        </w:r>
      </w:hyperlink>
    </w:p>
    <w:p w14:paraId="530785D7" w14:textId="0331DF2B" w:rsidR="00AE0E45" w:rsidRDefault="00A254DE">
      <w:pPr>
        <w:pStyle w:val="TOC3"/>
        <w:rPr>
          <w:rFonts w:asciiTheme="minorHAnsi" w:eastAsiaTheme="minorEastAsia" w:hAnsiTheme="minorHAnsi"/>
          <w:iCs w:val="0"/>
          <w:noProof/>
          <w:color w:val="auto"/>
          <w:sz w:val="22"/>
          <w:lang w:eastAsia="en-AU"/>
        </w:rPr>
      </w:pPr>
      <w:hyperlink w:anchor="_Toc65050532" w:history="1">
        <w:r w:rsidR="00AE0E45" w:rsidRPr="00720FC6">
          <w:rPr>
            <w:rStyle w:val="Hyperlink"/>
            <w:noProof/>
          </w:rPr>
          <w:t>Size of the fiscal equalisation task</w:t>
        </w:r>
        <w:r w:rsidR="00AE0E45">
          <w:rPr>
            <w:noProof/>
            <w:webHidden/>
          </w:rPr>
          <w:tab/>
        </w:r>
        <w:r w:rsidR="00AE0E45">
          <w:rPr>
            <w:noProof/>
            <w:webHidden/>
          </w:rPr>
          <w:fldChar w:fldCharType="begin"/>
        </w:r>
        <w:r w:rsidR="00AE0E45">
          <w:rPr>
            <w:noProof/>
            <w:webHidden/>
          </w:rPr>
          <w:instrText xml:space="preserve"> PAGEREF _Toc65050532 \h </w:instrText>
        </w:r>
        <w:r w:rsidR="00AE0E45">
          <w:rPr>
            <w:noProof/>
            <w:webHidden/>
          </w:rPr>
        </w:r>
        <w:r w:rsidR="00AE0E45">
          <w:rPr>
            <w:noProof/>
            <w:webHidden/>
          </w:rPr>
          <w:fldChar w:fldCharType="separate"/>
        </w:r>
        <w:r w:rsidR="00FC3D3D">
          <w:rPr>
            <w:noProof/>
            <w:webHidden/>
          </w:rPr>
          <w:t>20</w:t>
        </w:r>
        <w:r w:rsidR="00AE0E45">
          <w:rPr>
            <w:noProof/>
            <w:webHidden/>
          </w:rPr>
          <w:fldChar w:fldCharType="end"/>
        </w:r>
      </w:hyperlink>
    </w:p>
    <w:p w14:paraId="62A6656A" w14:textId="7BAA6BA2" w:rsidR="00AE0E45" w:rsidRDefault="00A254DE">
      <w:pPr>
        <w:pStyle w:val="TOC1"/>
        <w:tabs>
          <w:tab w:val="left" w:pos="680"/>
        </w:tabs>
        <w:rPr>
          <w:rFonts w:asciiTheme="minorHAnsi" w:eastAsiaTheme="minorEastAsia" w:hAnsiTheme="minorHAnsi"/>
          <w:b w:val="0"/>
          <w:bCs w:val="0"/>
          <w:noProof/>
          <w:color w:val="auto"/>
          <w:sz w:val="22"/>
          <w:szCs w:val="22"/>
          <w:lang w:eastAsia="en-AU"/>
        </w:rPr>
      </w:pPr>
      <w:hyperlink w:anchor="_Toc65050533" w:history="1">
        <w:r w:rsidR="00AE0E45" w:rsidRPr="00720FC6">
          <w:rPr>
            <w:rStyle w:val="Hyperlink"/>
            <w:noProof/>
          </w:rPr>
          <w:t>3</w:t>
        </w:r>
        <w:r w:rsidR="00AE0E45">
          <w:rPr>
            <w:rFonts w:asciiTheme="minorHAnsi" w:eastAsiaTheme="minorEastAsia" w:hAnsiTheme="minorHAnsi"/>
            <w:b w:val="0"/>
            <w:bCs w:val="0"/>
            <w:noProof/>
            <w:color w:val="auto"/>
            <w:sz w:val="22"/>
            <w:szCs w:val="22"/>
            <w:lang w:eastAsia="en-AU"/>
          </w:rPr>
          <w:tab/>
        </w:r>
        <w:r w:rsidR="00AE0E45" w:rsidRPr="00720FC6">
          <w:rPr>
            <w:rStyle w:val="Hyperlink"/>
            <w:noProof/>
          </w:rPr>
          <w:t>State by State changes</w:t>
        </w:r>
        <w:r w:rsidR="00AE0E45">
          <w:rPr>
            <w:noProof/>
            <w:webHidden/>
          </w:rPr>
          <w:tab/>
        </w:r>
        <w:r w:rsidR="00AE0E45">
          <w:rPr>
            <w:noProof/>
            <w:webHidden/>
          </w:rPr>
          <w:fldChar w:fldCharType="begin"/>
        </w:r>
        <w:r w:rsidR="00AE0E45">
          <w:rPr>
            <w:noProof/>
            <w:webHidden/>
          </w:rPr>
          <w:instrText xml:space="preserve"> PAGEREF _Toc65050533 \h </w:instrText>
        </w:r>
        <w:r w:rsidR="00AE0E45">
          <w:rPr>
            <w:noProof/>
            <w:webHidden/>
          </w:rPr>
        </w:r>
        <w:r w:rsidR="00AE0E45">
          <w:rPr>
            <w:noProof/>
            <w:webHidden/>
          </w:rPr>
          <w:fldChar w:fldCharType="separate"/>
        </w:r>
        <w:r w:rsidR="00FC3D3D">
          <w:rPr>
            <w:noProof/>
            <w:webHidden/>
          </w:rPr>
          <w:t>22</w:t>
        </w:r>
        <w:r w:rsidR="00AE0E45">
          <w:rPr>
            <w:noProof/>
            <w:webHidden/>
          </w:rPr>
          <w:fldChar w:fldCharType="end"/>
        </w:r>
      </w:hyperlink>
    </w:p>
    <w:p w14:paraId="248D8B52" w14:textId="408046EE" w:rsidR="00AE0E45" w:rsidRDefault="00A254DE">
      <w:pPr>
        <w:pStyle w:val="TOC3"/>
        <w:rPr>
          <w:rFonts w:asciiTheme="minorHAnsi" w:eastAsiaTheme="minorEastAsia" w:hAnsiTheme="minorHAnsi"/>
          <w:iCs w:val="0"/>
          <w:noProof/>
          <w:color w:val="auto"/>
          <w:sz w:val="22"/>
          <w:lang w:eastAsia="en-AU"/>
        </w:rPr>
      </w:pPr>
      <w:hyperlink w:anchor="_Toc65050534" w:history="1">
        <w:r w:rsidR="00AE0E45" w:rsidRPr="00720FC6">
          <w:rPr>
            <w:rStyle w:val="Hyperlink"/>
            <w:noProof/>
          </w:rPr>
          <w:t>Key points</w:t>
        </w:r>
        <w:r w:rsidR="00AE0E45">
          <w:rPr>
            <w:noProof/>
            <w:webHidden/>
          </w:rPr>
          <w:tab/>
        </w:r>
        <w:r w:rsidR="00AE0E45">
          <w:rPr>
            <w:noProof/>
            <w:webHidden/>
          </w:rPr>
          <w:fldChar w:fldCharType="begin"/>
        </w:r>
        <w:r w:rsidR="00AE0E45">
          <w:rPr>
            <w:noProof/>
            <w:webHidden/>
          </w:rPr>
          <w:instrText xml:space="preserve"> PAGEREF _Toc65050534 \h </w:instrText>
        </w:r>
        <w:r w:rsidR="00AE0E45">
          <w:rPr>
            <w:noProof/>
            <w:webHidden/>
          </w:rPr>
        </w:r>
        <w:r w:rsidR="00AE0E45">
          <w:rPr>
            <w:noProof/>
            <w:webHidden/>
          </w:rPr>
          <w:fldChar w:fldCharType="separate"/>
        </w:r>
        <w:r w:rsidR="00FC3D3D">
          <w:rPr>
            <w:noProof/>
            <w:webHidden/>
          </w:rPr>
          <w:t>22</w:t>
        </w:r>
        <w:r w:rsidR="00AE0E45">
          <w:rPr>
            <w:noProof/>
            <w:webHidden/>
          </w:rPr>
          <w:fldChar w:fldCharType="end"/>
        </w:r>
      </w:hyperlink>
    </w:p>
    <w:p w14:paraId="65268D46" w14:textId="441F49D7" w:rsidR="00AE0E45" w:rsidRDefault="00A254DE">
      <w:pPr>
        <w:pStyle w:val="TOC3"/>
        <w:rPr>
          <w:rFonts w:asciiTheme="minorHAnsi" w:eastAsiaTheme="minorEastAsia" w:hAnsiTheme="minorHAnsi"/>
          <w:iCs w:val="0"/>
          <w:noProof/>
          <w:color w:val="auto"/>
          <w:sz w:val="22"/>
          <w:lang w:eastAsia="en-AU"/>
        </w:rPr>
      </w:pPr>
      <w:hyperlink w:anchor="_Toc65050535" w:history="1">
        <w:r w:rsidR="00AE0E45" w:rsidRPr="00720FC6">
          <w:rPr>
            <w:rStyle w:val="Hyperlink"/>
            <w:noProof/>
          </w:rPr>
          <w:t>New South Wales</w:t>
        </w:r>
        <w:r w:rsidR="00AE0E45">
          <w:rPr>
            <w:noProof/>
            <w:webHidden/>
          </w:rPr>
          <w:tab/>
        </w:r>
        <w:r w:rsidR="00AE0E45">
          <w:rPr>
            <w:noProof/>
            <w:webHidden/>
          </w:rPr>
          <w:fldChar w:fldCharType="begin"/>
        </w:r>
        <w:r w:rsidR="00AE0E45">
          <w:rPr>
            <w:noProof/>
            <w:webHidden/>
          </w:rPr>
          <w:instrText xml:space="preserve"> PAGEREF _Toc65050535 \h </w:instrText>
        </w:r>
        <w:r w:rsidR="00AE0E45">
          <w:rPr>
            <w:noProof/>
            <w:webHidden/>
          </w:rPr>
        </w:r>
        <w:r w:rsidR="00AE0E45">
          <w:rPr>
            <w:noProof/>
            <w:webHidden/>
          </w:rPr>
          <w:fldChar w:fldCharType="separate"/>
        </w:r>
        <w:r w:rsidR="00FC3D3D">
          <w:rPr>
            <w:noProof/>
            <w:webHidden/>
          </w:rPr>
          <w:t>24</w:t>
        </w:r>
        <w:r w:rsidR="00AE0E45">
          <w:rPr>
            <w:noProof/>
            <w:webHidden/>
          </w:rPr>
          <w:fldChar w:fldCharType="end"/>
        </w:r>
      </w:hyperlink>
    </w:p>
    <w:p w14:paraId="13069105" w14:textId="36ED7AB3" w:rsidR="00AE0E45" w:rsidRDefault="00A254DE">
      <w:pPr>
        <w:pStyle w:val="TOC3"/>
        <w:rPr>
          <w:rFonts w:asciiTheme="minorHAnsi" w:eastAsiaTheme="minorEastAsia" w:hAnsiTheme="minorHAnsi"/>
          <w:iCs w:val="0"/>
          <w:noProof/>
          <w:color w:val="auto"/>
          <w:sz w:val="22"/>
          <w:lang w:eastAsia="en-AU"/>
        </w:rPr>
      </w:pPr>
      <w:hyperlink w:anchor="_Toc65050536" w:history="1">
        <w:r w:rsidR="00AE0E45" w:rsidRPr="00720FC6">
          <w:rPr>
            <w:rStyle w:val="Hyperlink"/>
            <w:noProof/>
          </w:rPr>
          <w:t>Victoria</w:t>
        </w:r>
        <w:r w:rsidR="00AE0E45">
          <w:rPr>
            <w:noProof/>
            <w:webHidden/>
          </w:rPr>
          <w:tab/>
        </w:r>
        <w:r w:rsidR="00AE0E45">
          <w:rPr>
            <w:noProof/>
            <w:webHidden/>
          </w:rPr>
          <w:fldChar w:fldCharType="begin"/>
        </w:r>
        <w:r w:rsidR="00AE0E45">
          <w:rPr>
            <w:noProof/>
            <w:webHidden/>
          </w:rPr>
          <w:instrText xml:space="preserve"> PAGEREF _Toc65050536 \h </w:instrText>
        </w:r>
        <w:r w:rsidR="00AE0E45">
          <w:rPr>
            <w:noProof/>
            <w:webHidden/>
          </w:rPr>
        </w:r>
        <w:r w:rsidR="00AE0E45">
          <w:rPr>
            <w:noProof/>
            <w:webHidden/>
          </w:rPr>
          <w:fldChar w:fldCharType="separate"/>
        </w:r>
        <w:r w:rsidR="00FC3D3D">
          <w:rPr>
            <w:noProof/>
            <w:webHidden/>
          </w:rPr>
          <w:t>25</w:t>
        </w:r>
        <w:r w:rsidR="00AE0E45">
          <w:rPr>
            <w:noProof/>
            <w:webHidden/>
          </w:rPr>
          <w:fldChar w:fldCharType="end"/>
        </w:r>
      </w:hyperlink>
    </w:p>
    <w:p w14:paraId="7DF63771" w14:textId="5510E30B" w:rsidR="00AE0E45" w:rsidRDefault="00A254DE">
      <w:pPr>
        <w:pStyle w:val="TOC3"/>
        <w:rPr>
          <w:rFonts w:asciiTheme="minorHAnsi" w:eastAsiaTheme="minorEastAsia" w:hAnsiTheme="minorHAnsi"/>
          <w:iCs w:val="0"/>
          <w:noProof/>
          <w:color w:val="auto"/>
          <w:sz w:val="22"/>
          <w:lang w:eastAsia="en-AU"/>
        </w:rPr>
      </w:pPr>
      <w:hyperlink w:anchor="_Toc65050537" w:history="1">
        <w:r w:rsidR="00AE0E45" w:rsidRPr="00720FC6">
          <w:rPr>
            <w:rStyle w:val="Hyperlink"/>
            <w:noProof/>
          </w:rPr>
          <w:t>Queensland</w:t>
        </w:r>
        <w:r w:rsidR="00AE0E45">
          <w:rPr>
            <w:noProof/>
            <w:webHidden/>
          </w:rPr>
          <w:tab/>
        </w:r>
        <w:r w:rsidR="00AE0E45">
          <w:rPr>
            <w:noProof/>
            <w:webHidden/>
          </w:rPr>
          <w:fldChar w:fldCharType="begin"/>
        </w:r>
        <w:r w:rsidR="00AE0E45">
          <w:rPr>
            <w:noProof/>
            <w:webHidden/>
          </w:rPr>
          <w:instrText xml:space="preserve"> PAGEREF _Toc65050537 \h </w:instrText>
        </w:r>
        <w:r w:rsidR="00AE0E45">
          <w:rPr>
            <w:noProof/>
            <w:webHidden/>
          </w:rPr>
        </w:r>
        <w:r w:rsidR="00AE0E45">
          <w:rPr>
            <w:noProof/>
            <w:webHidden/>
          </w:rPr>
          <w:fldChar w:fldCharType="separate"/>
        </w:r>
        <w:r w:rsidR="00FC3D3D">
          <w:rPr>
            <w:noProof/>
            <w:webHidden/>
          </w:rPr>
          <w:t>26</w:t>
        </w:r>
        <w:r w:rsidR="00AE0E45">
          <w:rPr>
            <w:noProof/>
            <w:webHidden/>
          </w:rPr>
          <w:fldChar w:fldCharType="end"/>
        </w:r>
      </w:hyperlink>
    </w:p>
    <w:p w14:paraId="69B9E6F4" w14:textId="38715B65" w:rsidR="00AE0E45" w:rsidRDefault="00A254DE">
      <w:pPr>
        <w:pStyle w:val="TOC3"/>
        <w:rPr>
          <w:rFonts w:asciiTheme="minorHAnsi" w:eastAsiaTheme="minorEastAsia" w:hAnsiTheme="minorHAnsi"/>
          <w:iCs w:val="0"/>
          <w:noProof/>
          <w:color w:val="auto"/>
          <w:sz w:val="22"/>
          <w:lang w:eastAsia="en-AU"/>
        </w:rPr>
      </w:pPr>
      <w:hyperlink w:anchor="_Toc65050538" w:history="1">
        <w:r w:rsidR="00AE0E45" w:rsidRPr="00720FC6">
          <w:rPr>
            <w:rStyle w:val="Hyperlink"/>
            <w:noProof/>
          </w:rPr>
          <w:t>Western Australia</w:t>
        </w:r>
        <w:r w:rsidR="00AE0E45">
          <w:rPr>
            <w:noProof/>
            <w:webHidden/>
          </w:rPr>
          <w:tab/>
        </w:r>
        <w:r w:rsidR="00AE0E45">
          <w:rPr>
            <w:noProof/>
            <w:webHidden/>
          </w:rPr>
          <w:fldChar w:fldCharType="begin"/>
        </w:r>
        <w:r w:rsidR="00AE0E45">
          <w:rPr>
            <w:noProof/>
            <w:webHidden/>
          </w:rPr>
          <w:instrText xml:space="preserve"> PAGEREF _Toc65050538 \h </w:instrText>
        </w:r>
        <w:r w:rsidR="00AE0E45">
          <w:rPr>
            <w:noProof/>
            <w:webHidden/>
          </w:rPr>
        </w:r>
        <w:r w:rsidR="00AE0E45">
          <w:rPr>
            <w:noProof/>
            <w:webHidden/>
          </w:rPr>
          <w:fldChar w:fldCharType="separate"/>
        </w:r>
        <w:r w:rsidR="00FC3D3D">
          <w:rPr>
            <w:noProof/>
            <w:webHidden/>
          </w:rPr>
          <w:t>27</w:t>
        </w:r>
        <w:r w:rsidR="00AE0E45">
          <w:rPr>
            <w:noProof/>
            <w:webHidden/>
          </w:rPr>
          <w:fldChar w:fldCharType="end"/>
        </w:r>
      </w:hyperlink>
    </w:p>
    <w:p w14:paraId="1BDE170E" w14:textId="7E795964" w:rsidR="00AE0E45" w:rsidRDefault="00A254DE">
      <w:pPr>
        <w:pStyle w:val="TOC3"/>
        <w:rPr>
          <w:rFonts w:asciiTheme="minorHAnsi" w:eastAsiaTheme="minorEastAsia" w:hAnsiTheme="minorHAnsi"/>
          <w:iCs w:val="0"/>
          <w:noProof/>
          <w:color w:val="auto"/>
          <w:sz w:val="22"/>
          <w:lang w:eastAsia="en-AU"/>
        </w:rPr>
      </w:pPr>
      <w:hyperlink w:anchor="_Toc65050539" w:history="1">
        <w:r w:rsidR="00AE0E45" w:rsidRPr="00720FC6">
          <w:rPr>
            <w:rStyle w:val="Hyperlink"/>
            <w:noProof/>
          </w:rPr>
          <w:t>South Australia</w:t>
        </w:r>
        <w:r w:rsidR="00AE0E45">
          <w:rPr>
            <w:noProof/>
            <w:webHidden/>
          </w:rPr>
          <w:tab/>
        </w:r>
        <w:r w:rsidR="00AE0E45">
          <w:rPr>
            <w:noProof/>
            <w:webHidden/>
          </w:rPr>
          <w:fldChar w:fldCharType="begin"/>
        </w:r>
        <w:r w:rsidR="00AE0E45">
          <w:rPr>
            <w:noProof/>
            <w:webHidden/>
          </w:rPr>
          <w:instrText xml:space="preserve"> PAGEREF _Toc65050539 \h </w:instrText>
        </w:r>
        <w:r w:rsidR="00AE0E45">
          <w:rPr>
            <w:noProof/>
            <w:webHidden/>
          </w:rPr>
        </w:r>
        <w:r w:rsidR="00AE0E45">
          <w:rPr>
            <w:noProof/>
            <w:webHidden/>
          </w:rPr>
          <w:fldChar w:fldCharType="separate"/>
        </w:r>
        <w:r w:rsidR="00FC3D3D">
          <w:rPr>
            <w:noProof/>
            <w:webHidden/>
          </w:rPr>
          <w:t>28</w:t>
        </w:r>
        <w:r w:rsidR="00AE0E45">
          <w:rPr>
            <w:noProof/>
            <w:webHidden/>
          </w:rPr>
          <w:fldChar w:fldCharType="end"/>
        </w:r>
      </w:hyperlink>
    </w:p>
    <w:p w14:paraId="32272397" w14:textId="64AA376E" w:rsidR="00AE0E45" w:rsidRDefault="00A254DE">
      <w:pPr>
        <w:pStyle w:val="TOC3"/>
        <w:rPr>
          <w:rFonts w:asciiTheme="minorHAnsi" w:eastAsiaTheme="minorEastAsia" w:hAnsiTheme="minorHAnsi"/>
          <w:iCs w:val="0"/>
          <w:noProof/>
          <w:color w:val="auto"/>
          <w:sz w:val="22"/>
          <w:lang w:eastAsia="en-AU"/>
        </w:rPr>
      </w:pPr>
      <w:hyperlink w:anchor="_Toc65050540" w:history="1">
        <w:r w:rsidR="00AE0E45" w:rsidRPr="00720FC6">
          <w:rPr>
            <w:rStyle w:val="Hyperlink"/>
            <w:noProof/>
          </w:rPr>
          <w:t>Tasmania</w:t>
        </w:r>
        <w:r w:rsidR="00AE0E45">
          <w:rPr>
            <w:noProof/>
            <w:webHidden/>
          </w:rPr>
          <w:tab/>
        </w:r>
        <w:r w:rsidR="00AE0E45">
          <w:rPr>
            <w:noProof/>
            <w:webHidden/>
          </w:rPr>
          <w:fldChar w:fldCharType="begin"/>
        </w:r>
        <w:r w:rsidR="00AE0E45">
          <w:rPr>
            <w:noProof/>
            <w:webHidden/>
          </w:rPr>
          <w:instrText xml:space="preserve"> PAGEREF _Toc65050540 \h </w:instrText>
        </w:r>
        <w:r w:rsidR="00AE0E45">
          <w:rPr>
            <w:noProof/>
            <w:webHidden/>
          </w:rPr>
        </w:r>
        <w:r w:rsidR="00AE0E45">
          <w:rPr>
            <w:noProof/>
            <w:webHidden/>
          </w:rPr>
          <w:fldChar w:fldCharType="separate"/>
        </w:r>
        <w:r w:rsidR="00FC3D3D">
          <w:rPr>
            <w:noProof/>
            <w:webHidden/>
          </w:rPr>
          <w:t>29</w:t>
        </w:r>
        <w:r w:rsidR="00AE0E45">
          <w:rPr>
            <w:noProof/>
            <w:webHidden/>
          </w:rPr>
          <w:fldChar w:fldCharType="end"/>
        </w:r>
      </w:hyperlink>
    </w:p>
    <w:p w14:paraId="228D37D7" w14:textId="0F9A18A7" w:rsidR="00AE0E45" w:rsidRDefault="00A254DE">
      <w:pPr>
        <w:pStyle w:val="TOC3"/>
        <w:rPr>
          <w:rFonts w:asciiTheme="minorHAnsi" w:eastAsiaTheme="minorEastAsia" w:hAnsiTheme="minorHAnsi"/>
          <w:iCs w:val="0"/>
          <w:noProof/>
          <w:color w:val="auto"/>
          <w:sz w:val="22"/>
          <w:lang w:eastAsia="en-AU"/>
        </w:rPr>
      </w:pPr>
      <w:hyperlink w:anchor="_Toc65050541" w:history="1">
        <w:r w:rsidR="00AE0E45" w:rsidRPr="00720FC6">
          <w:rPr>
            <w:rStyle w:val="Hyperlink"/>
            <w:noProof/>
          </w:rPr>
          <w:t>Australian Capital Territory</w:t>
        </w:r>
        <w:r w:rsidR="00AE0E45">
          <w:rPr>
            <w:noProof/>
            <w:webHidden/>
          </w:rPr>
          <w:tab/>
        </w:r>
        <w:r w:rsidR="00AE0E45">
          <w:rPr>
            <w:noProof/>
            <w:webHidden/>
          </w:rPr>
          <w:fldChar w:fldCharType="begin"/>
        </w:r>
        <w:r w:rsidR="00AE0E45">
          <w:rPr>
            <w:noProof/>
            <w:webHidden/>
          </w:rPr>
          <w:instrText xml:space="preserve"> PAGEREF _Toc65050541 \h </w:instrText>
        </w:r>
        <w:r w:rsidR="00AE0E45">
          <w:rPr>
            <w:noProof/>
            <w:webHidden/>
          </w:rPr>
        </w:r>
        <w:r w:rsidR="00AE0E45">
          <w:rPr>
            <w:noProof/>
            <w:webHidden/>
          </w:rPr>
          <w:fldChar w:fldCharType="separate"/>
        </w:r>
        <w:r w:rsidR="00FC3D3D">
          <w:rPr>
            <w:noProof/>
            <w:webHidden/>
          </w:rPr>
          <w:t>30</w:t>
        </w:r>
        <w:r w:rsidR="00AE0E45">
          <w:rPr>
            <w:noProof/>
            <w:webHidden/>
          </w:rPr>
          <w:fldChar w:fldCharType="end"/>
        </w:r>
      </w:hyperlink>
    </w:p>
    <w:p w14:paraId="1EA400BC" w14:textId="7E0EFBFD" w:rsidR="00AE0E45" w:rsidRDefault="00A254DE">
      <w:pPr>
        <w:pStyle w:val="TOC3"/>
        <w:rPr>
          <w:rFonts w:asciiTheme="minorHAnsi" w:eastAsiaTheme="minorEastAsia" w:hAnsiTheme="minorHAnsi"/>
          <w:iCs w:val="0"/>
          <w:noProof/>
          <w:color w:val="auto"/>
          <w:sz w:val="22"/>
          <w:lang w:eastAsia="en-AU"/>
        </w:rPr>
      </w:pPr>
      <w:hyperlink w:anchor="_Toc65050542" w:history="1">
        <w:r w:rsidR="00AE0E45" w:rsidRPr="00720FC6">
          <w:rPr>
            <w:rStyle w:val="Hyperlink"/>
            <w:noProof/>
          </w:rPr>
          <w:t>Northern Territory</w:t>
        </w:r>
        <w:r w:rsidR="00AE0E45">
          <w:rPr>
            <w:noProof/>
            <w:webHidden/>
          </w:rPr>
          <w:tab/>
        </w:r>
        <w:r w:rsidR="00AE0E45">
          <w:rPr>
            <w:noProof/>
            <w:webHidden/>
          </w:rPr>
          <w:fldChar w:fldCharType="begin"/>
        </w:r>
        <w:r w:rsidR="00AE0E45">
          <w:rPr>
            <w:noProof/>
            <w:webHidden/>
          </w:rPr>
          <w:instrText xml:space="preserve"> PAGEREF _Toc65050542 \h </w:instrText>
        </w:r>
        <w:r w:rsidR="00AE0E45">
          <w:rPr>
            <w:noProof/>
            <w:webHidden/>
          </w:rPr>
        </w:r>
        <w:r w:rsidR="00AE0E45">
          <w:rPr>
            <w:noProof/>
            <w:webHidden/>
          </w:rPr>
          <w:fldChar w:fldCharType="separate"/>
        </w:r>
        <w:r w:rsidR="00FC3D3D">
          <w:rPr>
            <w:noProof/>
            <w:webHidden/>
          </w:rPr>
          <w:t>31</w:t>
        </w:r>
        <w:r w:rsidR="00AE0E45">
          <w:rPr>
            <w:noProof/>
            <w:webHidden/>
          </w:rPr>
          <w:fldChar w:fldCharType="end"/>
        </w:r>
      </w:hyperlink>
    </w:p>
    <w:p w14:paraId="14BCE6AB" w14:textId="57EE4FD6" w:rsidR="00AE0E45" w:rsidRDefault="00A254DE">
      <w:pPr>
        <w:pStyle w:val="TOC1"/>
        <w:tabs>
          <w:tab w:val="left" w:pos="680"/>
        </w:tabs>
        <w:rPr>
          <w:rFonts w:asciiTheme="minorHAnsi" w:eastAsiaTheme="minorEastAsia" w:hAnsiTheme="minorHAnsi"/>
          <w:b w:val="0"/>
          <w:bCs w:val="0"/>
          <w:noProof/>
          <w:color w:val="auto"/>
          <w:sz w:val="22"/>
          <w:szCs w:val="22"/>
          <w:lang w:eastAsia="en-AU"/>
        </w:rPr>
      </w:pPr>
      <w:hyperlink w:anchor="_Toc65050543" w:history="1">
        <w:r w:rsidR="00AE0E45" w:rsidRPr="00720FC6">
          <w:rPr>
            <w:rStyle w:val="Hyperlink"/>
            <w:noProof/>
          </w:rPr>
          <w:t>4</w:t>
        </w:r>
        <w:r w:rsidR="00AE0E45">
          <w:rPr>
            <w:rFonts w:asciiTheme="minorHAnsi" w:eastAsiaTheme="minorEastAsia" w:hAnsiTheme="minorHAnsi"/>
            <w:b w:val="0"/>
            <w:bCs w:val="0"/>
            <w:noProof/>
            <w:color w:val="auto"/>
            <w:sz w:val="22"/>
            <w:szCs w:val="22"/>
            <w:lang w:eastAsia="en-AU"/>
          </w:rPr>
          <w:tab/>
        </w:r>
        <w:r w:rsidR="00AE0E45" w:rsidRPr="00720FC6">
          <w:rPr>
            <w:rStyle w:val="Hyperlink"/>
            <w:noProof/>
          </w:rPr>
          <w:t>New issues in this update</w:t>
        </w:r>
        <w:r w:rsidR="00AE0E45">
          <w:rPr>
            <w:noProof/>
            <w:webHidden/>
          </w:rPr>
          <w:tab/>
        </w:r>
        <w:r w:rsidR="00AE0E45">
          <w:rPr>
            <w:noProof/>
            <w:webHidden/>
          </w:rPr>
          <w:fldChar w:fldCharType="begin"/>
        </w:r>
        <w:r w:rsidR="00AE0E45">
          <w:rPr>
            <w:noProof/>
            <w:webHidden/>
          </w:rPr>
          <w:instrText xml:space="preserve"> PAGEREF _Toc65050543 \h </w:instrText>
        </w:r>
        <w:r w:rsidR="00AE0E45">
          <w:rPr>
            <w:noProof/>
            <w:webHidden/>
          </w:rPr>
        </w:r>
        <w:r w:rsidR="00AE0E45">
          <w:rPr>
            <w:noProof/>
            <w:webHidden/>
          </w:rPr>
          <w:fldChar w:fldCharType="separate"/>
        </w:r>
        <w:r w:rsidR="00FC3D3D">
          <w:rPr>
            <w:noProof/>
            <w:webHidden/>
          </w:rPr>
          <w:t>32</w:t>
        </w:r>
        <w:r w:rsidR="00AE0E45">
          <w:rPr>
            <w:noProof/>
            <w:webHidden/>
          </w:rPr>
          <w:fldChar w:fldCharType="end"/>
        </w:r>
      </w:hyperlink>
    </w:p>
    <w:p w14:paraId="2DE9F4B4" w14:textId="104FB11B" w:rsidR="00AE0E45" w:rsidRDefault="00A254DE">
      <w:pPr>
        <w:pStyle w:val="TOC3"/>
        <w:rPr>
          <w:rFonts w:asciiTheme="minorHAnsi" w:eastAsiaTheme="minorEastAsia" w:hAnsiTheme="minorHAnsi"/>
          <w:iCs w:val="0"/>
          <w:noProof/>
          <w:color w:val="auto"/>
          <w:sz w:val="22"/>
          <w:lang w:eastAsia="en-AU"/>
        </w:rPr>
      </w:pPr>
      <w:hyperlink w:anchor="_Toc65050544" w:history="1">
        <w:r w:rsidR="00AE0E45" w:rsidRPr="00720FC6">
          <w:rPr>
            <w:rStyle w:val="Hyperlink"/>
            <w:noProof/>
          </w:rPr>
          <w:t>Key points</w:t>
        </w:r>
        <w:r w:rsidR="00AE0E45">
          <w:rPr>
            <w:noProof/>
            <w:webHidden/>
          </w:rPr>
          <w:tab/>
        </w:r>
        <w:r w:rsidR="00AE0E45">
          <w:rPr>
            <w:noProof/>
            <w:webHidden/>
          </w:rPr>
          <w:fldChar w:fldCharType="begin"/>
        </w:r>
        <w:r w:rsidR="00AE0E45">
          <w:rPr>
            <w:noProof/>
            <w:webHidden/>
          </w:rPr>
          <w:instrText xml:space="preserve"> PAGEREF _Toc65050544 \h </w:instrText>
        </w:r>
        <w:r w:rsidR="00AE0E45">
          <w:rPr>
            <w:noProof/>
            <w:webHidden/>
          </w:rPr>
        </w:r>
        <w:r w:rsidR="00AE0E45">
          <w:rPr>
            <w:noProof/>
            <w:webHidden/>
          </w:rPr>
          <w:fldChar w:fldCharType="separate"/>
        </w:r>
        <w:r w:rsidR="00FC3D3D">
          <w:rPr>
            <w:noProof/>
            <w:webHidden/>
          </w:rPr>
          <w:t>32</w:t>
        </w:r>
        <w:r w:rsidR="00AE0E45">
          <w:rPr>
            <w:noProof/>
            <w:webHidden/>
          </w:rPr>
          <w:fldChar w:fldCharType="end"/>
        </w:r>
      </w:hyperlink>
    </w:p>
    <w:p w14:paraId="035D7B48" w14:textId="220AC412" w:rsidR="00AE0E45" w:rsidRDefault="00A254DE">
      <w:pPr>
        <w:pStyle w:val="TOC3"/>
        <w:rPr>
          <w:rFonts w:asciiTheme="minorHAnsi" w:eastAsiaTheme="minorEastAsia" w:hAnsiTheme="minorHAnsi"/>
          <w:iCs w:val="0"/>
          <w:noProof/>
          <w:color w:val="auto"/>
          <w:sz w:val="22"/>
          <w:lang w:eastAsia="en-AU"/>
        </w:rPr>
      </w:pPr>
      <w:hyperlink w:anchor="_Toc65050545" w:history="1">
        <w:r w:rsidR="00AE0E45" w:rsidRPr="00720FC6">
          <w:rPr>
            <w:rStyle w:val="Hyperlink"/>
            <w:noProof/>
          </w:rPr>
          <w:t>Response to the COVID-19 pandemic</w:t>
        </w:r>
        <w:r w:rsidR="00AE0E45">
          <w:rPr>
            <w:noProof/>
            <w:webHidden/>
          </w:rPr>
          <w:tab/>
        </w:r>
        <w:r w:rsidR="00AE0E45">
          <w:rPr>
            <w:noProof/>
            <w:webHidden/>
          </w:rPr>
          <w:fldChar w:fldCharType="begin"/>
        </w:r>
        <w:r w:rsidR="00AE0E45">
          <w:rPr>
            <w:noProof/>
            <w:webHidden/>
          </w:rPr>
          <w:instrText xml:space="preserve"> PAGEREF _Toc65050545 \h </w:instrText>
        </w:r>
        <w:r w:rsidR="00AE0E45">
          <w:rPr>
            <w:noProof/>
            <w:webHidden/>
          </w:rPr>
        </w:r>
        <w:r w:rsidR="00AE0E45">
          <w:rPr>
            <w:noProof/>
            <w:webHidden/>
          </w:rPr>
          <w:fldChar w:fldCharType="separate"/>
        </w:r>
        <w:r w:rsidR="00FC3D3D">
          <w:rPr>
            <w:noProof/>
            <w:webHidden/>
          </w:rPr>
          <w:t>33</w:t>
        </w:r>
        <w:r w:rsidR="00AE0E45">
          <w:rPr>
            <w:noProof/>
            <w:webHidden/>
          </w:rPr>
          <w:fldChar w:fldCharType="end"/>
        </w:r>
      </w:hyperlink>
    </w:p>
    <w:p w14:paraId="344F1D1F" w14:textId="239AC9FD" w:rsidR="00AE0E45" w:rsidRDefault="00A254DE">
      <w:pPr>
        <w:pStyle w:val="TOC4"/>
        <w:rPr>
          <w:rFonts w:asciiTheme="minorHAnsi" w:eastAsiaTheme="minorEastAsia" w:hAnsiTheme="minorHAnsi"/>
          <w:i w:val="0"/>
          <w:noProof/>
          <w:color w:val="auto"/>
          <w:sz w:val="22"/>
          <w:lang w:eastAsia="en-AU"/>
        </w:rPr>
      </w:pPr>
      <w:hyperlink w:anchor="_Toc65050546" w:history="1">
        <w:r w:rsidR="00AE0E45" w:rsidRPr="00720FC6">
          <w:rPr>
            <w:rStyle w:val="Hyperlink"/>
            <w:noProof/>
          </w:rPr>
          <w:t>Commission approach to COVID-19 for this update</w:t>
        </w:r>
        <w:r w:rsidR="00AE0E45">
          <w:rPr>
            <w:noProof/>
            <w:webHidden/>
          </w:rPr>
          <w:tab/>
        </w:r>
        <w:r w:rsidR="00AE0E45">
          <w:rPr>
            <w:noProof/>
            <w:webHidden/>
          </w:rPr>
          <w:fldChar w:fldCharType="begin"/>
        </w:r>
        <w:r w:rsidR="00AE0E45">
          <w:rPr>
            <w:noProof/>
            <w:webHidden/>
          </w:rPr>
          <w:instrText xml:space="preserve"> PAGEREF _Toc65050546 \h </w:instrText>
        </w:r>
        <w:r w:rsidR="00AE0E45">
          <w:rPr>
            <w:noProof/>
            <w:webHidden/>
          </w:rPr>
        </w:r>
        <w:r w:rsidR="00AE0E45">
          <w:rPr>
            <w:noProof/>
            <w:webHidden/>
          </w:rPr>
          <w:fldChar w:fldCharType="separate"/>
        </w:r>
        <w:r w:rsidR="00FC3D3D">
          <w:rPr>
            <w:noProof/>
            <w:webHidden/>
          </w:rPr>
          <w:t>34</w:t>
        </w:r>
        <w:r w:rsidR="00AE0E45">
          <w:rPr>
            <w:noProof/>
            <w:webHidden/>
          </w:rPr>
          <w:fldChar w:fldCharType="end"/>
        </w:r>
      </w:hyperlink>
    </w:p>
    <w:p w14:paraId="5A1D0F4B" w14:textId="323DBBB0" w:rsidR="00AE0E45" w:rsidRDefault="00A254DE">
      <w:pPr>
        <w:pStyle w:val="TOC4"/>
        <w:rPr>
          <w:rFonts w:asciiTheme="minorHAnsi" w:eastAsiaTheme="minorEastAsia" w:hAnsiTheme="minorHAnsi"/>
          <w:i w:val="0"/>
          <w:noProof/>
          <w:color w:val="auto"/>
          <w:sz w:val="22"/>
          <w:lang w:eastAsia="en-AU"/>
        </w:rPr>
      </w:pPr>
      <w:hyperlink w:anchor="_Toc65050547" w:history="1">
        <w:r w:rsidR="00AE0E45" w:rsidRPr="00720FC6">
          <w:rPr>
            <w:rStyle w:val="Hyperlink"/>
            <w:noProof/>
          </w:rPr>
          <w:t>COVID-19 — Treatment of tax waivers and rebates</w:t>
        </w:r>
        <w:r w:rsidR="00AE0E45">
          <w:rPr>
            <w:noProof/>
            <w:webHidden/>
          </w:rPr>
          <w:tab/>
        </w:r>
        <w:r w:rsidR="00AE0E45">
          <w:rPr>
            <w:noProof/>
            <w:webHidden/>
          </w:rPr>
          <w:fldChar w:fldCharType="begin"/>
        </w:r>
        <w:r w:rsidR="00AE0E45">
          <w:rPr>
            <w:noProof/>
            <w:webHidden/>
          </w:rPr>
          <w:instrText xml:space="preserve"> PAGEREF _Toc65050547 \h </w:instrText>
        </w:r>
        <w:r w:rsidR="00AE0E45">
          <w:rPr>
            <w:noProof/>
            <w:webHidden/>
          </w:rPr>
        </w:r>
        <w:r w:rsidR="00AE0E45">
          <w:rPr>
            <w:noProof/>
            <w:webHidden/>
          </w:rPr>
          <w:fldChar w:fldCharType="separate"/>
        </w:r>
        <w:r w:rsidR="00FC3D3D">
          <w:rPr>
            <w:noProof/>
            <w:webHidden/>
          </w:rPr>
          <w:t>34</w:t>
        </w:r>
        <w:r w:rsidR="00AE0E45">
          <w:rPr>
            <w:noProof/>
            <w:webHidden/>
          </w:rPr>
          <w:fldChar w:fldCharType="end"/>
        </w:r>
      </w:hyperlink>
    </w:p>
    <w:p w14:paraId="27E092B4" w14:textId="55AC28DC" w:rsidR="00AE0E45" w:rsidRDefault="00A254DE">
      <w:pPr>
        <w:pStyle w:val="TOC4"/>
        <w:rPr>
          <w:rFonts w:asciiTheme="minorHAnsi" w:eastAsiaTheme="minorEastAsia" w:hAnsiTheme="minorHAnsi"/>
          <w:i w:val="0"/>
          <w:noProof/>
          <w:color w:val="auto"/>
          <w:sz w:val="22"/>
          <w:lang w:eastAsia="en-AU"/>
        </w:rPr>
      </w:pPr>
      <w:hyperlink w:anchor="_Toc65050548" w:history="1">
        <w:r w:rsidR="00AE0E45" w:rsidRPr="00720FC6">
          <w:rPr>
            <w:rStyle w:val="Hyperlink"/>
            <w:noProof/>
          </w:rPr>
          <w:t>COVID-19 — Treatment of tax deferrals</w:t>
        </w:r>
        <w:r w:rsidR="00AE0E45">
          <w:rPr>
            <w:noProof/>
            <w:webHidden/>
          </w:rPr>
          <w:tab/>
        </w:r>
        <w:r w:rsidR="00AE0E45">
          <w:rPr>
            <w:noProof/>
            <w:webHidden/>
          </w:rPr>
          <w:fldChar w:fldCharType="begin"/>
        </w:r>
        <w:r w:rsidR="00AE0E45">
          <w:rPr>
            <w:noProof/>
            <w:webHidden/>
          </w:rPr>
          <w:instrText xml:space="preserve"> PAGEREF _Toc65050548 \h </w:instrText>
        </w:r>
        <w:r w:rsidR="00AE0E45">
          <w:rPr>
            <w:noProof/>
            <w:webHidden/>
          </w:rPr>
        </w:r>
        <w:r w:rsidR="00AE0E45">
          <w:rPr>
            <w:noProof/>
            <w:webHidden/>
          </w:rPr>
          <w:fldChar w:fldCharType="separate"/>
        </w:r>
        <w:r w:rsidR="00FC3D3D">
          <w:rPr>
            <w:noProof/>
            <w:webHidden/>
          </w:rPr>
          <w:t>35</w:t>
        </w:r>
        <w:r w:rsidR="00AE0E45">
          <w:rPr>
            <w:noProof/>
            <w:webHidden/>
          </w:rPr>
          <w:fldChar w:fldCharType="end"/>
        </w:r>
      </w:hyperlink>
    </w:p>
    <w:p w14:paraId="6D68D0CA" w14:textId="7FE4045A" w:rsidR="00AE0E45" w:rsidRDefault="00A254DE">
      <w:pPr>
        <w:pStyle w:val="TOC4"/>
        <w:rPr>
          <w:rFonts w:asciiTheme="minorHAnsi" w:eastAsiaTheme="minorEastAsia" w:hAnsiTheme="minorHAnsi"/>
          <w:i w:val="0"/>
          <w:noProof/>
          <w:color w:val="auto"/>
          <w:sz w:val="22"/>
          <w:lang w:eastAsia="en-AU"/>
        </w:rPr>
      </w:pPr>
      <w:hyperlink w:anchor="_Toc65050549" w:history="1">
        <w:r w:rsidR="00AE0E45" w:rsidRPr="00720FC6">
          <w:rPr>
            <w:rStyle w:val="Hyperlink"/>
            <w:noProof/>
          </w:rPr>
          <w:t>COVID-19 — Treatment of JobKeeper payments</w:t>
        </w:r>
        <w:r w:rsidR="00AE0E45">
          <w:rPr>
            <w:noProof/>
            <w:webHidden/>
          </w:rPr>
          <w:tab/>
        </w:r>
        <w:r w:rsidR="00AE0E45">
          <w:rPr>
            <w:noProof/>
            <w:webHidden/>
          </w:rPr>
          <w:fldChar w:fldCharType="begin"/>
        </w:r>
        <w:r w:rsidR="00AE0E45">
          <w:rPr>
            <w:noProof/>
            <w:webHidden/>
          </w:rPr>
          <w:instrText xml:space="preserve"> PAGEREF _Toc65050549 \h </w:instrText>
        </w:r>
        <w:r w:rsidR="00AE0E45">
          <w:rPr>
            <w:noProof/>
            <w:webHidden/>
          </w:rPr>
        </w:r>
        <w:r w:rsidR="00AE0E45">
          <w:rPr>
            <w:noProof/>
            <w:webHidden/>
          </w:rPr>
          <w:fldChar w:fldCharType="separate"/>
        </w:r>
        <w:r w:rsidR="00FC3D3D">
          <w:rPr>
            <w:noProof/>
            <w:webHidden/>
          </w:rPr>
          <w:t>35</w:t>
        </w:r>
        <w:r w:rsidR="00AE0E45">
          <w:rPr>
            <w:noProof/>
            <w:webHidden/>
          </w:rPr>
          <w:fldChar w:fldCharType="end"/>
        </w:r>
      </w:hyperlink>
    </w:p>
    <w:p w14:paraId="691EC792" w14:textId="1BEA1F11" w:rsidR="00AE0E45" w:rsidRDefault="00A254DE">
      <w:pPr>
        <w:pStyle w:val="TOC4"/>
        <w:rPr>
          <w:rFonts w:asciiTheme="minorHAnsi" w:eastAsiaTheme="minorEastAsia" w:hAnsiTheme="minorHAnsi"/>
          <w:i w:val="0"/>
          <w:noProof/>
          <w:color w:val="auto"/>
          <w:sz w:val="22"/>
          <w:lang w:eastAsia="en-AU"/>
        </w:rPr>
      </w:pPr>
      <w:hyperlink w:anchor="_Toc65050550" w:history="1">
        <w:r w:rsidR="00AE0E45" w:rsidRPr="00720FC6">
          <w:rPr>
            <w:rStyle w:val="Hyperlink"/>
            <w:noProof/>
          </w:rPr>
          <w:t>COVID-19 — Treatment of revenue and spending under the National Partnership on COVID-19 Response</w:t>
        </w:r>
        <w:r w:rsidR="00AE0E45">
          <w:rPr>
            <w:noProof/>
            <w:webHidden/>
          </w:rPr>
          <w:tab/>
        </w:r>
        <w:r w:rsidR="00AE0E45">
          <w:rPr>
            <w:noProof/>
            <w:webHidden/>
          </w:rPr>
          <w:fldChar w:fldCharType="begin"/>
        </w:r>
        <w:r w:rsidR="00AE0E45">
          <w:rPr>
            <w:noProof/>
            <w:webHidden/>
          </w:rPr>
          <w:instrText xml:space="preserve"> PAGEREF _Toc65050550 \h </w:instrText>
        </w:r>
        <w:r w:rsidR="00AE0E45">
          <w:rPr>
            <w:noProof/>
            <w:webHidden/>
          </w:rPr>
        </w:r>
        <w:r w:rsidR="00AE0E45">
          <w:rPr>
            <w:noProof/>
            <w:webHidden/>
          </w:rPr>
          <w:fldChar w:fldCharType="separate"/>
        </w:r>
        <w:r w:rsidR="00FC3D3D">
          <w:rPr>
            <w:noProof/>
            <w:webHidden/>
          </w:rPr>
          <w:t>36</w:t>
        </w:r>
        <w:r w:rsidR="00AE0E45">
          <w:rPr>
            <w:noProof/>
            <w:webHidden/>
          </w:rPr>
          <w:fldChar w:fldCharType="end"/>
        </w:r>
      </w:hyperlink>
    </w:p>
    <w:p w14:paraId="5CDB2559" w14:textId="1AD58EC7" w:rsidR="00AE0E45" w:rsidRDefault="00A254DE">
      <w:pPr>
        <w:pStyle w:val="TOC4"/>
        <w:rPr>
          <w:rFonts w:asciiTheme="minorHAnsi" w:eastAsiaTheme="minorEastAsia" w:hAnsiTheme="minorHAnsi"/>
          <w:i w:val="0"/>
          <w:noProof/>
          <w:color w:val="auto"/>
          <w:sz w:val="22"/>
          <w:lang w:eastAsia="en-AU"/>
        </w:rPr>
      </w:pPr>
      <w:hyperlink w:anchor="_Toc65050551" w:history="1">
        <w:r w:rsidR="00AE0E45" w:rsidRPr="00720FC6">
          <w:rPr>
            <w:rStyle w:val="Hyperlink"/>
            <w:noProof/>
          </w:rPr>
          <w:t>COVID-19 — Treatment of funding for infection control training and legal assistance services</w:t>
        </w:r>
        <w:r w:rsidR="00AE0E45">
          <w:rPr>
            <w:noProof/>
            <w:webHidden/>
          </w:rPr>
          <w:tab/>
        </w:r>
        <w:r w:rsidR="00AE0E45">
          <w:rPr>
            <w:noProof/>
            <w:webHidden/>
          </w:rPr>
          <w:fldChar w:fldCharType="begin"/>
        </w:r>
        <w:r w:rsidR="00AE0E45">
          <w:rPr>
            <w:noProof/>
            <w:webHidden/>
          </w:rPr>
          <w:instrText xml:space="preserve"> PAGEREF _Toc65050551 \h </w:instrText>
        </w:r>
        <w:r w:rsidR="00AE0E45">
          <w:rPr>
            <w:noProof/>
            <w:webHidden/>
          </w:rPr>
        </w:r>
        <w:r w:rsidR="00AE0E45">
          <w:rPr>
            <w:noProof/>
            <w:webHidden/>
          </w:rPr>
          <w:fldChar w:fldCharType="separate"/>
        </w:r>
        <w:r w:rsidR="00FC3D3D">
          <w:rPr>
            <w:noProof/>
            <w:webHidden/>
          </w:rPr>
          <w:t>38</w:t>
        </w:r>
        <w:r w:rsidR="00AE0E45">
          <w:rPr>
            <w:noProof/>
            <w:webHidden/>
          </w:rPr>
          <w:fldChar w:fldCharType="end"/>
        </w:r>
      </w:hyperlink>
    </w:p>
    <w:p w14:paraId="5E34A417" w14:textId="7972487D" w:rsidR="00AE0E45" w:rsidRDefault="00A254DE">
      <w:pPr>
        <w:pStyle w:val="TOC4"/>
        <w:rPr>
          <w:rFonts w:asciiTheme="minorHAnsi" w:eastAsiaTheme="minorEastAsia" w:hAnsiTheme="minorHAnsi"/>
          <w:i w:val="0"/>
          <w:noProof/>
          <w:color w:val="auto"/>
          <w:sz w:val="22"/>
          <w:lang w:eastAsia="en-AU"/>
        </w:rPr>
      </w:pPr>
      <w:hyperlink w:anchor="_Toc65050552" w:history="1">
        <w:r w:rsidR="00AE0E45" w:rsidRPr="00720FC6">
          <w:rPr>
            <w:rStyle w:val="Hyperlink"/>
            <w:noProof/>
          </w:rPr>
          <w:t>COVID-19 — Treatment of business support spending</w:t>
        </w:r>
        <w:r w:rsidR="00AE0E45">
          <w:rPr>
            <w:noProof/>
            <w:webHidden/>
          </w:rPr>
          <w:tab/>
        </w:r>
        <w:r w:rsidR="00AE0E45">
          <w:rPr>
            <w:noProof/>
            <w:webHidden/>
          </w:rPr>
          <w:fldChar w:fldCharType="begin"/>
        </w:r>
        <w:r w:rsidR="00AE0E45">
          <w:rPr>
            <w:noProof/>
            <w:webHidden/>
          </w:rPr>
          <w:instrText xml:space="preserve"> PAGEREF _Toc65050552 \h </w:instrText>
        </w:r>
        <w:r w:rsidR="00AE0E45">
          <w:rPr>
            <w:noProof/>
            <w:webHidden/>
          </w:rPr>
        </w:r>
        <w:r w:rsidR="00AE0E45">
          <w:rPr>
            <w:noProof/>
            <w:webHidden/>
          </w:rPr>
          <w:fldChar w:fldCharType="separate"/>
        </w:r>
        <w:r w:rsidR="00FC3D3D">
          <w:rPr>
            <w:noProof/>
            <w:webHidden/>
          </w:rPr>
          <w:t>39</w:t>
        </w:r>
        <w:r w:rsidR="00AE0E45">
          <w:rPr>
            <w:noProof/>
            <w:webHidden/>
          </w:rPr>
          <w:fldChar w:fldCharType="end"/>
        </w:r>
      </w:hyperlink>
    </w:p>
    <w:p w14:paraId="2488019D" w14:textId="1EEDBD29" w:rsidR="00AE0E45" w:rsidRDefault="00A254DE">
      <w:pPr>
        <w:pStyle w:val="TOC3"/>
        <w:rPr>
          <w:rFonts w:asciiTheme="minorHAnsi" w:eastAsiaTheme="minorEastAsia" w:hAnsiTheme="minorHAnsi"/>
          <w:iCs w:val="0"/>
          <w:noProof/>
          <w:color w:val="auto"/>
          <w:sz w:val="22"/>
          <w:lang w:eastAsia="en-AU"/>
        </w:rPr>
      </w:pPr>
      <w:hyperlink w:anchor="_Toc65050553" w:history="1">
        <w:r w:rsidR="00AE0E45" w:rsidRPr="00720FC6">
          <w:rPr>
            <w:rStyle w:val="Hyperlink"/>
            <w:noProof/>
          </w:rPr>
          <w:t>Data issues</w:t>
        </w:r>
        <w:r w:rsidR="00AE0E45">
          <w:rPr>
            <w:noProof/>
            <w:webHidden/>
          </w:rPr>
          <w:tab/>
        </w:r>
        <w:r w:rsidR="00AE0E45">
          <w:rPr>
            <w:noProof/>
            <w:webHidden/>
          </w:rPr>
          <w:fldChar w:fldCharType="begin"/>
        </w:r>
        <w:r w:rsidR="00AE0E45">
          <w:rPr>
            <w:noProof/>
            <w:webHidden/>
          </w:rPr>
          <w:instrText xml:space="preserve"> PAGEREF _Toc65050553 \h </w:instrText>
        </w:r>
        <w:r w:rsidR="00AE0E45">
          <w:rPr>
            <w:noProof/>
            <w:webHidden/>
          </w:rPr>
        </w:r>
        <w:r w:rsidR="00AE0E45">
          <w:rPr>
            <w:noProof/>
            <w:webHidden/>
          </w:rPr>
          <w:fldChar w:fldCharType="separate"/>
        </w:r>
        <w:r w:rsidR="00FC3D3D">
          <w:rPr>
            <w:noProof/>
            <w:webHidden/>
          </w:rPr>
          <w:t>40</w:t>
        </w:r>
        <w:r w:rsidR="00AE0E45">
          <w:rPr>
            <w:noProof/>
            <w:webHidden/>
          </w:rPr>
          <w:fldChar w:fldCharType="end"/>
        </w:r>
      </w:hyperlink>
    </w:p>
    <w:p w14:paraId="10B2B629" w14:textId="113DDCC2" w:rsidR="00AE0E45" w:rsidRDefault="00A254DE">
      <w:pPr>
        <w:pStyle w:val="TOC4"/>
        <w:rPr>
          <w:rFonts w:asciiTheme="minorHAnsi" w:eastAsiaTheme="minorEastAsia" w:hAnsiTheme="minorHAnsi"/>
          <w:i w:val="0"/>
          <w:noProof/>
          <w:color w:val="auto"/>
          <w:sz w:val="22"/>
          <w:lang w:eastAsia="en-AU"/>
        </w:rPr>
      </w:pPr>
      <w:hyperlink w:anchor="_Toc65050554" w:history="1">
        <w:r w:rsidR="00AE0E45" w:rsidRPr="00720FC6">
          <w:rPr>
            <w:rStyle w:val="Hyperlink"/>
            <w:noProof/>
          </w:rPr>
          <w:t>Natural disaster relief</w:t>
        </w:r>
        <w:r w:rsidR="00AE0E45">
          <w:rPr>
            <w:noProof/>
            <w:webHidden/>
          </w:rPr>
          <w:tab/>
        </w:r>
        <w:r w:rsidR="00AE0E45">
          <w:rPr>
            <w:noProof/>
            <w:webHidden/>
          </w:rPr>
          <w:fldChar w:fldCharType="begin"/>
        </w:r>
        <w:r w:rsidR="00AE0E45">
          <w:rPr>
            <w:noProof/>
            <w:webHidden/>
          </w:rPr>
          <w:instrText xml:space="preserve"> PAGEREF _Toc65050554 \h </w:instrText>
        </w:r>
        <w:r w:rsidR="00AE0E45">
          <w:rPr>
            <w:noProof/>
            <w:webHidden/>
          </w:rPr>
        </w:r>
        <w:r w:rsidR="00AE0E45">
          <w:rPr>
            <w:noProof/>
            <w:webHidden/>
          </w:rPr>
          <w:fldChar w:fldCharType="separate"/>
        </w:r>
        <w:r w:rsidR="00FC3D3D">
          <w:rPr>
            <w:noProof/>
            <w:webHidden/>
          </w:rPr>
          <w:t>40</w:t>
        </w:r>
        <w:r w:rsidR="00AE0E45">
          <w:rPr>
            <w:noProof/>
            <w:webHidden/>
          </w:rPr>
          <w:fldChar w:fldCharType="end"/>
        </w:r>
      </w:hyperlink>
    </w:p>
    <w:p w14:paraId="3302F95E" w14:textId="08097341" w:rsidR="00AE0E45" w:rsidRDefault="00A254DE">
      <w:pPr>
        <w:pStyle w:val="TOC4"/>
        <w:rPr>
          <w:rFonts w:asciiTheme="minorHAnsi" w:eastAsiaTheme="minorEastAsia" w:hAnsiTheme="minorHAnsi"/>
          <w:i w:val="0"/>
          <w:noProof/>
          <w:color w:val="auto"/>
          <w:sz w:val="22"/>
          <w:lang w:eastAsia="en-AU"/>
        </w:rPr>
      </w:pPr>
      <w:hyperlink w:anchor="_Toc65050555" w:history="1">
        <w:r w:rsidR="00AE0E45" w:rsidRPr="00720FC6">
          <w:rPr>
            <w:rStyle w:val="Hyperlink"/>
            <w:noProof/>
          </w:rPr>
          <w:t>Health assessment — non-admitted patient data</w:t>
        </w:r>
        <w:r w:rsidR="00AE0E45">
          <w:rPr>
            <w:noProof/>
            <w:webHidden/>
          </w:rPr>
          <w:tab/>
        </w:r>
        <w:r w:rsidR="00AE0E45">
          <w:rPr>
            <w:noProof/>
            <w:webHidden/>
          </w:rPr>
          <w:fldChar w:fldCharType="begin"/>
        </w:r>
        <w:r w:rsidR="00AE0E45">
          <w:rPr>
            <w:noProof/>
            <w:webHidden/>
          </w:rPr>
          <w:instrText xml:space="preserve"> PAGEREF _Toc65050555 \h </w:instrText>
        </w:r>
        <w:r w:rsidR="00AE0E45">
          <w:rPr>
            <w:noProof/>
            <w:webHidden/>
          </w:rPr>
        </w:r>
        <w:r w:rsidR="00AE0E45">
          <w:rPr>
            <w:noProof/>
            <w:webHidden/>
          </w:rPr>
          <w:fldChar w:fldCharType="separate"/>
        </w:r>
        <w:r w:rsidR="00FC3D3D">
          <w:rPr>
            <w:noProof/>
            <w:webHidden/>
          </w:rPr>
          <w:t>41</w:t>
        </w:r>
        <w:r w:rsidR="00AE0E45">
          <w:rPr>
            <w:noProof/>
            <w:webHidden/>
          </w:rPr>
          <w:fldChar w:fldCharType="end"/>
        </w:r>
      </w:hyperlink>
    </w:p>
    <w:p w14:paraId="14256703" w14:textId="5B75515D" w:rsidR="00AE0E45" w:rsidRDefault="00A254DE">
      <w:pPr>
        <w:pStyle w:val="TOC4"/>
        <w:rPr>
          <w:rFonts w:asciiTheme="minorHAnsi" w:eastAsiaTheme="minorEastAsia" w:hAnsiTheme="minorHAnsi"/>
          <w:i w:val="0"/>
          <w:noProof/>
          <w:color w:val="auto"/>
          <w:sz w:val="22"/>
          <w:lang w:eastAsia="en-AU"/>
        </w:rPr>
      </w:pPr>
      <w:hyperlink w:anchor="_Toc65050556" w:history="1">
        <w:r w:rsidR="00AE0E45" w:rsidRPr="00720FC6">
          <w:rPr>
            <w:rStyle w:val="Hyperlink"/>
            <w:noProof/>
          </w:rPr>
          <w:t>Health assessment — data on Indigenous grants in community health</w:t>
        </w:r>
        <w:r w:rsidR="00AE0E45">
          <w:rPr>
            <w:noProof/>
            <w:webHidden/>
          </w:rPr>
          <w:tab/>
        </w:r>
        <w:r w:rsidR="00AE0E45">
          <w:rPr>
            <w:noProof/>
            <w:webHidden/>
          </w:rPr>
          <w:fldChar w:fldCharType="begin"/>
        </w:r>
        <w:r w:rsidR="00AE0E45">
          <w:rPr>
            <w:noProof/>
            <w:webHidden/>
          </w:rPr>
          <w:instrText xml:space="preserve"> PAGEREF _Toc65050556 \h </w:instrText>
        </w:r>
        <w:r w:rsidR="00AE0E45">
          <w:rPr>
            <w:noProof/>
            <w:webHidden/>
          </w:rPr>
        </w:r>
        <w:r w:rsidR="00AE0E45">
          <w:rPr>
            <w:noProof/>
            <w:webHidden/>
          </w:rPr>
          <w:fldChar w:fldCharType="separate"/>
        </w:r>
        <w:r w:rsidR="00FC3D3D">
          <w:rPr>
            <w:noProof/>
            <w:webHidden/>
          </w:rPr>
          <w:t>44</w:t>
        </w:r>
        <w:r w:rsidR="00AE0E45">
          <w:rPr>
            <w:noProof/>
            <w:webHidden/>
          </w:rPr>
          <w:fldChar w:fldCharType="end"/>
        </w:r>
      </w:hyperlink>
    </w:p>
    <w:p w14:paraId="79EDAC16" w14:textId="4CBB7A77" w:rsidR="00AE0E45" w:rsidRDefault="00A254DE">
      <w:pPr>
        <w:pStyle w:val="TOC4"/>
        <w:rPr>
          <w:rFonts w:asciiTheme="minorHAnsi" w:eastAsiaTheme="minorEastAsia" w:hAnsiTheme="minorHAnsi"/>
          <w:i w:val="0"/>
          <w:noProof/>
          <w:color w:val="auto"/>
          <w:sz w:val="22"/>
          <w:lang w:eastAsia="en-AU"/>
        </w:rPr>
      </w:pPr>
      <w:hyperlink w:anchor="_Toc65050557" w:history="1">
        <w:r w:rsidR="00AE0E45" w:rsidRPr="00720FC6">
          <w:rPr>
            <w:rStyle w:val="Hyperlink"/>
            <w:noProof/>
          </w:rPr>
          <w:t>Health assessment — service delivery scale adjustment in community health</w:t>
        </w:r>
        <w:r w:rsidR="00AE0E45">
          <w:rPr>
            <w:noProof/>
            <w:webHidden/>
          </w:rPr>
          <w:tab/>
        </w:r>
        <w:r w:rsidR="00AE0E45">
          <w:rPr>
            <w:noProof/>
            <w:webHidden/>
          </w:rPr>
          <w:fldChar w:fldCharType="begin"/>
        </w:r>
        <w:r w:rsidR="00AE0E45">
          <w:rPr>
            <w:noProof/>
            <w:webHidden/>
          </w:rPr>
          <w:instrText xml:space="preserve"> PAGEREF _Toc65050557 \h </w:instrText>
        </w:r>
        <w:r w:rsidR="00AE0E45">
          <w:rPr>
            <w:noProof/>
            <w:webHidden/>
          </w:rPr>
        </w:r>
        <w:r w:rsidR="00AE0E45">
          <w:rPr>
            <w:noProof/>
            <w:webHidden/>
          </w:rPr>
          <w:fldChar w:fldCharType="separate"/>
        </w:r>
        <w:r w:rsidR="00FC3D3D">
          <w:rPr>
            <w:noProof/>
            <w:webHidden/>
          </w:rPr>
          <w:t>44</w:t>
        </w:r>
        <w:r w:rsidR="00AE0E45">
          <w:rPr>
            <w:noProof/>
            <w:webHidden/>
          </w:rPr>
          <w:fldChar w:fldCharType="end"/>
        </w:r>
      </w:hyperlink>
    </w:p>
    <w:p w14:paraId="2DEFCB91" w14:textId="2F90F6F0" w:rsidR="00AE0E45" w:rsidRDefault="00A254DE">
      <w:pPr>
        <w:pStyle w:val="TOC4"/>
        <w:rPr>
          <w:rFonts w:asciiTheme="minorHAnsi" w:eastAsiaTheme="minorEastAsia" w:hAnsiTheme="minorHAnsi"/>
          <w:i w:val="0"/>
          <w:noProof/>
          <w:color w:val="auto"/>
          <w:sz w:val="22"/>
          <w:lang w:eastAsia="en-AU"/>
        </w:rPr>
      </w:pPr>
      <w:hyperlink w:anchor="_Toc65050558" w:history="1">
        <w:r w:rsidR="00AE0E45" w:rsidRPr="00720FC6">
          <w:rPr>
            <w:rStyle w:val="Hyperlink"/>
            <w:noProof/>
          </w:rPr>
          <w:t>Stamp duty and land tax</w:t>
        </w:r>
        <w:r w:rsidR="00AE0E45">
          <w:rPr>
            <w:noProof/>
            <w:webHidden/>
          </w:rPr>
          <w:tab/>
        </w:r>
        <w:r w:rsidR="00AE0E45">
          <w:rPr>
            <w:noProof/>
            <w:webHidden/>
          </w:rPr>
          <w:fldChar w:fldCharType="begin"/>
        </w:r>
        <w:r w:rsidR="00AE0E45">
          <w:rPr>
            <w:noProof/>
            <w:webHidden/>
          </w:rPr>
          <w:instrText xml:space="preserve"> PAGEREF _Toc65050558 \h </w:instrText>
        </w:r>
        <w:r w:rsidR="00AE0E45">
          <w:rPr>
            <w:noProof/>
            <w:webHidden/>
          </w:rPr>
        </w:r>
        <w:r w:rsidR="00AE0E45">
          <w:rPr>
            <w:noProof/>
            <w:webHidden/>
          </w:rPr>
          <w:fldChar w:fldCharType="separate"/>
        </w:r>
        <w:r w:rsidR="00FC3D3D">
          <w:rPr>
            <w:noProof/>
            <w:webHidden/>
          </w:rPr>
          <w:t>45</w:t>
        </w:r>
        <w:r w:rsidR="00AE0E45">
          <w:rPr>
            <w:noProof/>
            <w:webHidden/>
          </w:rPr>
          <w:fldChar w:fldCharType="end"/>
        </w:r>
      </w:hyperlink>
    </w:p>
    <w:p w14:paraId="63615204" w14:textId="2372AEE4" w:rsidR="00AE0E45" w:rsidRDefault="00A254DE">
      <w:pPr>
        <w:pStyle w:val="TOC4"/>
        <w:rPr>
          <w:rFonts w:asciiTheme="minorHAnsi" w:eastAsiaTheme="minorEastAsia" w:hAnsiTheme="minorHAnsi"/>
          <w:i w:val="0"/>
          <w:noProof/>
          <w:color w:val="auto"/>
          <w:sz w:val="22"/>
          <w:lang w:eastAsia="en-AU"/>
        </w:rPr>
      </w:pPr>
      <w:hyperlink w:anchor="_Toc65050559" w:history="1">
        <w:r w:rsidR="00AE0E45" w:rsidRPr="00720FC6">
          <w:rPr>
            <w:rStyle w:val="Hyperlink"/>
            <w:noProof/>
          </w:rPr>
          <w:t>Duties on sale of major State assets</w:t>
        </w:r>
        <w:r w:rsidR="00AE0E45">
          <w:rPr>
            <w:noProof/>
            <w:webHidden/>
          </w:rPr>
          <w:tab/>
        </w:r>
        <w:r w:rsidR="00AE0E45">
          <w:rPr>
            <w:noProof/>
            <w:webHidden/>
          </w:rPr>
          <w:fldChar w:fldCharType="begin"/>
        </w:r>
        <w:r w:rsidR="00AE0E45">
          <w:rPr>
            <w:noProof/>
            <w:webHidden/>
          </w:rPr>
          <w:instrText xml:space="preserve"> PAGEREF _Toc65050559 \h </w:instrText>
        </w:r>
        <w:r w:rsidR="00AE0E45">
          <w:rPr>
            <w:noProof/>
            <w:webHidden/>
          </w:rPr>
        </w:r>
        <w:r w:rsidR="00AE0E45">
          <w:rPr>
            <w:noProof/>
            <w:webHidden/>
          </w:rPr>
          <w:fldChar w:fldCharType="separate"/>
        </w:r>
        <w:r w:rsidR="00FC3D3D">
          <w:rPr>
            <w:noProof/>
            <w:webHidden/>
          </w:rPr>
          <w:t>46</w:t>
        </w:r>
        <w:r w:rsidR="00AE0E45">
          <w:rPr>
            <w:noProof/>
            <w:webHidden/>
          </w:rPr>
          <w:fldChar w:fldCharType="end"/>
        </w:r>
      </w:hyperlink>
    </w:p>
    <w:p w14:paraId="27944337" w14:textId="41E44263" w:rsidR="00AE0E45" w:rsidRDefault="00A254DE">
      <w:pPr>
        <w:pStyle w:val="TOC4"/>
        <w:rPr>
          <w:rFonts w:asciiTheme="minorHAnsi" w:eastAsiaTheme="minorEastAsia" w:hAnsiTheme="minorHAnsi"/>
          <w:i w:val="0"/>
          <w:noProof/>
          <w:color w:val="auto"/>
          <w:sz w:val="22"/>
          <w:lang w:eastAsia="en-AU"/>
        </w:rPr>
      </w:pPr>
      <w:hyperlink w:anchor="_Toc65050560" w:history="1">
        <w:r w:rsidR="00AE0E45" w:rsidRPr="00720FC6">
          <w:rPr>
            <w:rStyle w:val="Hyperlink"/>
            <w:noProof/>
          </w:rPr>
          <w:t>Wage costs assessment</w:t>
        </w:r>
        <w:r w:rsidR="00AE0E45">
          <w:rPr>
            <w:noProof/>
            <w:webHidden/>
          </w:rPr>
          <w:tab/>
        </w:r>
        <w:r w:rsidR="00AE0E45">
          <w:rPr>
            <w:noProof/>
            <w:webHidden/>
          </w:rPr>
          <w:fldChar w:fldCharType="begin"/>
        </w:r>
        <w:r w:rsidR="00AE0E45">
          <w:rPr>
            <w:noProof/>
            <w:webHidden/>
          </w:rPr>
          <w:instrText xml:space="preserve"> PAGEREF _Toc65050560 \h </w:instrText>
        </w:r>
        <w:r w:rsidR="00AE0E45">
          <w:rPr>
            <w:noProof/>
            <w:webHidden/>
          </w:rPr>
        </w:r>
        <w:r w:rsidR="00AE0E45">
          <w:rPr>
            <w:noProof/>
            <w:webHidden/>
          </w:rPr>
          <w:fldChar w:fldCharType="separate"/>
        </w:r>
        <w:r w:rsidR="00FC3D3D">
          <w:rPr>
            <w:noProof/>
            <w:webHidden/>
          </w:rPr>
          <w:t>46</w:t>
        </w:r>
        <w:r w:rsidR="00AE0E45">
          <w:rPr>
            <w:noProof/>
            <w:webHidden/>
          </w:rPr>
          <w:fldChar w:fldCharType="end"/>
        </w:r>
      </w:hyperlink>
    </w:p>
    <w:p w14:paraId="7DE34DB3" w14:textId="0F096DCF" w:rsidR="00AE0E45" w:rsidRDefault="00A254DE">
      <w:pPr>
        <w:pStyle w:val="TOC4"/>
        <w:rPr>
          <w:rFonts w:asciiTheme="minorHAnsi" w:eastAsiaTheme="minorEastAsia" w:hAnsiTheme="minorHAnsi"/>
          <w:i w:val="0"/>
          <w:noProof/>
          <w:color w:val="auto"/>
          <w:sz w:val="22"/>
          <w:lang w:eastAsia="en-AU"/>
        </w:rPr>
      </w:pPr>
      <w:hyperlink w:anchor="_Toc65050561" w:history="1">
        <w:r w:rsidR="00AE0E45" w:rsidRPr="00720FC6">
          <w:rPr>
            <w:rStyle w:val="Hyperlink"/>
            <w:noProof/>
          </w:rPr>
          <w:t>Adjusted budget</w:t>
        </w:r>
        <w:r w:rsidR="00AE0E45">
          <w:rPr>
            <w:noProof/>
            <w:webHidden/>
          </w:rPr>
          <w:tab/>
        </w:r>
        <w:r w:rsidR="00AE0E45">
          <w:rPr>
            <w:noProof/>
            <w:webHidden/>
          </w:rPr>
          <w:fldChar w:fldCharType="begin"/>
        </w:r>
        <w:r w:rsidR="00AE0E45">
          <w:rPr>
            <w:noProof/>
            <w:webHidden/>
          </w:rPr>
          <w:instrText xml:space="preserve"> PAGEREF _Toc65050561 \h </w:instrText>
        </w:r>
        <w:r w:rsidR="00AE0E45">
          <w:rPr>
            <w:noProof/>
            <w:webHidden/>
          </w:rPr>
        </w:r>
        <w:r w:rsidR="00AE0E45">
          <w:rPr>
            <w:noProof/>
            <w:webHidden/>
          </w:rPr>
          <w:fldChar w:fldCharType="separate"/>
        </w:r>
        <w:r w:rsidR="00FC3D3D">
          <w:rPr>
            <w:noProof/>
            <w:webHidden/>
          </w:rPr>
          <w:t>48</w:t>
        </w:r>
        <w:r w:rsidR="00AE0E45">
          <w:rPr>
            <w:noProof/>
            <w:webHidden/>
          </w:rPr>
          <w:fldChar w:fldCharType="end"/>
        </w:r>
      </w:hyperlink>
    </w:p>
    <w:p w14:paraId="1428B920" w14:textId="0D3B36E7" w:rsidR="00AE0E45" w:rsidRDefault="00A254DE">
      <w:pPr>
        <w:pStyle w:val="TOC3"/>
        <w:rPr>
          <w:rFonts w:asciiTheme="minorHAnsi" w:eastAsiaTheme="minorEastAsia" w:hAnsiTheme="minorHAnsi"/>
          <w:iCs w:val="0"/>
          <w:noProof/>
          <w:color w:val="auto"/>
          <w:sz w:val="22"/>
          <w:lang w:eastAsia="en-AU"/>
        </w:rPr>
      </w:pPr>
      <w:hyperlink w:anchor="_Toc65050562" w:history="1">
        <w:r w:rsidR="00AE0E45" w:rsidRPr="00720FC6">
          <w:rPr>
            <w:rStyle w:val="Hyperlink"/>
            <w:noProof/>
          </w:rPr>
          <w:t>Treatment of Commonwealth payments</w:t>
        </w:r>
        <w:r w:rsidR="00AE0E45">
          <w:rPr>
            <w:noProof/>
            <w:webHidden/>
          </w:rPr>
          <w:tab/>
        </w:r>
        <w:r w:rsidR="00AE0E45">
          <w:rPr>
            <w:noProof/>
            <w:webHidden/>
          </w:rPr>
          <w:fldChar w:fldCharType="begin"/>
        </w:r>
        <w:r w:rsidR="00AE0E45">
          <w:rPr>
            <w:noProof/>
            <w:webHidden/>
          </w:rPr>
          <w:instrText xml:space="preserve"> PAGEREF _Toc65050562 \h </w:instrText>
        </w:r>
        <w:r w:rsidR="00AE0E45">
          <w:rPr>
            <w:noProof/>
            <w:webHidden/>
          </w:rPr>
        </w:r>
        <w:r w:rsidR="00AE0E45">
          <w:rPr>
            <w:noProof/>
            <w:webHidden/>
          </w:rPr>
          <w:fldChar w:fldCharType="separate"/>
        </w:r>
        <w:r w:rsidR="00FC3D3D">
          <w:rPr>
            <w:noProof/>
            <w:webHidden/>
          </w:rPr>
          <w:t>51</w:t>
        </w:r>
        <w:r w:rsidR="00AE0E45">
          <w:rPr>
            <w:noProof/>
            <w:webHidden/>
          </w:rPr>
          <w:fldChar w:fldCharType="end"/>
        </w:r>
      </w:hyperlink>
    </w:p>
    <w:p w14:paraId="7952C615" w14:textId="683D29E0" w:rsidR="00AE0E45" w:rsidRDefault="00A254DE">
      <w:pPr>
        <w:pStyle w:val="TOC4"/>
        <w:rPr>
          <w:rFonts w:asciiTheme="minorHAnsi" w:eastAsiaTheme="minorEastAsia" w:hAnsiTheme="minorHAnsi"/>
          <w:i w:val="0"/>
          <w:noProof/>
          <w:color w:val="auto"/>
          <w:sz w:val="22"/>
          <w:lang w:eastAsia="en-AU"/>
        </w:rPr>
      </w:pPr>
      <w:hyperlink w:anchor="_Toc65050563" w:history="1">
        <w:r w:rsidR="00AE0E45" w:rsidRPr="00720FC6">
          <w:rPr>
            <w:rStyle w:val="Hyperlink"/>
            <w:noProof/>
          </w:rPr>
          <w:t>Commission’s approach</w:t>
        </w:r>
        <w:r w:rsidR="00AE0E45">
          <w:rPr>
            <w:noProof/>
            <w:webHidden/>
          </w:rPr>
          <w:tab/>
        </w:r>
        <w:r w:rsidR="00AE0E45">
          <w:rPr>
            <w:noProof/>
            <w:webHidden/>
          </w:rPr>
          <w:fldChar w:fldCharType="begin"/>
        </w:r>
        <w:r w:rsidR="00AE0E45">
          <w:rPr>
            <w:noProof/>
            <w:webHidden/>
          </w:rPr>
          <w:instrText xml:space="preserve"> PAGEREF _Toc65050563 \h </w:instrText>
        </w:r>
        <w:r w:rsidR="00AE0E45">
          <w:rPr>
            <w:noProof/>
            <w:webHidden/>
          </w:rPr>
        </w:r>
        <w:r w:rsidR="00AE0E45">
          <w:rPr>
            <w:noProof/>
            <w:webHidden/>
          </w:rPr>
          <w:fldChar w:fldCharType="separate"/>
        </w:r>
        <w:r w:rsidR="00FC3D3D">
          <w:rPr>
            <w:noProof/>
            <w:webHidden/>
          </w:rPr>
          <w:t>51</w:t>
        </w:r>
        <w:r w:rsidR="00AE0E45">
          <w:rPr>
            <w:noProof/>
            <w:webHidden/>
          </w:rPr>
          <w:fldChar w:fldCharType="end"/>
        </w:r>
      </w:hyperlink>
    </w:p>
    <w:p w14:paraId="7785FC13" w14:textId="77F83ECD" w:rsidR="00AE0E45" w:rsidRDefault="00A254DE">
      <w:pPr>
        <w:pStyle w:val="TOC3"/>
        <w:rPr>
          <w:rFonts w:asciiTheme="minorHAnsi" w:eastAsiaTheme="minorEastAsia" w:hAnsiTheme="minorHAnsi"/>
          <w:iCs w:val="0"/>
          <w:noProof/>
          <w:color w:val="auto"/>
          <w:sz w:val="22"/>
          <w:lang w:eastAsia="en-AU"/>
        </w:rPr>
      </w:pPr>
      <w:hyperlink w:anchor="_Toc65050564" w:history="1">
        <w:r w:rsidR="00AE0E45" w:rsidRPr="00720FC6">
          <w:rPr>
            <w:rStyle w:val="Hyperlink"/>
            <w:noProof/>
          </w:rPr>
          <w:t>Issues raised by States on Commonwealth payments</w:t>
        </w:r>
        <w:r w:rsidR="00AE0E45">
          <w:rPr>
            <w:noProof/>
            <w:webHidden/>
          </w:rPr>
          <w:tab/>
        </w:r>
        <w:r w:rsidR="00AE0E45">
          <w:rPr>
            <w:noProof/>
            <w:webHidden/>
          </w:rPr>
          <w:fldChar w:fldCharType="begin"/>
        </w:r>
        <w:r w:rsidR="00AE0E45">
          <w:rPr>
            <w:noProof/>
            <w:webHidden/>
          </w:rPr>
          <w:instrText xml:space="preserve"> PAGEREF _Toc65050564 \h </w:instrText>
        </w:r>
        <w:r w:rsidR="00AE0E45">
          <w:rPr>
            <w:noProof/>
            <w:webHidden/>
          </w:rPr>
        </w:r>
        <w:r w:rsidR="00AE0E45">
          <w:rPr>
            <w:noProof/>
            <w:webHidden/>
          </w:rPr>
          <w:fldChar w:fldCharType="separate"/>
        </w:r>
        <w:r w:rsidR="00FC3D3D">
          <w:rPr>
            <w:noProof/>
            <w:webHidden/>
          </w:rPr>
          <w:t>53</w:t>
        </w:r>
        <w:r w:rsidR="00AE0E45">
          <w:rPr>
            <w:noProof/>
            <w:webHidden/>
          </w:rPr>
          <w:fldChar w:fldCharType="end"/>
        </w:r>
      </w:hyperlink>
    </w:p>
    <w:p w14:paraId="6A246D32" w14:textId="2F525841" w:rsidR="00AE0E45" w:rsidRDefault="00A254DE">
      <w:pPr>
        <w:pStyle w:val="TOC4"/>
        <w:rPr>
          <w:rFonts w:asciiTheme="minorHAnsi" w:eastAsiaTheme="minorEastAsia" w:hAnsiTheme="minorHAnsi"/>
          <w:i w:val="0"/>
          <w:noProof/>
          <w:color w:val="auto"/>
          <w:sz w:val="22"/>
          <w:lang w:eastAsia="en-AU"/>
        </w:rPr>
      </w:pPr>
      <w:hyperlink w:anchor="_Toc65050565" w:history="1">
        <w:r w:rsidR="00AE0E45" w:rsidRPr="00720FC6">
          <w:rPr>
            <w:rStyle w:val="Hyperlink"/>
            <w:noProof/>
          </w:rPr>
          <w:t>Adult Mental Health Centres</w:t>
        </w:r>
        <w:r w:rsidR="00AE0E45">
          <w:rPr>
            <w:noProof/>
            <w:webHidden/>
          </w:rPr>
          <w:tab/>
        </w:r>
        <w:r w:rsidR="00AE0E45">
          <w:rPr>
            <w:noProof/>
            <w:webHidden/>
          </w:rPr>
          <w:fldChar w:fldCharType="begin"/>
        </w:r>
        <w:r w:rsidR="00AE0E45">
          <w:rPr>
            <w:noProof/>
            <w:webHidden/>
          </w:rPr>
          <w:instrText xml:space="preserve"> PAGEREF _Toc65050565 \h </w:instrText>
        </w:r>
        <w:r w:rsidR="00AE0E45">
          <w:rPr>
            <w:noProof/>
            <w:webHidden/>
          </w:rPr>
        </w:r>
        <w:r w:rsidR="00AE0E45">
          <w:rPr>
            <w:noProof/>
            <w:webHidden/>
          </w:rPr>
          <w:fldChar w:fldCharType="separate"/>
        </w:r>
        <w:r w:rsidR="00FC3D3D">
          <w:rPr>
            <w:noProof/>
            <w:webHidden/>
          </w:rPr>
          <w:t>53</w:t>
        </w:r>
        <w:r w:rsidR="00AE0E45">
          <w:rPr>
            <w:noProof/>
            <w:webHidden/>
          </w:rPr>
          <w:fldChar w:fldCharType="end"/>
        </w:r>
      </w:hyperlink>
    </w:p>
    <w:p w14:paraId="127E0097" w14:textId="6479680C" w:rsidR="00AE0E45" w:rsidRDefault="00A254DE">
      <w:pPr>
        <w:pStyle w:val="TOC4"/>
        <w:rPr>
          <w:rFonts w:asciiTheme="minorHAnsi" w:eastAsiaTheme="minorEastAsia" w:hAnsiTheme="minorHAnsi"/>
          <w:i w:val="0"/>
          <w:noProof/>
          <w:color w:val="auto"/>
          <w:sz w:val="22"/>
          <w:lang w:eastAsia="en-AU"/>
        </w:rPr>
      </w:pPr>
      <w:hyperlink w:anchor="_Toc65050566" w:history="1">
        <w:r w:rsidR="00AE0E45" w:rsidRPr="00720FC6">
          <w:rPr>
            <w:rStyle w:val="Hyperlink"/>
            <w:noProof/>
          </w:rPr>
          <w:t>Local Schools Community Fund</w:t>
        </w:r>
        <w:r w:rsidR="00AE0E45">
          <w:rPr>
            <w:noProof/>
            <w:webHidden/>
          </w:rPr>
          <w:tab/>
        </w:r>
        <w:r w:rsidR="00AE0E45">
          <w:rPr>
            <w:noProof/>
            <w:webHidden/>
          </w:rPr>
          <w:fldChar w:fldCharType="begin"/>
        </w:r>
        <w:r w:rsidR="00AE0E45">
          <w:rPr>
            <w:noProof/>
            <w:webHidden/>
          </w:rPr>
          <w:instrText xml:space="preserve"> PAGEREF _Toc65050566 \h </w:instrText>
        </w:r>
        <w:r w:rsidR="00AE0E45">
          <w:rPr>
            <w:noProof/>
            <w:webHidden/>
          </w:rPr>
        </w:r>
        <w:r w:rsidR="00AE0E45">
          <w:rPr>
            <w:noProof/>
            <w:webHidden/>
          </w:rPr>
          <w:fldChar w:fldCharType="separate"/>
        </w:r>
        <w:r w:rsidR="00FC3D3D">
          <w:rPr>
            <w:noProof/>
            <w:webHidden/>
          </w:rPr>
          <w:t>54</w:t>
        </w:r>
        <w:r w:rsidR="00AE0E45">
          <w:rPr>
            <w:noProof/>
            <w:webHidden/>
          </w:rPr>
          <w:fldChar w:fldCharType="end"/>
        </w:r>
      </w:hyperlink>
    </w:p>
    <w:p w14:paraId="06E96A24" w14:textId="3C9224C1" w:rsidR="00AE0E45" w:rsidRDefault="00A254DE">
      <w:pPr>
        <w:pStyle w:val="TOC4"/>
        <w:rPr>
          <w:rFonts w:asciiTheme="minorHAnsi" w:eastAsiaTheme="minorEastAsia" w:hAnsiTheme="minorHAnsi"/>
          <w:i w:val="0"/>
          <w:noProof/>
          <w:color w:val="auto"/>
          <w:sz w:val="22"/>
          <w:lang w:eastAsia="en-AU"/>
        </w:rPr>
      </w:pPr>
      <w:hyperlink w:anchor="_Toc65050567" w:history="1">
        <w:r w:rsidR="00AE0E45" w:rsidRPr="00720FC6">
          <w:rPr>
            <w:rStyle w:val="Hyperlink"/>
            <w:noProof/>
          </w:rPr>
          <w:t>National Disability Insurance Scheme investment in Queensland</w:t>
        </w:r>
        <w:r w:rsidR="00AE0E45">
          <w:rPr>
            <w:noProof/>
            <w:webHidden/>
          </w:rPr>
          <w:tab/>
        </w:r>
        <w:r w:rsidR="00AE0E45">
          <w:rPr>
            <w:noProof/>
            <w:webHidden/>
          </w:rPr>
          <w:fldChar w:fldCharType="begin"/>
        </w:r>
        <w:r w:rsidR="00AE0E45">
          <w:rPr>
            <w:noProof/>
            <w:webHidden/>
          </w:rPr>
          <w:instrText xml:space="preserve"> PAGEREF _Toc65050567 \h </w:instrText>
        </w:r>
        <w:r w:rsidR="00AE0E45">
          <w:rPr>
            <w:noProof/>
            <w:webHidden/>
          </w:rPr>
        </w:r>
        <w:r w:rsidR="00AE0E45">
          <w:rPr>
            <w:noProof/>
            <w:webHidden/>
          </w:rPr>
          <w:fldChar w:fldCharType="separate"/>
        </w:r>
        <w:r w:rsidR="00FC3D3D">
          <w:rPr>
            <w:noProof/>
            <w:webHidden/>
          </w:rPr>
          <w:t>54</w:t>
        </w:r>
        <w:r w:rsidR="00AE0E45">
          <w:rPr>
            <w:noProof/>
            <w:webHidden/>
          </w:rPr>
          <w:fldChar w:fldCharType="end"/>
        </w:r>
      </w:hyperlink>
    </w:p>
    <w:p w14:paraId="43998CEB" w14:textId="7D38C870" w:rsidR="00AE0E45" w:rsidRDefault="00A254DE">
      <w:pPr>
        <w:pStyle w:val="TOC4"/>
        <w:rPr>
          <w:rFonts w:asciiTheme="minorHAnsi" w:eastAsiaTheme="minorEastAsia" w:hAnsiTheme="minorHAnsi"/>
          <w:i w:val="0"/>
          <w:noProof/>
          <w:color w:val="auto"/>
          <w:sz w:val="22"/>
          <w:lang w:eastAsia="en-AU"/>
        </w:rPr>
      </w:pPr>
      <w:hyperlink w:anchor="_Toc65050568" w:history="1">
        <w:r w:rsidR="00AE0E45" w:rsidRPr="00720FC6">
          <w:rPr>
            <w:rStyle w:val="Hyperlink"/>
            <w:noProof/>
          </w:rPr>
          <w:t>Grace’s Place residential trauma recovery centre</w:t>
        </w:r>
        <w:r w:rsidR="00AE0E45">
          <w:rPr>
            <w:noProof/>
            <w:webHidden/>
          </w:rPr>
          <w:tab/>
        </w:r>
        <w:r w:rsidR="00AE0E45">
          <w:rPr>
            <w:noProof/>
            <w:webHidden/>
          </w:rPr>
          <w:fldChar w:fldCharType="begin"/>
        </w:r>
        <w:r w:rsidR="00AE0E45">
          <w:rPr>
            <w:noProof/>
            <w:webHidden/>
          </w:rPr>
          <w:instrText xml:space="preserve"> PAGEREF _Toc65050568 \h </w:instrText>
        </w:r>
        <w:r w:rsidR="00AE0E45">
          <w:rPr>
            <w:noProof/>
            <w:webHidden/>
          </w:rPr>
        </w:r>
        <w:r w:rsidR="00AE0E45">
          <w:rPr>
            <w:noProof/>
            <w:webHidden/>
          </w:rPr>
          <w:fldChar w:fldCharType="separate"/>
        </w:r>
        <w:r w:rsidR="00FC3D3D">
          <w:rPr>
            <w:noProof/>
            <w:webHidden/>
          </w:rPr>
          <w:t>55</w:t>
        </w:r>
        <w:r w:rsidR="00AE0E45">
          <w:rPr>
            <w:noProof/>
            <w:webHidden/>
          </w:rPr>
          <w:fldChar w:fldCharType="end"/>
        </w:r>
      </w:hyperlink>
    </w:p>
    <w:p w14:paraId="74BFE2CB" w14:textId="53D424AF" w:rsidR="00AE0E45" w:rsidRDefault="00A254DE">
      <w:pPr>
        <w:pStyle w:val="TOC4"/>
        <w:rPr>
          <w:rFonts w:asciiTheme="minorHAnsi" w:eastAsiaTheme="minorEastAsia" w:hAnsiTheme="minorHAnsi"/>
          <w:i w:val="0"/>
          <w:noProof/>
          <w:color w:val="auto"/>
          <w:sz w:val="22"/>
          <w:lang w:eastAsia="en-AU"/>
        </w:rPr>
      </w:pPr>
      <w:hyperlink w:anchor="_Toc65050569" w:history="1">
        <w:r w:rsidR="00AE0E45" w:rsidRPr="00720FC6">
          <w:rPr>
            <w:rStyle w:val="Hyperlink"/>
            <w:noProof/>
          </w:rPr>
          <w:t>City Deals</w:t>
        </w:r>
        <w:r w:rsidR="00AE0E45">
          <w:rPr>
            <w:noProof/>
            <w:webHidden/>
          </w:rPr>
          <w:tab/>
        </w:r>
        <w:r w:rsidR="00AE0E45">
          <w:rPr>
            <w:noProof/>
            <w:webHidden/>
          </w:rPr>
          <w:fldChar w:fldCharType="begin"/>
        </w:r>
        <w:r w:rsidR="00AE0E45">
          <w:rPr>
            <w:noProof/>
            <w:webHidden/>
          </w:rPr>
          <w:instrText xml:space="preserve"> PAGEREF _Toc65050569 \h </w:instrText>
        </w:r>
        <w:r w:rsidR="00AE0E45">
          <w:rPr>
            <w:noProof/>
            <w:webHidden/>
          </w:rPr>
        </w:r>
        <w:r w:rsidR="00AE0E45">
          <w:rPr>
            <w:noProof/>
            <w:webHidden/>
          </w:rPr>
          <w:fldChar w:fldCharType="separate"/>
        </w:r>
        <w:r w:rsidR="00FC3D3D">
          <w:rPr>
            <w:noProof/>
            <w:webHidden/>
          </w:rPr>
          <w:t>55</w:t>
        </w:r>
        <w:r w:rsidR="00AE0E45">
          <w:rPr>
            <w:noProof/>
            <w:webHidden/>
          </w:rPr>
          <w:fldChar w:fldCharType="end"/>
        </w:r>
      </w:hyperlink>
    </w:p>
    <w:p w14:paraId="006C7445" w14:textId="11B4FA24" w:rsidR="00AE0E45" w:rsidRDefault="00A254DE">
      <w:pPr>
        <w:pStyle w:val="TOC3"/>
        <w:rPr>
          <w:rFonts w:asciiTheme="minorHAnsi" w:eastAsiaTheme="minorEastAsia" w:hAnsiTheme="minorHAnsi"/>
          <w:iCs w:val="0"/>
          <w:noProof/>
          <w:color w:val="auto"/>
          <w:sz w:val="22"/>
          <w:lang w:eastAsia="en-AU"/>
        </w:rPr>
      </w:pPr>
      <w:hyperlink w:anchor="_Toc65050570" w:history="1">
        <w:r w:rsidR="00AE0E45" w:rsidRPr="00720FC6">
          <w:rPr>
            <w:rStyle w:val="Hyperlink"/>
            <w:noProof/>
          </w:rPr>
          <w:t>Implementation of new equalisation arrangements</w:t>
        </w:r>
        <w:r w:rsidR="00AE0E45">
          <w:rPr>
            <w:noProof/>
            <w:webHidden/>
          </w:rPr>
          <w:tab/>
        </w:r>
        <w:r w:rsidR="00AE0E45">
          <w:rPr>
            <w:noProof/>
            <w:webHidden/>
          </w:rPr>
          <w:fldChar w:fldCharType="begin"/>
        </w:r>
        <w:r w:rsidR="00AE0E45">
          <w:rPr>
            <w:noProof/>
            <w:webHidden/>
          </w:rPr>
          <w:instrText xml:space="preserve"> PAGEREF _Toc65050570 \h </w:instrText>
        </w:r>
        <w:r w:rsidR="00AE0E45">
          <w:rPr>
            <w:noProof/>
            <w:webHidden/>
          </w:rPr>
        </w:r>
        <w:r w:rsidR="00AE0E45">
          <w:rPr>
            <w:noProof/>
            <w:webHidden/>
          </w:rPr>
          <w:fldChar w:fldCharType="separate"/>
        </w:r>
        <w:r w:rsidR="00FC3D3D">
          <w:rPr>
            <w:noProof/>
            <w:webHidden/>
          </w:rPr>
          <w:t>57</w:t>
        </w:r>
        <w:r w:rsidR="00AE0E45">
          <w:rPr>
            <w:noProof/>
            <w:webHidden/>
          </w:rPr>
          <w:fldChar w:fldCharType="end"/>
        </w:r>
      </w:hyperlink>
    </w:p>
    <w:p w14:paraId="5BB52B8B" w14:textId="28C70895" w:rsidR="00AE0E45" w:rsidRDefault="00A254DE">
      <w:pPr>
        <w:pStyle w:val="TOC1"/>
        <w:rPr>
          <w:rFonts w:asciiTheme="minorHAnsi" w:eastAsiaTheme="minorEastAsia" w:hAnsiTheme="minorHAnsi"/>
          <w:b w:val="0"/>
          <w:bCs w:val="0"/>
          <w:noProof/>
          <w:color w:val="auto"/>
          <w:sz w:val="22"/>
          <w:szCs w:val="22"/>
          <w:lang w:eastAsia="en-AU"/>
        </w:rPr>
      </w:pPr>
      <w:hyperlink w:anchor="_Toc65050571" w:history="1">
        <w:r w:rsidR="00AE0E45" w:rsidRPr="00720FC6">
          <w:rPr>
            <w:rStyle w:val="Hyperlink"/>
            <w:noProof/>
          </w:rPr>
          <w:t>Attachment A: ‘No worse off’ relativities</w:t>
        </w:r>
        <w:r w:rsidR="00AE0E45">
          <w:rPr>
            <w:noProof/>
            <w:webHidden/>
          </w:rPr>
          <w:tab/>
        </w:r>
        <w:r w:rsidR="00AE0E45">
          <w:rPr>
            <w:noProof/>
            <w:webHidden/>
          </w:rPr>
          <w:fldChar w:fldCharType="begin"/>
        </w:r>
        <w:r w:rsidR="00AE0E45">
          <w:rPr>
            <w:noProof/>
            <w:webHidden/>
          </w:rPr>
          <w:instrText xml:space="preserve"> PAGEREF _Toc65050571 \h </w:instrText>
        </w:r>
        <w:r w:rsidR="00AE0E45">
          <w:rPr>
            <w:noProof/>
            <w:webHidden/>
          </w:rPr>
        </w:r>
        <w:r w:rsidR="00AE0E45">
          <w:rPr>
            <w:noProof/>
            <w:webHidden/>
          </w:rPr>
          <w:fldChar w:fldCharType="separate"/>
        </w:r>
        <w:r w:rsidR="00FC3D3D">
          <w:rPr>
            <w:noProof/>
            <w:webHidden/>
          </w:rPr>
          <w:t>59</w:t>
        </w:r>
        <w:r w:rsidR="00AE0E45">
          <w:rPr>
            <w:noProof/>
            <w:webHidden/>
          </w:rPr>
          <w:fldChar w:fldCharType="end"/>
        </w:r>
      </w:hyperlink>
    </w:p>
    <w:p w14:paraId="50546157" w14:textId="17627B7E" w:rsidR="00AE0E45" w:rsidRDefault="00A254DE">
      <w:pPr>
        <w:pStyle w:val="TOC1"/>
        <w:rPr>
          <w:rFonts w:asciiTheme="minorHAnsi" w:eastAsiaTheme="minorEastAsia" w:hAnsiTheme="minorHAnsi"/>
          <w:b w:val="0"/>
          <w:bCs w:val="0"/>
          <w:noProof/>
          <w:color w:val="auto"/>
          <w:sz w:val="22"/>
          <w:szCs w:val="22"/>
          <w:lang w:eastAsia="en-AU"/>
        </w:rPr>
      </w:pPr>
      <w:hyperlink w:anchor="_Toc65050572" w:history="1">
        <w:r w:rsidR="00AE0E45" w:rsidRPr="00720FC6">
          <w:rPr>
            <w:rStyle w:val="Hyperlink"/>
            <w:noProof/>
          </w:rPr>
          <w:t>Attachment B: Quality assurance</w:t>
        </w:r>
        <w:r w:rsidR="00AE0E45">
          <w:rPr>
            <w:noProof/>
            <w:webHidden/>
          </w:rPr>
          <w:tab/>
        </w:r>
        <w:r w:rsidR="00AE0E45">
          <w:rPr>
            <w:noProof/>
            <w:webHidden/>
          </w:rPr>
          <w:fldChar w:fldCharType="begin"/>
        </w:r>
        <w:r w:rsidR="00AE0E45">
          <w:rPr>
            <w:noProof/>
            <w:webHidden/>
          </w:rPr>
          <w:instrText xml:space="preserve"> PAGEREF _Toc65050572 \h </w:instrText>
        </w:r>
        <w:r w:rsidR="00AE0E45">
          <w:rPr>
            <w:noProof/>
            <w:webHidden/>
          </w:rPr>
        </w:r>
        <w:r w:rsidR="00AE0E45">
          <w:rPr>
            <w:noProof/>
            <w:webHidden/>
          </w:rPr>
          <w:fldChar w:fldCharType="separate"/>
        </w:r>
        <w:r w:rsidR="00FC3D3D">
          <w:rPr>
            <w:noProof/>
            <w:webHidden/>
          </w:rPr>
          <w:t>60</w:t>
        </w:r>
        <w:r w:rsidR="00AE0E45">
          <w:rPr>
            <w:noProof/>
            <w:webHidden/>
          </w:rPr>
          <w:fldChar w:fldCharType="end"/>
        </w:r>
      </w:hyperlink>
    </w:p>
    <w:p w14:paraId="502736D9" w14:textId="7C5356F8" w:rsidR="00AE0E45" w:rsidRDefault="00A254DE">
      <w:pPr>
        <w:pStyle w:val="TOC3"/>
        <w:rPr>
          <w:rFonts w:asciiTheme="minorHAnsi" w:eastAsiaTheme="minorEastAsia" w:hAnsiTheme="minorHAnsi"/>
          <w:iCs w:val="0"/>
          <w:noProof/>
          <w:color w:val="auto"/>
          <w:sz w:val="22"/>
          <w:lang w:eastAsia="en-AU"/>
        </w:rPr>
      </w:pPr>
      <w:hyperlink w:anchor="_Toc65050573" w:history="1">
        <w:r w:rsidR="00AE0E45" w:rsidRPr="00720FC6">
          <w:rPr>
            <w:rStyle w:val="Hyperlink"/>
            <w:noProof/>
          </w:rPr>
          <w:t>Checking calculations</w:t>
        </w:r>
        <w:r w:rsidR="00AE0E45">
          <w:rPr>
            <w:noProof/>
            <w:webHidden/>
          </w:rPr>
          <w:tab/>
        </w:r>
        <w:r w:rsidR="00AE0E45">
          <w:rPr>
            <w:noProof/>
            <w:webHidden/>
          </w:rPr>
          <w:fldChar w:fldCharType="begin"/>
        </w:r>
        <w:r w:rsidR="00AE0E45">
          <w:rPr>
            <w:noProof/>
            <w:webHidden/>
          </w:rPr>
          <w:instrText xml:space="preserve"> PAGEREF _Toc65050573 \h </w:instrText>
        </w:r>
        <w:r w:rsidR="00AE0E45">
          <w:rPr>
            <w:noProof/>
            <w:webHidden/>
          </w:rPr>
        </w:r>
        <w:r w:rsidR="00AE0E45">
          <w:rPr>
            <w:noProof/>
            <w:webHidden/>
          </w:rPr>
          <w:fldChar w:fldCharType="separate"/>
        </w:r>
        <w:r w:rsidR="00FC3D3D">
          <w:rPr>
            <w:noProof/>
            <w:webHidden/>
          </w:rPr>
          <w:t>60</w:t>
        </w:r>
        <w:r w:rsidR="00AE0E45">
          <w:rPr>
            <w:noProof/>
            <w:webHidden/>
          </w:rPr>
          <w:fldChar w:fldCharType="end"/>
        </w:r>
      </w:hyperlink>
    </w:p>
    <w:p w14:paraId="0B70006C" w14:textId="3CBEFA41" w:rsidR="00AE0E45" w:rsidRDefault="00A254DE">
      <w:pPr>
        <w:pStyle w:val="TOC3"/>
        <w:rPr>
          <w:rFonts w:asciiTheme="minorHAnsi" w:eastAsiaTheme="minorEastAsia" w:hAnsiTheme="minorHAnsi"/>
          <w:iCs w:val="0"/>
          <w:noProof/>
          <w:color w:val="auto"/>
          <w:sz w:val="22"/>
          <w:lang w:eastAsia="en-AU"/>
        </w:rPr>
      </w:pPr>
      <w:hyperlink w:anchor="_Toc65050574" w:history="1">
        <w:r w:rsidR="00AE0E45" w:rsidRPr="00720FC6">
          <w:rPr>
            <w:rStyle w:val="Hyperlink"/>
            <w:noProof/>
          </w:rPr>
          <w:t>Reporting of methods, decisions and results</w:t>
        </w:r>
        <w:r w:rsidR="00AE0E45">
          <w:rPr>
            <w:noProof/>
            <w:webHidden/>
          </w:rPr>
          <w:tab/>
        </w:r>
        <w:r w:rsidR="00AE0E45">
          <w:rPr>
            <w:noProof/>
            <w:webHidden/>
          </w:rPr>
          <w:fldChar w:fldCharType="begin"/>
        </w:r>
        <w:r w:rsidR="00AE0E45">
          <w:rPr>
            <w:noProof/>
            <w:webHidden/>
          </w:rPr>
          <w:instrText xml:space="preserve"> PAGEREF _Toc65050574 \h </w:instrText>
        </w:r>
        <w:r w:rsidR="00AE0E45">
          <w:rPr>
            <w:noProof/>
            <w:webHidden/>
          </w:rPr>
        </w:r>
        <w:r w:rsidR="00AE0E45">
          <w:rPr>
            <w:noProof/>
            <w:webHidden/>
          </w:rPr>
          <w:fldChar w:fldCharType="separate"/>
        </w:r>
        <w:r w:rsidR="00FC3D3D">
          <w:rPr>
            <w:noProof/>
            <w:webHidden/>
          </w:rPr>
          <w:t>60</w:t>
        </w:r>
        <w:r w:rsidR="00AE0E45">
          <w:rPr>
            <w:noProof/>
            <w:webHidden/>
          </w:rPr>
          <w:fldChar w:fldCharType="end"/>
        </w:r>
      </w:hyperlink>
    </w:p>
    <w:p w14:paraId="62CCDDB0" w14:textId="00E893D9" w:rsidR="00AE0E45" w:rsidRDefault="00A254DE">
      <w:pPr>
        <w:pStyle w:val="TOC1"/>
        <w:rPr>
          <w:rFonts w:asciiTheme="minorHAnsi" w:eastAsiaTheme="minorEastAsia" w:hAnsiTheme="minorHAnsi"/>
          <w:b w:val="0"/>
          <w:bCs w:val="0"/>
          <w:noProof/>
          <w:color w:val="auto"/>
          <w:sz w:val="22"/>
          <w:szCs w:val="22"/>
          <w:lang w:eastAsia="en-AU"/>
        </w:rPr>
      </w:pPr>
      <w:hyperlink w:anchor="_Toc65050575" w:history="1">
        <w:r w:rsidR="00AE0E45" w:rsidRPr="00720FC6">
          <w:rPr>
            <w:rStyle w:val="Hyperlink"/>
            <w:noProof/>
          </w:rPr>
          <w:t>Glossary</w:t>
        </w:r>
        <w:r w:rsidR="00AE0E45">
          <w:rPr>
            <w:noProof/>
            <w:webHidden/>
          </w:rPr>
          <w:tab/>
        </w:r>
        <w:r w:rsidR="00AE0E45">
          <w:rPr>
            <w:noProof/>
            <w:webHidden/>
          </w:rPr>
          <w:fldChar w:fldCharType="begin"/>
        </w:r>
        <w:r w:rsidR="00AE0E45">
          <w:rPr>
            <w:noProof/>
            <w:webHidden/>
          </w:rPr>
          <w:instrText xml:space="preserve"> PAGEREF _Toc65050575 \h </w:instrText>
        </w:r>
        <w:r w:rsidR="00AE0E45">
          <w:rPr>
            <w:noProof/>
            <w:webHidden/>
          </w:rPr>
        </w:r>
        <w:r w:rsidR="00AE0E45">
          <w:rPr>
            <w:noProof/>
            <w:webHidden/>
          </w:rPr>
          <w:fldChar w:fldCharType="separate"/>
        </w:r>
        <w:r w:rsidR="00FC3D3D">
          <w:rPr>
            <w:noProof/>
            <w:webHidden/>
          </w:rPr>
          <w:t>61</w:t>
        </w:r>
        <w:r w:rsidR="00AE0E45">
          <w:rPr>
            <w:noProof/>
            <w:webHidden/>
          </w:rPr>
          <w:fldChar w:fldCharType="end"/>
        </w:r>
      </w:hyperlink>
    </w:p>
    <w:p w14:paraId="5D02B517" w14:textId="68619A74" w:rsidR="00165998" w:rsidRPr="00442A3B" w:rsidRDefault="00165998" w:rsidP="00923C19">
      <w:pPr>
        <w:sectPr w:rsidR="00165998" w:rsidRPr="00442A3B" w:rsidSect="00623DD0">
          <w:headerReference w:type="default" r:id="rId42"/>
          <w:headerReference w:type="first" r:id="rId43"/>
          <w:footnotePr>
            <w:numRestart w:val="eachSect"/>
          </w:footnotePr>
          <w:pgSz w:w="11907" w:h="16840" w:code="9"/>
          <w:pgMar w:top="1191" w:right="1474" w:bottom="1134" w:left="1474" w:header="567" w:footer="567" w:gutter="0"/>
          <w:pgNumType w:fmt="lowerRoman"/>
          <w:cols w:space="720"/>
          <w:titlePg/>
          <w:docGrid w:linePitch="360"/>
        </w:sectPr>
      </w:pPr>
      <w:r w:rsidRPr="00442A3B">
        <w:fldChar w:fldCharType="end"/>
      </w:r>
    </w:p>
    <w:p w14:paraId="711C79E3" w14:textId="06E65F25" w:rsidR="00165998" w:rsidRPr="00442A3B" w:rsidRDefault="00165998" w:rsidP="00923C19">
      <w:pPr>
        <w:pStyle w:val="Heading2"/>
      </w:pPr>
      <w:bookmarkStart w:id="47" w:name="_Toc65050518"/>
      <w:r w:rsidRPr="00442A3B">
        <w:lastRenderedPageBreak/>
        <w:t>Executive summary</w:t>
      </w:r>
      <w:bookmarkEnd w:id="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9175"/>
      </w:tblGrid>
      <w:tr w:rsidR="0010096D" w:rsidRPr="00442A3B" w14:paraId="0E023B82" w14:textId="77777777" w:rsidTr="00677917">
        <w:tc>
          <w:tcPr>
            <w:tcW w:w="9175" w:type="dxa"/>
            <w:shd w:val="clear" w:color="auto" w:fill="EBF3F5"/>
          </w:tcPr>
          <w:p w14:paraId="54E90D1D" w14:textId="77777777" w:rsidR="00380F3A" w:rsidRPr="00442A3B" w:rsidRDefault="00380F3A" w:rsidP="00750C14">
            <w:pPr>
              <w:pStyle w:val="Heading6"/>
              <w:outlineLvl w:val="5"/>
            </w:pPr>
            <w:r w:rsidRPr="00442A3B">
              <w:t>Horizontal fiscal equalisation and the distribution of GST</w:t>
            </w:r>
          </w:p>
          <w:p w14:paraId="0BA906F4" w14:textId="4ED9FEFF" w:rsidR="00380F3A" w:rsidRPr="00442A3B" w:rsidRDefault="00380F3A" w:rsidP="00380F3A">
            <w:pPr>
              <w:widowControl w:val="0"/>
            </w:pPr>
            <w:r w:rsidRPr="00442A3B">
              <w:t xml:space="preserve">This report presents the Commission’s recommendations </w:t>
            </w:r>
            <w:r w:rsidR="00024574" w:rsidRPr="00442A3B">
              <w:t xml:space="preserve">from its </w:t>
            </w:r>
            <w:r w:rsidR="005909B1" w:rsidRPr="00442A3B">
              <w:t>2021 Update</w:t>
            </w:r>
            <w:r w:rsidR="00024574" w:rsidRPr="00442A3B">
              <w:t xml:space="preserve"> </w:t>
            </w:r>
            <w:r w:rsidRPr="00442A3B">
              <w:t xml:space="preserve">for the distribution of the GST pool among the States and Territories </w:t>
            </w:r>
            <w:r w:rsidR="001B7963" w:rsidRPr="00442A3B">
              <w:t>(</w:t>
            </w:r>
            <w:r w:rsidRPr="00442A3B">
              <w:t xml:space="preserve">States) in 2021-22. This provides States the capacity to deliver services at a similar level (referred to as </w:t>
            </w:r>
            <w:r w:rsidR="00112276" w:rsidRPr="00442A3B">
              <w:t>h</w:t>
            </w:r>
            <w:r w:rsidRPr="00442A3B">
              <w:t xml:space="preserve">orizontal </w:t>
            </w:r>
            <w:r w:rsidR="00112276" w:rsidRPr="00442A3B">
              <w:t>f</w:t>
            </w:r>
            <w:r w:rsidRPr="00442A3B">
              <w:t xml:space="preserve">iscal </w:t>
            </w:r>
            <w:r w:rsidR="00112276" w:rsidRPr="00442A3B">
              <w:t>e</w:t>
            </w:r>
            <w:r w:rsidRPr="00442A3B">
              <w:t>qualisation). It takes account of States’ different abilities to raise revenue and their different costs of service provision.</w:t>
            </w:r>
            <w:r w:rsidR="00020EAF" w:rsidRPr="00442A3B">
              <w:t xml:space="preserve"> The GST pool comprises GST revenue and the top-up payment, which is $600 million in 2021-22.</w:t>
            </w:r>
          </w:p>
          <w:p w14:paraId="6E7C63F4" w14:textId="179211C6" w:rsidR="00380F3A" w:rsidRPr="00442A3B" w:rsidRDefault="00380F3A" w:rsidP="00380F3A">
            <w:pPr>
              <w:widowControl w:val="0"/>
            </w:pPr>
            <w:r w:rsidRPr="00442A3B">
              <w:t xml:space="preserve">Drivers of revenue differences include mineral royalties, land values and property transactions, and payroll taxes. States also receive different levels of Commonwealth payments. </w:t>
            </w:r>
            <w:r w:rsidR="000564C9" w:rsidRPr="00442A3B">
              <w:t>Costs</w:t>
            </w:r>
            <w:r w:rsidRPr="00442A3B">
              <w:t xml:space="preserve"> can vary by State for a range of reasons, including sociodemographic characteristics, wage pressures, population dispersion or </w:t>
            </w:r>
            <w:r w:rsidR="00020A50" w:rsidRPr="00442A3B">
              <w:t>density</w:t>
            </w:r>
            <w:r w:rsidRPr="00442A3B">
              <w:t xml:space="preserve">, and rates of population growth. </w:t>
            </w:r>
          </w:p>
          <w:p w14:paraId="35137304" w14:textId="7C97355C" w:rsidR="00380F3A" w:rsidRPr="00442A3B" w:rsidRDefault="00380F3A" w:rsidP="00380F3A">
            <w:pPr>
              <w:widowControl w:val="0"/>
            </w:pPr>
            <w:r w:rsidRPr="00442A3B">
              <w:t xml:space="preserve">The Commission finalised its 5-yearly review of the methods for quantifying the relative fiscal requirements of the States in February 2020 (2020 Review). The </w:t>
            </w:r>
            <w:r w:rsidR="005909B1" w:rsidRPr="00442A3B">
              <w:t>2021 Update</w:t>
            </w:r>
            <w:r w:rsidRPr="00442A3B">
              <w:t xml:space="preserve"> applie</w:t>
            </w:r>
            <w:r w:rsidR="004D269F" w:rsidRPr="00442A3B">
              <w:t>d</w:t>
            </w:r>
            <w:r w:rsidRPr="00442A3B">
              <w:t xml:space="preserve"> the methods from the </w:t>
            </w:r>
            <w:r w:rsidR="005909B1" w:rsidRPr="00442A3B">
              <w:t>2020 Review</w:t>
            </w:r>
            <w:r w:rsidRPr="00442A3B">
              <w:t xml:space="preserve"> and assesse</w:t>
            </w:r>
            <w:r w:rsidR="004D269F" w:rsidRPr="00442A3B">
              <w:t>d</w:t>
            </w:r>
            <w:r w:rsidRPr="00442A3B">
              <w:t xml:space="preserve"> the changes in States’ relative GST requirements over 2017-18, 2018-19 and 2019-20. The rolling 3-year assessment period </w:t>
            </w:r>
            <w:r w:rsidR="002B6B3D" w:rsidRPr="00442A3B">
              <w:t>was</w:t>
            </w:r>
            <w:r w:rsidRPr="00442A3B">
              <w:t xml:space="preserve"> updated with the addition of the latest year for which data </w:t>
            </w:r>
            <w:r w:rsidR="00604036" w:rsidRPr="00442A3B">
              <w:t>were</w:t>
            </w:r>
            <w:r w:rsidRPr="00442A3B">
              <w:t xml:space="preserve"> available</w:t>
            </w:r>
            <w:r w:rsidR="007879B1" w:rsidRPr="00442A3B">
              <w:t xml:space="preserve"> </w:t>
            </w:r>
            <w:r w:rsidR="003019F8" w:rsidRPr="00442A3B">
              <w:t>(</w:t>
            </w:r>
            <w:r w:rsidRPr="00442A3B">
              <w:t>2019-20</w:t>
            </w:r>
            <w:r w:rsidR="003019F8" w:rsidRPr="00442A3B">
              <w:t>)</w:t>
            </w:r>
            <w:r w:rsidRPr="00442A3B">
              <w:t>.</w:t>
            </w:r>
          </w:p>
          <w:p w14:paraId="74FB1E32" w14:textId="1F9AA625" w:rsidR="002D45CB" w:rsidRPr="00442A3B" w:rsidRDefault="00380F3A" w:rsidP="00380F3A">
            <w:pPr>
              <w:widowControl w:val="0"/>
            </w:pPr>
            <w:r w:rsidRPr="00442A3B">
              <w:t xml:space="preserve">Changes in States’ relative GST requirements, as outlined in this update, can be driven by changes in States’ </w:t>
            </w:r>
            <w:r w:rsidRPr="00442A3B">
              <w:rPr>
                <w:i/>
                <w:iCs/>
              </w:rPr>
              <w:t>circumstances</w:t>
            </w:r>
            <w:r w:rsidRPr="00442A3B">
              <w:t xml:space="preserve"> (such as increased iron ore royalties, growth in the value of property transfers, growth in a State’s share of Commonwealth payments); or </w:t>
            </w:r>
            <w:r w:rsidRPr="00442A3B">
              <w:rPr>
                <w:i/>
                <w:iCs/>
              </w:rPr>
              <w:t>data revisions</w:t>
            </w:r>
            <w:r w:rsidRPr="00442A3B">
              <w:t xml:space="preserve"> (such as improved data on the value of taxable payrolls).</w:t>
            </w:r>
          </w:p>
          <w:p w14:paraId="79E6E4B4" w14:textId="77777777" w:rsidR="00B050FA" w:rsidRPr="00442A3B" w:rsidRDefault="00B050FA" w:rsidP="00750C14">
            <w:pPr>
              <w:pStyle w:val="Heading6"/>
              <w:outlineLvl w:val="5"/>
            </w:pPr>
            <w:r w:rsidRPr="00442A3B">
              <w:t>Transition to new equalisation arrangements</w:t>
            </w:r>
          </w:p>
          <w:p w14:paraId="29E0C607" w14:textId="6B9FBF9D" w:rsidR="00B050FA" w:rsidRPr="00442A3B" w:rsidRDefault="00B050FA" w:rsidP="00B050FA">
            <w:r w:rsidRPr="00442A3B">
              <w:t xml:space="preserve">Under legislated changes to equalisation arrangements, 2021-22 will be the first year in a 6-year transition away from distributing </w:t>
            </w:r>
            <w:r w:rsidR="00694116" w:rsidRPr="00442A3B">
              <w:t xml:space="preserve">the </w:t>
            </w:r>
            <w:r w:rsidRPr="00442A3B">
              <w:t xml:space="preserve">GST </w:t>
            </w:r>
            <w:r w:rsidR="00694116" w:rsidRPr="00442A3B">
              <w:t>pool</w:t>
            </w:r>
            <w:r w:rsidRPr="00442A3B">
              <w:t xml:space="preserve"> based solely on the Commission’s assessment of States’ relative fiscal capacities.</w:t>
            </w:r>
            <w:r w:rsidRPr="00442A3B">
              <w:rPr>
                <w:vertAlign w:val="superscript"/>
              </w:rPr>
              <w:footnoteReference w:id="2"/>
            </w:r>
            <w:r w:rsidRPr="00442A3B">
              <w:t xml:space="preserve"> Over these 6 years, the Commission’s assessment will be adjusted to new arrangements where no State will have a per capita GST share lower than the fiscally stronger of New South Wales or Victoria. The transition will be completed in 2026-27</w:t>
            </w:r>
            <w:r w:rsidR="0006518F" w:rsidRPr="00442A3B">
              <w:t xml:space="preserve">. </w:t>
            </w:r>
          </w:p>
          <w:p w14:paraId="5ADD0623" w14:textId="42C00F1A" w:rsidR="00966FDF" w:rsidRPr="00442A3B" w:rsidRDefault="00B050FA" w:rsidP="00550D62">
            <w:pPr>
              <w:widowControl w:val="0"/>
            </w:pPr>
            <w:r w:rsidRPr="00442A3B">
              <w:t>The GST relativities for 2021-22 to 2025-26 will be blend</w:t>
            </w:r>
            <w:r w:rsidR="002B0631" w:rsidRPr="00442A3B">
              <w:t>s</w:t>
            </w:r>
            <w:r w:rsidR="003C165B" w:rsidRPr="00442A3B">
              <w:t xml:space="preserve"> </w:t>
            </w:r>
            <w:r w:rsidRPr="00442A3B">
              <w:t xml:space="preserve">of the previous approach (providing </w:t>
            </w:r>
            <w:r w:rsidR="00476096" w:rsidRPr="00442A3B">
              <w:t xml:space="preserve">States with </w:t>
            </w:r>
            <w:r w:rsidRPr="00442A3B">
              <w:t xml:space="preserve">the same ability to provide services) and the new approach (ensuring no State has a per capita </w:t>
            </w:r>
            <w:r w:rsidR="00232B2B" w:rsidRPr="00442A3B">
              <w:t xml:space="preserve">GST share less </w:t>
            </w:r>
            <w:r w:rsidRPr="00442A3B">
              <w:t xml:space="preserve">than the lower of New South Wales or Victoria). For 2021-22, the GST relativities </w:t>
            </w:r>
            <w:r w:rsidR="004D6964" w:rsidRPr="00442A3B">
              <w:t>a</w:t>
            </w:r>
            <w:r w:rsidRPr="00442A3B">
              <w:t xml:space="preserve">re a weighted average of the former (5/6ths) and the latter (1/6th). </w:t>
            </w:r>
          </w:p>
          <w:p w14:paraId="2F19BF1B" w14:textId="66FFF9DE" w:rsidR="00B050FA" w:rsidRPr="00442A3B" w:rsidRDefault="00B050FA" w:rsidP="00140373">
            <w:pPr>
              <w:widowControl w:val="0"/>
            </w:pPr>
            <w:r w:rsidRPr="00442A3B">
              <w:t xml:space="preserve">The biggest effect of the transition to the new arrangements in this update </w:t>
            </w:r>
            <w:r w:rsidR="00AD0612" w:rsidRPr="00442A3B">
              <w:t xml:space="preserve">was </w:t>
            </w:r>
            <w:r w:rsidRPr="00442A3B">
              <w:t>to increase Western</w:t>
            </w:r>
            <w:r w:rsidR="00061989" w:rsidRPr="00442A3B">
              <w:t> </w:t>
            </w:r>
            <w:r w:rsidRPr="00442A3B">
              <w:t xml:space="preserve">Australia’s GST </w:t>
            </w:r>
            <w:r w:rsidR="00B70256" w:rsidRPr="00442A3B">
              <w:t>distribution</w:t>
            </w:r>
            <w:r w:rsidRPr="00442A3B">
              <w:t xml:space="preserve"> by $629 million, partially offsetting other developments, such as strong growth in iron ore royalties, which reduced its relative GST requirement.</w:t>
            </w:r>
            <w:r w:rsidRPr="00442A3B">
              <w:rPr>
                <w:vertAlign w:val="superscript"/>
              </w:rPr>
              <w:t xml:space="preserve"> </w:t>
            </w:r>
            <w:r w:rsidR="008531DB" w:rsidRPr="00442A3B">
              <w:t xml:space="preserve"> Under the new arrangements, the </w:t>
            </w:r>
            <w:r w:rsidR="00A66AFC" w:rsidRPr="00442A3B">
              <w:t>Commonwealth</w:t>
            </w:r>
            <w:r w:rsidR="008531DB" w:rsidRPr="00442A3B">
              <w:t xml:space="preserve"> will make supplementary payments outside the GST pool to Western Australia to give it an outcome equivalent to a relativity of 0.70.</w:t>
            </w:r>
            <w:r w:rsidR="00932D44" w:rsidRPr="00442A3B">
              <w:rPr>
                <w:vertAlign w:val="superscript"/>
              </w:rPr>
              <w:footnoteReference w:id="3"/>
            </w:r>
            <w:r w:rsidR="002476AA" w:rsidRPr="00442A3B">
              <w:t xml:space="preserve"> This </w:t>
            </w:r>
            <w:r w:rsidR="00A62FA7" w:rsidRPr="00442A3B">
              <w:t xml:space="preserve">is </w:t>
            </w:r>
            <w:r w:rsidR="002476AA" w:rsidRPr="00442A3B">
              <w:t xml:space="preserve">the third year of this </w:t>
            </w:r>
            <w:r w:rsidR="00D877DF" w:rsidRPr="00442A3B">
              <w:t>approach</w:t>
            </w:r>
            <w:r w:rsidR="002476AA" w:rsidRPr="00442A3B">
              <w:t xml:space="preserve">. From 2022-23, </w:t>
            </w:r>
            <w:r w:rsidR="00700BBC" w:rsidRPr="00442A3B">
              <w:t xml:space="preserve">any </w:t>
            </w:r>
            <w:r w:rsidR="0094495B" w:rsidRPr="00442A3B">
              <w:t xml:space="preserve">such </w:t>
            </w:r>
            <w:r w:rsidR="00700BBC" w:rsidRPr="00442A3B">
              <w:t xml:space="preserve">payment to </w:t>
            </w:r>
            <w:r w:rsidR="002C389A" w:rsidRPr="00442A3B">
              <w:t xml:space="preserve">a State </w:t>
            </w:r>
            <w:r w:rsidR="002476AA" w:rsidRPr="00442A3B">
              <w:t>will be funded from within the GS</w:t>
            </w:r>
            <w:r w:rsidR="00223270" w:rsidRPr="00442A3B">
              <w:t>T</w:t>
            </w:r>
            <w:r w:rsidR="002476AA" w:rsidRPr="00442A3B">
              <w:t xml:space="preserve"> pool.</w:t>
            </w:r>
            <w:r w:rsidR="00080FA7" w:rsidRPr="00442A3B">
              <w:t xml:space="preserve"> The </w:t>
            </w:r>
            <w:r w:rsidR="00140373" w:rsidRPr="00442A3B">
              <w:t>transition includes</w:t>
            </w:r>
            <w:r w:rsidR="00C939B9" w:rsidRPr="00442A3B">
              <w:t xml:space="preserve"> a ‘no worse off’ guarantee to ensure that no State receives less GST than it would have received </w:t>
            </w:r>
            <w:r w:rsidR="004C2E2D" w:rsidRPr="00442A3B">
              <w:t>in the absence of the new arrangements.</w:t>
            </w:r>
            <w:r w:rsidR="00650C1B" w:rsidRPr="00442A3B">
              <w:t xml:space="preserve"> The guarantee </w:t>
            </w:r>
            <w:r w:rsidR="00140373" w:rsidRPr="00442A3B">
              <w:t xml:space="preserve">starts in 2021-22 and </w:t>
            </w:r>
            <w:r w:rsidR="00EF6633" w:rsidRPr="00442A3B">
              <w:t xml:space="preserve">runs </w:t>
            </w:r>
            <w:r w:rsidR="003C6CB5" w:rsidRPr="00442A3B">
              <w:t>until</w:t>
            </w:r>
            <w:r w:rsidR="00EF6633" w:rsidRPr="00442A3B">
              <w:t xml:space="preserve"> 2026-27</w:t>
            </w:r>
            <w:r w:rsidR="00140373" w:rsidRPr="00442A3B">
              <w:t>. Any</w:t>
            </w:r>
            <w:r w:rsidR="002B6A32" w:rsidRPr="00442A3B">
              <w:t xml:space="preserve"> </w:t>
            </w:r>
            <w:r w:rsidR="00F46DAD" w:rsidRPr="00442A3B">
              <w:t>‘</w:t>
            </w:r>
            <w:r w:rsidR="00AB651D" w:rsidRPr="00442A3B">
              <w:t>no worse off</w:t>
            </w:r>
            <w:r w:rsidR="00F46DAD" w:rsidRPr="00442A3B">
              <w:t>’ amount</w:t>
            </w:r>
            <w:r w:rsidR="002B6A32" w:rsidRPr="00442A3B">
              <w:t>s</w:t>
            </w:r>
            <w:r w:rsidR="00140373" w:rsidRPr="00442A3B">
              <w:t xml:space="preserve"> will be calculated</w:t>
            </w:r>
            <w:r w:rsidR="004A6640" w:rsidRPr="00442A3B">
              <w:t xml:space="preserve"> </w:t>
            </w:r>
            <w:r w:rsidR="00F46DAD" w:rsidRPr="00442A3B">
              <w:t>in accordance with the legislation</w:t>
            </w:r>
            <w:r w:rsidR="007F4ED7" w:rsidRPr="00442A3B">
              <w:t xml:space="preserve"> and funded by the Commonwealth</w:t>
            </w:r>
            <w:r w:rsidR="00F46DAD" w:rsidRPr="00442A3B">
              <w:t xml:space="preserve">. </w:t>
            </w:r>
          </w:p>
          <w:p w14:paraId="09C52A01" w14:textId="19893F4E" w:rsidR="00B050FA" w:rsidRPr="00442A3B" w:rsidRDefault="00B050FA" w:rsidP="00140373">
            <w:pPr>
              <w:pStyle w:val="Heading6"/>
              <w:keepNext w:val="0"/>
              <w:keepLines w:val="0"/>
              <w:widowControl w:val="0"/>
              <w:outlineLvl w:val="5"/>
            </w:pPr>
            <w:r w:rsidRPr="00442A3B">
              <w:lastRenderedPageBreak/>
              <w:t xml:space="preserve">Overview of the </w:t>
            </w:r>
            <w:r w:rsidR="005909B1" w:rsidRPr="00442A3B">
              <w:t>2021 Update</w:t>
            </w:r>
          </w:p>
          <w:p w14:paraId="6BE92EDE" w14:textId="05632B0C" w:rsidR="00B050FA" w:rsidRPr="00442A3B" w:rsidRDefault="00B050FA" w:rsidP="00140373">
            <w:pPr>
              <w:widowControl w:val="0"/>
            </w:pPr>
            <w:r w:rsidRPr="00442A3B">
              <w:t xml:space="preserve">The table below shows the impact of the recommended changes in this update on </w:t>
            </w:r>
            <w:r w:rsidR="00952BCE" w:rsidRPr="00442A3B">
              <w:t>the</w:t>
            </w:r>
            <w:r w:rsidR="009E5B14" w:rsidRPr="00442A3B">
              <w:t xml:space="preserve"> State</w:t>
            </w:r>
            <w:r w:rsidR="00952BCE" w:rsidRPr="00442A3B">
              <w:t xml:space="preserve"> distribution of</w:t>
            </w:r>
            <w:r w:rsidRPr="00442A3B">
              <w:t xml:space="preserve"> the estimated GST pool from 2020-21 to 2021-22.</w:t>
            </w:r>
            <w:r w:rsidR="0095733D" w:rsidRPr="00442A3B">
              <w:t xml:space="preserve"> </w:t>
            </w:r>
            <w:r w:rsidR="0021529B" w:rsidRPr="00442A3B">
              <w:t>T</w:t>
            </w:r>
            <w:r w:rsidR="0095733D" w:rsidRPr="00442A3B">
              <w:t xml:space="preserve">he change between years includes the impact of </w:t>
            </w:r>
            <w:r w:rsidR="00DF62BA" w:rsidRPr="00442A3B">
              <w:t>changes in States’ circumstances, data revisions and the introduction of the new arrangements.</w:t>
            </w:r>
          </w:p>
          <w:p w14:paraId="4BBAA2E0" w14:textId="77777777" w:rsidR="00A67995" w:rsidRPr="00442A3B" w:rsidRDefault="00A67995" w:rsidP="00DC2FCE">
            <w:pPr>
              <w:pStyle w:val="Caption"/>
              <w:spacing w:before="120"/>
            </w:pPr>
            <w:r w:rsidRPr="00442A3B">
              <w:t>Change in distribution of GST from 2020-21 to 2021-22</w:t>
            </w:r>
          </w:p>
          <w:tbl>
            <w:tblPr>
              <w:tblW w:w="8810" w:type="dxa"/>
              <w:tblCellMar>
                <w:left w:w="28" w:type="dxa"/>
                <w:right w:w="28" w:type="dxa"/>
              </w:tblCellMar>
              <w:tblLook w:val="04A0" w:firstRow="1" w:lastRow="0" w:firstColumn="1" w:lastColumn="0" w:noHBand="0" w:noVBand="1"/>
            </w:tblPr>
            <w:tblGrid>
              <w:gridCol w:w="2305"/>
              <w:gridCol w:w="709"/>
              <w:gridCol w:w="805"/>
              <w:gridCol w:w="713"/>
              <w:gridCol w:w="713"/>
              <w:gridCol w:w="713"/>
              <w:gridCol w:w="713"/>
              <w:gridCol w:w="713"/>
              <w:gridCol w:w="713"/>
              <w:gridCol w:w="713"/>
            </w:tblGrid>
            <w:tr w:rsidR="00A67995" w:rsidRPr="00442A3B" w14:paraId="67FAD625" w14:textId="77777777" w:rsidTr="00430F34">
              <w:trPr>
                <w:cantSplit/>
                <w:trHeight w:val="375"/>
              </w:trPr>
              <w:tc>
                <w:tcPr>
                  <w:tcW w:w="2305" w:type="dxa"/>
                  <w:tcBorders>
                    <w:top w:val="single" w:sz="4" w:space="0" w:color="ADD6EA"/>
                    <w:left w:val="nil"/>
                    <w:bottom w:val="single" w:sz="4" w:space="0" w:color="ADD6EA"/>
                    <w:right w:val="nil"/>
                  </w:tcBorders>
                  <w:shd w:val="clear" w:color="000000" w:fill="006991"/>
                  <w:noWrap/>
                  <w:vAlign w:val="center"/>
                  <w:hideMark/>
                </w:tcPr>
                <w:p w14:paraId="52075805" w14:textId="77777777" w:rsidR="00A67995" w:rsidRPr="00442A3B" w:rsidRDefault="00A67995" w:rsidP="000C17EE">
                  <w:pPr>
                    <w:pStyle w:val="CGCTableHeading"/>
                    <w:rPr>
                      <w:rFonts w:ascii="Cambria" w:eastAsia="MS Mincho" w:hAnsi="Cambria" w:cs="Cambria"/>
                      <w:b/>
                      <w:color w:val="FFFFFF"/>
                      <w:szCs w:val="16"/>
                      <w:lang w:eastAsia="en-AU"/>
                    </w:rPr>
                  </w:pPr>
                  <w:r w:rsidRPr="00442A3B">
                    <w:rPr>
                      <w:lang w:eastAsia="en-AU"/>
                    </w:rPr>
                    <w:t> </w:t>
                  </w:r>
                </w:p>
              </w:tc>
              <w:tc>
                <w:tcPr>
                  <w:tcW w:w="709" w:type="dxa"/>
                  <w:tcBorders>
                    <w:top w:val="single" w:sz="4" w:space="0" w:color="ADD6EA"/>
                    <w:left w:val="nil"/>
                    <w:bottom w:val="single" w:sz="4" w:space="0" w:color="ADD6EA"/>
                    <w:right w:val="nil"/>
                  </w:tcBorders>
                  <w:shd w:val="clear" w:color="000000" w:fill="006991"/>
                  <w:noWrap/>
                  <w:vAlign w:val="center"/>
                  <w:hideMark/>
                </w:tcPr>
                <w:p w14:paraId="7EC8A030" w14:textId="77777777" w:rsidR="00A67995" w:rsidRPr="00442A3B" w:rsidRDefault="00A67995" w:rsidP="00703EDD">
                  <w:pPr>
                    <w:pStyle w:val="CGCTableHeading"/>
                    <w:jc w:val="right"/>
                    <w:rPr>
                      <w:rFonts w:ascii="Cambria" w:eastAsia="MS Mincho" w:hAnsi="Cambria" w:cs="Cambria"/>
                      <w:b/>
                      <w:color w:val="FFFFFF"/>
                      <w:szCs w:val="16"/>
                      <w:lang w:eastAsia="en-AU"/>
                    </w:rPr>
                  </w:pPr>
                  <w:r w:rsidRPr="00442A3B">
                    <w:rPr>
                      <w:lang w:eastAsia="en-AU"/>
                    </w:rPr>
                    <w:t>NSW</w:t>
                  </w:r>
                </w:p>
              </w:tc>
              <w:tc>
                <w:tcPr>
                  <w:tcW w:w="805" w:type="dxa"/>
                  <w:tcBorders>
                    <w:top w:val="single" w:sz="4" w:space="0" w:color="ADD6EA"/>
                    <w:left w:val="nil"/>
                    <w:bottom w:val="single" w:sz="4" w:space="0" w:color="ADD6EA"/>
                    <w:right w:val="nil"/>
                  </w:tcBorders>
                  <w:shd w:val="clear" w:color="000000" w:fill="006991"/>
                  <w:noWrap/>
                  <w:vAlign w:val="center"/>
                  <w:hideMark/>
                </w:tcPr>
                <w:p w14:paraId="71B6529C" w14:textId="77777777" w:rsidR="00A67995" w:rsidRPr="00442A3B" w:rsidRDefault="00A67995" w:rsidP="00703EDD">
                  <w:pPr>
                    <w:pStyle w:val="CGCTableHeading"/>
                    <w:jc w:val="right"/>
                    <w:rPr>
                      <w:rFonts w:ascii="Cambria" w:eastAsia="MS Mincho" w:hAnsi="Cambria" w:cs="Cambria"/>
                      <w:b/>
                      <w:color w:val="FFFFFF"/>
                      <w:szCs w:val="16"/>
                      <w:lang w:eastAsia="en-AU"/>
                    </w:rPr>
                  </w:pPr>
                  <w:r w:rsidRPr="00442A3B">
                    <w:rPr>
                      <w:lang w:eastAsia="en-AU"/>
                    </w:rPr>
                    <w:t>Vic</w:t>
                  </w:r>
                </w:p>
              </w:tc>
              <w:tc>
                <w:tcPr>
                  <w:tcW w:w="713" w:type="dxa"/>
                  <w:tcBorders>
                    <w:top w:val="single" w:sz="4" w:space="0" w:color="ADD6EA"/>
                    <w:left w:val="nil"/>
                    <w:bottom w:val="single" w:sz="4" w:space="0" w:color="ADD6EA"/>
                    <w:right w:val="nil"/>
                  </w:tcBorders>
                  <w:shd w:val="clear" w:color="000000" w:fill="006991"/>
                  <w:noWrap/>
                  <w:vAlign w:val="center"/>
                  <w:hideMark/>
                </w:tcPr>
                <w:p w14:paraId="7A8C3091" w14:textId="77777777" w:rsidR="00A67995" w:rsidRPr="00442A3B" w:rsidRDefault="00A67995" w:rsidP="00703EDD">
                  <w:pPr>
                    <w:pStyle w:val="CGCTableHeading"/>
                    <w:jc w:val="right"/>
                    <w:rPr>
                      <w:rFonts w:ascii="Cambria" w:eastAsia="MS Mincho" w:hAnsi="Cambria" w:cs="Cambria"/>
                      <w:b/>
                      <w:color w:val="FFFFFF"/>
                      <w:szCs w:val="16"/>
                      <w:lang w:eastAsia="en-AU"/>
                    </w:rPr>
                  </w:pPr>
                  <w:r w:rsidRPr="00442A3B">
                    <w:rPr>
                      <w:lang w:eastAsia="en-AU"/>
                    </w:rPr>
                    <w:t>Qld</w:t>
                  </w:r>
                </w:p>
              </w:tc>
              <w:tc>
                <w:tcPr>
                  <w:tcW w:w="713" w:type="dxa"/>
                  <w:tcBorders>
                    <w:top w:val="single" w:sz="4" w:space="0" w:color="ADD6EA"/>
                    <w:left w:val="nil"/>
                    <w:bottom w:val="single" w:sz="4" w:space="0" w:color="ADD6EA"/>
                    <w:right w:val="nil"/>
                  </w:tcBorders>
                  <w:shd w:val="clear" w:color="000000" w:fill="006991"/>
                  <w:noWrap/>
                  <w:vAlign w:val="center"/>
                  <w:hideMark/>
                </w:tcPr>
                <w:p w14:paraId="6F301B4A" w14:textId="77777777" w:rsidR="00A67995" w:rsidRPr="00442A3B" w:rsidRDefault="00A67995" w:rsidP="00703EDD">
                  <w:pPr>
                    <w:pStyle w:val="CGCTableHeading"/>
                    <w:jc w:val="right"/>
                    <w:rPr>
                      <w:rFonts w:ascii="Cambria" w:eastAsia="MS Mincho" w:hAnsi="Cambria" w:cs="Cambria"/>
                      <w:b/>
                      <w:color w:val="FFFFFF"/>
                      <w:szCs w:val="16"/>
                      <w:lang w:eastAsia="en-AU"/>
                    </w:rPr>
                  </w:pPr>
                  <w:r w:rsidRPr="00442A3B">
                    <w:rPr>
                      <w:lang w:eastAsia="en-AU"/>
                    </w:rPr>
                    <w:t>WA</w:t>
                  </w:r>
                </w:p>
              </w:tc>
              <w:tc>
                <w:tcPr>
                  <w:tcW w:w="713" w:type="dxa"/>
                  <w:tcBorders>
                    <w:top w:val="single" w:sz="4" w:space="0" w:color="ADD6EA"/>
                    <w:left w:val="nil"/>
                    <w:bottom w:val="single" w:sz="4" w:space="0" w:color="ADD6EA"/>
                    <w:right w:val="nil"/>
                  </w:tcBorders>
                  <w:shd w:val="clear" w:color="000000" w:fill="006991"/>
                  <w:noWrap/>
                  <w:vAlign w:val="center"/>
                  <w:hideMark/>
                </w:tcPr>
                <w:p w14:paraId="2393E663" w14:textId="77777777" w:rsidR="00A67995" w:rsidRPr="00442A3B" w:rsidRDefault="00A67995" w:rsidP="00703EDD">
                  <w:pPr>
                    <w:pStyle w:val="CGCTableHeading"/>
                    <w:jc w:val="right"/>
                    <w:rPr>
                      <w:rFonts w:ascii="Cambria" w:eastAsia="MS Mincho" w:hAnsi="Cambria" w:cs="Cambria"/>
                      <w:b/>
                      <w:color w:val="FFFFFF"/>
                      <w:szCs w:val="16"/>
                      <w:lang w:eastAsia="en-AU"/>
                    </w:rPr>
                  </w:pPr>
                  <w:r w:rsidRPr="00442A3B">
                    <w:rPr>
                      <w:lang w:eastAsia="en-AU"/>
                    </w:rPr>
                    <w:t>SA</w:t>
                  </w:r>
                </w:p>
              </w:tc>
              <w:tc>
                <w:tcPr>
                  <w:tcW w:w="713" w:type="dxa"/>
                  <w:tcBorders>
                    <w:top w:val="single" w:sz="4" w:space="0" w:color="ADD6EA"/>
                    <w:left w:val="nil"/>
                    <w:bottom w:val="single" w:sz="4" w:space="0" w:color="ADD6EA"/>
                    <w:right w:val="nil"/>
                  </w:tcBorders>
                  <w:shd w:val="clear" w:color="000000" w:fill="006991"/>
                  <w:noWrap/>
                  <w:vAlign w:val="center"/>
                  <w:hideMark/>
                </w:tcPr>
                <w:p w14:paraId="7BFA2B38" w14:textId="77777777" w:rsidR="00A67995" w:rsidRPr="00442A3B" w:rsidRDefault="00A67995" w:rsidP="00703EDD">
                  <w:pPr>
                    <w:pStyle w:val="CGCTableHeading"/>
                    <w:jc w:val="right"/>
                    <w:rPr>
                      <w:rFonts w:ascii="Cambria" w:eastAsia="MS Mincho" w:hAnsi="Cambria" w:cs="Cambria"/>
                      <w:b/>
                      <w:color w:val="FFFFFF"/>
                      <w:szCs w:val="16"/>
                      <w:lang w:eastAsia="en-AU"/>
                    </w:rPr>
                  </w:pPr>
                  <w:r w:rsidRPr="00442A3B">
                    <w:rPr>
                      <w:lang w:eastAsia="en-AU"/>
                    </w:rPr>
                    <w:t>Tas</w:t>
                  </w:r>
                </w:p>
              </w:tc>
              <w:tc>
                <w:tcPr>
                  <w:tcW w:w="713" w:type="dxa"/>
                  <w:tcBorders>
                    <w:top w:val="single" w:sz="4" w:space="0" w:color="ADD6EA"/>
                    <w:left w:val="nil"/>
                    <w:bottom w:val="single" w:sz="4" w:space="0" w:color="ADD6EA"/>
                    <w:right w:val="nil"/>
                  </w:tcBorders>
                  <w:shd w:val="clear" w:color="000000" w:fill="006991"/>
                  <w:noWrap/>
                  <w:vAlign w:val="center"/>
                  <w:hideMark/>
                </w:tcPr>
                <w:p w14:paraId="4758F995" w14:textId="77777777" w:rsidR="00A67995" w:rsidRPr="00442A3B" w:rsidRDefault="00A67995" w:rsidP="00703EDD">
                  <w:pPr>
                    <w:pStyle w:val="CGCTableHeading"/>
                    <w:jc w:val="right"/>
                    <w:rPr>
                      <w:rFonts w:ascii="Cambria" w:eastAsia="MS Mincho" w:hAnsi="Cambria" w:cs="Cambria"/>
                      <w:b/>
                      <w:color w:val="FFFFFF"/>
                      <w:szCs w:val="16"/>
                      <w:lang w:eastAsia="en-AU"/>
                    </w:rPr>
                  </w:pPr>
                  <w:r w:rsidRPr="00442A3B">
                    <w:rPr>
                      <w:lang w:eastAsia="en-AU"/>
                    </w:rPr>
                    <w:t>ACT</w:t>
                  </w:r>
                </w:p>
              </w:tc>
              <w:tc>
                <w:tcPr>
                  <w:tcW w:w="713" w:type="dxa"/>
                  <w:tcBorders>
                    <w:top w:val="single" w:sz="4" w:space="0" w:color="ADD6EA"/>
                    <w:left w:val="nil"/>
                    <w:bottom w:val="single" w:sz="4" w:space="0" w:color="ADD6EA"/>
                    <w:right w:val="nil"/>
                  </w:tcBorders>
                  <w:shd w:val="clear" w:color="000000" w:fill="006991"/>
                  <w:noWrap/>
                  <w:vAlign w:val="center"/>
                  <w:hideMark/>
                </w:tcPr>
                <w:p w14:paraId="3B6B94E2" w14:textId="77777777" w:rsidR="00A67995" w:rsidRPr="00442A3B" w:rsidRDefault="00A67995" w:rsidP="00703EDD">
                  <w:pPr>
                    <w:pStyle w:val="CGCTableHeading"/>
                    <w:jc w:val="right"/>
                    <w:rPr>
                      <w:rFonts w:ascii="Cambria" w:eastAsia="MS Mincho" w:hAnsi="Cambria" w:cs="Cambria"/>
                      <w:b/>
                      <w:color w:val="FFFFFF"/>
                      <w:szCs w:val="16"/>
                      <w:lang w:eastAsia="en-AU"/>
                    </w:rPr>
                  </w:pPr>
                  <w:r w:rsidRPr="00442A3B">
                    <w:rPr>
                      <w:lang w:eastAsia="en-AU"/>
                    </w:rPr>
                    <w:t>NT</w:t>
                  </w:r>
                </w:p>
              </w:tc>
              <w:tc>
                <w:tcPr>
                  <w:tcW w:w="713" w:type="dxa"/>
                  <w:tcBorders>
                    <w:top w:val="single" w:sz="4" w:space="0" w:color="ADD6EA"/>
                    <w:left w:val="nil"/>
                    <w:bottom w:val="single" w:sz="4" w:space="0" w:color="ADD6EA"/>
                    <w:right w:val="nil"/>
                  </w:tcBorders>
                  <w:shd w:val="clear" w:color="000000" w:fill="006991"/>
                  <w:noWrap/>
                  <w:vAlign w:val="center"/>
                  <w:hideMark/>
                </w:tcPr>
                <w:p w14:paraId="293B6E15" w14:textId="77777777" w:rsidR="00A67995" w:rsidRPr="00442A3B" w:rsidRDefault="00A67995" w:rsidP="00703EDD">
                  <w:pPr>
                    <w:pStyle w:val="CGCTableHeading"/>
                    <w:jc w:val="right"/>
                    <w:rPr>
                      <w:rFonts w:ascii="Cambria" w:eastAsia="MS Mincho" w:hAnsi="Cambria" w:cs="Cambria"/>
                      <w:b/>
                      <w:color w:val="FFFFFF"/>
                      <w:szCs w:val="16"/>
                      <w:lang w:eastAsia="en-AU"/>
                    </w:rPr>
                  </w:pPr>
                  <w:r w:rsidRPr="00442A3B">
                    <w:rPr>
                      <w:lang w:eastAsia="en-AU"/>
                    </w:rPr>
                    <w:t>Total</w:t>
                  </w:r>
                </w:p>
              </w:tc>
            </w:tr>
            <w:tr w:rsidR="000C17EE" w:rsidRPr="00442A3B" w14:paraId="4E5E2F3B" w14:textId="77777777" w:rsidTr="00430F34">
              <w:trPr>
                <w:cantSplit/>
                <w:trHeight w:val="259"/>
              </w:trPr>
              <w:tc>
                <w:tcPr>
                  <w:tcW w:w="2305" w:type="dxa"/>
                  <w:tcBorders>
                    <w:top w:val="nil"/>
                    <w:left w:val="nil"/>
                    <w:bottom w:val="single" w:sz="4" w:space="0" w:color="ADD6EA"/>
                    <w:right w:val="nil"/>
                  </w:tcBorders>
                  <w:shd w:val="clear" w:color="000000" w:fill="B6D5E4"/>
                  <w:noWrap/>
                  <w:vAlign w:val="bottom"/>
                  <w:hideMark/>
                </w:tcPr>
                <w:p w14:paraId="1CF64454" w14:textId="77777777" w:rsidR="00A67995" w:rsidRPr="00442A3B" w:rsidRDefault="00A67995" w:rsidP="000C17EE">
                  <w:pPr>
                    <w:pStyle w:val="CGCTableHeading"/>
                    <w:rPr>
                      <w:color w:val="auto"/>
                    </w:rPr>
                  </w:pPr>
                  <w:r w:rsidRPr="00442A3B">
                    <w:rPr>
                      <w:color w:val="auto"/>
                    </w:rPr>
                    <w:t> </w:t>
                  </w:r>
                </w:p>
              </w:tc>
              <w:tc>
                <w:tcPr>
                  <w:tcW w:w="709" w:type="dxa"/>
                  <w:tcBorders>
                    <w:top w:val="nil"/>
                    <w:left w:val="nil"/>
                    <w:bottom w:val="single" w:sz="4" w:space="0" w:color="ADD6EA"/>
                    <w:right w:val="nil"/>
                  </w:tcBorders>
                  <w:shd w:val="clear" w:color="000000" w:fill="B6D5E4"/>
                  <w:noWrap/>
                  <w:vAlign w:val="center"/>
                  <w:hideMark/>
                </w:tcPr>
                <w:p w14:paraId="2EA7F9CC" w14:textId="77777777" w:rsidR="00A67995" w:rsidRPr="00442A3B" w:rsidRDefault="00A67995" w:rsidP="00703EDD">
                  <w:pPr>
                    <w:pStyle w:val="CGCTableHeading"/>
                    <w:jc w:val="right"/>
                    <w:rPr>
                      <w:color w:val="auto"/>
                    </w:rPr>
                  </w:pPr>
                  <w:r w:rsidRPr="00442A3B">
                    <w:rPr>
                      <w:color w:val="auto"/>
                    </w:rPr>
                    <w:t>$m</w:t>
                  </w:r>
                </w:p>
              </w:tc>
              <w:tc>
                <w:tcPr>
                  <w:tcW w:w="805" w:type="dxa"/>
                  <w:tcBorders>
                    <w:top w:val="nil"/>
                    <w:left w:val="nil"/>
                    <w:bottom w:val="single" w:sz="4" w:space="0" w:color="ADD6EA"/>
                    <w:right w:val="nil"/>
                  </w:tcBorders>
                  <w:shd w:val="clear" w:color="000000" w:fill="B6D5E4"/>
                  <w:noWrap/>
                  <w:vAlign w:val="center"/>
                  <w:hideMark/>
                </w:tcPr>
                <w:p w14:paraId="7D26D22F" w14:textId="77777777" w:rsidR="00A67995" w:rsidRPr="00442A3B" w:rsidRDefault="00A67995" w:rsidP="00703EDD">
                  <w:pPr>
                    <w:pStyle w:val="CGCTableHeading"/>
                    <w:jc w:val="right"/>
                    <w:rPr>
                      <w:color w:val="auto"/>
                    </w:rPr>
                  </w:pPr>
                  <w:r w:rsidRPr="00442A3B">
                    <w:rPr>
                      <w:color w:val="auto"/>
                    </w:rPr>
                    <w:t>$m</w:t>
                  </w:r>
                </w:p>
              </w:tc>
              <w:tc>
                <w:tcPr>
                  <w:tcW w:w="713" w:type="dxa"/>
                  <w:tcBorders>
                    <w:top w:val="nil"/>
                    <w:left w:val="nil"/>
                    <w:bottom w:val="single" w:sz="4" w:space="0" w:color="ADD6EA"/>
                    <w:right w:val="nil"/>
                  </w:tcBorders>
                  <w:shd w:val="clear" w:color="000000" w:fill="B6D5E4"/>
                  <w:noWrap/>
                  <w:vAlign w:val="center"/>
                  <w:hideMark/>
                </w:tcPr>
                <w:p w14:paraId="555A556D" w14:textId="77777777" w:rsidR="00A67995" w:rsidRPr="00442A3B" w:rsidRDefault="00A67995" w:rsidP="00703EDD">
                  <w:pPr>
                    <w:pStyle w:val="CGCTableHeading"/>
                    <w:jc w:val="right"/>
                    <w:rPr>
                      <w:color w:val="auto"/>
                    </w:rPr>
                  </w:pPr>
                  <w:r w:rsidRPr="00442A3B">
                    <w:rPr>
                      <w:color w:val="auto"/>
                    </w:rPr>
                    <w:t>$m</w:t>
                  </w:r>
                </w:p>
              </w:tc>
              <w:tc>
                <w:tcPr>
                  <w:tcW w:w="713" w:type="dxa"/>
                  <w:tcBorders>
                    <w:top w:val="nil"/>
                    <w:left w:val="nil"/>
                    <w:bottom w:val="single" w:sz="4" w:space="0" w:color="ADD6EA"/>
                    <w:right w:val="nil"/>
                  </w:tcBorders>
                  <w:shd w:val="clear" w:color="000000" w:fill="B6D5E4"/>
                  <w:noWrap/>
                  <w:vAlign w:val="center"/>
                  <w:hideMark/>
                </w:tcPr>
                <w:p w14:paraId="058C1649" w14:textId="77777777" w:rsidR="00A67995" w:rsidRPr="00442A3B" w:rsidRDefault="00A67995" w:rsidP="00703EDD">
                  <w:pPr>
                    <w:pStyle w:val="CGCTableHeading"/>
                    <w:jc w:val="right"/>
                    <w:rPr>
                      <w:color w:val="auto"/>
                    </w:rPr>
                  </w:pPr>
                  <w:r w:rsidRPr="00442A3B">
                    <w:rPr>
                      <w:color w:val="auto"/>
                    </w:rPr>
                    <w:t>$m</w:t>
                  </w:r>
                </w:p>
              </w:tc>
              <w:tc>
                <w:tcPr>
                  <w:tcW w:w="713" w:type="dxa"/>
                  <w:tcBorders>
                    <w:top w:val="nil"/>
                    <w:left w:val="nil"/>
                    <w:bottom w:val="single" w:sz="4" w:space="0" w:color="ADD6EA"/>
                    <w:right w:val="nil"/>
                  </w:tcBorders>
                  <w:shd w:val="clear" w:color="000000" w:fill="B6D5E4"/>
                  <w:noWrap/>
                  <w:vAlign w:val="center"/>
                  <w:hideMark/>
                </w:tcPr>
                <w:p w14:paraId="6A3FA045" w14:textId="77777777" w:rsidR="00A67995" w:rsidRPr="00442A3B" w:rsidRDefault="00A67995" w:rsidP="00703EDD">
                  <w:pPr>
                    <w:pStyle w:val="CGCTableHeading"/>
                    <w:jc w:val="right"/>
                    <w:rPr>
                      <w:color w:val="auto"/>
                    </w:rPr>
                  </w:pPr>
                  <w:r w:rsidRPr="00442A3B">
                    <w:rPr>
                      <w:color w:val="auto"/>
                    </w:rPr>
                    <w:t>$m</w:t>
                  </w:r>
                </w:p>
              </w:tc>
              <w:tc>
                <w:tcPr>
                  <w:tcW w:w="713" w:type="dxa"/>
                  <w:tcBorders>
                    <w:top w:val="nil"/>
                    <w:left w:val="nil"/>
                    <w:bottom w:val="single" w:sz="4" w:space="0" w:color="ADD6EA"/>
                    <w:right w:val="nil"/>
                  </w:tcBorders>
                  <w:shd w:val="clear" w:color="000000" w:fill="B6D5E4"/>
                  <w:noWrap/>
                  <w:vAlign w:val="center"/>
                  <w:hideMark/>
                </w:tcPr>
                <w:p w14:paraId="25F46849" w14:textId="77777777" w:rsidR="00A67995" w:rsidRPr="00442A3B" w:rsidRDefault="00A67995" w:rsidP="00703EDD">
                  <w:pPr>
                    <w:pStyle w:val="CGCTableHeading"/>
                    <w:jc w:val="right"/>
                    <w:rPr>
                      <w:color w:val="auto"/>
                    </w:rPr>
                  </w:pPr>
                  <w:r w:rsidRPr="00442A3B">
                    <w:rPr>
                      <w:color w:val="auto"/>
                    </w:rPr>
                    <w:t>$m</w:t>
                  </w:r>
                </w:p>
              </w:tc>
              <w:tc>
                <w:tcPr>
                  <w:tcW w:w="713" w:type="dxa"/>
                  <w:tcBorders>
                    <w:top w:val="nil"/>
                    <w:left w:val="nil"/>
                    <w:bottom w:val="single" w:sz="4" w:space="0" w:color="ADD6EA"/>
                    <w:right w:val="nil"/>
                  </w:tcBorders>
                  <w:shd w:val="clear" w:color="000000" w:fill="B6D5E4"/>
                  <w:noWrap/>
                  <w:vAlign w:val="center"/>
                  <w:hideMark/>
                </w:tcPr>
                <w:p w14:paraId="2C517D9B" w14:textId="77777777" w:rsidR="00A67995" w:rsidRPr="00442A3B" w:rsidRDefault="00A67995" w:rsidP="00703EDD">
                  <w:pPr>
                    <w:pStyle w:val="CGCTableHeading"/>
                    <w:jc w:val="right"/>
                    <w:rPr>
                      <w:color w:val="auto"/>
                    </w:rPr>
                  </w:pPr>
                  <w:r w:rsidRPr="00442A3B">
                    <w:rPr>
                      <w:color w:val="auto"/>
                    </w:rPr>
                    <w:t>$m</w:t>
                  </w:r>
                </w:p>
              </w:tc>
              <w:tc>
                <w:tcPr>
                  <w:tcW w:w="713" w:type="dxa"/>
                  <w:tcBorders>
                    <w:top w:val="nil"/>
                    <w:left w:val="nil"/>
                    <w:bottom w:val="single" w:sz="4" w:space="0" w:color="ADD6EA"/>
                    <w:right w:val="nil"/>
                  </w:tcBorders>
                  <w:shd w:val="clear" w:color="000000" w:fill="B6D5E4"/>
                  <w:noWrap/>
                  <w:vAlign w:val="center"/>
                  <w:hideMark/>
                </w:tcPr>
                <w:p w14:paraId="4D4C68EB" w14:textId="77777777" w:rsidR="00A67995" w:rsidRPr="00442A3B" w:rsidRDefault="00A67995" w:rsidP="00703EDD">
                  <w:pPr>
                    <w:pStyle w:val="CGCTableHeading"/>
                    <w:jc w:val="right"/>
                    <w:rPr>
                      <w:color w:val="auto"/>
                    </w:rPr>
                  </w:pPr>
                  <w:r w:rsidRPr="00442A3B">
                    <w:rPr>
                      <w:color w:val="auto"/>
                    </w:rPr>
                    <w:t>$m</w:t>
                  </w:r>
                </w:p>
              </w:tc>
              <w:tc>
                <w:tcPr>
                  <w:tcW w:w="713" w:type="dxa"/>
                  <w:tcBorders>
                    <w:top w:val="nil"/>
                    <w:left w:val="nil"/>
                    <w:bottom w:val="single" w:sz="4" w:space="0" w:color="ADD6EA"/>
                    <w:right w:val="nil"/>
                  </w:tcBorders>
                  <w:shd w:val="clear" w:color="000000" w:fill="B6D5E4"/>
                  <w:noWrap/>
                  <w:vAlign w:val="center"/>
                  <w:hideMark/>
                </w:tcPr>
                <w:p w14:paraId="0761CF66" w14:textId="77777777" w:rsidR="00A67995" w:rsidRPr="00442A3B" w:rsidRDefault="00A67995" w:rsidP="00703EDD">
                  <w:pPr>
                    <w:pStyle w:val="CGCTableHeading"/>
                    <w:jc w:val="right"/>
                    <w:rPr>
                      <w:color w:val="auto"/>
                    </w:rPr>
                  </w:pPr>
                  <w:r w:rsidRPr="00442A3B">
                    <w:rPr>
                      <w:color w:val="auto"/>
                    </w:rPr>
                    <w:t>$m</w:t>
                  </w:r>
                </w:p>
              </w:tc>
            </w:tr>
            <w:tr w:rsidR="00A67995" w:rsidRPr="00442A3B" w14:paraId="35211519" w14:textId="77777777" w:rsidTr="00430F34">
              <w:trPr>
                <w:cantSplit/>
                <w:trHeight w:val="315"/>
              </w:trPr>
              <w:tc>
                <w:tcPr>
                  <w:tcW w:w="2305" w:type="dxa"/>
                  <w:tcBorders>
                    <w:top w:val="nil"/>
                    <w:left w:val="nil"/>
                    <w:bottom w:val="single" w:sz="4" w:space="0" w:color="ADD6EA"/>
                    <w:right w:val="nil"/>
                  </w:tcBorders>
                  <w:shd w:val="clear" w:color="auto" w:fill="auto"/>
                  <w:vAlign w:val="bottom"/>
                  <w:hideMark/>
                </w:tcPr>
                <w:p w14:paraId="0E46C699" w14:textId="77777777" w:rsidR="00A67995" w:rsidRPr="00442A3B" w:rsidRDefault="00A67995" w:rsidP="00A67995">
                  <w:pPr>
                    <w:keepNext/>
                    <w:keepLines/>
                    <w:pageBreakBefore/>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Estimated 2020-21 distribution</w:t>
                  </w:r>
                </w:p>
              </w:tc>
              <w:tc>
                <w:tcPr>
                  <w:tcW w:w="709" w:type="dxa"/>
                  <w:tcBorders>
                    <w:top w:val="nil"/>
                    <w:left w:val="nil"/>
                    <w:bottom w:val="single" w:sz="4" w:space="0" w:color="ADD6EA"/>
                    <w:right w:val="nil"/>
                  </w:tcBorders>
                  <w:shd w:val="clear" w:color="auto" w:fill="auto"/>
                  <w:vAlign w:val="bottom"/>
                  <w:hideMark/>
                </w:tcPr>
                <w:p w14:paraId="4C3D9F18" w14:textId="77777777" w:rsidR="00A67995" w:rsidRPr="00442A3B" w:rsidRDefault="00A67995" w:rsidP="00A67995">
                  <w:pPr>
                    <w:keepNext/>
                    <w:keepLines/>
                    <w:pageBreakBefore/>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18,453</w:t>
                  </w:r>
                </w:p>
              </w:tc>
              <w:tc>
                <w:tcPr>
                  <w:tcW w:w="805" w:type="dxa"/>
                  <w:tcBorders>
                    <w:top w:val="nil"/>
                    <w:left w:val="nil"/>
                    <w:bottom w:val="single" w:sz="4" w:space="0" w:color="ADD6EA"/>
                    <w:right w:val="nil"/>
                  </w:tcBorders>
                  <w:shd w:val="clear" w:color="auto" w:fill="auto"/>
                  <w:vAlign w:val="bottom"/>
                  <w:hideMark/>
                </w:tcPr>
                <w:p w14:paraId="730D2871" w14:textId="77777777" w:rsidR="00A67995" w:rsidRPr="00442A3B" w:rsidRDefault="00A67995" w:rsidP="00A67995">
                  <w:pPr>
                    <w:keepNext/>
                    <w:keepLines/>
                    <w:pageBreakBefore/>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15,876</w:t>
                  </w:r>
                </w:p>
              </w:tc>
              <w:tc>
                <w:tcPr>
                  <w:tcW w:w="713" w:type="dxa"/>
                  <w:tcBorders>
                    <w:top w:val="nil"/>
                    <w:left w:val="nil"/>
                    <w:bottom w:val="single" w:sz="4" w:space="0" w:color="ADD6EA"/>
                    <w:right w:val="nil"/>
                  </w:tcBorders>
                  <w:shd w:val="clear" w:color="auto" w:fill="auto"/>
                  <w:vAlign w:val="bottom"/>
                  <w:hideMark/>
                </w:tcPr>
                <w:p w14:paraId="5AD57740" w14:textId="77777777" w:rsidR="00A67995" w:rsidRPr="00442A3B" w:rsidRDefault="00A67995" w:rsidP="00A67995">
                  <w:pPr>
                    <w:keepNext/>
                    <w:keepLines/>
                    <w:pageBreakBefore/>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13,387</w:t>
                  </w:r>
                </w:p>
              </w:tc>
              <w:tc>
                <w:tcPr>
                  <w:tcW w:w="713" w:type="dxa"/>
                  <w:tcBorders>
                    <w:top w:val="nil"/>
                    <w:left w:val="nil"/>
                    <w:bottom w:val="single" w:sz="4" w:space="0" w:color="ADD6EA"/>
                    <w:right w:val="nil"/>
                  </w:tcBorders>
                  <w:shd w:val="clear" w:color="auto" w:fill="auto"/>
                  <w:vAlign w:val="bottom"/>
                  <w:hideMark/>
                </w:tcPr>
                <w:p w14:paraId="4A4CCA5C" w14:textId="77777777" w:rsidR="00A67995" w:rsidRPr="00442A3B" w:rsidRDefault="00A67995" w:rsidP="00A67995">
                  <w:pPr>
                    <w:keepNext/>
                    <w:keepLines/>
                    <w:pageBreakBefore/>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2,941</w:t>
                  </w:r>
                </w:p>
              </w:tc>
              <w:tc>
                <w:tcPr>
                  <w:tcW w:w="713" w:type="dxa"/>
                  <w:tcBorders>
                    <w:top w:val="nil"/>
                    <w:left w:val="nil"/>
                    <w:bottom w:val="single" w:sz="4" w:space="0" w:color="ADD6EA"/>
                    <w:right w:val="nil"/>
                  </w:tcBorders>
                  <w:shd w:val="clear" w:color="auto" w:fill="auto"/>
                  <w:vAlign w:val="bottom"/>
                  <w:hideMark/>
                </w:tcPr>
                <w:p w14:paraId="7EFC0BC7" w14:textId="77777777" w:rsidR="00A67995" w:rsidRPr="00442A3B" w:rsidRDefault="00A67995" w:rsidP="00A67995">
                  <w:pPr>
                    <w:keepNext/>
                    <w:keepLines/>
                    <w:pageBreakBefore/>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5,906</w:t>
                  </w:r>
                </w:p>
              </w:tc>
              <w:tc>
                <w:tcPr>
                  <w:tcW w:w="713" w:type="dxa"/>
                  <w:tcBorders>
                    <w:top w:val="nil"/>
                    <w:left w:val="nil"/>
                    <w:bottom w:val="single" w:sz="4" w:space="0" w:color="ADD6EA"/>
                    <w:right w:val="nil"/>
                  </w:tcBorders>
                  <w:shd w:val="clear" w:color="auto" w:fill="auto"/>
                  <w:vAlign w:val="bottom"/>
                  <w:hideMark/>
                </w:tcPr>
                <w:p w14:paraId="265CC1C3" w14:textId="77777777" w:rsidR="00A67995" w:rsidRPr="00442A3B" w:rsidRDefault="00A67995" w:rsidP="00A67995">
                  <w:pPr>
                    <w:keepNext/>
                    <w:keepLines/>
                    <w:pageBreakBefore/>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2,530</w:t>
                  </w:r>
                </w:p>
              </w:tc>
              <w:tc>
                <w:tcPr>
                  <w:tcW w:w="713" w:type="dxa"/>
                  <w:tcBorders>
                    <w:top w:val="nil"/>
                    <w:left w:val="nil"/>
                    <w:bottom w:val="single" w:sz="4" w:space="0" w:color="ADD6EA"/>
                    <w:right w:val="nil"/>
                  </w:tcBorders>
                  <w:shd w:val="clear" w:color="auto" w:fill="auto"/>
                  <w:vAlign w:val="bottom"/>
                  <w:hideMark/>
                </w:tcPr>
                <w:p w14:paraId="4F82220B" w14:textId="77777777" w:rsidR="00A67995" w:rsidRPr="00442A3B" w:rsidRDefault="00A67995" w:rsidP="00A67995">
                  <w:pPr>
                    <w:keepNext/>
                    <w:keepLines/>
                    <w:pageBreakBefore/>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1,222</w:t>
                  </w:r>
                </w:p>
              </w:tc>
              <w:tc>
                <w:tcPr>
                  <w:tcW w:w="713" w:type="dxa"/>
                  <w:tcBorders>
                    <w:top w:val="nil"/>
                    <w:left w:val="nil"/>
                    <w:bottom w:val="single" w:sz="4" w:space="0" w:color="ADD6EA"/>
                    <w:right w:val="nil"/>
                  </w:tcBorders>
                  <w:shd w:val="clear" w:color="auto" w:fill="auto"/>
                  <w:vAlign w:val="bottom"/>
                  <w:hideMark/>
                </w:tcPr>
                <w:p w14:paraId="4E60CF6B" w14:textId="77777777" w:rsidR="00A67995" w:rsidRPr="00442A3B" w:rsidRDefault="00A67995" w:rsidP="00A67995">
                  <w:pPr>
                    <w:keepNext/>
                    <w:keepLines/>
                    <w:pageBreakBefore/>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2,835</w:t>
                  </w:r>
                </w:p>
              </w:tc>
              <w:tc>
                <w:tcPr>
                  <w:tcW w:w="713" w:type="dxa"/>
                  <w:tcBorders>
                    <w:top w:val="nil"/>
                    <w:left w:val="nil"/>
                    <w:bottom w:val="single" w:sz="4" w:space="0" w:color="ADD6EA"/>
                    <w:right w:val="nil"/>
                  </w:tcBorders>
                  <w:shd w:val="clear" w:color="auto" w:fill="auto"/>
                  <w:vAlign w:val="bottom"/>
                  <w:hideMark/>
                </w:tcPr>
                <w:p w14:paraId="73022A63" w14:textId="77777777" w:rsidR="00A67995" w:rsidRPr="00442A3B" w:rsidRDefault="00A67995" w:rsidP="00A67995">
                  <w:pPr>
                    <w:keepNext/>
                    <w:keepLines/>
                    <w:pageBreakBefore/>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63,150</w:t>
                  </w:r>
                </w:p>
              </w:tc>
            </w:tr>
            <w:tr w:rsidR="00A67995" w:rsidRPr="00442A3B" w14:paraId="3E60E1B3" w14:textId="77777777" w:rsidTr="00430F34">
              <w:trPr>
                <w:cantSplit/>
                <w:trHeight w:val="315"/>
              </w:trPr>
              <w:tc>
                <w:tcPr>
                  <w:tcW w:w="2305" w:type="dxa"/>
                  <w:tcBorders>
                    <w:top w:val="nil"/>
                    <w:left w:val="nil"/>
                    <w:bottom w:val="single" w:sz="4" w:space="0" w:color="ADD6EA"/>
                    <w:right w:val="nil"/>
                  </w:tcBorders>
                  <w:shd w:val="clear" w:color="auto" w:fill="auto"/>
                  <w:vAlign w:val="bottom"/>
                  <w:hideMark/>
                </w:tcPr>
                <w:p w14:paraId="513320BF" w14:textId="77777777" w:rsidR="00A67995" w:rsidRPr="00442A3B" w:rsidRDefault="00A67995" w:rsidP="00A67995">
                  <w:pPr>
                    <w:keepNext/>
                    <w:keepLines/>
                    <w:pageBreakBefore/>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Estimated 2021-22 distribution</w:t>
                  </w:r>
                </w:p>
              </w:tc>
              <w:tc>
                <w:tcPr>
                  <w:tcW w:w="709" w:type="dxa"/>
                  <w:tcBorders>
                    <w:top w:val="nil"/>
                    <w:left w:val="nil"/>
                    <w:bottom w:val="single" w:sz="4" w:space="0" w:color="ADD6EA"/>
                    <w:right w:val="nil"/>
                  </w:tcBorders>
                  <w:shd w:val="clear" w:color="auto" w:fill="auto"/>
                  <w:vAlign w:val="bottom"/>
                  <w:hideMark/>
                </w:tcPr>
                <w:p w14:paraId="317C0FDC" w14:textId="77777777" w:rsidR="00A67995" w:rsidRPr="00442A3B" w:rsidRDefault="00A67995" w:rsidP="00A67995">
                  <w:pPr>
                    <w:keepNext/>
                    <w:keepLines/>
                    <w:pageBreakBefore/>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20,347</w:t>
                  </w:r>
                </w:p>
              </w:tc>
              <w:tc>
                <w:tcPr>
                  <w:tcW w:w="805" w:type="dxa"/>
                  <w:tcBorders>
                    <w:top w:val="nil"/>
                    <w:left w:val="nil"/>
                    <w:bottom w:val="single" w:sz="4" w:space="0" w:color="ADD6EA"/>
                    <w:right w:val="nil"/>
                  </w:tcBorders>
                  <w:shd w:val="clear" w:color="auto" w:fill="auto"/>
                  <w:vAlign w:val="bottom"/>
                  <w:hideMark/>
                </w:tcPr>
                <w:p w14:paraId="7F7947E8" w14:textId="77777777" w:rsidR="00A67995" w:rsidRPr="00442A3B" w:rsidRDefault="00A67995" w:rsidP="00A67995">
                  <w:pPr>
                    <w:keepNext/>
                    <w:keepLines/>
                    <w:pageBreakBefore/>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16,220</w:t>
                  </w:r>
                </w:p>
              </w:tc>
              <w:tc>
                <w:tcPr>
                  <w:tcW w:w="713" w:type="dxa"/>
                  <w:tcBorders>
                    <w:top w:val="nil"/>
                    <w:left w:val="nil"/>
                    <w:bottom w:val="single" w:sz="4" w:space="0" w:color="ADD6EA"/>
                    <w:right w:val="nil"/>
                  </w:tcBorders>
                  <w:shd w:val="clear" w:color="auto" w:fill="auto"/>
                  <w:vAlign w:val="bottom"/>
                  <w:hideMark/>
                </w:tcPr>
                <w:p w14:paraId="6AC87914" w14:textId="77777777" w:rsidR="00A67995" w:rsidRPr="00442A3B" w:rsidRDefault="00A67995" w:rsidP="00A67995">
                  <w:pPr>
                    <w:keepNext/>
                    <w:keepLines/>
                    <w:pageBreakBefore/>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14,411</w:t>
                  </w:r>
                </w:p>
              </w:tc>
              <w:tc>
                <w:tcPr>
                  <w:tcW w:w="713" w:type="dxa"/>
                  <w:tcBorders>
                    <w:top w:val="nil"/>
                    <w:left w:val="nil"/>
                    <w:bottom w:val="single" w:sz="4" w:space="0" w:color="ADD6EA"/>
                    <w:right w:val="nil"/>
                  </w:tcBorders>
                  <w:shd w:val="clear" w:color="auto" w:fill="auto"/>
                  <w:vAlign w:val="bottom"/>
                  <w:hideMark/>
                </w:tcPr>
                <w:p w14:paraId="27D9E064" w14:textId="77777777" w:rsidR="00A67995" w:rsidRPr="00442A3B" w:rsidRDefault="00A67995" w:rsidP="00A67995">
                  <w:pPr>
                    <w:keepNext/>
                    <w:keepLines/>
                    <w:pageBreakBefore/>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2,918</w:t>
                  </w:r>
                </w:p>
              </w:tc>
              <w:tc>
                <w:tcPr>
                  <w:tcW w:w="713" w:type="dxa"/>
                  <w:tcBorders>
                    <w:top w:val="nil"/>
                    <w:left w:val="nil"/>
                    <w:bottom w:val="single" w:sz="4" w:space="0" w:color="ADD6EA"/>
                    <w:right w:val="nil"/>
                  </w:tcBorders>
                  <w:shd w:val="clear" w:color="auto" w:fill="auto"/>
                  <w:vAlign w:val="bottom"/>
                  <w:hideMark/>
                </w:tcPr>
                <w:p w14:paraId="6C8213FF" w14:textId="77777777" w:rsidR="00A67995" w:rsidRPr="00442A3B" w:rsidRDefault="00A67995" w:rsidP="00A67995">
                  <w:pPr>
                    <w:keepNext/>
                    <w:keepLines/>
                    <w:pageBreakBefore/>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6,207</w:t>
                  </w:r>
                </w:p>
              </w:tc>
              <w:tc>
                <w:tcPr>
                  <w:tcW w:w="713" w:type="dxa"/>
                  <w:tcBorders>
                    <w:top w:val="nil"/>
                    <w:left w:val="nil"/>
                    <w:bottom w:val="single" w:sz="4" w:space="0" w:color="ADD6EA"/>
                    <w:right w:val="nil"/>
                  </w:tcBorders>
                  <w:shd w:val="clear" w:color="auto" w:fill="auto"/>
                  <w:vAlign w:val="bottom"/>
                  <w:hideMark/>
                </w:tcPr>
                <w:p w14:paraId="55461C44" w14:textId="77777777" w:rsidR="00A67995" w:rsidRPr="00442A3B" w:rsidRDefault="00A67995" w:rsidP="00A67995">
                  <w:pPr>
                    <w:keepNext/>
                    <w:keepLines/>
                    <w:pageBreakBefore/>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2,783</w:t>
                  </w:r>
                </w:p>
              </w:tc>
              <w:tc>
                <w:tcPr>
                  <w:tcW w:w="713" w:type="dxa"/>
                  <w:tcBorders>
                    <w:top w:val="nil"/>
                    <w:left w:val="nil"/>
                    <w:bottom w:val="single" w:sz="4" w:space="0" w:color="ADD6EA"/>
                    <w:right w:val="nil"/>
                  </w:tcBorders>
                  <w:shd w:val="clear" w:color="auto" w:fill="auto"/>
                  <w:vAlign w:val="bottom"/>
                  <w:hideMark/>
                </w:tcPr>
                <w:p w14:paraId="7DB735A4" w14:textId="77777777" w:rsidR="00A67995" w:rsidRPr="00442A3B" w:rsidRDefault="00A67995" w:rsidP="00A67995">
                  <w:pPr>
                    <w:keepNext/>
                    <w:keepLines/>
                    <w:pageBreakBefore/>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1,310</w:t>
                  </w:r>
                </w:p>
              </w:tc>
              <w:tc>
                <w:tcPr>
                  <w:tcW w:w="713" w:type="dxa"/>
                  <w:tcBorders>
                    <w:top w:val="nil"/>
                    <w:left w:val="nil"/>
                    <w:bottom w:val="single" w:sz="4" w:space="0" w:color="ADD6EA"/>
                    <w:right w:val="nil"/>
                  </w:tcBorders>
                  <w:shd w:val="clear" w:color="auto" w:fill="auto"/>
                  <w:vAlign w:val="bottom"/>
                  <w:hideMark/>
                </w:tcPr>
                <w:p w14:paraId="7891C5B7" w14:textId="77777777" w:rsidR="00A67995" w:rsidRPr="00442A3B" w:rsidRDefault="00A67995" w:rsidP="00A67995">
                  <w:pPr>
                    <w:keepNext/>
                    <w:keepLines/>
                    <w:pageBreakBefore/>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2,984</w:t>
                  </w:r>
                </w:p>
              </w:tc>
              <w:tc>
                <w:tcPr>
                  <w:tcW w:w="713" w:type="dxa"/>
                  <w:tcBorders>
                    <w:top w:val="nil"/>
                    <w:left w:val="nil"/>
                    <w:bottom w:val="single" w:sz="4" w:space="0" w:color="ADD6EA"/>
                    <w:right w:val="nil"/>
                  </w:tcBorders>
                  <w:shd w:val="clear" w:color="auto" w:fill="auto"/>
                  <w:vAlign w:val="bottom"/>
                  <w:hideMark/>
                </w:tcPr>
                <w:p w14:paraId="0B5B087A" w14:textId="77777777" w:rsidR="00A67995" w:rsidRPr="00442A3B" w:rsidRDefault="00A67995" w:rsidP="00A67995">
                  <w:pPr>
                    <w:keepNext/>
                    <w:keepLines/>
                    <w:pageBreakBefore/>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67,180</w:t>
                  </w:r>
                </w:p>
              </w:tc>
            </w:tr>
            <w:tr w:rsidR="00A67995" w:rsidRPr="00442A3B" w14:paraId="33B06686" w14:textId="77777777" w:rsidTr="00430F34">
              <w:trPr>
                <w:cantSplit/>
                <w:trHeight w:val="315"/>
              </w:trPr>
              <w:tc>
                <w:tcPr>
                  <w:tcW w:w="2305" w:type="dxa"/>
                  <w:tcBorders>
                    <w:top w:val="nil"/>
                    <w:left w:val="nil"/>
                    <w:bottom w:val="single" w:sz="4" w:space="0" w:color="ADD6EA"/>
                    <w:right w:val="nil"/>
                  </w:tcBorders>
                  <w:shd w:val="clear" w:color="000000" w:fill="D6E7F0"/>
                  <w:vAlign w:val="bottom"/>
                  <w:hideMark/>
                </w:tcPr>
                <w:p w14:paraId="25BF5E67" w14:textId="77777777" w:rsidR="00A67995" w:rsidRPr="00442A3B" w:rsidRDefault="00A67995" w:rsidP="0022061D">
                  <w:pPr>
                    <w:pStyle w:val="CGCTableHeading"/>
                    <w:rPr>
                      <w:color w:val="auto"/>
                      <w:lang w:eastAsia="en-AU"/>
                    </w:rPr>
                  </w:pPr>
                  <w:r w:rsidRPr="00442A3B">
                    <w:rPr>
                      <w:color w:val="auto"/>
                      <w:lang w:eastAsia="en-AU"/>
                    </w:rPr>
                    <w:t>Change ($m)</w:t>
                  </w:r>
                </w:p>
              </w:tc>
              <w:tc>
                <w:tcPr>
                  <w:tcW w:w="709" w:type="dxa"/>
                  <w:tcBorders>
                    <w:top w:val="nil"/>
                    <w:left w:val="nil"/>
                    <w:bottom w:val="single" w:sz="4" w:space="0" w:color="ADD6EA"/>
                    <w:right w:val="nil"/>
                  </w:tcBorders>
                  <w:shd w:val="clear" w:color="000000" w:fill="D6E7F0"/>
                  <w:vAlign w:val="bottom"/>
                  <w:hideMark/>
                </w:tcPr>
                <w:p w14:paraId="39956F1C" w14:textId="77777777" w:rsidR="00A67995" w:rsidRPr="00442A3B" w:rsidRDefault="00A67995" w:rsidP="00942323">
                  <w:pPr>
                    <w:pStyle w:val="CGCTableHeading"/>
                    <w:jc w:val="right"/>
                    <w:rPr>
                      <w:color w:val="auto"/>
                      <w:lang w:eastAsia="en-AU"/>
                    </w:rPr>
                  </w:pPr>
                  <w:r w:rsidRPr="00442A3B">
                    <w:rPr>
                      <w:color w:val="auto"/>
                      <w:lang w:eastAsia="en-AU"/>
                    </w:rPr>
                    <w:t>1,894</w:t>
                  </w:r>
                </w:p>
              </w:tc>
              <w:tc>
                <w:tcPr>
                  <w:tcW w:w="805" w:type="dxa"/>
                  <w:tcBorders>
                    <w:top w:val="nil"/>
                    <w:left w:val="nil"/>
                    <w:bottom w:val="single" w:sz="4" w:space="0" w:color="ADD6EA"/>
                    <w:right w:val="nil"/>
                  </w:tcBorders>
                  <w:shd w:val="clear" w:color="000000" w:fill="D6E7F0"/>
                  <w:vAlign w:val="bottom"/>
                  <w:hideMark/>
                </w:tcPr>
                <w:p w14:paraId="34D448E8" w14:textId="77777777" w:rsidR="00A67995" w:rsidRPr="00442A3B" w:rsidRDefault="00A67995" w:rsidP="00942323">
                  <w:pPr>
                    <w:pStyle w:val="CGCTableHeading"/>
                    <w:jc w:val="right"/>
                    <w:rPr>
                      <w:color w:val="auto"/>
                      <w:lang w:eastAsia="en-AU"/>
                    </w:rPr>
                  </w:pPr>
                  <w:r w:rsidRPr="00442A3B">
                    <w:rPr>
                      <w:color w:val="auto"/>
                      <w:lang w:eastAsia="en-AU"/>
                    </w:rPr>
                    <w:t>344</w:t>
                  </w:r>
                </w:p>
              </w:tc>
              <w:tc>
                <w:tcPr>
                  <w:tcW w:w="713" w:type="dxa"/>
                  <w:tcBorders>
                    <w:top w:val="nil"/>
                    <w:left w:val="nil"/>
                    <w:bottom w:val="single" w:sz="4" w:space="0" w:color="ADD6EA"/>
                    <w:right w:val="nil"/>
                  </w:tcBorders>
                  <w:shd w:val="clear" w:color="000000" w:fill="D6E7F0"/>
                  <w:vAlign w:val="bottom"/>
                  <w:hideMark/>
                </w:tcPr>
                <w:p w14:paraId="4EFDCDEA" w14:textId="77777777" w:rsidR="00A67995" w:rsidRPr="00442A3B" w:rsidRDefault="00A67995" w:rsidP="00942323">
                  <w:pPr>
                    <w:pStyle w:val="CGCTableHeading"/>
                    <w:jc w:val="right"/>
                    <w:rPr>
                      <w:color w:val="auto"/>
                      <w:lang w:eastAsia="en-AU"/>
                    </w:rPr>
                  </w:pPr>
                  <w:r w:rsidRPr="00442A3B">
                    <w:rPr>
                      <w:color w:val="auto"/>
                      <w:lang w:eastAsia="en-AU"/>
                    </w:rPr>
                    <w:t>1,023</w:t>
                  </w:r>
                </w:p>
              </w:tc>
              <w:tc>
                <w:tcPr>
                  <w:tcW w:w="713" w:type="dxa"/>
                  <w:tcBorders>
                    <w:top w:val="nil"/>
                    <w:left w:val="nil"/>
                    <w:bottom w:val="single" w:sz="4" w:space="0" w:color="ADD6EA"/>
                    <w:right w:val="nil"/>
                  </w:tcBorders>
                  <w:shd w:val="clear" w:color="000000" w:fill="D6E7F0"/>
                  <w:vAlign w:val="bottom"/>
                  <w:hideMark/>
                </w:tcPr>
                <w:p w14:paraId="79D1577B" w14:textId="77777777" w:rsidR="00A67995" w:rsidRPr="00442A3B" w:rsidRDefault="00A67995" w:rsidP="00942323">
                  <w:pPr>
                    <w:pStyle w:val="CGCTableHeading"/>
                    <w:jc w:val="right"/>
                    <w:rPr>
                      <w:color w:val="auto"/>
                      <w:lang w:eastAsia="en-AU"/>
                    </w:rPr>
                  </w:pPr>
                  <w:r w:rsidRPr="00442A3B">
                    <w:rPr>
                      <w:color w:val="auto"/>
                      <w:lang w:eastAsia="en-AU"/>
                    </w:rPr>
                    <w:t>-23</w:t>
                  </w:r>
                </w:p>
              </w:tc>
              <w:tc>
                <w:tcPr>
                  <w:tcW w:w="713" w:type="dxa"/>
                  <w:tcBorders>
                    <w:top w:val="nil"/>
                    <w:left w:val="nil"/>
                    <w:bottom w:val="single" w:sz="4" w:space="0" w:color="ADD6EA"/>
                    <w:right w:val="nil"/>
                  </w:tcBorders>
                  <w:shd w:val="clear" w:color="000000" w:fill="D6E7F0"/>
                  <w:vAlign w:val="bottom"/>
                  <w:hideMark/>
                </w:tcPr>
                <w:p w14:paraId="6F1602D7" w14:textId="77777777" w:rsidR="00A67995" w:rsidRPr="00442A3B" w:rsidRDefault="00A67995" w:rsidP="00942323">
                  <w:pPr>
                    <w:pStyle w:val="CGCTableHeading"/>
                    <w:jc w:val="right"/>
                    <w:rPr>
                      <w:color w:val="auto"/>
                      <w:lang w:eastAsia="en-AU"/>
                    </w:rPr>
                  </w:pPr>
                  <w:r w:rsidRPr="00442A3B">
                    <w:rPr>
                      <w:color w:val="auto"/>
                      <w:lang w:eastAsia="en-AU"/>
                    </w:rPr>
                    <w:t>301</w:t>
                  </w:r>
                </w:p>
              </w:tc>
              <w:tc>
                <w:tcPr>
                  <w:tcW w:w="713" w:type="dxa"/>
                  <w:tcBorders>
                    <w:top w:val="nil"/>
                    <w:left w:val="nil"/>
                    <w:bottom w:val="single" w:sz="4" w:space="0" w:color="ADD6EA"/>
                    <w:right w:val="nil"/>
                  </w:tcBorders>
                  <w:shd w:val="clear" w:color="000000" w:fill="D6E7F0"/>
                  <w:vAlign w:val="bottom"/>
                  <w:hideMark/>
                </w:tcPr>
                <w:p w14:paraId="3A77E75E" w14:textId="77777777" w:rsidR="00A67995" w:rsidRPr="00442A3B" w:rsidRDefault="00A67995" w:rsidP="00942323">
                  <w:pPr>
                    <w:pStyle w:val="CGCTableHeading"/>
                    <w:jc w:val="right"/>
                    <w:rPr>
                      <w:color w:val="auto"/>
                      <w:lang w:eastAsia="en-AU"/>
                    </w:rPr>
                  </w:pPr>
                  <w:r w:rsidRPr="00442A3B">
                    <w:rPr>
                      <w:color w:val="auto"/>
                      <w:lang w:eastAsia="en-AU"/>
                    </w:rPr>
                    <w:t>253</w:t>
                  </w:r>
                </w:p>
              </w:tc>
              <w:tc>
                <w:tcPr>
                  <w:tcW w:w="713" w:type="dxa"/>
                  <w:tcBorders>
                    <w:top w:val="nil"/>
                    <w:left w:val="nil"/>
                    <w:bottom w:val="single" w:sz="4" w:space="0" w:color="ADD6EA"/>
                    <w:right w:val="nil"/>
                  </w:tcBorders>
                  <w:shd w:val="clear" w:color="000000" w:fill="D6E7F0"/>
                  <w:vAlign w:val="bottom"/>
                  <w:hideMark/>
                </w:tcPr>
                <w:p w14:paraId="24F3E554" w14:textId="77777777" w:rsidR="00A67995" w:rsidRPr="00442A3B" w:rsidRDefault="00A67995" w:rsidP="00942323">
                  <w:pPr>
                    <w:pStyle w:val="CGCTableHeading"/>
                    <w:jc w:val="right"/>
                    <w:rPr>
                      <w:color w:val="auto"/>
                      <w:lang w:eastAsia="en-AU"/>
                    </w:rPr>
                  </w:pPr>
                  <w:r w:rsidRPr="00442A3B">
                    <w:rPr>
                      <w:color w:val="auto"/>
                      <w:lang w:eastAsia="en-AU"/>
                    </w:rPr>
                    <w:t>89</w:t>
                  </w:r>
                </w:p>
              </w:tc>
              <w:tc>
                <w:tcPr>
                  <w:tcW w:w="713" w:type="dxa"/>
                  <w:tcBorders>
                    <w:top w:val="nil"/>
                    <w:left w:val="nil"/>
                    <w:bottom w:val="single" w:sz="4" w:space="0" w:color="ADD6EA"/>
                    <w:right w:val="nil"/>
                  </w:tcBorders>
                  <w:shd w:val="clear" w:color="000000" w:fill="D6E7F0"/>
                  <w:vAlign w:val="bottom"/>
                  <w:hideMark/>
                </w:tcPr>
                <w:p w14:paraId="3BB19BBC" w14:textId="77777777" w:rsidR="00A67995" w:rsidRPr="00442A3B" w:rsidRDefault="00A67995" w:rsidP="00942323">
                  <w:pPr>
                    <w:pStyle w:val="CGCTableHeading"/>
                    <w:jc w:val="right"/>
                    <w:rPr>
                      <w:color w:val="auto"/>
                      <w:lang w:eastAsia="en-AU"/>
                    </w:rPr>
                  </w:pPr>
                  <w:r w:rsidRPr="00442A3B">
                    <w:rPr>
                      <w:color w:val="auto"/>
                      <w:lang w:eastAsia="en-AU"/>
                    </w:rPr>
                    <w:t>149</w:t>
                  </w:r>
                </w:p>
              </w:tc>
              <w:tc>
                <w:tcPr>
                  <w:tcW w:w="713" w:type="dxa"/>
                  <w:tcBorders>
                    <w:top w:val="nil"/>
                    <w:left w:val="nil"/>
                    <w:bottom w:val="single" w:sz="4" w:space="0" w:color="ADD6EA"/>
                    <w:right w:val="nil"/>
                  </w:tcBorders>
                  <w:shd w:val="clear" w:color="000000" w:fill="D6E7F0"/>
                  <w:vAlign w:val="bottom"/>
                  <w:hideMark/>
                </w:tcPr>
                <w:p w14:paraId="27B05B6F" w14:textId="77777777" w:rsidR="00A67995" w:rsidRPr="00442A3B" w:rsidRDefault="00A67995" w:rsidP="00942323">
                  <w:pPr>
                    <w:pStyle w:val="CGCTableHeading"/>
                    <w:jc w:val="right"/>
                    <w:rPr>
                      <w:color w:val="auto"/>
                      <w:lang w:eastAsia="en-AU"/>
                    </w:rPr>
                  </w:pPr>
                  <w:r w:rsidRPr="00442A3B">
                    <w:rPr>
                      <w:color w:val="auto"/>
                      <w:lang w:eastAsia="en-AU"/>
                    </w:rPr>
                    <w:t>4,030</w:t>
                  </w:r>
                </w:p>
              </w:tc>
            </w:tr>
            <w:tr w:rsidR="0022061D" w:rsidRPr="00442A3B" w14:paraId="2751A691" w14:textId="77777777" w:rsidTr="00430F34">
              <w:trPr>
                <w:cantSplit/>
                <w:trHeight w:val="315"/>
              </w:trPr>
              <w:tc>
                <w:tcPr>
                  <w:tcW w:w="2305" w:type="dxa"/>
                  <w:tcBorders>
                    <w:top w:val="nil"/>
                    <w:left w:val="nil"/>
                    <w:bottom w:val="single" w:sz="4" w:space="0" w:color="ADD6EA"/>
                    <w:right w:val="nil"/>
                  </w:tcBorders>
                  <w:shd w:val="clear" w:color="000000" w:fill="D6E7F0"/>
                  <w:vAlign w:val="bottom"/>
                  <w:hideMark/>
                </w:tcPr>
                <w:p w14:paraId="1159FB2C" w14:textId="77777777" w:rsidR="00A67995" w:rsidRPr="00442A3B" w:rsidRDefault="00A67995" w:rsidP="0022061D">
                  <w:pPr>
                    <w:pStyle w:val="CGCTableHeading"/>
                    <w:rPr>
                      <w:color w:val="auto"/>
                      <w:lang w:eastAsia="en-AU"/>
                    </w:rPr>
                  </w:pPr>
                  <w:r w:rsidRPr="00442A3B">
                    <w:rPr>
                      <w:color w:val="auto"/>
                      <w:lang w:eastAsia="en-AU"/>
                    </w:rPr>
                    <w:t>Change ($pc)</w:t>
                  </w:r>
                </w:p>
              </w:tc>
              <w:tc>
                <w:tcPr>
                  <w:tcW w:w="709" w:type="dxa"/>
                  <w:tcBorders>
                    <w:top w:val="nil"/>
                    <w:left w:val="nil"/>
                    <w:bottom w:val="single" w:sz="4" w:space="0" w:color="ADD6EA"/>
                    <w:right w:val="nil"/>
                  </w:tcBorders>
                  <w:shd w:val="clear" w:color="000000" w:fill="D6E7F0"/>
                  <w:vAlign w:val="bottom"/>
                  <w:hideMark/>
                </w:tcPr>
                <w:p w14:paraId="44058E51" w14:textId="77777777" w:rsidR="00A67995" w:rsidRPr="00442A3B" w:rsidRDefault="00A67995" w:rsidP="00942323">
                  <w:pPr>
                    <w:pStyle w:val="CGCTableHeading"/>
                    <w:jc w:val="right"/>
                    <w:rPr>
                      <w:color w:val="auto"/>
                      <w:lang w:eastAsia="en-AU"/>
                    </w:rPr>
                  </w:pPr>
                  <w:r w:rsidRPr="00442A3B">
                    <w:rPr>
                      <w:color w:val="auto"/>
                      <w:lang w:eastAsia="en-AU"/>
                    </w:rPr>
                    <w:t>232</w:t>
                  </w:r>
                </w:p>
              </w:tc>
              <w:tc>
                <w:tcPr>
                  <w:tcW w:w="805" w:type="dxa"/>
                  <w:tcBorders>
                    <w:top w:val="nil"/>
                    <w:left w:val="nil"/>
                    <w:bottom w:val="single" w:sz="4" w:space="0" w:color="ADD6EA"/>
                    <w:right w:val="nil"/>
                  </w:tcBorders>
                  <w:shd w:val="clear" w:color="000000" w:fill="D6E7F0"/>
                  <w:vAlign w:val="bottom"/>
                  <w:hideMark/>
                </w:tcPr>
                <w:p w14:paraId="24319045" w14:textId="77777777" w:rsidR="00A67995" w:rsidRPr="00442A3B" w:rsidRDefault="00A67995" w:rsidP="00942323">
                  <w:pPr>
                    <w:pStyle w:val="CGCTableHeading"/>
                    <w:jc w:val="right"/>
                    <w:rPr>
                      <w:color w:val="auto"/>
                      <w:lang w:eastAsia="en-AU"/>
                    </w:rPr>
                  </w:pPr>
                  <w:r w:rsidRPr="00442A3B">
                    <w:rPr>
                      <w:color w:val="auto"/>
                      <w:lang w:eastAsia="en-AU"/>
                    </w:rPr>
                    <w:t>51</w:t>
                  </w:r>
                </w:p>
              </w:tc>
              <w:tc>
                <w:tcPr>
                  <w:tcW w:w="713" w:type="dxa"/>
                  <w:tcBorders>
                    <w:top w:val="nil"/>
                    <w:left w:val="nil"/>
                    <w:bottom w:val="single" w:sz="4" w:space="0" w:color="ADD6EA"/>
                    <w:right w:val="nil"/>
                  </w:tcBorders>
                  <w:shd w:val="clear" w:color="000000" w:fill="D6E7F0"/>
                  <w:vAlign w:val="bottom"/>
                  <w:hideMark/>
                </w:tcPr>
                <w:p w14:paraId="1C786E8D" w14:textId="77777777" w:rsidR="00A67995" w:rsidRPr="00442A3B" w:rsidRDefault="00A67995" w:rsidP="00942323">
                  <w:pPr>
                    <w:pStyle w:val="CGCTableHeading"/>
                    <w:jc w:val="right"/>
                    <w:rPr>
                      <w:color w:val="auto"/>
                      <w:lang w:eastAsia="en-AU"/>
                    </w:rPr>
                  </w:pPr>
                  <w:r w:rsidRPr="00442A3B">
                    <w:rPr>
                      <w:color w:val="auto"/>
                      <w:lang w:eastAsia="en-AU"/>
                    </w:rPr>
                    <w:t>196</w:t>
                  </w:r>
                </w:p>
              </w:tc>
              <w:tc>
                <w:tcPr>
                  <w:tcW w:w="713" w:type="dxa"/>
                  <w:tcBorders>
                    <w:top w:val="nil"/>
                    <w:left w:val="nil"/>
                    <w:bottom w:val="single" w:sz="4" w:space="0" w:color="ADD6EA"/>
                    <w:right w:val="nil"/>
                  </w:tcBorders>
                  <w:shd w:val="clear" w:color="000000" w:fill="D6E7F0"/>
                  <w:vAlign w:val="bottom"/>
                  <w:hideMark/>
                </w:tcPr>
                <w:p w14:paraId="5335D5A3" w14:textId="77777777" w:rsidR="00A67995" w:rsidRPr="00442A3B" w:rsidRDefault="00A67995" w:rsidP="00942323">
                  <w:pPr>
                    <w:pStyle w:val="CGCTableHeading"/>
                    <w:jc w:val="right"/>
                    <w:rPr>
                      <w:color w:val="auto"/>
                      <w:lang w:eastAsia="en-AU"/>
                    </w:rPr>
                  </w:pPr>
                  <w:r w:rsidRPr="00442A3B">
                    <w:rPr>
                      <w:color w:val="auto"/>
                      <w:lang w:eastAsia="en-AU"/>
                    </w:rPr>
                    <w:t>-9</w:t>
                  </w:r>
                </w:p>
              </w:tc>
              <w:tc>
                <w:tcPr>
                  <w:tcW w:w="713" w:type="dxa"/>
                  <w:tcBorders>
                    <w:top w:val="nil"/>
                    <w:left w:val="nil"/>
                    <w:bottom w:val="single" w:sz="4" w:space="0" w:color="ADD6EA"/>
                    <w:right w:val="nil"/>
                  </w:tcBorders>
                  <w:shd w:val="clear" w:color="000000" w:fill="D6E7F0"/>
                  <w:vAlign w:val="bottom"/>
                  <w:hideMark/>
                </w:tcPr>
                <w:p w14:paraId="5351B3D1" w14:textId="77777777" w:rsidR="00A67995" w:rsidRPr="00442A3B" w:rsidRDefault="00A67995" w:rsidP="00942323">
                  <w:pPr>
                    <w:pStyle w:val="CGCTableHeading"/>
                    <w:jc w:val="right"/>
                    <w:rPr>
                      <w:color w:val="auto"/>
                      <w:lang w:eastAsia="en-AU"/>
                    </w:rPr>
                  </w:pPr>
                  <w:r w:rsidRPr="00442A3B">
                    <w:rPr>
                      <w:color w:val="auto"/>
                      <w:lang w:eastAsia="en-AU"/>
                    </w:rPr>
                    <w:t>170</w:t>
                  </w:r>
                </w:p>
              </w:tc>
              <w:tc>
                <w:tcPr>
                  <w:tcW w:w="713" w:type="dxa"/>
                  <w:tcBorders>
                    <w:top w:val="nil"/>
                    <w:left w:val="nil"/>
                    <w:bottom w:val="single" w:sz="4" w:space="0" w:color="ADD6EA"/>
                    <w:right w:val="nil"/>
                  </w:tcBorders>
                  <w:shd w:val="clear" w:color="000000" w:fill="D6E7F0"/>
                  <w:vAlign w:val="bottom"/>
                  <w:hideMark/>
                </w:tcPr>
                <w:p w14:paraId="006C3E75" w14:textId="77777777" w:rsidR="00A67995" w:rsidRPr="00442A3B" w:rsidRDefault="00A67995" w:rsidP="00942323">
                  <w:pPr>
                    <w:pStyle w:val="CGCTableHeading"/>
                    <w:jc w:val="right"/>
                    <w:rPr>
                      <w:color w:val="auto"/>
                      <w:lang w:eastAsia="en-AU"/>
                    </w:rPr>
                  </w:pPr>
                  <w:r w:rsidRPr="00442A3B">
                    <w:rPr>
                      <w:color w:val="auto"/>
                      <w:lang w:eastAsia="en-AU"/>
                    </w:rPr>
                    <w:t>464</w:t>
                  </w:r>
                </w:p>
              </w:tc>
              <w:tc>
                <w:tcPr>
                  <w:tcW w:w="713" w:type="dxa"/>
                  <w:tcBorders>
                    <w:top w:val="nil"/>
                    <w:left w:val="nil"/>
                    <w:bottom w:val="single" w:sz="4" w:space="0" w:color="ADD6EA"/>
                    <w:right w:val="nil"/>
                  </w:tcBorders>
                  <w:shd w:val="clear" w:color="000000" w:fill="D6E7F0"/>
                  <w:vAlign w:val="bottom"/>
                  <w:hideMark/>
                </w:tcPr>
                <w:p w14:paraId="53A4C6B3" w14:textId="77777777" w:rsidR="00A67995" w:rsidRPr="00442A3B" w:rsidRDefault="00A67995" w:rsidP="00942323">
                  <w:pPr>
                    <w:pStyle w:val="CGCTableHeading"/>
                    <w:jc w:val="right"/>
                    <w:rPr>
                      <w:color w:val="auto"/>
                      <w:lang w:eastAsia="en-AU"/>
                    </w:rPr>
                  </w:pPr>
                  <w:r w:rsidRPr="00442A3B">
                    <w:rPr>
                      <w:color w:val="auto"/>
                      <w:lang w:eastAsia="en-AU"/>
                    </w:rPr>
                    <w:t>205</w:t>
                  </w:r>
                </w:p>
              </w:tc>
              <w:tc>
                <w:tcPr>
                  <w:tcW w:w="713" w:type="dxa"/>
                  <w:tcBorders>
                    <w:top w:val="nil"/>
                    <w:left w:val="nil"/>
                    <w:bottom w:val="single" w:sz="4" w:space="0" w:color="ADD6EA"/>
                    <w:right w:val="nil"/>
                  </w:tcBorders>
                  <w:shd w:val="clear" w:color="000000" w:fill="D6E7F0"/>
                  <w:vAlign w:val="bottom"/>
                  <w:hideMark/>
                </w:tcPr>
                <w:p w14:paraId="7367A3B5" w14:textId="77777777" w:rsidR="00A67995" w:rsidRPr="00442A3B" w:rsidRDefault="00A67995" w:rsidP="00942323">
                  <w:pPr>
                    <w:pStyle w:val="CGCTableHeading"/>
                    <w:jc w:val="right"/>
                    <w:rPr>
                      <w:color w:val="auto"/>
                      <w:lang w:eastAsia="en-AU"/>
                    </w:rPr>
                  </w:pPr>
                  <w:r w:rsidRPr="00442A3B">
                    <w:rPr>
                      <w:color w:val="auto"/>
                      <w:lang w:eastAsia="en-AU"/>
                    </w:rPr>
                    <w:t>626</w:t>
                  </w:r>
                </w:p>
              </w:tc>
              <w:tc>
                <w:tcPr>
                  <w:tcW w:w="713" w:type="dxa"/>
                  <w:tcBorders>
                    <w:top w:val="nil"/>
                    <w:left w:val="nil"/>
                    <w:bottom w:val="single" w:sz="4" w:space="0" w:color="ADD6EA"/>
                    <w:right w:val="nil"/>
                  </w:tcBorders>
                  <w:shd w:val="clear" w:color="000000" w:fill="D6E7F0"/>
                  <w:vAlign w:val="bottom"/>
                  <w:hideMark/>
                </w:tcPr>
                <w:p w14:paraId="6A004486" w14:textId="77777777" w:rsidR="00A67995" w:rsidRPr="00442A3B" w:rsidRDefault="00A67995" w:rsidP="00942323">
                  <w:pPr>
                    <w:pStyle w:val="CGCTableHeading"/>
                    <w:jc w:val="right"/>
                    <w:rPr>
                      <w:color w:val="auto"/>
                      <w:lang w:eastAsia="en-AU"/>
                    </w:rPr>
                  </w:pPr>
                  <w:r w:rsidRPr="00442A3B">
                    <w:rPr>
                      <w:color w:val="auto"/>
                      <w:lang w:eastAsia="en-AU"/>
                    </w:rPr>
                    <w:t>156</w:t>
                  </w:r>
                </w:p>
              </w:tc>
            </w:tr>
          </w:tbl>
          <w:p w14:paraId="026FD302" w14:textId="73BE88E6" w:rsidR="00B2768A" w:rsidRPr="00442A3B" w:rsidRDefault="007F74AD" w:rsidP="003327E3">
            <w:pPr>
              <w:pStyle w:val="CGCTablenote"/>
            </w:pPr>
            <w:r w:rsidRPr="00442A3B">
              <w:t>Note:</w:t>
            </w:r>
            <w:r w:rsidRPr="00442A3B">
              <w:tab/>
              <w:t>The final amount of the GST pool will be determined by the Commonwealth of Australia’s Final Budget Outcom</w:t>
            </w:r>
            <w:r w:rsidR="00140373" w:rsidRPr="00442A3B">
              <w:t>e</w:t>
            </w:r>
            <w:r w:rsidRPr="00442A3B">
              <w:t xml:space="preserve"> 2020</w:t>
            </w:r>
            <w:r w:rsidRPr="00442A3B">
              <w:noBreakHyphen/>
              <w:t>21.</w:t>
            </w:r>
          </w:p>
          <w:p w14:paraId="3FE102C6" w14:textId="78555598" w:rsidR="00677BC5" w:rsidRPr="00442A3B" w:rsidRDefault="00A81798" w:rsidP="003327E3">
            <w:pPr>
              <w:pStyle w:val="CGCTablenote"/>
            </w:pPr>
            <w:r w:rsidRPr="00442A3B">
              <w:t xml:space="preserve">Source: </w:t>
            </w:r>
            <w:r w:rsidR="00192F40" w:rsidRPr="00442A3B">
              <w:t xml:space="preserve">  </w:t>
            </w:r>
            <w:r w:rsidRPr="00442A3B">
              <w:t>Commission calculation.</w:t>
            </w:r>
          </w:p>
          <w:p w14:paraId="4D01C395" w14:textId="0DDC4FE9" w:rsidR="00A8778C" w:rsidRPr="00442A3B" w:rsidRDefault="00A8778C" w:rsidP="00A8778C">
            <w:r w:rsidRPr="00442A3B">
              <w:t xml:space="preserve">The </w:t>
            </w:r>
            <w:r w:rsidR="009C351C" w:rsidRPr="00442A3B">
              <w:t>main</w:t>
            </w:r>
            <w:r w:rsidRPr="00442A3B">
              <w:t xml:space="preserve"> driver of change in States’ GST shares in this update </w:t>
            </w:r>
            <w:r w:rsidR="00FF4865" w:rsidRPr="00442A3B">
              <w:t xml:space="preserve">was </w:t>
            </w:r>
            <w:r w:rsidRPr="00442A3B">
              <w:t xml:space="preserve">the strong growth in the value of mining production in Western Australia, principally due to historically high iron ore prices. Given the </w:t>
            </w:r>
            <w:r w:rsidR="009C351C" w:rsidRPr="00442A3B">
              <w:t>concentration</w:t>
            </w:r>
            <w:r w:rsidRPr="00442A3B">
              <w:t xml:space="preserve"> of iron ore deposits in Western Australia, this substantially bolster</w:t>
            </w:r>
            <w:r w:rsidR="0075086D" w:rsidRPr="00442A3B">
              <w:t>ed</w:t>
            </w:r>
            <w:r w:rsidRPr="00442A3B">
              <w:t xml:space="preserve"> its capacity to raise revenue through mining royalties, reducing its GST share and increasing those of the other States. </w:t>
            </w:r>
            <w:r w:rsidR="00A95B65" w:rsidRPr="00442A3B">
              <w:t>In the case of the Northern Territory, this impact was offset by growth in royalties from other minerals. Overall, the boost in iron ore royalties was shared across all States. For Western Australia, the rise in the value of iron ore production may have a range of flow on effects</w:t>
            </w:r>
            <w:r w:rsidR="00C2074E" w:rsidRPr="00442A3B">
              <w:t>;</w:t>
            </w:r>
            <w:r w:rsidR="00A95B65" w:rsidRPr="00442A3B">
              <w:t xml:space="preserve"> for example, a possible increase in property values and</w:t>
            </w:r>
            <w:r w:rsidR="0001088C" w:rsidRPr="00442A3B">
              <w:t xml:space="preserve"> </w:t>
            </w:r>
            <w:r w:rsidR="00A95B65" w:rsidRPr="00442A3B">
              <w:t>capital investment, which would have further impacts on its relative GST pool requirements over time.</w:t>
            </w:r>
          </w:p>
          <w:p w14:paraId="705C6BA0" w14:textId="4802F386" w:rsidR="00A8778C" w:rsidRPr="00442A3B" w:rsidRDefault="00A8778C" w:rsidP="00A8778C">
            <w:r w:rsidRPr="00442A3B">
              <w:t xml:space="preserve">The consequences of the COVID-19 pandemic on States’ revenue and expenses had little direct effect on this update. This is because the pandemic affected only the last few months of the Commission’s </w:t>
            </w:r>
            <w:r w:rsidR="005E563D" w:rsidRPr="00442A3B">
              <w:t>3</w:t>
            </w:r>
            <w:r w:rsidRPr="00442A3B">
              <w:t xml:space="preserve"> assessment years (2017-18 to 2019-20).</w:t>
            </w:r>
            <w:r w:rsidRPr="00442A3B">
              <w:rPr>
                <w:vertAlign w:val="superscript"/>
              </w:rPr>
              <w:footnoteReference w:id="4"/>
            </w:r>
            <w:r w:rsidRPr="00442A3B">
              <w:t xml:space="preserve"> State budget papers indicated that States expect to see the largest budget effect of the pandemic </w:t>
            </w:r>
            <w:r w:rsidR="00BD62A0" w:rsidRPr="00442A3B">
              <w:t xml:space="preserve">in </w:t>
            </w:r>
            <w:r w:rsidR="00D80474" w:rsidRPr="00442A3B">
              <w:t>2020-21</w:t>
            </w:r>
            <w:r w:rsidR="004F7B3B" w:rsidRPr="00442A3B">
              <w:t>,</w:t>
            </w:r>
            <w:r w:rsidR="00D80474" w:rsidRPr="00442A3B">
              <w:t xml:space="preserve"> </w:t>
            </w:r>
            <w:r w:rsidRPr="00442A3B">
              <w:t xml:space="preserve">and that year will enter the Commission’s assessment period in its 2022 Update. </w:t>
            </w:r>
          </w:p>
          <w:p w14:paraId="6C3929DA" w14:textId="74FC3457" w:rsidR="00253860" w:rsidRPr="00442A3B" w:rsidRDefault="00253860" w:rsidP="00C9202F">
            <w:pPr>
              <w:keepNext/>
              <w:keepLines/>
            </w:pPr>
            <w:r w:rsidRPr="00442A3B">
              <w:t xml:space="preserve">The estimated impact of the recommendations in the </w:t>
            </w:r>
            <w:r w:rsidR="005909B1" w:rsidRPr="00442A3B">
              <w:t>2021 Update</w:t>
            </w:r>
            <w:r w:rsidRPr="00442A3B">
              <w:t xml:space="preserve"> on State</w:t>
            </w:r>
            <w:r w:rsidR="00622CEF" w:rsidRPr="00442A3B">
              <w:t>s</w:t>
            </w:r>
            <w:r w:rsidR="00BC5542" w:rsidRPr="00442A3B">
              <w:t>’</w:t>
            </w:r>
            <w:r w:rsidRPr="00442A3B">
              <w:t xml:space="preserve"> GST relativities and their share of the GST pool in 2021-22, compared with 2020-21, is outlined in the table below.</w:t>
            </w:r>
          </w:p>
          <w:p w14:paraId="50BF58D3" w14:textId="67F24D23" w:rsidR="00EC1AF4" w:rsidRPr="00442A3B" w:rsidRDefault="001C433F" w:rsidP="00DC2FCE">
            <w:pPr>
              <w:pStyle w:val="Caption"/>
              <w:pageBreakBefore/>
              <w:spacing w:before="120"/>
              <w:rPr>
                <w:lang w:eastAsia="en-AU"/>
              </w:rPr>
            </w:pPr>
            <w:r w:rsidRPr="00442A3B">
              <w:rPr>
                <w:lang w:eastAsia="en-AU"/>
              </w:rPr>
              <w:t xml:space="preserve">GST relativities and </w:t>
            </w:r>
            <w:r w:rsidR="00EA3CB2" w:rsidRPr="00442A3B">
              <w:rPr>
                <w:lang w:eastAsia="en-AU"/>
              </w:rPr>
              <w:t>State shares of the GST pool, 2020-21 and 2021-22</w:t>
            </w:r>
          </w:p>
          <w:tbl>
            <w:tblPr>
              <w:tblW w:w="8800" w:type="dxa"/>
              <w:tblCellMar>
                <w:left w:w="28" w:type="dxa"/>
                <w:right w:w="28" w:type="dxa"/>
              </w:tblCellMar>
              <w:tblLook w:val="04A0" w:firstRow="1" w:lastRow="0" w:firstColumn="1" w:lastColumn="0" w:noHBand="0" w:noVBand="1"/>
            </w:tblPr>
            <w:tblGrid>
              <w:gridCol w:w="1701"/>
              <w:gridCol w:w="675"/>
              <w:gridCol w:w="803"/>
              <w:gridCol w:w="803"/>
              <w:gridCol w:w="803"/>
              <w:gridCol w:w="803"/>
              <w:gridCol w:w="803"/>
              <w:gridCol w:w="803"/>
              <w:gridCol w:w="803"/>
              <w:gridCol w:w="803"/>
            </w:tblGrid>
            <w:tr w:rsidR="00751F96" w:rsidRPr="00442A3B" w14:paraId="61BE2A6A" w14:textId="77777777" w:rsidTr="00796A5E">
              <w:trPr>
                <w:trHeight w:val="375"/>
              </w:trPr>
              <w:tc>
                <w:tcPr>
                  <w:tcW w:w="1701" w:type="dxa"/>
                  <w:tcBorders>
                    <w:top w:val="nil"/>
                    <w:left w:val="nil"/>
                    <w:bottom w:val="nil"/>
                    <w:right w:val="nil"/>
                  </w:tcBorders>
                  <w:shd w:val="clear" w:color="000000" w:fill="006991"/>
                  <w:vAlign w:val="bottom"/>
                  <w:hideMark/>
                </w:tcPr>
                <w:p w14:paraId="2EB9E939" w14:textId="77777777" w:rsidR="00751F96" w:rsidRPr="00442A3B" w:rsidRDefault="00751F96" w:rsidP="00253860">
                  <w:pPr>
                    <w:keepNext/>
                    <w:keepLines/>
                    <w:pageBreakBefore/>
                    <w:tabs>
                      <w:tab w:val="clear" w:pos="567"/>
                    </w:tabs>
                    <w:spacing w:before="0" w:line="240" w:lineRule="auto"/>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 </w:t>
                  </w:r>
                </w:p>
              </w:tc>
              <w:tc>
                <w:tcPr>
                  <w:tcW w:w="675" w:type="dxa"/>
                  <w:tcBorders>
                    <w:top w:val="nil"/>
                    <w:left w:val="nil"/>
                    <w:bottom w:val="nil"/>
                    <w:right w:val="nil"/>
                  </w:tcBorders>
                  <w:shd w:val="clear" w:color="000000" w:fill="006991"/>
                  <w:vAlign w:val="center"/>
                  <w:hideMark/>
                </w:tcPr>
                <w:p w14:paraId="2D350AD2" w14:textId="77777777" w:rsidR="00751F96" w:rsidRPr="00442A3B" w:rsidRDefault="00751F96" w:rsidP="00253860">
                  <w:pPr>
                    <w:keepNext/>
                    <w:keepLines/>
                    <w:pageBreakBefore/>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NSW</w:t>
                  </w:r>
                </w:p>
              </w:tc>
              <w:tc>
                <w:tcPr>
                  <w:tcW w:w="803" w:type="dxa"/>
                  <w:tcBorders>
                    <w:top w:val="nil"/>
                    <w:left w:val="nil"/>
                    <w:bottom w:val="nil"/>
                    <w:right w:val="nil"/>
                  </w:tcBorders>
                  <w:shd w:val="clear" w:color="000000" w:fill="006991"/>
                  <w:vAlign w:val="center"/>
                  <w:hideMark/>
                </w:tcPr>
                <w:p w14:paraId="66ECEF55" w14:textId="77777777" w:rsidR="00751F96" w:rsidRPr="00442A3B" w:rsidRDefault="00751F96" w:rsidP="00253860">
                  <w:pPr>
                    <w:keepNext/>
                    <w:keepLines/>
                    <w:pageBreakBefore/>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Vic</w:t>
                  </w:r>
                </w:p>
              </w:tc>
              <w:tc>
                <w:tcPr>
                  <w:tcW w:w="803" w:type="dxa"/>
                  <w:tcBorders>
                    <w:top w:val="nil"/>
                    <w:left w:val="nil"/>
                    <w:bottom w:val="nil"/>
                    <w:right w:val="nil"/>
                  </w:tcBorders>
                  <w:shd w:val="clear" w:color="000000" w:fill="006991"/>
                  <w:vAlign w:val="center"/>
                  <w:hideMark/>
                </w:tcPr>
                <w:p w14:paraId="2AA66FF0" w14:textId="77777777" w:rsidR="00751F96" w:rsidRPr="00442A3B" w:rsidRDefault="00751F96" w:rsidP="00253860">
                  <w:pPr>
                    <w:keepNext/>
                    <w:keepLines/>
                    <w:pageBreakBefore/>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Qld</w:t>
                  </w:r>
                </w:p>
              </w:tc>
              <w:tc>
                <w:tcPr>
                  <w:tcW w:w="803" w:type="dxa"/>
                  <w:tcBorders>
                    <w:top w:val="nil"/>
                    <w:left w:val="nil"/>
                    <w:bottom w:val="nil"/>
                    <w:right w:val="nil"/>
                  </w:tcBorders>
                  <w:shd w:val="clear" w:color="000000" w:fill="006991"/>
                  <w:vAlign w:val="center"/>
                  <w:hideMark/>
                </w:tcPr>
                <w:p w14:paraId="4E211EC8" w14:textId="77777777" w:rsidR="00751F96" w:rsidRPr="00442A3B" w:rsidRDefault="00751F96" w:rsidP="00253860">
                  <w:pPr>
                    <w:keepNext/>
                    <w:keepLines/>
                    <w:pageBreakBefore/>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WA</w:t>
                  </w:r>
                </w:p>
              </w:tc>
              <w:tc>
                <w:tcPr>
                  <w:tcW w:w="803" w:type="dxa"/>
                  <w:tcBorders>
                    <w:top w:val="nil"/>
                    <w:left w:val="nil"/>
                    <w:bottom w:val="nil"/>
                    <w:right w:val="nil"/>
                  </w:tcBorders>
                  <w:shd w:val="clear" w:color="000000" w:fill="006991"/>
                  <w:vAlign w:val="center"/>
                  <w:hideMark/>
                </w:tcPr>
                <w:p w14:paraId="67A6BB44" w14:textId="77777777" w:rsidR="00751F96" w:rsidRPr="00442A3B" w:rsidRDefault="00751F96" w:rsidP="00253860">
                  <w:pPr>
                    <w:keepNext/>
                    <w:keepLines/>
                    <w:pageBreakBefore/>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SA</w:t>
                  </w:r>
                </w:p>
              </w:tc>
              <w:tc>
                <w:tcPr>
                  <w:tcW w:w="803" w:type="dxa"/>
                  <w:tcBorders>
                    <w:top w:val="nil"/>
                    <w:left w:val="nil"/>
                    <w:bottom w:val="nil"/>
                    <w:right w:val="nil"/>
                  </w:tcBorders>
                  <w:shd w:val="clear" w:color="000000" w:fill="006991"/>
                  <w:vAlign w:val="center"/>
                  <w:hideMark/>
                </w:tcPr>
                <w:p w14:paraId="026B0D07" w14:textId="77777777" w:rsidR="00751F96" w:rsidRPr="00442A3B" w:rsidRDefault="00751F96" w:rsidP="00253860">
                  <w:pPr>
                    <w:keepNext/>
                    <w:keepLines/>
                    <w:pageBreakBefore/>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Tas</w:t>
                  </w:r>
                </w:p>
              </w:tc>
              <w:tc>
                <w:tcPr>
                  <w:tcW w:w="803" w:type="dxa"/>
                  <w:tcBorders>
                    <w:top w:val="nil"/>
                    <w:left w:val="nil"/>
                    <w:bottom w:val="nil"/>
                    <w:right w:val="nil"/>
                  </w:tcBorders>
                  <w:shd w:val="clear" w:color="000000" w:fill="006991"/>
                  <w:vAlign w:val="center"/>
                  <w:hideMark/>
                </w:tcPr>
                <w:p w14:paraId="5FDF798B" w14:textId="77777777" w:rsidR="00751F96" w:rsidRPr="00442A3B" w:rsidRDefault="00751F96" w:rsidP="00253860">
                  <w:pPr>
                    <w:keepNext/>
                    <w:keepLines/>
                    <w:pageBreakBefore/>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ACT</w:t>
                  </w:r>
                </w:p>
              </w:tc>
              <w:tc>
                <w:tcPr>
                  <w:tcW w:w="803" w:type="dxa"/>
                  <w:tcBorders>
                    <w:top w:val="nil"/>
                    <w:left w:val="nil"/>
                    <w:bottom w:val="nil"/>
                    <w:right w:val="nil"/>
                  </w:tcBorders>
                  <w:shd w:val="clear" w:color="000000" w:fill="006991"/>
                  <w:vAlign w:val="center"/>
                  <w:hideMark/>
                </w:tcPr>
                <w:p w14:paraId="1B46A596" w14:textId="77777777" w:rsidR="00751F96" w:rsidRPr="00442A3B" w:rsidRDefault="00751F96" w:rsidP="00253860">
                  <w:pPr>
                    <w:keepNext/>
                    <w:keepLines/>
                    <w:pageBreakBefore/>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NT</w:t>
                  </w:r>
                </w:p>
              </w:tc>
              <w:tc>
                <w:tcPr>
                  <w:tcW w:w="803" w:type="dxa"/>
                  <w:tcBorders>
                    <w:top w:val="nil"/>
                    <w:left w:val="nil"/>
                    <w:bottom w:val="nil"/>
                    <w:right w:val="nil"/>
                  </w:tcBorders>
                  <w:shd w:val="clear" w:color="000000" w:fill="006991"/>
                  <w:vAlign w:val="center"/>
                  <w:hideMark/>
                </w:tcPr>
                <w:p w14:paraId="004B3F0B" w14:textId="77777777" w:rsidR="00751F96" w:rsidRPr="00442A3B" w:rsidRDefault="00751F96" w:rsidP="00253860">
                  <w:pPr>
                    <w:keepNext/>
                    <w:keepLines/>
                    <w:pageBreakBefore/>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Total</w:t>
                  </w:r>
                </w:p>
              </w:tc>
            </w:tr>
            <w:tr w:rsidR="00751F96" w:rsidRPr="00442A3B" w14:paraId="15176988" w14:textId="77777777" w:rsidTr="00796A5E">
              <w:trPr>
                <w:trHeight w:val="270"/>
              </w:trPr>
              <w:tc>
                <w:tcPr>
                  <w:tcW w:w="1701" w:type="dxa"/>
                  <w:tcBorders>
                    <w:top w:val="single" w:sz="4" w:space="0" w:color="ADD6EA"/>
                    <w:left w:val="nil"/>
                    <w:bottom w:val="single" w:sz="4" w:space="0" w:color="ADD6EA"/>
                    <w:right w:val="nil"/>
                  </w:tcBorders>
                  <w:shd w:val="clear" w:color="auto" w:fill="auto"/>
                  <w:vAlign w:val="bottom"/>
                  <w:hideMark/>
                </w:tcPr>
                <w:p w14:paraId="576DFECC" w14:textId="5DA8571B" w:rsidR="00751F96" w:rsidRPr="00442A3B" w:rsidRDefault="00751F96" w:rsidP="00253860">
                  <w:pPr>
                    <w:keepNext/>
                    <w:keepLines/>
                    <w:pageBreakBefore/>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Relativities 2020-21</w:t>
                  </w:r>
                </w:p>
              </w:tc>
              <w:tc>
                <w:tcPr>
                  <w:tcW w:w="675" w:type="dxa"/>
                  <w:tcBorders>
                    <w:top w:val="single" w:sz="4" w:space="0" w:color="ADD6EA"/>
                    <w:left w:val="nil"/>
                    <w:bottom w:val="single" w:sz="4" w:space="0" w:color="ADD6EA"/>
                    <w:right w:val="nil"/>
                  </w:tcBorders>
                  <w:shd w:val="clear" w:color="auto" w:fill="auto"/>
                  <w:noWrap/>
                  <w:vAlign w:val="bottom"/>
                  <w:hideMark/>
                </w:tcPr>
                <w:p w14:paraId="31D4BB9E"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0.91808</w:t>
                  </w:r>
                </w:p>
              </w:tc>
              <w:tc>
                <w:tcPr>
                  <w:tcW w:w="803" w:type="dxa"/>
                  <w:tcBorders>
                    <w:top w:val="single" w:sz="4" w:space="0" w:color="ADD6EA"/>
                    <w:left w:val="nil"/>
                    <w:bottom w:val="single" w:sz="4" w:space="0" w:color="ADD6EA"/>
                    <w:right w:val="nil"/>
                  </w:tcBorders>
                  <w:shd w:val="clear" w:color="auto" w:fill="auto"/>
                  <w:noWrap/>
                  <w:vAlign w:val="bottom"/>
                  <w:hideMark/>
                </w:tcPr>
                <w:p w14:paraId="492E5844"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0.95992</w:t>
                  </w:r>
                </w:p>
              </w:tc>
              <w:tc>
                <w:tcPr>
                  <w:tcW w:w="803" w:type="dxa"/>
                  <w:tcBorders>
                    <w:top w:val="single" w:sz="4" w:space="0" w:color="ADD6EA"/>
                    <w:left w:val="nil"/>
                    <w:bottom w:val="single" w:sz="4" w:space="0" w:color="ADD6EA"/>
                    <w:right w:val="nil"/>
                  </w:tcBorders>
                  <w:shd w:val="clear" w:color="auto" w:fill="auto"/>
                  <w:noWrap/>
                  <w:vAlign w:val="bottom"/>
                  <w:hideMark/>
                </w:tcPr>
                <w:p w14:paraId="11FD0791"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1.04907</w:t>
                  </w:r>
                </w:p>
              </w:tc>
              <w:tc>
                <w:tcPr>
                  <w:tcW w:w="803" w:type="dxa"/>
                  <w:tcBorders>
                    <w:top w:val="single" w:sz="4" w:space="0" w:color="ADD6EA"/>
                    <w:left w:val="nil"/>
                    <w:bottom w:val="single" w:sz="4" w:space="0" w:color="ADD6EA"/>
                    <w:right w:val="nil"/>
                  </w:tcBorders>
                  <w:shd w:val="clear" w:color="auto" w:fill="auto"/>
                  <w:noWrap/>
                  <w:vAlign w:val="bottom"/>
                  <w:hideMark/>
                </w:tcPr>
                <w:p w14:paraId="3317F781"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0.44970</w:t>
                  </w:r>
                </w:p>
              </w:tc>
              <w:tc>
                <w:tcPr>
                  <w:tcW w:w="803" w:type="dxa"/>
                  <w:tcBorders>
                    <w:top w:val="single" w:sz="4" w:space="0" w:color="ADD6EA"/>
                    <w:left w:val="nil"/>
                    <w:bottom w:val="single" w:sz="4" w:space="0" w:color="ADD6EA"/>
                    <w:right w:val="nil"/>
                  </w:tcBorders>
                  <w:shd w:val="clear" w:color="auto" w:fill="auto"/>
                  <w:noWrap/>
                  <w:vAlign w:val="bottom"/>
                  <w:hideMark/>
                </w:tcPr>
                <w:p w14:paraId="397EE1B0"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1.35765</w:t>
                  </w:r>
                </w:p>
              </w:tc>
              <w:tc>
                <w:tcPr>
                  <w:tcW w:w="803" w:type="dxa"/>
                  <w:tcBorders>
                    <w:top w:val="single" w:sz="4" w:space="0" w:color="ADD6EA"/>
                    <w:left w:val="nil"/>
                    <w:bottom w:val="single" w:sz="4" w:space="0" w:color="ADD6EA"/>
                    <w:right w:val="nil"/>
                  </w:tcBorders>
                  <w:shd w:val="clear" w:color="auto" w:fill="auto"/>
                  <w:noWrap/>
                  <w:vAlign w:val="bottom"/>
                  <w:hideMark/>
                </w:tcPr>
                <w:p w14:paraId="53A4DDE6"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1.89742</w:t>
                  </w:r>
                </w:p>
              </w:tc>
              <w:tc>
                <w:tcPr>
                  <w:tcW w:w="803" w:type="dxa"/>
                  <w:tcBorders>
                    <w:top w:val="single" w:sz="4" w:space="0" w:color="ADD6EA"/>
                    <w:left w:val="nil"/>
                    <w:bottom w:val="single" w:sz="4" w:space="0" w:color="ADD6EA"/>
                    <w:right w:val="nil"/>
                  </w:tcBorders>
                  <w:shd w:val="clear" w:color="auto" w:fill="auto"/>
                  <w:noWrap/>
                  <w:vAlign w:val="bottom"/>
                  <w:hideMark/>
                </w:tcPr>
                <w:p w14:paraId="76E1ACE6"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1.15112</w:t>
                  </w:r>
                </w:p>
              </w:tc>
              <w:tc>
                <w:tcPr>
                  <w:tcW w:w="803" w:type="dxa"/>
                  <w:tcBorders>
                    <w:top w:val="single" w:sz="4" w:space="0" w:color="ADD6EA"/>
                    <w:left w:val="nil"/>
                    <w:bottom w:val="single" w:sz="4" w:space="0" w:color="ADD6EA"/>
                    <w:right w:val="nil"/>
                  </w:tcBorders>
                  <w:shd w:val="clear" w:color="auto" w:fill="auto"/>
                  <w:noWrap/>
                  <w:vAlign w:val="bottom"/>
                  <w:hideMark/>
                </w:tcPr>
                <w:p w14:paraId="4AB2E66B"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4.76893</w:t>
                  </w:r>
                </w:p>
              </w:tc>
              <w:tc>
                <w:tcPr>
                  <w:tcW w:w="803" w:type="dxa"/>
                  <w:tcBorders>
                    <w:top w:val="single" w:sz="4" w:space="0" w:color="ADD6EA"/>
                    <w:left w:val="nil"/>
                    <w:bottom w:val="single" w:sz="4" w:space="0" w:color="ADD6EA"/>
                    <w:right w:val="nil"/>
                  </w:tcBorders>
                  <w:shd w:val="clear" w:color="auto" w:fill="auto"/>
                  <w:noWrap/>
                  <w:vAlign w:val="bottom"/>
                  <w:hideMark/>
                </w:tcPr>
                <w:p w14:paraId="4C3E823E"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1.00000</w:t>
                  </w:r>
                </w:p>
              </w:tc>
            </w:tr>
            <w:tr w:rsidR="00751F96" w:rsidRPr="00442A3B" w14:paraId="1A242102" w14:textId="77777777" w:rsidTr="00796A5E">
              <w:trPr>
                <w:trHeight w:val="270"/>
              </w:trPr>
              <w:tc>
                <w:tcPr>
                  <w:tcW w:w="1701" w:type="dxa"/>
                  <w:tcBorders>
                    <w:top w:val="nil"/>
                    <w:left w:val="nil"/>
                    <w:bottom w:val="single" w:sz="4" w:space="0" w:color="ADD6EA"/>
                    <w:right w:val="nil"/>
                  </w:tcBorders>
                  <w:shd w:val="clear" w:color="auto" w:fill="auto"/>
                  <w:vAlign w:val="bottom"/>
                  <w:hideMark/>
                </w:tcPr>
                <w:p w14:paraId="3E383430" w14:textId="541FA67C" w:rsidR="00751F96" w:rsidRPr="00442A3B" w:rsidRDefault="00751F96" w:rsidP="00253860">
                  <w:pPr>
                    <w:keepNext/>
                    <w:keepLines/>
                    <w:pageBreakBefore/>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Relativities 2021-22</w:t>
                  </w:r>
                </w:p>
              </w:tc>
              <w:tc>
                <w:tcPr>
                  <w:tcW w:w="675" w:type="dxa"/>
                  <w:tcBorders>
                    <w:top w:val="nil"/>
                    <w:left w:val="nil"/>
                    <w:bottom w:val="single" w:sz="4" w:space="0" w:color="ADD6EA"/>
                    <w:right w:val="nil"/>
                  </w:tcBorders>
                  <w:shd w:val="clear" w:color="auto" w:fill="auto"/>
                  <w:noWrap/>
                  <w:vAlign w:val="bottom"/>
                  <w:hideMark/>
                </w:tcPr>
                <w:p w14:paraId="0D36EE9B"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0.95617</w:t>
                  </w:r>
                </w:p>
              </w:tc>
              <w:tc>
                <w:tcPr>
                  <w:tcW w:w="803" w:type="dxa"/>
                  <w:tcBorders>
                    <w:top w:val="nil"/>
                    <w:left w:val="nil"/>
                    <w:bottom w:val="single" w:sz="4" w:space="0" w:color="ADD6EA"/>
                    <w:right w:val="nil"/>
                  </w:tcBorders>
                  <w:shd w:val="clear" w:color="auto" w:fill="auto"/>
                  <w:noWrap/>
                  <w:vAlign w:val="bottom"/>
                  <w:hideMark/>
                </w:tcPr>
                <w:p w14:paraId="0F6C69A2"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0.92335</w:t>
                  </w:r>
                </w:p>
              </w:tc>
              <w:tc>
                <w:tcPr>
                  <w:tcW w:w="803" w:type="dxa"/>
                  <w:tcBorders>
                    <w:top w:val="nil"/>
                    <w:left w:val="nil"/>
                    <w:bottom w:val="single" w:sz="4" w:space="0" w:color="ADD6EA"/>
                    <w:right w:val="nil"/>
                  </w:tcBorders>
                  <w:shd w:val="clear" w:color="auto" w:fill="auto"/>
                  <w:noWrap/>
                  <w:vAlign w:val="bottom"/>
                  <w:hideMark/>
                </w:tcPr>
                <w:p w14:paraId="4D1D1D9A"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1.05918</w:t>
                  </w:r>
                </w:p>
              </w:tc>
              <w:tc>
                <w:tcPr>
                  <w:tcW w:w="803" w:type="dxa"/>
                  <w:tcBorders>
                    <w:top w:val="nil"/>
                    <w:left w:val="nil"/>
                    <w:bottom w:val="single" w:sz="4" w:space="0" w:color="ADD6EA"/>
                    <w:right w:val="nil"/>
                  </w:tcBorders>
                  <w:shd w:val="clear" w:color="auto" w:fill="auto"/>
                  <w:noWrap/>
                  <w:vAlign w:val="bottom"/>
                  <w:hideMark/>
                </w:tcPr>
                <w:p w14:paraId="71058E29"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0.41967</w:t>
                  </w:r>
                </w:p>
              </w:tc>
              <w:tc>
                <w:tcPr>
                  <w:tcW w:w="803" w:type="dxa"/>
                  <w:tcBorders>
                    <w:top w:val="nil"/>
                    <w:left w:val="nil"/>
                    <w:bottom w:val="single" w:sz="4" w:space="0" w:color="ADD6EA"/>
                    <w:right w:val="nil"/>
                  </w:tcBorders>
                  <w:shd w:val="clear" w:color="auto" w:fill="auto"/>
                  <w:noWrap/>
                  <w:vAlign w:val="bottom"/>
                  <w:hideMark/>
                </w:tcPr>
                <w:p w14:paraId="7D2BA657"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1.34719</w:t>
                  </w:r>
                </w:p>
              </w:tc>
              <w:tc>
                <w:tcPr>
                  <w:tcW w:w="803" w:type="dxa"/>
                  <w:tcBorders>
                    <w:top w:val="nil"/>
                    <w:left w:val="nil"/>
                    <w:bottom w:val="single" w:sz="4" w:space="0" w:color="ADD6EA"/>
                    <w:right w:val="nil"/>
                  </w:tcBorders>
                  <w:shd w:val="clear" w:color="auto" w:fill="auto"/>
                  <w:noWrap/>
                  <w:vAlign w:val="bottom"/>
                  <w:hideMark/>
                </w:tcPr>
                <w:p w14:paraId="0E9943BB"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1.96067</w:t>
                  </w:r>
                </w:p>
              </w:tc>
              <w:tc>
                <w:tcPr>
                  <w:tcW w:w="803" w:type="dxa"/>
                  <w:tcBorders>
                    <w:top w:val="nil"/>
                    <w:left w:val="nil"/>
                    <w:bottom w:val="single" w:sz="4" w:space="0" w:color="ADD6EA"/>
                    <w:right w:val="nil"/>
                  </w:tcBorders>
                  <w:shd w:val="clear" w:color="auto" w:fill="auto"/>
                  <w:noWrap/>
                  <w:vAlign w:val="bottom"/>
                  <w:hideMark/>
                </w:tcPr>
                <w:p w14:paraId="28C8149B"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1.16266</w:t>
                  </w:r>
                </w:p>
              </w:tc>
              <w:tc>
                <w:tcPr>
                  <w:tcW w:w="803" w:type="dxa"/>
                  <w:tcBorders>
                    <w:top w:val="nil"/>
                    <w:left w:val="nil"/>
                    <w:bottom w:val="single" w:sz="4" w:space="0" w:color="ADD6EA"/>
                    <w:right w:val="nil"/>
                  </w:tcBorders>
                  <w:shd w:val="clear" w:color="auto" w:fill="auto"/>
                  <w:noWrap/>
                  <w:vAlign w:val="bottom"/>
                  <w:hideMark/>
                </w:tcPr>
                <w:p w14:paraId="1ECB5694"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4.79985</w:t>
                  </w:r>
                </w:p>
              </w:tc>
              <w:tc>
                <w:tcPr>
                  <w:tcW w:w="803" w:type="dxa"/>
                  <w:tcBorders>
                    <w:top w:val="nil"/>
                    <w:left w:val="nil"/>
                    <w:bottom w:val="single" w:sz="4" w:space="0" w:color="ADD6EA"/>
                    <w:right w:val="nil"/>
                  </w:tcBorders>
                  <w:shd w:val="clear" w:color="auto" w:fill="auto"/>
                  <w:noWrap/>
                  <w:vAlign w:val="bottom"/>
                  <w:hideMark/>
                </w:tcPr>
                <w:p w14:paraId="79C51E30"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1.00000</w:t>
                  </w:r>
                </w:p>
              </w:tc>
            </w:tr>
            <w:tr w:rsidR="00751F96" w:rsidRPr="00442A3B" w14:paraId="6077BE16" w14:textId="77777777" w:rsidTr="00796A5E">
              <w:trPr>
                <w:trHeight w:val="227"/>
              </w:trPr>
              <w:tc>
                <w:tcPr>
                  <w:tcW w:w="1701" w:type="dxa"/>
                  <w:tcBorders>
                    <w:top w:val="nil"/>
                    <w:left w:val="nil"/>
                    <w:bottom w:val="nil"/>
                    <w:right w:val="nil"/>
                  </w:tcBorders>
                  <w:shd w:val="clear" w:color="000000" w:fill="B6D5E4"/>
                  <w:vAlign w:val="bottom"/>
                  <w:hideMark/>
                </w:tcPr>
                <w:p w14:paraId="77131015" w14:textId="77777777" w:rsidR="00751F96" w:rsidRPr="00442A3B" w:rsidRDefault="00751F96" w:rsidP="00253860">
                  <w:pPr>
                    <w:keepNext/>
                    <w:keepLines/>
                    <w:pageBreakBefore/>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w:t>
                  </w:r>
                </w:p>
              </w:tc>
              <w:tc>
                <w:tcPr>
                  <w:tcW w:w="675" w:type="dxa"/>
                  <w:tcBorders>
                    <w:top w:val="nil"/>
                    <w:left w:val="nil"/>
                    <w:bottom w:val="nil"/>
                    <w:right w:val="nil"/>
                  </w:tcBorders>
                  <w:shd w:val="clear" w:color="000000" w:fill="B6D5E4"/>
                  <w:noWrap/>
                  <w:vAlign w:val="bottom"/>
                  <w:hideMark/>
                </w:tcPr>
                <w:p w14:paraId="315CE4F9" w14:textId="77777777" w:rsidR="00751F96" w:rsidRPr="00442A3B" w:rsidRDefault="00751F96" w:rsidP="00253860">
                  <w:pPr>
                    <w:keepNext/>
                    <w:keepLines/>
                    <w:pageBreakBefore/>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w:t>
                  </w:r>
                </w:p>
              </w:tc>
              <w:tc>
                <w:tcPr>
                  <w:tcW w:w="803" w:type="dxa"/>
                  <w:tcBorders>
                    <w:top w:val="nil"/>
                    <w:left w:val="nil"/>
                    <w:bottom w:val="nil"/>
                    <w:right w:val="nil"/>
                  </w:tcBorders>
                  <w:shd w:val="clear" w:color="000000" w:fill="B6D5E4"/>
                  <w:noWrap/>
                  <w:vAlign w:val="bottom"/>
                  <w:hideMark/>
                </w:tcPr>
                <w:p w14:paraId="53C8FB4C" w14:textId="77777777" w:rsidR="00751F96" w:rsidRPr="00442A3B" w:rsidRDefault="00751F96" w:rsidP="00253860">
                  <w:pPr>
                    <w:keepNext/>
                    <w:keepLines/>
                    <w:pageBreakBefore/>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w:t>
                  </w:r>
                </w:p>
              </w:tc>
              <w:tc>
                <w:tcPr>
                  <w:tcW w:w="803" w:type="dxa"/>
                  <w:tcBorders>
                    <w:top w:val="nil"/>
                    <w:left w:val="nil"/>
                    <w:bottom w:val="nil"/>
                    <w:right w:val="nil"/>
                  </w:tcBorders>
                  <w:shd w:val="clear" w:color="000000" w:fill="B6D5E4"/>
                  <w:noWrap/>
                  <w:vAlign w:val="bottom"/>
                  <w:hideMark/>
                </w:tcPr>
                <w:p w14:paraId="605D8074" w14:textId="77777777" w:rsidR="00751F96" w:rsidRPr="00442A3B" w:rsidRDefault="00751F96" w:rsidP="00253860">
                  <w:pPr>
                    <w:keepNext/>
                    <w:keepLines/>
                    <w:pageBreakBefore/>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w:t>
                  </w:r>
                </w:p>
              </w:tc>
              <w:tc>
                <w:tcPr>
                  <w:tcW w:w="803" w:type="dxa"/>
                  <w:tcBorders>
                    <w:top w:val="nil"/>
                    <w:left w:val="nil"/>
                    <w:bottom w:val="nil"/>
                    <w:right w:val="nil"/>
                  </w:tcBorders>
                  <w:shd w:val="clear" w:color="000000" w:fill="B6D5E4"/>
                  <w:noWrap/>
                  <w:vAlign w:val="bottom"/>
                  <w:hideMark/>
                </w:tcPr>
                <w:p w14:paraId="7E15C6EA" w14:textId="77777777" w:rsidR="00751F96" w:rsidRPr="00442A3B" w:rsidRDefault="00751F96" w:rsidP="00253860">
                  <w:pPr>
                    <w:keepNext/>
                    <w:keepLines/>
                    <w:pageBreakBefore/>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w:t>
                  </w:r>
                </w:p>
              </w:tc>
              <w:tc>
                <w:tcPr>
                  <w:tcW w:w="803" w:type="dxa"/>
                  <w:tcBorders>
                    <w:top w:val="nil"/>
                    <w:left w:val="nil"/>
                    <w:bottom w:val="nil"/>
                    <w:right w:val="nil"/>
                  </w:tcBorders>
                  <w:shd w:val="clear" w:color="000000" w:fill="B6D5E4"/>
                  <w:noWrap/>
                  <w:vAlign w:val="bottom"/>
                  <w:hideMark/>
                </w:tcPr>
                <w:p w14:paraId="247D0AFA" w14:textId="77777777" w:rsidR="00751F96" w:rsidRPr="00442A3B" w:rsidRDefault="00751F96" w:rsidP="00253860">
                  <w:pPr>
                    <w:keepNext/>
                    <w:keepLines/>
                    <w:pageBreakBefore/>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w:t>
                  </w:r>
                </w:p>
              </w:tc>
              <w:tc>
                <w:tcPr>
                  <w:tcW w:w="803" w:type="dxa"/>
                  <w:tcBorders>
                    <w:top w:val="nil"/>
                    <w:left w:val="nil"/>
                    <w:bottom w:val="nil"/>
                    <w:right w:val="nil"/>
                  </w:tcBorders>
                  <w:shd w:val="clear" w:color="000000" w:fill="B6D5E4"/>
                  <w:noWrap/>
                  <w:vAlign w:val="bottom"/>
                  <w:hideMark/>
                </w:tcPr>
                <w:p w14:paraId="6C1AD7FC" w14:textId="77777777" w:rsidR="00751F96" w:rsidRPr="00442A3B" w:rsidRDefault="00751F96" w:rsidP="00253860">
                  <w:pPr>
                    <w:keepNext/>
                    <w:keepLines/>
                    <w:pageBreakBefore/>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w:t>
                  </w:r>
                </w:p>
              </w:tc>
              <w:tc>
                <w:tcPr>
                  <w:tcW w:w="803" w:type="dxa"/>
                  <w:tcBorders>
                    <w:top w:val="nil"/>
                    <w:left w:val="nil"/>
                    <w:bottom w:val="nil"/>
                    <w:right w:val="nil"/>
                  </w:tcBorders>
                  <w:shd w:val="clear" w:color="000000" w:fill="B6D5E4"/>
                  <w:noWrap/>
                  <w:vAlign w:val="bottom"/>
                  <w:hideMark/>
                </w:tcPr>
                <w:p w14:paraId="5CDCBD1B" w14:textId="77777777" w:rsidR="00751F96" w:rsidRPr="00442A3B" w:rsidRDefault="00751F96" w:rsidP="00253860">
                  <w:pPr>
                    <w:keepNext/>
                    <w:keepLines/>
                    <w:pageBreakBefore/>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w:t>
                  </w:r>
                </w:p>
              </w:tc>
              <w:tc>
                <w:tcPr>
                  <w:tcW w:w="803" w:type="dxa"/>
                  <w:tcBorders>
                    <w:top w:val="nil"/>
                    <w:left w:val="nil"/>
                    <w:bottom w:val="nil"/>
                    <w:right w:val="nil"/>
                  </w:tcBorders>
                  <w:shd w:val="clear" w:color="000000" w:fill="B6D5E4"/>
                  <w:noWrap/>
                  <w:vAlign w:val="bottom"/>
                  <w:hideMark/>
                </w:tcPr>
                <w:p w14:paraId="1B4F97A4" w14:textId="77777777" w:rsidR="00751F96" w:rsidRPr="00442A3B" w:rsidRDefault="00751F96" w:rsidP="00253860">
                  <w:pPr>
                    <w:keepNext/>
                    <w:keepLines/>
                    <w:pageBreakBefore/>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w:t>
                  </w:r>
                </w:p>
              </w:tc>
              <w:tc>
                <w:tcPr>
                  <w:tcW w:w="803" w:type="dxa"/>
                  <w:tcBorders>
                    <w:top w:val="nil"/>
                    <w:left w:val="nil"/>
                    <w:bottom w:val="nil"/>
                    <w:right w:val="nil"/>
                  </w:tcBorders>
                  <w:shd w:val="clear" w:color="000000" w:fill="B6D5E4"/>
                  <w:noWrap/>
                  <w:vAlign w:val="bottom"/>
                  <w:hideMark/>
                </w:tcPr>
                <w:p w14:paraId="57793875" w14:textId="77777777" w:rsidR="00751F96" w:rsidRPr="00442A3B" w:rsidRDefault="00751F96" w:rsidP="00253860">
                  <w:pPr>
                    <w:keepNext/>
                    <w:keepLines/>
                    <w:pageBreakBefore/>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w:t>
                  </w:r>
                </w:p>
              </w:tc>
            </w:tr>
            <w:tr w:rsidR="00751F96" w:rsidRPr="00442A3B" w14:paraId="34CB11BB" w14:textId="77777777" w:rsidTr="00796A5E">
              <w:trPr>
                <w:trHeight w:val="270"/>
              </w:trPr>
              <w:tc>
                <w:tcPr>
                  <w:tcW w:w="1701" w:type="dxa"/>
                  <w:tcBorders>
                    <w:top w:val="single" w:sz="4" w:space="0" w:color="ADD6EA"/>
                    <w:left w:val="nil"/>
                    <w:bottom w:val="nil"/>
                    <w:right w:val="nil"/>
                  </w:tcBorders>
                  <w:shd w:val="clear" w:color="auto" w:fill="auto"/>
                  <w:vAlign w:val="bottom"/>
                  <w:hideMark/>
                </w:tcPr>
                <w:p w14:paraId="6CC44D2C" w14:textId="77777777" w:rsidR="00751F96" w:rsidRPr="00442A3B" w:rsidRDefault="00751F96" w:rsidP="00253860">
                  <w:pPr>
                    <w:keepNext/>
                    <w:keepLines/>
                    <w:pageBreakBefore/>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Share in 2020-21</w:t>
                  </w:r>
                </w:p>
              </w:tc>
              <w:tc>
                <w:tcPr>
                  <w:tcW w:w="675" w:type="dxa"/>
                  <w:tcBorders>
                    <w:top w:val="single" w:sz="4" w:space="0" w:color="ADD6EA"/>
                    <w:left w:val="nil"/>
                    <w:bottom w:val="nil"/>
                    <w:right w:val="nil"/>
                  </w:tcBorders>
                  <w:shd w:val="clear" w:color="auto" w:fill="auto"/>
                  <w:noWrap/>
                  <w:vAlign w:val="bottom"/>
                  <w:hideMark/>
                </w:tcPr>
                <w:p w14:paraId="41D18280"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29.2</w:t>
                  </w:r>
                </w:p>
              </w:tc>
              <w:tc>
                <w:tcPr>
                  <w:tcW w:w="803" w:type="dxa"/>
                  <w:tcBorders>
                    <w:top w:val="single" w:sz="4" w:space="0" w:color="ADD6EA"/>
                    <w:left w:val="nil"/>
                    <w:bottom w:val="nil"/>
                    <w:right w:val="nil"/>
                  </w:tcBorders>
                  <w:shd w:val="clear" w:color="auto" w:fill="auto"/>
                  <w:noWrap/>
                  <w:vAlign w:val="bottom"/>
                  <w:hideMark/>
                </w:tcPr>
                <w:p w14:paraId="1D884989"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25.1</w:t>
                  </w:r>
                </w:p>
              </w:tc>
              <w:tc>
                <w:tcPr>
                  <w:tcW w:w="803" w:type="dxa"/>
                  <w:tcBorders>
                    <w:top w:val="single" w:sz="4" w:space="0" w:color="ADD6EA"/>
                    <w:left w:val="nil"/>
                    <w:bottom w:val="nil"/>
                    <w:right w:val="nil"/>
                  </w:tcBorders>
                  <w:shd w:val="clear" w:color="auto" w:fill="auto"/>
                  <w:noWrap/>
                  <w:vAlign w:val="bottom"/>
                  <w:hideMark/>
                </w:tcPr>
                <w:p w14:paraId="1079C8DE"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21.2</w:t>
                  </w:r>
                </w:p>
              </w:tc>
              <w:tc>
                <w:tcPr>
                  <w:tcW w:w="803" w:type="dxa"/>
                  <w:tcBorders>
                    <w:top w:val="single" w:sz="4" w:space="0" w:color="ADD6EA"/>
                    <w:left w:val="nil"/>
                    <w:bottom w:val="nil"/>
                    <w:right w:val="nil"/>
                  </w:tcBorders>
                  <w:shd w:val="clear" w:color="auto" w:fill="auto"/>
                  <w:noWrap/>
                  <w:vAlign w:val="bottom"/>
                  <w:hideMark/>
                </w:tcPr>
                <w:p w14:paraId="2B1B93B0"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4.7</w:t>
                  </w:r>
                </w:p>
              </w:tc>
              <w:tc>
                <w:tcPr>
                  <w:tcW w:w="803" w:type="dxa"/>
                  <w:tcBorders>
                    <w:top w:val="single" w:sz="4" w:space="0" w:color="ADD6EA"/>
                    <w:left w:val="nil"/>
                    <w:bottom w:val="nil"/>
                    <w:right w:val="nil"/>
                  </w:tcBorders>
                  <w:shd w:val="clear" w:color="auto" w:fill="auto"/>
                  <w:noWrap/>
                  <w:vAlign w:val="bottom"/>
                  <w:hideMark/>
                </w:tcPr>
                <w:p w14:paraId="5BFD92C3"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9.4</w:t>
                  </w:r>
                </w:p>
              </w:tc>
              <w:tc>
                <w:tcPr>
                  <w:tcW w:w="803" w:type="dxa"/>
                  <w:tcBorders>
                    <w:top w:val="single" w:sz="4" w:space="0" w:color="ADD6EA"/>
                    <w:left w:val="nil"/>
                    <w:bottom w:val="nil"/>
                    <w:right w:val="nil"/>
                  </w:tcBorders>
                  <w:shd w:val="clear" w:color="auto" w:fill="auto"/>
                  <w:noWrap/>
                  <w:vAlign w:val="bottom"/>
                  <w:hideMark/>
                </w:tcPr>
                <w:p w14:paraId="29F43C27"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4.0</w:t>
                  </w:r>
                </w:p>
              </w:tc>
              <w:tc>
                <w:tcPr>
                  <w:tcW w:w="803" w:type="dxa"/>
                  <w:tcBorders>
                    <w:top w:val="single" w:sz="4" w:space="0" w:color="ADD6EA"/>
                    <w:left w:val="nil"/>
                    <w:bottom w:val="nil"/>
                    <w:right w:val="nil"/>
                  </w:tcBorders>
                  <w:shd w:val="clear" w:color="auto" w:fill="auto"/>
                  <w:noWrap/>
                  <w:vAlign w:val="bottom"/>
                  <w:hideMark/>
                </w:tcPr>
                <w:p w14:paraId="19B45A92"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1.9</w:t>
                  </w:r>
                </w:p>
              </w:tc>
              <w:tc>
                <w:tcPr>
                  <w:tcW w:w="803" w:type="dxa"/>
                  <w:tcBorders>
                    <w:top w:val="single" w:sz="4" w:space="0" w:color="ADD6EA"/>
                    <w:left w:val="nil"/>
                    <w:bottom w:val="nil"/>
                    <w:right w:val="nil"/>
                  </w:tcBorders>
                  <w:shd w:val="clear" w:color="auto" w:fill="auto"/>
                  <w:noWrap/>
                  <w:vAlign w:val="bottom"/>
                  <w:hideMark/>
                </w:tcPr>
                <w:p w14:paraId="37034192"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4.5</w:t>
                  </w:r>
                </w:p>
              </w:tc>
              <w:tc>
                <w:tcPr>
                  <w:tcW w:w="803" w:type="dxa"/>
                  <w:tcBorders>
                    <w:top w:val="single" w:sz="4" w:space="0" w:color="ADD6EA"/>
                    <w:left w:val="nil"/>
                    <w:bottom w:val="nil"/>
                    <w:right w:val="nil"/>
                  </w:tcBorders>
                  <w:shd w:val="clear" w:color="auto" w:fill="auto"/>
                  <w:noWrap/>
                  <w:vAlign w:val="bottom"/>
                  <w:hideMark/>
                </w:tcPr>
                <w:p w14:paraId="12F7502A"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100.0</w:t>
                  </w:r>
                </w:p>
              </w:tc>
            </w:tr>
            <w:tr w:rsidR="00751F96" w:rsidRPr="00442A3B" w14:paraId="43B6A2E2" w14:textId="77777777" w:rsidTr="00796A5E">
              <w:trPr>
                <w:trHeight w:val="270"/>
              </w:trPr>
              <w:tc>
                <w:tcPr>
                  <w:tcW w:w="1701" w:type="dxa"/>
                  <w:tcBorders>
                    <w:top w:val="single" w:sz="4" w:space="0" w:color="ADD6EA"/>
                    <w:left w:val="nil"/>
                    <w:bottom w:val="single" w:sz="4" w:space="0" w:color="ADD6EA"/>
                    <w:right w:val="nil"/>
                  </w:tcBorders>
                  <w:shd w:val="clear" w:color="auto" w:fill="auto"/>
                  <w:vAlign w:val="bottom"/>
                  <w:hideMark/>
                </w:tcPr>
                <w:p w14:paraId="6D740ECB" w14:textId="77777777" w:rsidR="00751F96" w:rsidRPr="00442A3B" w:rsidRDefault="00751F96" w:rsidP="00253860">
                  <w:pPr>
                    <w:keepNext/>
                    <w:keepLines/>
                    <w:pageBreakBefore/>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Share in 2021-22</w:t>
                  </w:r>
                </w:p>
              </w:tc>
              <w:tc>
                <w:tcPr>
                  <w:tcW w:w="675" w:type="dxa"/>
                  <w:tcBorders>
                    <w:top w:val="single" w:sz="4" w:space="0" w:color="ADD6EA"/>
                    <w:left w:val="nil"/>
                    <w:bottom w:val="single" w:sz="4" w:space="0" w:color="ADD6EA"/>
                    <w:right w:val="nil"/>
                  </w:tcBorders>
                  <w:shd w:val="clear" w:color="auto" w:fill="auto"/>
                  <w:noWrap/>
                  <w:vAlign w:val="bottom"/>
                  <w:hideMark/>
                </w:tcPr>
                <w:p w14:paraId="1868761D"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30.3</w:t>
                  </w:r>
                </w:p>
              </w:tc>
              <w:tc>
                <w:tcPr>
                  <w:tcW w:w="803" w:type="dxa"/>
                  <w:tcBorders>
                    <w:top w:val="single" w:sz="4" w:space="0" w:color="ADD6EA"/>
                    <w:left w:val="nil"/>
                    <w:bottom w:val="single" w:sz="4" w:space="0" w:color="ADD6EA"/>
                    <w:right w:val="nil"/>
                  </w:tcBorders>
                  <w:shd w:val="clear" w:color="auto" w:fill="auto"/>
                  <w:noWrap/>
                  <w:vAlign w:val="bottom"/>
                  <w:hideMark/>
                </w:tcPr>
                <w:p w14:paraId="7A87ED74"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24.1</w:t>
                  </w:r>
                </w:p>
              </w:tc>
              <w:tc>
                <w:tcPr>
                  <w:tcW w:w="803" w:type="dxa"/>
                  <w:tcBorders>
                    <w:top w:val="single" w:sz="4" w:space="0" w:color="ADD6EA"/>
                    <w:left w:val="nil"/>
                    <w:bottom w:val="single" w:sz="4" w:space="0" w:color="ADD6EA"/>
                    <w:right w:val="nil"/>
                  </w:tcBorders>
                  <w:shd w:val="clear" w:color="auto" w:fill="auto"/>
                  <w:noWrap/>
                  <w:vAlign w:val="bottom"/>
                  <w:hideMark/>
                </w:tcPr>
                <w:p w14:paraId="4BAD80D0"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21.5</w:t>
                  </w:r>
                </w:p>
              </w:tc>
              <w:tc>
                <w:tcPr>
                  <w:tcW w:w="803" w:type="dxa"/>
                  <w:tcBorders>
                    <w:top w:val="single" w:sz="4" w:space="0" w:color="ADD6EA"/>
                    <w:left w:val="nil"/>
                    <w:bottom w:val="single" w:sz="4" w:space="0" w:color="ADD6EA"/>
                    <w:right w:val="nil"/>
                  </w:tcBorders>
                  <w:shd w:val="clear" w:color="auto" w:fill="auto"/>
                  <w:noWrap/>
                  <w:vAlign w:val="bottom"/>
                  <w:hideMark/>
                </w:tcPr>
                <w:p w14:paraId="5A338733"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4.3</w:t>
                  </w:r>
                </w:p>
              </w:tc>
              <w:tc>
                <w:tcPr>
                  <w:tcW w:w="803" w:type="dxa"/>
                  <w:tcBorders>
                    <w:top w:val="single" w:sz="4" w:space="0" w:color="ADD6EA"/>
                    <w:left w:val="nil"/>
                    <w:bottom w:val="single" w:sz="4" w:space="0" w:color="ADD6EA"/>
                    <w:right w:val="nil"/>
                  </w:tcBorders>
                  <w:shd w:val="clear" w:color="auto" w:fill="auto"/>
                  <w:noWrap/>
                  <w:vAlign w:val="bottom"/>
                  <w:hideMark/>
                </w:tcPr>
                <w:p w14:paraId="05D68EFD"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9.2</w:t>
                  </w:r>
                </w:p>
              </w:tc>
              <w:tc>
                <w:tcPr>
                  <w:tcW w:w="803" w:type="dxa"/>
                  <w:tcBorders>
                    <w:top w:val="single" w:sz="4" w:space="0" w:color="ADD6EA"/>
                    <w:left w:val="nil"/>
                    <w:bottom w:val="single" w:sz="4" w:space="0" w:color="ADD6EA"/>
                    <w:right w:val="nil"/>
                  </w:tcBorders>
                  <w:shd w:val="clear" w:color="auto" w:fill="auto"/>
                  <w:noWrap/>
                  <w:vAlign w:val="bottom"/>
                  <w:hideMark/>
                </w:tcPr>
                <w:p w14:paraId="13384320"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4.1</w:t>
                  </w:r>
                </w:p>
              </w:tc>
              <w:tc>
                <w:tcPr>
                  <w:tcW w:w="803" w:type="dxa"/>
                  <w:tcBorders>
                    <w:top w:val="single" w:sz="4" w:space="0" w:color="ADD6EA"/>
                    <w:left w:val="nil"/>
                    <w:bottom w:val="single" w:sz="4" w:space="0" w:color="ADD6EA"/>
                    <w:right w:val="nil"/>
                  </w:tcBorders>
                  <w:shd w:val="clear" w:color="auto" w:fill="auto"/>
                  <w:noWrap/>
                  <w:vAlign w:val="bottom"/>
                  <w:hideMark/>
                </w:tcPr>
                <w:p w14:paraId="7073D37A"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2.0</w:t>
                  </w:r>
                </w:p>
              </w:tc>
              <w:tc>
                <w:tcPr>
                  <w:tcW w:w="803" w:type="dxa"/>
                  <w:tcBorders>
                    <w:top w:val="single" w:sz="4" w:space="0" w:color="ADD6EA"/>
                    <w:left w:val="nil"/>
                    <w:bottom w:val="single" w:sz="4" w:space="0" w:color="ADD6EA"/>
                    <w:right w:val="nil"/>
                  </w:tcBorders>
                  <w:shd w:val="clear" w:color="auto" w:fill="auto"/>
                  <w:noWrap/>
                  <w:vAlign w:val="bottom"/>
                  <w:hideMark/>
                </w:tcPr>
                <w:p w14:paraId="2684D9A5"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4.4</w:t>
                  </w:r>
                </w:p>
              </w:tc>
              <w:tc>
                <w:tcPr>
                  <w:tcW w:w="803" w:type="dxa"/>
                  <w:tcBorders>
                    <w:top w:val="single" w:sz="4" w:space="0" w:color="ADD6EA"/>
                    <w:left w:val="nil"/>
                    <w:bottom w:val="single" w:sz="4" w:space="0" w:color="ADD6EA"/>
                    <w:right w:val="nil"/>
                  </w:tcBorders>
                  <w:shd w:val="clear" w:color="auto" w:fill="auto"/>
                  <w:noWrap/>
                  <w:vAlign w:val="bottom"/>
                  <w:hideMark/>
                </w:tcPr>
                <w:p w14:paraId="519E5F30"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100.0</w:t>
                  </w:r>
                </w:p>
              </w:tc>
            </w:tr>
            <w:tr w:rsidR="00751F96" w:rsidRPr="00442A3B" w14:paraId="5C12D32B" w14:textId="77777777" w:rsidTr="00796A5E">
              <w:trPr>
                <w:trHeight w:val="270"/>
              </w:trPr>
              <w:tc>
                <w:tcPr>
                  <w:tcW w:w="1701" w:type="dxa"/>
                  <w:tcBorders>
                    <w:top w:val="nil"/>
                    <w:left w:val="nil"/>
                    <w:bottom w:val="single" w:sz="4" w:space="0" w:color="ADD6EA"/>
                    <w:right w:val="nil"/>
                  </w:tcBorders>
                  <w:shd w:val="clear" w:color="auto" w:fill="auto"/>
                  <w:vAlign w:val="bottom"/>
                  <w:hideMark/>
                </w:tcPr>
                <w:p w14:paraId="509387E6" w14:textId="77777777" w:rsidR="00751F96" w:rsidRPr="00442A3B" w:rsidRDefault="00751F96" w:rsidP="00253860">
                  <w:pPr>
                    <w:keepNext/>
                    <w:keepLines/>
                    <w:pageBreakBefore/>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Population share in 2021-22</w:t>
                  </w:r>
                </w:p>
              </w:tc>
              <w:tc>
                <w:tcPr>
                  <w:tcW w:w="675" w:type="dxa"/>
                  <w:tcBorders>
                    <w:top w:val="nil"/>
                    <w:left w:val="nil"/>
                    <w:bottom w:val="single" w:sz="4" w:space="0" w:color="ADD6EA"/>
                    <w:right w:val="nil"/>
                  </w:tcBorders>
                  <w:shd w:val="clear" w:color="auto" w:fill="auto"/>
                  <w:noWrap/>
                  <w:vAlign w:val="bottom"/>
                  <w:hideMark/>
                </w:tcPr>
                <w:p w14:paraId="46D16D8D"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31.7</w:t>
                  </w:r>
                </w:p>
              </w:tc>
              <w:tc>
                <w:tcPr>
                  <w:tcW w:w="803" w:type="dxa"/>
                  <w:tcBorders>
                    <w:top w:val="nil"/>
                    <w:left w:val="nil"/>
                    <w:bottom w:val="single" w:sz="4" w:space="0" w:color="ADD6EA"/>
                    <w:right w:val="nil"/>
                  </w:tcBorders>
                  <w:shd w:val="clear" w:color="auto" w:fill="auto"/>
                  <w:noWrap/>
                  <w:vAlign w:val="bottom"/>
                  <w:hideMark/>
                </w:tcPr>
                <w:p w14:paraId="6B64A2BF"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26.1</w:t>
                  </w:r>
                </w:p>
              </w:tc>
              <w:tc>
                <w:tcPr>
                  <w:tcW w:w="803" w:type="dxa"/>
                  <w:tcBorders>
                    <w:top w:val="nil"/>
                    <w:left w:val="nil"/>
                    <w:bottom w:val="single" w:sz="4" w:space="0" w:color="ADD6EA"/>
                    <w:right w:val="nil"/>
                  </w:tcBorders>
                  <w:shd w:val="clear" w:color="auto" w:fill="auto"/>
                  <w:noWrap/>
                  <w:vAlign w:val="bottom"/>
                  <w:hideMark/>
                </w:tcPr>
                <w:p w14:paraId="0EC46224"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20.3</w:t>
                  </w:r>
                </w:p>
              </w:tc>
              <w:tc>
                <w:tcPr>
                  <w:tcW w:w="803" w:type="dxa"/>
                  <w:tcBorders>
                    <w:top w:val="nil"/>
                    <w:left w:val="nil"/>
                    <w:bottom w:val="single" w:sz="4" w:space="0" w:color="ADD6EA"/>
                    <w:right w:val="nil"/>
                  </w:tcBorders>
                  <w:shd w:val="clear" w:color="auto" w:fill="auto"/>
                  <w:noWrap/>
                  <w:vAlign w:val="bottom"/>
                  <w:hideMark/>
                </w:tcPr>
                <w:p w14:paraId="1EF5B029"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10.4</w:t>
                  </w:r>
                </w:p>
              </w:tc>
              <w:tc>
                <w:tcPr>
                  <w:tcW w:w="803" w:type="dxa"/>
                  <w:tcBorders>
                    <w:top w:val="nil"/>
                    <w:left w:val="nil"/>
                    <w:bottom w:val="single" w:sz="4" w:space="0" w:color="ADD6EA"/>
                    <w:right w:val="nil"/>
                  </w:tcBorders>
                  <w:shd w:val="clear" w:color="auto" w:fill="auto"/>
                  <w:noWrap/>
                  <w:vAlign w:val="bottom"/>
                  <w:hideMark/>
                </w:tcPr>
                <w:p w14:paraId="5273C765"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6.9</w:t>
                  </w:r>
                </w:p>
              </w:tc>
              <w:tc>
                <w:tcPr>
                  <w:tcW w:w="803" w:type="dxa"/>
                  <w:tcBorders>
                    <w:top w:val="nil"/>
                    <w:left w:val="nil"/>
                    <w:bottom w:val="single" w:sz="4" w:space="0" w:color="ADD6EA"/>
                    <w:right w:val="nil"/>
                  </w:tcBorders>
                  <w:shd w:val="clear" w:color="auto" w:fill="auto"/>
                  <w:noWrap/>
                  <w:vAlign w:val="bottom"/>
                  <w:hideMark/>
                </w:tcPr>
                <w:p w14:paraId="3EB557DD"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2.1</w:t>
                  </w:r>
                </w:p>
              </w:tc>
              <w:tc>
                <w:tcPr>
                  <w:tcW w:w="803" w:type="dxa"/>
                  <w:tcBorders>
                    <w:top w:val="nil"/>
                    <w:left w:val="nil"/>
                    <w:bottom w:val="single" w:sz="4" w:space="0" w:color="ADD6EA"/>
                    <w:right w:val="nil"/>
                  </w:tcBorders>
                  <w:shd w:val="clear" w:color="auto" w:fill="auto"/>
                  <w:noWrap/>
                  <w:vAlign w:val="bottom"/>
                  <w:hideMark/>
                </w:tcPr>
                <w:p w14:paraId="4DF8A1E2"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1.7</w:t>
                  </w:r>
                </w:p>
              </w:tc>
              <w:tc>
                <w:tcPr>
                  <w:tcW w:w="803" w:type="dxa"/>
                  <w:tcBorders>
                    <w:top w:val="nil"/>
                    <w:left w:val="nil"/>
                    <w:bottom w:val="single" w:sz="4" w:space="0" w:color="ADD6EA"/>
                    <w:right w:val="nil"/>
                  </w:tcBorders>
                  <w:shd w:val="clear" w:color="auto" w:fill="auto"/>
                  <w:noWrap/>
                  <w:vAlign w:val="bottom"/>
                  <w:hideMark/>
                </w:tcPr>
                <w:p w14:paraId="56674AD2"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0.9</w:t>
                  </w:r>
                </w:p>
              </w:tc>
              <w:tc>
                <w:tcPr>
                  <w:tcW w:w="803" w:type="dxa"/>
                  <w:tcBorders>
                    <w:top w:val="nil"/>
                    <w:left w:val="nil"/>
                    <w:bottom w:val="single" w:sz="4" w:space="0" w:color="ADD6EA"/>
                    <w:right w:val="nil"/>
                  </w:tcBorders>
                  <w:shd w:val="clear" w:color="auto" w:fill="auto"/>
                  <w:noWrap/>
                  <w:vAlign w:val="bottom"/>
                  <w:hideMark/>
                </w:tcPr>
                <w:p w14:paraId="53AE2D75" w14:textId="77777777" w:rsidR="00751F96" w:rsidRPr="00442A3B" w:rsidRDefault="00751F96" w:rsidP="00253860">
                  <w:pPr>
                    <w:keepNext/>
                    <w:keepLines/>
                    <w:pageBreakBefore/>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100.0</w:t>
                  </w:r>
                </w:p>
              </w:tc>
            </w:tr>
          </w:tbl>
          <w:p w14:paraId="4725BE4C" w14:textId="1CBE321A" w:rsidR="00ED0FE0" w:rsidRPr="00442A3B" w:rsidRDefault="002D0282" w:rsidP="003A08D2">
            <w:pPr>
              <w:pStyle w:val="CGCTablenote"/>
              <w:keepNext/>
              <w:keepLines/>
              <w:spacing w:after="120"/>
            </w:pPr>
            <w:r w:rsidRPr="00442A3B">
              <w:t>Source: Commission calculation.</w:t>
            </w:r>
            <w:bookmarkStart w:id="48" w:name="x__GoBack"/>
            <w:bookmarkEnd w:id="48"/>
          </w:p>
        </w:tc>
      </w:tr>
      <w:tr w:rsidR="00915137" w:rsidRPr="00442A3B" w14:paraId="64BAA255" w14:textId="77777777" w:rsidTr="00677917">
        <w:tc>
          <w:tcPr>
            <w:tcW w:w="9175" w:type="dxa"/>
            <w:shd w:val="clear" w:color="auto" w:fill="EBF3F5"/>
          </w:tcPr>
          <w:p w14:paraId="4450C0F4" w14:textId="77777777" w:rsidR="00915137" w:rsidRPr="00442A3B" w:rsidRDefault="00915137" w:rsidP="00915137">
            <w:pPr>
              <w:pageBreakBefore/>
              <w:widowControl w:val="0"/>
              <w:outlineLvl w:val="5"/>
              <w:rPr>
                <w:rFonts w:ascii="Montserrat Semi Bold" w:eastAsiaTheme="majorEastAsia" w:hAnsi="Montserrat Semi Bold" w:cstheme="majorBidi"/>
                <w:i/>
                <w:iCs/>
                <w:color w:val="636466"/>
              </w:rPr>
            </w:pPr>
            <w:r w:rsidRPr="00442A3B">
              <w:rPr>
                <w:rFonts w:ascii="Montserrat Semi Bold" w:eastAsiaTheme="majorEastAsia" w:hAnsi="Montserrat Semi Bold" w:cstheme="majorBidi"/>
                <w:i/>
                <w:iCs/>
                <w:color w:val="636466"/>
              </w:rPr>
              <w:lastRenderedPageBreak/>
              <w:t>Key drivers of change in each State</w:t>
            </w:r>
          </w:p>
          <w:p w14:paraId="6907381D" w14:textId="3A6A5706" w:rsidR="00915137" w:rsidRPr="00442A3B" w:rsidRDefault="00915137" w:rsidP="00915137">
            <w:pPr>
              <w:keepNext/>
              <w:keepLines/>
              <w:pageBreakBefore/>
            </w:pPr>
            <w:r w:rsidRPr="00442A3B">
              <w:t>Compared with 2020-2</w:t>
            </w:r>
            <w:r w:rsidR="00520211" w:rsidRPr="00442A3B">
              <w:t>1</w:t>
            </w:r>
            <w:r w:rsidRPr="00442A3B">
              <w:t xml:space="preserve">, </w:t>
            </w:r>
            <w:r w:rsidRPr="00442A3B">
              <w:rPr>
                <w:b/>
                <w:bCs/>
              </w:rPr>
              <w:t>Victoria</w:t>
            </w:r>
            <w:r w:rsidRPr="00442A3B">
              <w:t xml:space="preserve">, </w:t>
            </w:r>
            <w:r w:rsidRPr="00442A3B">
              <w:rPr>
                <w:b/>
                <w:bCs/>
              </w:rPr>
              <w:t>Western Australia</w:t>
            </w:r>
            <w:r w:rsidRPr="00442A3B">
              <w:t xml:space="preserve"> and </w:t>
            </w:r>
            <w:r w:rsidRPr="00442A3B">
              <w:rPr>
                <w:b/>
                <w:bCs/>
              </w:rPr>
              <w:t>South Australia</w:t>
            </w:r>
            <w:r w:rsidRPr="00442A3B">
              <w:t xml:space="preserve"> will have a reduced requirement (in relative terms) for GST distribution in 2021-22. Strong property transfer values over the assessment period increased the revenue raising capacity of </w:t>
            </w:r>
            <w:r w:rsidRPr="00442A3B">
              <w:rPr>
                <w:b/>
                <w:bCs/>
              </w:rPr>
              <w:t>Victoria</w:t>
            </w:r>
            <w:r w:rsidRPr="00442A3B">
              <w:t>. This influence</w:t>
            </w:r>
            <w:r w:rsidRPr="00442A3B" w:rsidDel="0029501A">
              <w:t xml:space="preserve"> </w:t>
            </w:r>
            <w:r w:rsidRPr="00442A3B">
              <w:t>was compounded by Victoria’s below average expense needs and data revisions that increased its assessed capacity to raise payroll tax</w:t>
            </w:r>
            <w:r w:rsidR="0035235F" w:rsidRPr="00442A3B">
              <w:t>.</w:t>
            </w:r>
            <w:r w:rsidRPr="00442A3B">
              <w:rPr>
                <w:vertAlign w:val="superscript"/>
              </w:rPr>
              <w:footnoteReference w:id="5"/>
            </w:r>
            <w:r w:rsidRPr="00442A3B">
              <w:t xml:space="preserve"> The strong growth in iron ore royalties was the main driver of </w:t>
            </w:r>
            <w:r w:rsidRPr="00442A3B">
              <w:rPr>
                <w:b/>
                <w:bCs/>
              </w:rPr>
              <w:t>Western Australia</w:t>
            </w:r>
            <w:r w:rsidRPr="00442A3B">
              <w:t xml:space="preserve">’s declining GST requirement in this update. </w:t>
            </w:r>
            <w:r w:rsidRPr="00442A3B">
              <w:rPr>
                <w:b/>
                <w:bCs/>
              </w:rPr>
              <w:t>South Australia</w:t>
            </w:r>
            <w:r w:rsidRPr="00442A3B">
              <w:t xml:space="preserve"> experienced a small reduction in its GST requirement, mainly due to above national average growth in property sales and taxable payrolls, and data revisions in the wage costs assessment. </w:t>
            </w:r>
          </w:p>
          <w:p w14:paraId="5500AAD1" w14:textId="77777777" w:rsidR="00915137" w:rsidRPr="00442A3B" w:rsidRDefault="00915137" w:rsidP="006D7653">
            <w:pPr>
              <w:keepNext/>
              <w:keepLines/>
              <w:pageBreakBefore/>
              <w:tabs>
                <w:tab w:val="clear" w:pos="567"/>
                <w:tab w:val="left" w:pos="1134"/>
                <w:tab w:val="left" w:pos="1418"/>
              </w:tabs>
              <w:spacing w:after="120" w:line="240" w:lineRule="auto"/>
              <w:ind w:left="1134" w:hanging="1134"/>
              <w:rPr>
                <w:rFonts w:ascii="Montserrat Ultra Light" w:hAnsi="Montserrat Ultra Light"/>
                <w:b/>
                <w:bCs/>
                <w:szCs w:val="20"/>
              </w:rPr>
            </w:pPr>
            <w:r w:rsidRPr="00442A3B">
              <w:rPr>
                <w:rFonts w:ascii="Montserrat Ultra Light" w:hAnsi="Montserrat Ultra Light"/>
                <w:b/>
                <w:bCs/>
                <w:szCs w:val="20"/>
                <w:lang w:eastAsia="en-AU"/>
              </w:rPr>
              <w:t>Major drivers of change in GST distribution</w:t>
            </w:r>
            <w:r w:rsidR="00B40BB1" w:rsidRPr="00442A3B">
              <w:rPr>
                <w:rFonts w:ascii="Montserrat Ultra Light" w:hAnsi="Montserrat Ultra Light"/>
                <w:b/>
                <w:bCs/>
                <w:szCs w:val="20"/>
                <w:lang w:eastAsia="en-AU"/>
              </w:rPr>
              <w:t>,</w:t>
            </w:r>
            <w:r w:rsidRPr="00442A3B">
              <w:rPr>
                <w:rFonts w:ascii="Montserrat Ultra Light" w:hAnsi="Montserrat Ultra Light"/>
                <w:b/>
                <w:bCs/>
                <w:szCs w:val="20"/>
                <w:lang w:eastAsia="en-AU"/>
              </w:rPr>
              <w:t xml:space="preserve"> 2020-21 to 2021-22</w:t>
            </w:r>
          </w:p>
          <w:tbl>
            <w:tblPr>
              <w:tblW w:w="8789" w:type="dxa"/>
              <w:tblCellMar>
                <w:left w:w="0" w:type="dxa"/>
                <w:right w:w="0" w:type="dxa"/>
              </w:tblCellMar>
              <w:tblLook w:val="04A0" w:firstRow="1" w:lastRow="0" w:firstColumn="1" w:lastColumn="0" w:noHBand="0" w:noVBand="1"/>
            </w:tblPr>
            <w:tblGrid>
              <w:gridCol w:w="2996"/>
              <w:gridCol w:w="485"/>
              <w:gridCol w:w="606"/>
              <w:gridCol w:w="669"/>
              <w:gridCol w:w="648"/>
              <w:gridCol w:w="585"/>
              <w:gridCol w:w="648"/>
              <w:gridCol w:w="689"/>
              <w:gridCol w:w="606"/>
              <w:gridCol w:w="857"/>
            </w:tblGrid>
            <w:tr w:rsidR="00915137" w:rsidRPr="00442A3B" w14:paraId="26221937" w14:textId="77777777" w:rsidTr="0099072C">
              <w:trPr>
                <w:trHeight w:val="315"/>
              </w:trPr>
              <w:tc>
                <w:tcPr>
                  <w:tcW w:w="2869" w:type="dxa"/>
                  <w:shd w:val="clear" w:color="auto" w:fill="006991"/>
                  <w:tcMar>
                    <w:top w:w="0" w:type="dxa"/>
                    <w:left w:w="28" w:type="dxa"/>
                    <w:bottom w:w="0" w:type="dxa"/>
                    <w:right w:w="28" w:type="dxa"/>
                  </w:tcMar>
                  <w:vAlign w:val="bottom"/>
                  <w:hideMark/>
                </w:tcPr>
                <w:p w14:paraId="15A5FE8D" w14:textId="77777777" w:rsidR="00915137" w:rsidRPr="00442A3B" w:rsidRDefault="00915137" w:rsidP="00915137">
                  <w:pPr>
                    <w:keepNext/>
                    <w:keepLines/>
                    <w:pageBreakBefore/>
                    <w:tabs>
                      <w:tab w:val="clear" w:pos="567"/>
                      <w:tab w:val="left" w:pos="1134"/>
                      <w:tab w:val="left" w:pos="1420"/>
                    </w:tabs>
                    <w:spacing w:before="0" w:line="240" w:lineRule="auto"/>
                    <w:rPr>
                      <w:rFonts w:ascii="Open Sans Semibold" w:hAnsi="Open Sans Semibold"/>
                      <w:color w:val="FFFFFF" w:themeColor="background1"/>
                      <w:sz w:val="16"/>
                      <w:szCs w:val="20"/>
                      <w:lang w:eastAsia="en-AU"/>
                    </w:rPr>
                  </w:pPr>
                </w:p>
              </w:tc>
              <w:tc>
                <w:tcPr>
                  <w:tcW w:w="451" w:type="dxa"/>
                  <w:shd w:val="clear" w:color="auto" w:fill="006991"/>
                  <w:tcMar>
                    <w:top w:w="0" w:type="dxa"/>
                    <w:left w:w="28" w:type="dxa"/>
                    <w:bottom w:w="0" w:type="dxa"/>
                    <w:right w:w="28" w:type="dxa"/>
                  </w:tcMar>
                  <w:vAlign w:val="center"/>
                  <w:hideMark/>
                </w:tcPr>
                <w:p w14:paraId="1C232CE9" w14:textId="77777777" w:rsidR="00915137" w:rsidRPr="00442A3B" w:rsidRDefault="00915137" w:rsidP="00915137">
                  <w:pPr>
                    <w:keepNext/>
                    <w:keepLines/>
                    <w:pageBreakBefore/>
                    <w:tabs>
                      <w:tab w:val="clear" w:pos="567"/>
                      <w:tab w:val="left" w:pos="1134"/>
                      <w:tab w:val="left" w:pos="1420"/>
                    </w:tabs>
                    <w:spacing w:before="0" w:line="240" w:lineRule="auto"/>
                    <w:jc w:val="right"/>
                    <w:rPr>
                      <w:rFonts w:ascii="Open Sans Semibold" w:hAnsi="Open Sans Semibold"/>
                      <w:color w:val="FFFFFF" w:themeColor="background1"/>
                      <w:sz w:val="16"/>
                      <w:szCs w:val="20"/>
                      <w:lang w:eastAsia="en-AU"/>
                    </w:rPr>
                  </w:pPr>
                  <w:r w:rsidRPr="00442A3B">
                    <w:rPr>
                      <w:rFonts w:ascii="Open Sans Semibold" w:hAnsi="Open Sans Semibold"/>
                      <w:color w:val="FFFFFF" w:themeColor="background1"/>
                      <w:sz w:val="16"/>
                      <w:szCs w:val="20"/>
                      <w:lang w:eastAsia="en-AU"/>
                    </w:rPr>
                    <w:t>NSW</w:t>
                  </w:r>
                </w:p>
              </w:tc>
              <w:tc>
                <w:tcPr>
                  <w:tcW w:w="580" w:type="dxa"/>
                  <w:shd w:val="clear" w:color="auto" w:fill="006991"/>
                  <w:tcMar>
                    <w:top w:w="0" w:type="dxa"/>
                    <w:left w:w="28" w:type="dxa"/>
                    <w:bottom w:w="0" w:type="dxa"/>
                    <w:right w:w="28" w:type="dxa"/>
                  </w:tcMar>
                  <w:vAlign w:val="center"/>
                  <w:hideMark/>
                </w:tcPr>
                <w:p w14:paraId="0C7E9747" w14:textId="77777777" w:rsidR="00915137" w:rsidRPr="00442A3B" w:rsidRDefault="00915137" w:rsidP="00915137">
                  <w:pPr>
                    <w:keepNext/>
                    <w:keepLines/>
                    <w:pageBreakBefore/>
                    <w:tabs>
                      <w:tab w:val="clear" w:pos="567"/>
                      <w:tab w:val="left" w:pos="1134"/>
                      <w:tab w:val="left" w:pos="1420"/>
                    </w:tabs>
                    <w:spacing w:before="0" w:line="240" w:lineRule="auto"/>
                    <w:jc w:val="right"/>
                    <w:rPr>
                      <w:rFonts w:ascii="Open Sans Semibold" w:hAnsi="Open Sans Semibold"/>
                      <w:color w:val="FFFFFF" w:themeColor="background1"/>
                      <w:sz w:val="16"/>
                      <w:szCs w:val="20"/>
                      <w:lang w:eastAsia="en-AU"/>
                    </w:rPr>
                  </w:pPr>
                  <w:r w:rsidRPr="00442A3B">
                    <w:rPr>
                      <w:rFonts w:ascii="Open Sans Semibold" w:hAnsi="Open Sans Semibold"/>
                      <w:color w:val="FFFFFF" w:themeColor="background1"/>
                      <w:sz w:val="16"/>
                      <w:szCs w:val="20"/>
                      <w:lang w:eastAsia="en-AU"/>
                    </w:rPr>
                    <w:t>Vic</w:t>
                  </w:r>
                </w:p>
              </w:tc>
              <w:tc>
                <w:tcPr>
                  <w:tcW w:w="640" w:type="dxa"/>
                  <w:shd w:val="clear" w:color="auto" w:fill="006991"/>
                  <w:tcMar>
                    <w:top w:w="0" w:type="dxa"/>
                    <w:left w:w="28" w:type="dxa"/>
                    <w:bottom w:w="0" w:type="dxa"/>
                    <w:right w:w="28" w:type="dxa"/>
                  </w:tcMar>
                  <w:vAlign w:val="center"/>
                  <w:hideMark/>
                </w:tcPr>
                <w:p w14:paraId="6F7E2DD8" w14:textId="77777777" w:rsidR="00915137" w:rsidRPr="00442A3B" w:rsidRDefault="00915137" w:rsidP="00915137">
                  <w:pPr>
                    <w:keepNext/>
                    <w:keepLines/>
                    <w:pageBreakBefore/>
                    <w:tabs>
                      <w:tab w:val="clear" w:pos="567"/>
                      <w:tab w:val="left" w:pos="1134"/>
                      <w:tab w:val="left" w:pos="1420"/>
                    </w:tabs>
                    <w:spacing w:before="0" w:line="240" w:lineRule="auto"/>
                    <w:jc w:val="right"/>
                    <w:rPr>
                      <w:rFonts w:ascii="Open Sans Semibold" w:hAnsi="Open Sans Semibold"/>
                      <w:color w:val="FFFFFF" w:themeColor="background1"/>
                      <w:sz w:val="16"/>
                      <w:szCs w:val="20"/>
                      <w:lang w:eastAsia="en-AU"/>
                    </w:rPr>
                  </w:pPr>
                  <w:r w:rsidRPr="00442A3B">
                    <w:rPr>
                      <w:rFonts w:ascii="Open Sans Semibold" w:hAnsi="Open Sans Semibold"/>
                      <w:color w:val="FFFFFF" w:themeColor="background1"/>
                      <w:sz w:val="16"/>
                      <w:szCs w:val="20"/>
                      <w:lang w:eastAsia="en-AU"/>
                    </w:rPr>
                    <w:t>Qld</w:t>
                  </w:r>
                </w:p>
              </w:tc>
              <w:tc>
                <w:tcPr>
                  <w:tcW w:w="620" w:type="dxa"/>
                  <w:shd w:val="clear" w:color="auto" w:fill="006991"/>
                  <w:tcMar>
                    <w:top w:w="0" w:type="dxa"/>
                    <w:left w:w="28" w:type="dxa"/>
                    <w:bottom w:w="0" w:type="dxa"/>
                    <w:right w:w="28" w:type="dxa"/>
                  </w:tcMar>
                  <w:vAlign w:val="center"/>
                  <w:hideMark/>
                </w:tcPr>
                <w:p w14:paraId="56B1BA5E" w14:textId="77777777" w:rsidR="00915137" w:rsidRPr="00442A3B" w:rsidRDefault="00915137" w:rsidP="00915137">
                  <w:pPr>
                    <w:keepNext/>
                    <w:keepLines/>
                    <w:pageBreakBefore/>
                    <w:tabs>
                      <w:tab w:val="clear" w:pos="567"/>
                      <w:tab w:val="left" w:pos="1134"/>
                      <w:tab w:val="left" w:pos="1420"/>
                    </w:tabs>
                    <w:spacing w:before="0" w:line="240" w:lineRule="auto"/>
                    <w:jc w:val="right"/>
                    <w:rPr>
                      <w:rFonts w:ascii="Open Sans Semibold" w:hAnsi="Open Sans Semibold"/>
                      <w:color w:val="FFFFFF" w:themeColor="background1"/>
                      <w:sz w:val="16"/>
                      <w:szCs w:val="20"/>
                      <w:lang w:eastAsia="en-AU"/>
                    </w:rPr>
                  </w:pPr>
                  <w:r w:rsidRPr="00442A3B">
                    <w:rPr>
                      <w:rFonts w:ascii="Open Sans Semibold" w:hAnsi="Open Sans Semibold"/>
                      <w:color w:val="FFFFFF" w:themeColor="background1"/>
                      <w:sz w:val="16"/>
                      <w:szCs w:val="20"/>
                      <w:lang w:eastAsia="en-AU"/>
                    </w:rPr>
                    <w:t>WA</w:t>
                  </w:r>
                </w:p>
              </w:tc>
              <w:tc>
                <w:tcPr>
                  <w:tcW w:w="560" w:type="dxa"/>
                  <w:shd w:val="clear" w:color="auto" w:fill="006991"/>
                  <w:tcMar>
                    <w:top w:w="0" w:type="dxa"/>
                    <w:left w:w="28" w:type="dxa"/>
                    <w:bottom w:w="0" w:type="dxa"/>
                    <w:right w:w="28" w:type="dxa"/>
                  </w:tcMar>
                  <w:vAlign w:val="center"/>
                  <w:hideMark/>
                </w:tcPr>
                <w:p w14:paraId="7B478E92" w14:textId="77777777" w:rsidR="00915137" w:rsidRPr="00442A3B" w:rsidRDefault="00915137" w:rsidP="00915137">
                  <w:pPr>
                    <w:keepNext/>
                    <w:keepLines/>
                    <w:pageBreakBefore/>
                    <w:tabs>
                      <w:tab w:val="clear" w:pos="567"/>
                      <w:tab w:val="left" w:pos="1134"/>
                      <w:tab w:val="left" w:pos="1420"/>
                    </w:tabs>
                    <w:spacing w:before="0" w:line="240" w:lineRule="auto"/>
                    <w:jc w:val="right"/>
                    <w:rPr>
                      <w:rFonts w:ascii="Open Sans Semibold" w:hAnsi="Open Sans Semibold"/>
                      <w:color w:val="FFFFFF" w:themeColor="background1"/>
                      <w:sz w:val="16"/>
                      <w:szCs w:val="20"/>
                      <w:lang w:eastAsia="en-AU"/>
                    </w:rPr>
                  </w:pPr>
                  <w:r w:rsidRPr="00442A3B">
                    <w:rPr>
                      <w:rFonts w:ascii="Open Sans Semibold" w:hAnsi="Open Sans Semibold"/>
                      <w:color w:val="FFFFFF" w:themeColor="background1"/>
                      <w:sz w:val="16"/>
                      <w:szCs w:val="20"/>
                      <w:lang w:eastAsia="en-AU"/>
                    </w:rPr>
                    <w:t>SA</w:t>
                  </w:r>
                </w:p>
              </w:tc>
              <w:tc>
                <w:tcPr>
                  <w:tcW w:w="620" w:type="dxa"/>
                  <w:shd w:val="clear" w:color="auto" w:fill="006991"/>
                  <w:tcMar>
                    <w:top w:w="0" w:type="dxa"/>
                    <w:left w:w="28" w:type="dxa"/>
                    <w:bottom w:w="0" w:type="dxa"/>
                    <w:right w:w="28" w:type="dxa"/>
                  </w:tcMar>
                  <w:vAlign w:val="center"/>
                  <w:hideMark/>
                </w:tcPr>
                <w:p w14:paraId="033582DC" w14:textId="77777777" w:rsidR="00915137" w:rsidRPr="00442A3B" w:rsidRDefault="00915137" w:rsidP="00915137">
                  <w:pPr>
                    <w:keepNext/>
                    <w:keepLines/>
                    <w:pageBreakBefore/>
                    <w:tabs>
                      <w:tab w:val="clear" w:pos="567"/>
                      <w:tab w:val="left" w:pos="1134"/>
                      <w:tab w:val="left" w:pos="1420"/>
                    </w:tabs>
                    <w:spacing w:before="0" w:line="240" w:lineRule="auto"/>
                    <w:jc w:val="right"/>
                    <w:rPr>
                      <w:rFonts w:ascii="Open Sans Semibold" w:hAnsi="Open Sans Semibold"/>
                      <w:color w:val="FFFFFF" w:themeColor="background1"/>
                      <w:sz w:val="16"/>
                      <w:szCs w:val="20"/>
                      <w:lang w:eastAsia="en-AU"/>
                    </w:rPr>
                  </w:pPr>
                  <w:r w:rsidRPr="00442A3B">
                    <w:rPr>
                      <w:rFonts w:ascii="Open Sans Semibold" w:hAnsi="Open Sans Semibold"/>
                      <w:color w:val="FFFFFF" w:themeColor="background1"/>
                      <w:sz w:val="16"/>
                      <w:szCs w:val="20"/>
                      <w:lang w:eastAsia="en-AU"/>
                    </w:rPr>
                    <w:t>Tas</w:t>
                  </w:r>
                </w:p>
              </w:tc>
              <w:tc>
                <w:tcPr>
                  <w:tcW w:w="660" w:type="dxa"/>
                  <w:shd w:val="clear" w:color="auto" w:fill="006991"/>
                  <w:tcMar>
                    <w:top w:w="0" w:type="dxa"/>
                    <w:left w:w="28" w:type="dxa"/>
                    <w:bottom w:w="0" w:type="dxa"/>
                    <w:right w:w="28" w:type="dxa"/>
                  </w:tcMar>
                  <w:vAlign w:val="center"/>
                  <w:hideMark/>
                </w:tcPr>
                <w:p w14:paraId="36E9E34D" w14:textId="77777777" w:rsidR="00915137" w:rsidRPr="00442A3B" w:rsidRDefault="00915137" w:rsidP="00915137">
                  <w:pPr>
                    <w:keepNext/>
                    <w:keepLines/>
                    <w:pageBreakBefore/>
                    <w:tabs>
                      <w:tab w:val="clear" w:pos="567"/>
                      <w:tab w:val="left" w:pos="1134"/>
                      <w:tab w:val="left" w:pos="1420"/>
                    </w:tabs>
                    <w:spacing w:before="0" w:line="240" w:lineRule="auto"/>
                    <w:jc w:val="right"/>
                    <w:rPr>
                      <w:rFonts w:ascii="Open Sans Semibold" w:hAnsi="Open Sans Semibold"/>
                      <w:color w:val="FFFFFF" w:themeColor="background1"/>
                      <w:sz w:val="16"/>
                      <w:szCs w:val="20"/>
                      <w:lang w:eastAsia="en-AU"/>
                    </w:rPr>
                  </w:pPr>
                  <w:r w:rsidRPr="00442A3B">
                    <w:rPr>
                      <w:rFonts w:ascii="Open Sans Semibold" w:hAnsi="Open Sans Semibold"/>
                      <w:color w:val="FFFFFF" w:themeColor="background1"/>
                      <w:sz w:val="16"/>
                      <w:szCs w:val="20"/>
                      <w:lang w:eastAsia="en-AU"/>
                    </w:rPr>
                    <w:t>ACT</w:t>
                  </w:r>
                </w:p>
              </w:tc>
              <w:tc>
                <w:tcPr>
                  <w:tcW w:w="580" w:type="dxa"/>
                  <w:shd w:val="clear" w:color="auto" w:fill="006991"/>
                  <w:tcMar>
                    <w:top w:w="0" w:type="dxa"/>
                    <w:left w:w="28" w:type="dxa"/>
                    <w:bottom w:w="0" w:type="dxa"/>
                    <w:right w:w="28" w:type="dxa"/>
                  </w:tcMar>
                  <w:vAlign w:val="center"/>
                  <w:hideMark/>
                </w:tcPr>
                <w:p w14:paraId="45C1CF5A" w14:textId="77777777" w:rsidR="00915137" w:rsidRPr="00442A3B" w:rsidRDefault="00915137" w:rsidP="00915137">
                  <w:pPr>
                    <w:keepNext/>
                    <w:keepLines/>
                    <w:pageBreakBefore/>
                    <w:tabs>
                      <w:tab w:val="clear" w:pos="567"/>
                      <w:tab w:val="left" w:pos="1134"/>
                      <w:tab w:val="left" w:pos="1420"/>
                    </w:tabs>
                    <w:spacing w:before="0" w:line="240" w:lineRule="auto"/>
                    <w:jc w:val="right"/>
                    <w:rPr>
                      <w:rFonts w:ascii="Open Sans Semibold" w:hAnsi="Open Sans Semibold"/>
                      <w:color w:val="FFFFFF" w:themeColor="background1"/>
                      <w:sz w:val="16"/>
                      <w:szCs w:val="20"/>
                      <w:lang w:eastAsia="en-AU"/>
                    </w:rPr>
                  </w:pPr>
                  <w:r w:rsidRPr="00442A3B">
                    <w:rPr>
                      <w:rFonts w:ascii="Open Sans Semibold" w:hAnsi="Open Sans Semibold"/>
                      <w:color w:val="FFFFFF" w:themeColor="background1"/>
                      <w:sz w:val="16"/>
                      <w:szCs w:val="20"/>
                      <w:lang w:eastAsia="en-AU"/>
                    </w:rPr>
                    <w:t>NT</w:t>
                  </w:r>
                </w:p>
              </w:tc>
              <w:tc>
                <w:tcPr>
                  <w:tcW w:w="820" w:type="dxa"/>
                  <w:shd w:val="clear" w:color="auto" w:fill="006991"/>
                  <w:tcMar>
                    <w:top w:w="0" w:type="dxa"/>
                    <w:left w:w="28" w:type="dxa"/>
                    <w:bottom w:w="0" w:type="dxa"/>
                    <w:right w:w="28" w:type="dxa"/>
                  </w:tcMar>
                  <w:vAlign w:val="center"/>
                  <w:hideMark/>
                </w:tcPr>
                <w:p w14:paraId="373C7A06" w14:textId="77777777" w:rsidR="00915137" w:rsidRPr="00442A3B" w:rsidRDefault="00915137" w:rsidP="00915137">
                  <w:pPr>
                    <w:keepNext/>
                    <w:keepLines/>
                    <w:pageBreakBefore/>
                    <w:tabs>
                      <w:tab w:val="clear" w:pos="567"/>
                      <w:tab w:val="left" w:pos="1134"/>
                      <w:tab w:val="left" w:pos="1420"/>
                    </w:tabs>
                    <w:spacing w:before="0" w:line="240" w:lineRule="auto"/>
                    <w:jc w:val="right"/>
                    <w:rPr>
                      <w:rFonts w:ascii="Open Sans Semibold" w:hAnsi="Open Sans Semibold"/>
                      <w:color w:val="FFFFFF" w:themeColor="background1"/>
                      <w:sz w:val="16"/>
                      <w:szCs w:val="20"/>
                      <w:lang w:eastAsia="en-AU"/>
                    </w:rPr>
                  </w:pPr>
                  <w:r w:rsidRPr="00442A3B">
                    <w:rPr>
                      <w:rFonts w:ascii="Open Sans Semibold" w:hAnsi="Open Sans Semibold"/>
                      <w:color w:val="FFFFFF" w:themeColor="background1"/>
                      <w:sz w:val="16"/>
                      <w:szCs w:val="20"/>
                      <w:lang w:eastAsia="en-AU"/>
                    </w:rPr>
                    <w:t>Redist</w:t>
                  </w:r>
                </w:p>
              </w:tc>
            </w:tr>
            <w:tr w:rsidR="00915137" w:rsidRPr="00442A3B" w14:paraId="2F74656C" w14:textId="77777777" w:rsidTr="0099072C">
              <w:trPr>
                <w:trHeight w:val="259"/>
              </w:trPr>
              <w:tc>
                <w:tcPr>
                  <w:tcW w:w="2869" w:type="dxa"/>
                  <w:tcBorders>
                    <w:top w:val="single" w:sz="8" w:space="0" w:color="ADD6EA"/>
                    <w:left w:val="nil"/>
                    <w:bottom w:val="nil"/>
                    <w:right w:val="nil"/>
                  </w:tcBorders>
                  <w:shd w:val="clear" w:color="auto" w:fill="B6D5E4"/>
                  <w:tcMar>
                    <w:top w:w="0" w:type="dxa"/>
                    <w:left w:w="28" w:type="dxa"/>
                    <w:bottom w:w="0" w:type="dxa"/>
                    <w:right w:w="28" w:type="dxa"/>
                  </w:tcMar>
                  <w:vAlign w:val="bottom"/>
                  <w:hideMark/>
                </w:tcPr>
                <w:p w14:paraId="052E0F14" w14:textId="77777777" w:rsidR="00915137" w:rsidRPr="00442A3B" w:rsidRDefault="00915137" w:rsidP="00915137">
                  <w:pPr>
                    <w:keepNext/>
                    <w:keepLines/>
                    <w:pageBreakBefore/>
                    <w:tabs>
                      <w:tab w:val="clear" w:pos="567"/>
                      <w:tab w:val="left" w:pos="1134"/>
                      <w:tab w:val="left" w:pos="1420"/>
                    </w:tabs>
                    <w:spacing w:before="0" w:line="240" w:lineRule="auto"/>
                    <w:jc w:val="center"/>
                    <w:rPr>
                      <w:rFonts w:ascii="Open Sans Semibold" w:hAnsi="Open Sans Semibold"/>
                      <w:color w:val="FFFFFF" w:themeColor="background1"/>
                      <w:sz w:val="16"/>
                      <w:szCs w:val="20"/>
                      <w:lang w:eastAsia="en-AU"/>
                    </w:rPr>
                  </w:pPr>
                </w:p>
              </w:tc>
              <w:tc>
                <w:tcPr>
                  <w:tcW w:w="451" w:type="dxa"/>
                  <w:tcBorders>
                    <w:top w:val="single" w:sz="8" w:space="0" w:color="ADD6EA"/>
                    <w:left w:val="nil"/>
                    <w:bottom w:val="nil"/>
                    <w:right w:val="nil"/>
                  </w:tcBorders>
                  <w:shd w:val="clear" w:color="auto" w:fill="B6D5E4"/>
                  <w:noWrap/>
                  <w:tcMar>
                    <w:top w:w="0" w:type="dxa"/>
                    <w:left w:w="28" w:type="dxa"/>
                    <w:bottom w:w="0" w:type="dxa"/>
                    <w:right w:w="28" w:type="dxa"/>
                  </w:tcMar>
                  <w:vAlign w:val="bottom"/>
                  <w:hideMark/>
                </w:tcPr>
                <w:p w14:paraId="5305194D" w14:textId="77777777" w:rsidR="00915137" w:rsidRPr="00442A3B" w:rsidRDefault="00915137" w:rsidP="00915137">
                  <w:pPr>
                    <w:keepNext/>
                    <w:keepLines/>
                    <w:pageBreakBefore/>
                    <w:spacing w:before="0" w:line="240" w:lineRule="auto"/>
                    <w:jc w:val="right"/>
                    <w:rPr>
                      <w:rFonts w:ascii="Open Sans Semibold" w:hAnsi="Open Sans Semibold"/>
                      <w:sz w:val="16"/>
                      <w:lang w:eastAsia="en-AU"/>
                    </w:rPr>
                  </w:pPr>
                  <w:r w:rsidRPr="00442A3B">
                    <w:rPr>
                      <w:rFonts w:ascii="Open Sans Semibold" w:hAnsi="Open Sans Semibold"/>
                      <w:sz w:val="16"/>
                      <w:lang w:eastAsia="en-AU"/>
                    </w:rPr>
                    <w:t>$m</w:t>
                  </w:r>
                </w:p>
              </w:tc>
              <w:tc>
                <w:tcPr>
                  <w:tcW w:w="580" w:type="dxa"/>
                  <w:tcBorders>
                    <w:top w:val="single" w:sz="8" w:space="0" w:color="ADD6EA"/>
                    <w:left w:val="nil"/>
                    <w:bottom w:val="nil"/>
                    <w:right w:val="nil"/>
                  </w:tcBorders>
                  <w:shd w:val="clear" w:color="auto" w:fill="B6D5E4"/>
                  <w:noWrap/>
                  <w:tcMar>
                    <w:top w:w="0" w:type="dxa"/>
                    <w:left w:w="28" w:type="dxa"/>
                    <w:bottom w:w="0" w:type="dxa"/>
                    <w:right w:w="28" w:type="dxa"/>
                  </w:tcMar>
                  <w:vAlign w:val="bottom"/>
                  <w:hideMark/>
                </w:tcPr>
                <w:p w14:paraId="05A8912B" w14:textId="77777777" w:rsidR="00915137" w:rsidRPr="00442A3B" w:rsidRDefault="00915137" w:rsidP="00915137">
                  <w:pPr>
                    <w:keepNext/>
                    <w:keepLines/>
                    <w:pageBreakBefore/>
                    <w:spacing w:before="0" w:line="240" w:lineRule="auto"/>
                    <w:jc w:val="right"/>
                    <w:rPr>
                      <w:rFonts w:ascii="Open Sans Semibold" w:hAnsi="Open Sans Semibold"/>
                      <w:sz w:val="16"/>
                      <w:lang w:eastAsia="en-AU"/>
                    </w:rPr>
                  </w:pPr>
                  <w:r w:rsidRPr="00442A3B">
                    <w:rPr>
                      <w:rFonts w:ascii="Open Sans Semibold" w:hAnsi="Open Sans Semibold"/>
                      <w:sz w:val="16"/>
                      <w:lang w:eastAsia="en-AU"/>
                    </w:rPr>
                    <w:t>$m</w:t>
                  </w:r>
                </w:p>
              </w:tc>
              <w:tc>
                <w:tcPr>
                  <w:tcW w:w="640" w:type="dxa"/>
                  <w:tcBorders>
                    <w:top w:val="single" w:sz="8" w:space="0" w:color="ADD6EA"/>
                    <w:left w:val="nil"/>
                    <w:bottom w:val="nil"/>
                    <w:right w:val="nil"/>
                  </w:tcBorders>
                  <w:shd w:val="clear" w:color="auto" w:fill="B6D5E4"/>
                  <w:noWrap/>
                  <w:tcMar>
                    <w:top w:w="0" w:type="dxa"/>
                    <w:left w:w="28" w:type="dxa"/>
                    <w:bottom w:w="0" w:type="dxa"/>
                    <w:right w:w="28" w:type="dxa"/>
                  </w:tcMar>
                  <w:vAlign w:val="bottom"/>
                  <w:hideMark/>
                </w:tcPr>
                <w:p w14:paraId="2ED5CB34" w14:textId="77777777" w:rsidR="00915137" w:rsidRPr="00442A3B" w:rsidRDefault="00915137" w:rsidP="00915137">
                  <w:pPr>
                    <w:keepNext/>
                    <w:keepLines/>
                    <w:pageBreakBefore/>
                    <w:spacing w:before="0" w:line="240" w:lineRule="auto"/>
                    <w:jc w:val="right"/>
                    <w:rPr>
                      <w:rFonts w:ascii="Open Sans Semibold" w:hAnsi="Open Sans Semibold"/>
                      <w:sz w:val="16"/>
                      <w:lang w:eastAsia="en-AU"/>
                    </w:rPr>
                  </w:pPr>
                  <w:r w:rsidRPr="00442A3B">
                    <w:rPr>
                      <w:rFonts w:ascii="Open Sans Semibold" w:hAnsi="Open Sans Semibold"/>
                      <w:sz w:val="16"/>
                      <w:lang w:eastAsia="en-AU"/>
                    </w:rPr>
                    <w:t>$m</w:t>
                  </w:r>
                </w:p>
              </w:tc>
              <w:tc>
                <w:tcPr>
                  <w:tcW w:w="620" w:type="dxa"/>
                  <w:tcBorders>
                    <w:top w:val="single" w:sz="8" w:space="0" w:color="ADD6EA"/>
                    <w:left w:val="nil"/>
                    <w:bottom w:val="nil"/>
                    <w:right w:val="nil"/>
                  </w:tcBorders>
                  <w:shd w:val="clear" w:color="auto" w:fill="B6D5E4"/>
                  <w:noWrap/>
                  <w:tcMar>
                    <w:top w:w="0" w:type="dxa"/>
                    <w:left w:w="28" w:type="dxa"/>
                    <w:bottom w:w="0" w:type="dxa"/>
                    <w:right w:w="28" w:type="dxa"/>
                  </w:tcMar>
                  <w:vAlign w:val="bottom"/>
                  <w:hideMark/>
                </w:tcPr>
                <w:p w14:paraId="5AE166A7" w14:textId="77777777" w:rsidR="00915137" w:rsidRPr="00442A3B" w:rsidRDefault="00915137" w:rsidP="00915137">
                  <w:pPr>
                    <w:keepNext/>
                    <w:keepLines/>
                    <w:pageBreakBefore/>
                    <w:spacing w:before="0" w:line="240" w:lineRule="auto"/>
                    <w:jc w:val="right"/>
                    <w:rPr>
                      <w:rFonts w:ascii="Open Sans Semibold" w:hAnsi="Open Sans Semibold"/>
                      <w:sz w:val="16"/>
                      <w:lang w:eastAsia="en-AU"/>
                    </w:rPr>
                  </w:pPr>
                  <w:r w:rsidRPr="00442A3B">
                    <w:rPr>
                      <w:rFonts w:ascii="Open Sans Semibold" w:hAnsi="Open Sans Semibold"/>
                      <w:sz w:val="16"/>
                      <w:lang w:eastAsia="en-AU"/>
                    </w:rPr>
                    <w:t>$m</w:t>
                  </w:r>
                </w:p>
              </w:tc>
              <w:tc>
                <w:tcPr>
                  <w:tcW w:w="560" w:type="dxa"/>
                  <w:tcBorders>
                    <w:top w:val="single" w:sz="8" w:space="0" w:color="ADD6EA"/>
                    <w:left w:val="nil"/>
                    <w:bottom w:val="nil"/>
                    <w:right w:val="nil"/>
                  </w:tcBorders>
                  <w:shd w:val="clear" w:color="auto" w:fill="B6D5E4"/>
                  <w:noWrap/>
                  <w:tcMar>
                    <w:top w:w="0" w:type="dxa"/>
                    <w:left w:w="28" w:type="dxa"/>
                    <w:bottom w:w="0" w:type="dxa"/>
                    <w:right w:w="28" w:type="dxa"/>
                  </w:tcMar>
                  <w:vAlign w:val="bottom"/>
                  <w:hideMark/>
                </w:tcPr>
                <w:p w14:paraId="142BE991" w14:textId="77777777" w:rsidR="00915137" w:rsidRPr="00442A3B" w:rsidRDefault="00915137" w:rsidP="00915137">
                  <w:pPr>
                    <w:keepNext/>
                    <w:keepLines/>
                    <w:pageBreakBefore/>
                    <w:spacing w:before="0" w:line="240" w:lineRule="auto"/>
                    <w:jc w:val="right"/>
                    <w:rPr>
                      <w:rFonts w:ascii="Open Sans Semibold" w:hAnsi="Open Sans Semibold"/>
                      <w:sz w:val="16"/>
                      <w:lang w:eastAsia="en-AU"/>
                    </w:rPr>
                  </w:pPr>
                  <w:r w:rsidRPr="00442A3B">
                    <w:rPr>
                      <w:rFonts w:ascii="Open Sans Semibold" w:hAnsi="Open Sans Semibold"/>
                      <w:sz w:val="16"/>
                      <w:lang w:eastAsia="en-AU"/>
                    </w:rPr>
                    <w:t>$m</w:t>
                  </w:r>
                </w:p>
              </w:tc>
              <w:tc>
                <w:tcPr>
                  <w:tcW w:w="620" w:type="dxa"/>
                  <w:tcBorders>
                    <w:top w:val="single" w:sz="8" w:space="0" w:color="ADD6EA"/>
                    <w:left w:val="nil"/>
                    <w:bottom w:val="nil"/>
                    <w:right w:val="nil"/>
                  </w:tcBorders>
                  <w:shd w:val="clear" w:color="auto" w:fill="B6D5E4"/>
                  <w:noWrap/>
                  <w:tcMar>
                    <w:top w:w="0" w:type="dxa"/>
                    <w:left w:w="28" w:type="dxa"/>
                    <w:bottom w:w="0" w:type="dxa"/>
                    <w:right w:w="28" w:type="dxa"/>
                  </w:tcMar>
                  <w:vAlign w:val="bottom"/>
                  <w:hideMark/>
                </w:tcPr>
                <w:p w14:paraId="73AC0B6E" w14:textId="77777777" w:rsidR="00915137" w:rsidRPr="00442A3B" w:rsidRDefault="00915137" w:rsidP="00915137">
                  <w:pPr>
                    <w:keepNext/>
                    <w:keepLines/>
                    <w:pageBreakBefore/>
                    <w:spacing w:before="0" w:line="240" w:lineRule="auto"/>
                    <w:jc w:val="right"/>
                    <w:rPr>
                      <w:rFonts w:ascii="Open Sans Semibold" w:hAnsi="Open Sans Semibold"/>
                      <w:sz w:val="16"/>
                      <w:lang w:eastAsia="en-AU"/>
                    </w:rPr>
                  </w:pPr>
                  <w:r w:rsidRPr="00442A3B">
                    <w:rPr>
                      <w:rFonts w:ascii="Open Sans Semibold" w:hAnsi="Open Sans Semibold"/>
                      <w:sz w:val="16"/>
                      <w:lang w:eastAsia="en-AU"/>
                    </w:rPr>
                    <w:t>$m</w:t>
                  </w:r>
                </w:p>
              </w:tc>
              <w:tc>
                <w:tcPr>
                  <w:tcW w:w="660" w:type="dxa"/>
                  <w:tcBorders>
                    <w:top w:val="single" w:sz="8" w:space="0" w:color="ADD6EA"/>
                    <w:left w:val="nil"/>
                    <w:bottom w:val="nil"/>
                    <w:right w:val="nil"/>
                  </w:tcBorders>
                  <w:shd w:val="clear" w:color="auto" w:fill="B6D5E4"/>
                  <w:noWrap/>
                  <w:tcMar>
                    <w:top w:w="0" w:type="dxa"/>
                    <w:left w:w="28" w:type="dxa"/>
                    <w:bottom w:w="0" w:type="dxa"/>
                    <w:right w:w="28" w:type="dxa"/>
                  </w:tcMar>
                  <w:vAlign w:val="bottom"/>
                  <w:hideMark/>
                </w:tcPr>
                <w:p w14:paraId="2A3F7E29" w14:textId="77777777" w:rsidR="00915137" w:rsidRPr="00442A3B" w:rsidRDefault="00915137" w:rsidP="00915137">
                  <w:pPr>
                    <w:keepNext/>
                    <w:keepLines/>
                    <w:pageBreakBefore/>
                    <w:spacing w:before="0" w:line="240" w:lineRule="auto"/>
                    <w:jc w:val="right"/>
                    <w:rPr>
                      <w:rFonts w:ascii="Open Sans Semibold" w:hAnsi="Open Sans Semibold"/>
                      <w:sz w:val="16"/>
                      <w:lang w:eastAsia="en-AU"/>
                    </w:rPr>
                  </w:pPr>
                  <w:r w:rsidRPr="00442A3B">
                    <w:rPr>
                      <w:rFonts w:ascii="Open Sans Semibold" w:hAnsi="Open Sans Semibold"/>
                      <w:sz w:val="16"/>
                      <w:lang w:eastAsia="en-AU"/>
                    </w:rPr>
                    <w:t>$m</w:t>
                  </w:r>
                </w:p>
              </w:tc>
              <w:tc>
                <w:tcPr>
                  <w:tcW w:w="580" w:type="dxa"/>
                  <w:tcBorders>
                    <w:top w:val="single" w:sz="8" w:space="0" w:color="ADD6EA"/>
                    <w:left w:val="nil"/>
                    <w:bottom w:val="nil"/>
                    <w:right w:val="nil"/>
                  </w:tcBorders>
                  <w:shd w:val="clear" w:color="auto" w:fill="B6D5E4"/>
                  <w:noWrap/>
                  <w:tcMar>
                    <w:top w:w="0" w:type="dxa"/>
                    <w:left w:w="28" w:type="dxa"/>
                    <w:bottom w:w="0" w:type="dxa"/>
                    <w:right w:w="28" w:type="dxa"/>
                  </w:tcMar>
                  <w:vAlign w:val="bottom"/>
                  <w:hideMark/>
                </w:tcPr>
                <w:p w14:paraId="60D7C6D4" w14:textId="77777777" w:rsidR="00915137" w:rsidRPr="00442A3B" w:rsidRDefault="00915137" w:rsidP="00915137">
                  <w:pPr>
                    <w:keepNext/>
                    <w:keepLines/>
                    <w:pageBreakBefore/>
                    <w:spacing w:before="0" w:line="240" w:lineRule="auto"/>
                    <w:jc w:val="right"/>
                    <w:rPr>
                      <w:rFonts w:ascii="Open Sans Semibold" w:hAnsi="Open Sans Semibold"/>
                      <w:sz w:val="16"/>
                      <w:lang w:eastAsia="en-AU"/>
                    </w:rPr>
                  </w:pPr>
                  <w:r w:rsidRPr="00442A3B">
                    <w:rPr>
                      <w:rFonts w:ascii="Open Sans Semibold" w:hAnsi="Open Sans Semibold"/>
                      <w:sz w:val="16"/>
                      <w:lang w:eastAsia="en-AU"/>
                    </w:rPr>
                    <w:t>$m</w:t>
                  </w:r>
                </w:p>
              </w:tc>
              <w:tc>
                <w:tcPr>
                  <w:tcW w:w="820" w:type="dxa"/>
                  <w:tcBorders>
                    <w:top w:val="single" w:sz="8" w:space="0" w:color="ADD6EA"/>
                    <w:left w:val="nil"/>
                    <w:bottom w:val="nil"/>
                    <w:right w:val="nil"/>
                  </w:tcBorders>
                  <w:shd w:val="clear" w:color="auto" w:fill="B6D5E4"/>
                  <w:noWrap/>
                  <w:tcMar>
                    <w:top w:w="0" w:type="dxa"/>
                    <w:left w:w="28" w:type="dxa"/>
                    <w:bottom w:w="0" w:type="dxa"/>
                    <w:right w:w="28" w:type="dxa"/>
                  </w:tcMar>
                  <w:vAlign w:val="bottom"/>
                  <w:hideMark/>
                </w:tcPr>
                <w:p w14:paraId="50F3AE59" w14:textId="77777777" w:rsidR="00915137" w:rsidRPr="00442A3B" w:rsidRDefault="00915137" w:rsidP="00915137">
                  <w:pPr>
                    <w:keepNext/>
                    <w:keepLines/>
                    <w:pageBreakBefore/>
                    <w:spacing w:before="0" w:line="240" w:lineRule="auto"/>
                    <w:jc w:val="right"/>
                    <w:rPr>
                      <w:rFonts w:ascii="Open Sans Semibold" w:hAnsi="Open Sans Semibold"/>
                      <w:sz w:val="16"/>
                      <w:lang w:eastAsia="en-AU"/>
                    </w:rPr>
                  </w:pPr>
                  <w:r w:rsidRPr="00442A3B">
                    <w:rPr>
                      <w:rFonts w:ascii="Open Sans Semibold" w:hAnsi="Open Sans Semibold"/>
                      <w:sz w:val="16"/>
                      <w:lang w:eastAsia="en-AU"/>
                    </w:rPr>
                    <w:t>$m</w:t>
                  </w:r>
                </w:p>
              </w:tc>
            </w:tr>
            <w:tr w:rsidR="00915137" w:rsidRPr="00442A3B" w14:paraId="2A706E8A" w14:textId="77777777" w:rsidTr="0099072C">
              <w:trPr>
                <w:trHeight w:val="315"/>
              </w:trPr>
              <w:tc>
                <w:tcPr>
                  <w:tcW w:w="2869" w:type="dxa"/>
                  <w:tcBorders>
                    <w:top w:val="single" w:sz="8" w:space="0" w:color="ADD6EA"/>
                    <w:left w:val="nil"/>
                    <w:bottom w:val="nil"/>
                    <w:right w:val="nil"/>
                  </w:tcBorders>
                  <w:tcMar>
                    <w:top w:w="0" w:type="dxa"/>
                    <w:left w:w="28" w:type="dxa"/>
                    <w:bottom w:w="0" w:type="dxa"/>
                    <w:right w:w="28" w:type="dxa"/>
                  </w:tcMar>
                  <w:vAlign w:val="bottom"/>
                  <w:hideMark/>
                </w:tcPr>
                <w:p w14:paraId="1F63B8F4" w14:textId="77777777" w:rsidR="00915137" w:rsidRPr="00442A3B" w:rsidRDefault="00915137" w:rsidP="00915137">
                  <w:pPr>
                    <w:keepNext/>
                    <w:keepLines/>
                    <w:pageBreakBefore/>
                    <w:tabs>
                      <w:tab w:val="clear" w:pos="567"/>
                    </w:tabs>
                    <w:spacing w:before="0" w:line="240" w:lineRule="auto"/>
                    <w:rPr>
                      <w:rFonts w:eastAsia="Calibri" w:cs="Open Sans Light"/>
                      <w:sz w:val="16"/>
                      <w:szCs w:val="16"/>
                      <w:lang w:eastAsia="en-AU"/>
                    </w:rPr>
                  </w:pPr>
                  <w:r w:rsidRPr="00442A3B">
                    <w:rPr>
                      <w:rFonts w:eastAsia="Calibri" w:cs="Open Sans Light"/>
                      <w:color w:val="000000"/>
                      <w:sz w:val="16"/>
                      <w:szCs w:val="16"/>
                      <w:lang w:eastAsia="en-AU"/>
                    </w:rPr>
                    <w:t>Changes in fiscal capacities</w:t>
                  </w:r>
                </w:p>
              </w:tc>
              <w:tc>
                <w:tcPr>
                  <w:tcW w:w="451" w:type="dxa"/>
                  <w:tcBorders>
                    <w:top w:val="single" w:sz="8" w:space="0" w:color="ADD6EA"/>
                    <w:left w:val="nil"/>
                    <w:bottom w:val="nil"/>
                    <w:right w:val="nil"/>
                  </w:tcBorders>
                  <w:tcMar>
                    <w:top w:w="0" w:type="dxa"/>
                    <w:left w:w="28" w:type="dxa"/>
                    <w:bottom w:w="0" w:type="dxa"/>
                    <w:right w:w="28" w:type="dxa"/>
                  </w:tcMar>
                  <w:vAlign w:val="bottom"/>
                  <w:hideMark/>
                </w:tcPr>
                <w:p w14:paraId="4FBB1E83" w14:textId="77777777" w:rsidR="00915137" w:rsidRPr="00442A3B" w:rsidRDefault="00915137" w:rsidP="00915137">
                  <w:pPr>
                    <w:keepNext/>
                    <w:keepLines/>
                    <w:pageBreakBefore/>
                    <w:tabs>
                      <w:tab w:val="clear" w:pos="567"/>
                    </w:tabs>
                    <w:spacing w:before="0" w:line="240" w:lineRule="auto"/>
                    <w:rPr>
                      <w:rFonts w:eastAsia="Calibri" w:cs="Open Sans Light"/>
                      <w:sz w:val="16"/>
                      <w:szCs w:val="16"/>
                      <w:lang w:eastAsia="en-AU"/>
                    </w:rPr>
                  </w:pPr>
                </w:p>
              </w:tc>
              <w:tc>
                <w:tcPr>
                  <w:tcW w:w="580" w:type="dxa"/>
                  <w:tcBorders>
                    <w:top w:val="single" w:sz="8" w:space="0" w:color="ADD6EA"/>
                    <w:left w:val="nil"/>
                    <w:bottom w:val="nil"/>
                    <w:right w:val="nil"/>
                  </w:tcBorders>
                  <w:tcMar>
                    <w:top w:w="0" w:type="dxa"/>
                    <w:left w:w="28" w:type="dxa"/>
                    <w:bottom w:w="0" w:type="dxa"/>
                    <w:right w:w="28" w:type="dxa"/>
                  </w:tcMar>
                  <w:vAlign w:val="bottom"/>
                  <w:hideMark/>
                </w:tcPr>
                <w:p w14:paraId="588E786E"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 </w:t>
                  </w:r>
                </w:p>
              </w:tc>
              <w:tc>
                <w:tcPr>
                  <w:tcW w:w="640" w:type="dxa"/>
                  <w:tcBorders>
                    <w:top w:val="single" w:sz="8" w:space="0" w:color="ADD6EA"/>
                    <w:left w:val="nil"/>
                    <w:bottom w:val="nil"/>
                    <w:right w:val="nil"/>
                  </w:tcBorders>
                  <w:tcMar>
                    <w:top w:w="0" w:type="dxa"/>
                    <w:left w:w="28" w:type="dxa"/>
                    <w:bottom w:w="0" w:type="dxa"/>
                    <w:right w:w="28" w:type="dxa"/>
                  </w:tcMar>
                  <w:vAlign w:val="bottom"/>
                  <w:hideMark/>
                </w:tcPr>
                <w:p w14:paraId="6CAF02ED"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 </w:t>
                  </w:r>
                </w:p>
              </w:tc>
              <w:tc>
                <w:tcPr>
                  <w:tcW w:w="620" w:type="dxa"/>
                  <w:tcBorders>
                    <w:top w:val="single" w:sz="8" w:space="0" w:color="ADD6EA"/>
                    <w:left w:val="nil"/>
                    <w:bottom w:val="nil"/>
                    <w:right w:val="nil"/>
                  </w:tcBorders>
                  <w:tcMar>
                    <w:top w:w="0" w:type="dxa"/>
                    <w:left w:w="28" w:type="dxa"/>
                    <w:bottom w:w="0" w:type="dxa"/>
                    <w:right w:w="28" w:type="dxa"/>
                  </w:tcMar>
                  <w:vAlign w:val="bottom"/>
                  <w:hideMark/>
                </w:tcPr>
                <w:p w14:paraId="11103EAE"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 </w:t>
                  </w:r>
                </w:p>
              </w:tc>
              <w:tc>
                <w:tcPr>
                  <w:tcW w:w="560" w:type="dxa"/>
                  <w:tcBorders>
                    <w:top w:val="single" w:sz="8" w:space="0" w:color="ADD6EA"/>
                    <w:left w:val="nil"/>
                    <w:bottom w:val="nil"/>
                    <w:right w:val="nil"/>
                  </w:tcBorders>
                  <w:tcMar>
                    <w:top w:w="0" w:type="dxa"/>
                    <w:left w:w="28" w:type="dxa"/>
                    <w:bottom w:w="0" w:type="dxa"/>
                    <w:right w:w="28" w:type="dxa"/>
                  </w:tcMar>
                  <w:vAlign w:val="bottom"/>
                  <w:hideMark/>
                </w:tcPr>
                <w:p w14:paraId="37414100"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 </w:t>
                  </w:r>
                </w:p>
              </w:tc>
              <w:tc>
                <w:tcPr>
                  <w:tcW w:w="620" w:type="dxa"/>
                  <w:tcBorders>
                    <w:top w:val="single" w:sz="8" w:space="0" w:color="ADD6EA"/>
                    <w:left w:val="nil"/>
                    <w:bottom w:val="nil"/>
                    <w:right w:val="nil"/>
                  </w:tcBorders>
                  <w:tcMar>
                    <w:top w:w="0" w:type="dxa"/>
                    <w:left w:w="28" w:type="dxa"/>
                    <w:bottom w:w="0" w:type="dxa"/>
                    <w:right w:w="28" w:type="dxa"/>
                  </w:tcMar>
                  <w:vAlign w:val="bottom"/>
                  <w:hideMark/>
                </w:tcPr>
                <w:p w14:paraId="5D6761C8"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 </w:t>
                  </w:r>
                </w:p>
              </w:tc>
              <w:tc>
                <w:tcPr>
                  <w:tcW w:w="660" w:type="dxa"/>
                  <w:tcBorders>
                    <w:top w:val="single" w:sz="8" w:space="0" w:color="ADD6EA"/>
                    <w:left w:val="nil"/>
                    <w:bottom w:val="nil"/>
                    <w:right w:val="nil"/>
                  </w:tcBorders>
                  <w:tcMar>
                    <w:top w:w="0" w:type="dxa"/>
                    <w:left w:w="28" w:type="dxa"/>
                    <w:bottom w:w="0" w:type="dxa"/>
                    <w:right w:w="28" w:type="dxa"/>
                  </w:tcMar>
                  <w:vAlign w:val="bottom"/>
                  <w:hideMark/>
                </w:tcPr>
                <w:p w14:paraId="621F2C1E"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 </w:t>
                  </w:r>
                </w:p>
              </w:tc>
              <w:tc>
                <w:tcPr>
                  <w:tcW w:w="580" w:type="dxa"/>
                  <w:tcBorders>
                    <w:top w:val="single" w:sz="8" w:space="0" w:color="ADD6EA"/>
                    <w:left w:val="nil"/>
                    <w:bottom w:val="nil"/>
                    <w:right w:val="nil"/>
                  </w:tcBorders>
                  <w:tcMar>
                    <w:top w:w="0" w:type="dxa"/>
                    <w:left w:w="28" w:type="dxa"/>
                    <w:bottom w:w="0" w:type="dxa"/>
                    <w:right w:w="28" w:type="dxa"/>
                  </w:tcMar>
                  <w:vAlign w:val="bottom"/>
                  <w:hideMark/>
                </w:tcPr>
                <w:p w14:paraId="60EC5B68"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 </w:t>
                  </w:r>
                </w:p>
              </w:tc>
              <w:tc>
                <w:tcPr>
                  <w:tcW w:w="820" w:type="dxa"/>
                  <w:tcBorders>
                    <w:top w:val="single" w:sz="8" w:space="0" w:color="ADD6EA"/>
                    <w:left w:val="nil"/>
                    <w:bottom w:val="nil"/>
                    <w:right w:val="nil"/>
                  </w:tcBorders>
                  <w:tcMar>
                    <w:top w:w="0" w:type="dxa"/>
                    <w:left w:w="28" w:type="dxa"/>
                    <w:bottom w:w="0" w:type="dxa"/>
                    <w:right w:w="28" w:type="dxa"/>
                  </w:tcMar>
                  <w:vAlign w:val="bottom"/>
                  <w:hideMark/>
                </w:tcPr>
                <w:p w14:paraId="667B7CD2"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 </w:t>
                  </w:r>
                </w:p>
              </w:tc>
            </w:tr>
            <w:tr w:rsidR="00915137" w:rsidRPr="00442A3B" w14:paraId="7D530178" w14:textId="77777777" w:rsidTr="0099072C">
              <w:trPr>
                <w:trHeight w:val="315"/>
              </w:trPr>
              <w:tc>
                <w:tcPr>
                  <w:tcW w:w="2869" w:type="dxa"/>
                  <w:tcBorders>
                    <w:top w:val="single" w:sz="8" w:space="0" w:color="ADD6EA"/>
                    <w:left w:val="nil"/>
                    <w:bottom w:val="nil"/>
                    <w:right w:val="nil"/>
                  </w:tcBorders>
                  <w:tcMar>
                    <w:top w:w="0" w:type="dxa"/>
                    <w:left w:w="28" w:type="dxa"/>
                    <w:bottom w:w="0" w:type="dxa"/>
                    <w:right w:w="28" w:type="dxa"/>
                  </w:tcMar>
                  <w:vAlign w:val="bottom"/>
                  <w:hideMark/>
                </w:tcPr>
                <w:p w14:paraId="364D6D57" w14:textId="77777777" w:rsidR="00915137" w:rsidRPr="00442A3B" w:rsidRDefault="00915137" w:rsidP="00915137">
                  <w:pPr>
                    <w:keepNext/>
                    <w:keepLines/>
                    <w:pageBreakBefore/>
                    <w:tabs>
                      <w:tab w:val="clear" w:pos="567"/>
                    </w:tabs>
                    <w:spacing w:before="0" w:line="240" w:lineRule="auto"/>
                    <w:ind w:firstLine="57"/>
                    <w:rPr>
                      <w:rFonts w:eastAsia="Calibri" w:cs="Open Sans Light"/>
                      <w:sz w:val="16"/>
                      <w:szCs w:val="16"/>
                      <w:lang w:eastAsia="en-AU"/>
                    </w:rPr>
                  </w:pPr>
                  <w:r w:rsidRPr="00442A3B">
                    <w:rPr>
                      <w:rFonts w:eastAsia="Calibri" w:cs="Open Sans Light"/>
                      <w:color w:val="000000"/>
                      <w:sz w:val="16"/>
                      <w:szCs w:val="16"/>
                      <w:lang w:eastAsia="en-AU"/>
                    </w:rPr>
                    <w:t>Changes in mining</w:t>
                  </w:r>
                </w:p>
              </w:tc>
              <w:tc>
                <w:tcPr>
                  <w:tcW w:w="451" w:type="dxa"/>
                  <w:tcBorders>
                    <w:top w:val="single" w:sz="8" w:space="0" w:color="ADD6EA"/>
                    <w:left w:val="nil"/>
                    <w:bottom w:val="nil"/>
                    <w:right w:val="nil"/>
                  </w:tcBorders>
                  <w:tcMar>
                    <w:top w:w="0" w:type="dxa"/>
                    <w:left w:w="28" w:type="dxa"/>
                    <w:bottom w:w="0" w:type="dxa"/>
                    <w:right w:w="28" w:type="dxa"/>
                  </w:tcMar>
                  <w:vAlign w:val="bottom"/>
                  <w:hideMark/>
                </w:tcPr>
                <w:p w14:paraId="536867D7"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499</w:t>
                  </w:r>
                </w:p>
              </w:tc>
              <w:tc>
                <w:tcPr>
                  <w:tcW w:w="580" w:type="dxa"/>
                  <w:tcBorders>
                    <w:top w:val="single" w:sz="8" w:space="0" w:color="ADD6EA"/>
                    <w:left w:val="nil"/>
                    <w:bottom w:val="nil"/>
                    <w:right w:val="nil"/>
                  </w:tcBorders>
                  <w:tcMar>
                    <w:top w:w="0" w:type="dxa"/>
                    <w:left w:w="28" w:type="dxa"/>
                    <w:bottom w:w="0" w:type="dxa"/>
                    <w:right w:w="28" w:type="dxa"/>
                  </w:tcMar>
                  <w:vAlign w:val="bottom"/>
                  <w:hideMark/>
                </w:tcPr>
                <w:p w14:paraId="676476A6"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389</w:t>
                  </w:r>
                </w:p>
              </w:tc>
              <w:tc>
                <w:tcPr>
                  <w:tcW w:w="640" w:type="dxa"/>
                  <w:tcBorders>
                    <w:top w:val="single" w:sz="8" w:space="0" w:color="ADD6EA"/>
                    <w:left w:val="nil"/>
                    <w:bottom w:val="nil"/>
                    <w:right w:val="nil"/>
                  </w:tcBorders>
                  <w:tcMar>
                    <w:top w:w="0" w:type="dxa"/>
                    <w:left w:w="28" w:type="dxa"/>
                    <w:bottom w:w="0" w:type="dxa"/>
                    <w:right w:w="28" w:type="dxa"/>
                  </w:tcMar>
                  <w:vAlign w:val="bottom"/>
                  <w:hideMark/>
                </w:tcPr>
                <w:p w14:paraId="1428AC74"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75</w:t>
                  </w:r>
                </w:p>
              </w:tc>
              <w:tc>
                <w:tcPr>
                  <w:tcW w:w="620" w:type="dxa"/>
                  <w:tcBorders>
                    <w:top w:val="single" w:sz="8" w:space="0" w:color="ADD6EA"/>
                    <w:left w:val="nil"/>
                    <w:bottom w:val="nil"/>
                    <w:right w:val="nil"/>
                  </w:tcBorders>
                  <w:tcMar>
                    <w:top w:w="0" w:type="dxa"/>
                    <w:left w:w="28" w:type="dxa"/>
                    <w:bottom w:w="0" w:type="dxa"/>
                    <w:right w:w="28" w:type="dxa"/>
                  </w:tcMar>
                  <w:vAlign w:val="bottom"/>
                  <w:hideMark/>
                </w:tcPr>
                <w:p w14:paraId="776C9210"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-1,061</w:t>
                  </w:r>
                </w:p>
              </w:tc>
              <w:tc>
                <w:tcPr>
                  <w:tcW w:w="560" w:type="dxa"/>
                  <w:tcBorders>
                    <w:top w:val="single" w:sz="8" w:space="0" w:color="ADD6EA"/>
                    <w:left w:val="nil"/>
                    <w:bottom w:val="nil"/>
                    <w:right w:val="nil"/>
                  </w:tcBorders>
                  <w:tcMar>
                    <w:top w:w="0" w:type="dxa"/>
                    <w:left w:w="28" w:type="dxa"/>
                    <w:bottom w:w="0" w:type="dxa"/>
                    <w:right w:w="28" w:type="dxa"/>
                  </w:tcMar>
                  <w:vAlign w:val="bottom"/>
                  <w:hideMark/>
                </w:tcPr>
                <w:p w14:paraId="1B2C6B4C"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59</w:t>
                  </w:r>
                </w:p>
              </w:tc>
              <w:tc>
                <w:tcPr>
                  <w:tcW w:w="620" w:type="dxa"/>
                  <w:tcBorders>
                    <w:top w:val="single" w:sz="8" w:space="0" w:color="ADD6EA"/>
                    <w:left w:val="nil"/>
                    <w:bottom w:val="nil"/>
                    <w:right w:val="nil"/>
                  </w:tcBorders>
                  <w:tcMar>
                    <w:top w:w="0" w:type="dxa"/>
                    <w:left w:w="28" w:type="dxa"/>
                    <w:bottom w:w="0" w:type="dxa"/>
                    <w:right w:w="28" w:type="dxa"/>
                  </w:tcMar>
                  <w:vAlign w:val="bottom"/>
                  <w:hideMark/>
                </w:tcPr>
                <w:p w14:paraId="121D0347"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28</w:t>
                  </w:r>
                </w:p>
              </w:tc>
              <w:tc>
                <w:tcPr>
                  <w:tcW w:w="660" w:type="dxa"/>
                  <w:tcBorders>
                    <w:top w:val="single" w:sz="8" w:space="0" w:color="ADD6EA"/>
                    <w:left w:val="nil"/>
                    <w:bottom w:val="nil"/>
                    <w:right w:val="nil"/>
                  </w:tcBorders>
                  <w:tcMar>
                    <w:top w:w="0" w:type="dxa"/>
                    <w:left w:w="28" w:type="dxa"/>
                    <w:bottom w:w="0" w:type="dxa"/>
                    <w:right w:w="28" w:type="dxa"/>
                  </w:tcMar>
                  <w:vAlign w:val="bottom"/>
                  <w:hideMark/>
                </w:tcPr>
                <w:p w14:paraId="7E1364E6"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26</w:t>
                  </w:r>
                </w:p>
              </w:tc>
              <w:tc>
                <w:tcPr>
                  <w:tcW w:w="580" w:type="dxa"/>
                  <w:tcBorders>
                    <w:top w:val="single" w:sz="8" w:space="0" w:color="ADD6EA"/>
                    <w:left w:val="nil"/>
                    <w:bottom w:val="nil"/>
                    <w:right w:val="nil"/>
                  </w:tcBorders>
                  <w:tcMar>
                    <w:top w:w="0" w:type="dxa"/>
                    <w:left w:w="28" w:type="dxa"/>
                    <w:bottom w:w="0" w:type="dxa"/>
                    <w:right w:w="28" w:type="dxa"/>
                  </w:tcMar>
                  <w:vAlign w:val="bottom"/>
                  <w:hideMark/>
                </w:tcPr>
                <w:p w14:paraId="4912CEE7"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-16</w:t>
                  </w:r>
                </w:p>
              </w:tc>
              <w:tc>
                <w:tcPr>
                  <w:tcW w:w="820" w:type="dxa"/>
                  <w:tcBorders>
                    <w:top w:val="single" w:sz="8" w:space="0" w:color="ADD6EA"/>
                    <w:left w:val="nil"/>
                    <w:bottom w:val="nil"/>
                    <w:right w:val="nil"/>
                  </w:tcBorders>
                  <w:tcMar>
                    <w:top w:w="0" w:type="dxa"/>
                    <w:left w:w="28" w:type="dxa"/>
                    <w:bottom w:w="0" w:type="dxa"/>
                    <w:right w:w="28" w:type="dxa"/>
                  </w:tcMar>
                  <w:vAlign w:val="bottom"/>
                  <w:hideMark/>
                </w:tcPr>
                <w:p w14:paraId="71985DCA"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1,077</w:t>
                  </w:r>
                </w:p>
              </w:tc>
            </w:tr>
            <w:tr w:rsidR="00915137" w:rsidRPr="00442A3B" w14:paraId="4D40BCC4" w14:textId="77777777" w:rsidTr="0099072C">
              <w:trPr>
                <w:trHeight w:val="315"/>
              </w:trPr>
              <w:tc>
                <w:tcPr>
                  <w:tcW w:w="2869" w:type="dxa"/>
                  <w:tcBorders>
                    <w:top w:val="single" w:sz="8" w:space="0" w:color="ADD6EA"/>
                    <w:left w:val="nil"/>
                    <w:bottom w:val="nil"/>
                    <w:right w:val="nil"/>
                  </w:tcBorders>
                  <w:tcMar>
                    <w:top w:w="0" w:type="dxa"/>
                    <w:left w:w="28" w:type="dxa"/>
                    <w:bottom w:w="0" w:type="dxa"/>
                    <w:right w:w="28" w:type="dxa"/>
                  </w:tcMar>
                  <w:vAlign w:val="bottom"/>
                  <w:hideMark/>
                </w:tcPr>
                <w:p w14:paraId="746C58CB" w14:textId="77777777" w:rsidR="00915137" w:rsidRPr="00442A3B" w:rsidRDefault="00915137" w:rsidP="00915137">
                  <w:pPr>
                    <w:keepNext/>
                    <w:keepLines/>
                    <w:pageBreakBefore/>
                    <w:tabs>
                      <w:tab w:val="clear" w:pos="567"/>
                    </w:tabs>
                    <w:spacing w:before="0" w:line="240" w:lineRule="auto"/>
                    <w:ind w:firstLine="57"/>
                    <w:rPr>
                      <w:rFonts w:eastAsia="Calibri" w:cs="Open Sans Light"/>
                      <w:sz w:val="16"/>
                      <w:szCs w:val="16"/>
                      <w:lang w:eastAsia="en-AU"/>
                    </w:rPr>
                  </w:pPr>
                  <w:r w:rsidRPr="00442A3B">
                    <w:rPr>
                      <w:rFonts w:eastAsia="Calibri" w:cs="Open Sans Light"/>
                      <w:color w:val="000000"/>
                      <w:sz w:val="16"/>
                      <w:szCs w:val="16"/>
                      <w:lang w:eastAsia="en-AU"/>
                    </w:rPr>
                    <w:t>Changes in property sales</w:t>
                  </w:r>
                </w:p>
              </w:tc>
              <w:tc>
                <w:tcPr>
                  <w:tcW w:w="451" w:type="dxa"/>
                  <w:tcBorders>
                    <w:top w:val="single" w:sz="8" w:space="0" w:color="ADD6EA"/>
                    <w:left w:val="nil"/>
                    <w:bottom w:val="nil"/>
                    <w:right w:val="nil"/>
                  </w:tcBorders>
                  <w:tcMar>
                    <w:top w:w="0" w:type="dxa"/>
                    <w:left w:w="28" w:type="dxa"/>
                    <w:bottom w:w="0" w:type="dxa"/>
                    <w:right w:w="28" w:type="dxa"/>
                  </w:tcMar>
                  <w:vAlign w:val="bottom"/>
                  <w:hideMark/>
                </w:tcPr>
                <w:p w14:paraId="7B975BDA"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387</w:t>
                  </w:r>
                </w:p>
              </w:tc>
              <w:tc>
                <w:tcPr>
                  <w:tcW w:w="580" w:type="dxa"/>
                  <w:tcBorders>
                    <w:top w:val="single" w:sz="8" w:space="0" w:color="ADD6EA"/>
                    <w:left w:val="nil"/>
                    <w:bottom w:val="nil"/>
                    <w:right w:val="nil"/>
                  </w:tcBorders>
                  <w:tcMar>
                    <w:top w:w="0" w:type="dxa"/>
                    <w:left w:w="28" w:type="dxa"/>
                    <w:bottom w:w="0" w:type="dxa"/>
                    <w:right w:w="28" w:type="dxa"/>
                  </w:tcMar>
                  <w:vAlign w:val="bottom"/>
                  <w:hideMark/>
                </w:tcPr>
                <w:p w14:paraId="78ABC0FD"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-210</w:t>
                  </w:r>
                </w:p>
              </w:tc>
              <w:tc>
                <w:tcPr>
                  <w:tcW w:w="640" w:type="dxa"/>
                  <w:tcBorders>
                    <w:top w:val="single" w:sz="8" w:space="0" w:color="ADD6EA"/>
                    <w:left w:val="nil"/>
                    <w:bottom w:val="nil"/>
                    <w:right w:val="nil"/>
                  </w:tcBorders>
                  <w:tcMar>
                    <w:top w:w="0" w:type="dxa"/>
                    <w:left w:w="28" w:type="dxa"/>
                    <w:bottom w:w="0" w:type="dxa"/>
                    <w:right w:w="28" w:type="dxa"/>
                  </w:tcMar>
                  <w:vAlign w:val="bottom"/>
                  <w:hideMark/>
                </w:tcPr>
                <w:p w14:paraId="7017A16B"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53</w:t>
                  </w:r>
                </w:p>
              </w:tc>
              <w:tc>
                <w:tcPr>
                  <w:tcW w:w="620" w:type="dxa"/>
                  <w:tcBorders>
                    <w:top w:val="single" w:sz="8" w:space="0" w:color="ADD6EA"/>
                    <w:left w:val="nil"/>
                    <w:bottom w:val="nil"/>
                    <w:right w:val="nil"/>
                  </w:tcBorders>
                  <w:tcMar>
                    <w:top w:w="0" w:type="dxa"/>
                    <w:left w:w="28" w:type="dxa"/>
                    <w:bottom w:w="0" w:type="dxa"/>
                    <w:right w:w="28" w:type="dxa"/>
                  </w:tcMar>
                  <w:vAlign w:val="bottom"/>
                  <w:hideMark/>
                </w:tcPr>
                <w:p w14:paraId="55987B48"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-59</w:t>
                  </w:r>
                </w:p>
              </w:tc>
              <w:tc>
                <w:tcPr>
                  <w:tcW w:w="560" w:type="dxa"/>
                  <w:tcBorders>
                    <w:top w:val="single" w:sz="8" w:space="0" w:color="ADD6EA"/>
                    <w:left w:val="nil"/>
                    <w:bottom w:val="nil"/>
                    <w:right w:val="nil"/>
                  </w:tcBorders>
                  <w:tcMar>
                    <w:top w:w="0" w:type="dxa"/>
                    <w:left w:w="28" w:type="dxa"/>
                    <w:bottom w:w="0" w:type="dxa"/>
                    <w:right w:w="28" w:type="dxa"/>
                  </w:tcMar>
                  <w:vAlign w:val="bottom"/>
                  <w:hideMark/>
                </w:tcPr>
                <w:p w14:paraId="55BE6B45"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-122</w:t>
                  </w:r>
                </w:p>
              </w:tc>
              <w:tc>
                <w:tcPr>
                  <w:tcW w:w="620" w:type="dxa"/>
                  <w:tcBorders>
                    <w:top w:val="single" w:sz="8" w:space="0" w:color="ADD6EA"/>
                    <w:left w:val="nil"/>
                    <w:bottom w:val="nil"/>
                    <w:right w:val="nil"/>
                  </w:tcBorders>
                  <w:tcMar>
                    <w:top w:w="0" w:type="dxa"/>
                    <w:left w:w="28" w:type="dxa"/>
                    <w:bottom w:w="0" w:type="dxa"/>
                    <w:right w:w="28" w:type="dxa"/>
                  </w:tcMar>
                  <w:vAlign w:val="bottom"/>
                  <w:hideMark/>
                </w:tcPr>
                <w:p w14:paraId="05262869"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-48</w:t>
                  </w:r>
                </w:p>
              </w:tc>
              <w:tc>
                <w:tcPr>
                  <w:tcW w:w="660" w:type="dxa"/>
                  <w:tcBorders>
                    <w:top w:val="single" w:sz="8" w:space="0" w:color="ADD6EA"/>
                    <w:left w:val="nil"/>
                    <w:bottom w:val="nil"/>
                    <w:right w:val="nil"/>
                  </w:tcBorders>
                  <w:tcMar>
                    <w:top w:w="0" w:type="dxa"/>
                    <w:left w:w="28" w:type="dxa"/>
                    <w:bottom w:w="0" w:type="dxa"/>
                    <w:right w:w="28" w:type="dxa"/>
                  </w:tcMar>
                  <w:vAlign w:val="bottom"/>
                  <w:hideMark/>
                </w:tcPr>
                <w:p w14:paraId="23E8FEAA"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5</w:t>
                  </w:r>
                </w:p>
              </w:tc>
              <w:tc>
                <w:tcPr>
                  <w:tcW w:w="580" w:type="dxa"/>
                  <w:tcBorders>
                    <w:top w:val="single" w:sz="8" w:space="0" w:color="ADD6EA"/>
                    <w:left w:val="nil"/>
                    <w:bottom w:val="nil"/>
                    <w:right w:val="nil"/>
                  </w:tcBorders>
                  <w:tcMar>
                    <w:top w:w="0" w:type="dxa"/>
                    <w:left w:w="28" w:type="dxa"/>
                    <w:bottom w:w="0" w:type="dxa"/>
                    <w:right w:w="28" w:type="dxa"/>
                  </w:tcMar>
                  <w:vAlign w:val="bottom"/>
                  <w:hideMark/>
                </w:tcPr>
                <w:p w14:paraId="3C7E9447"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-6</w:t>
                  </w:r>
                </w:p>
              </w:tc>
              <w:tc>
                <w:tcPr>
                  <w:tcW w:w="820" w:type="dxa"/>
                  <w:tcBorders>
                    <w:top w:val="single" w:sz="8" w:space="0" w:color="ADD6EA"/>
                    <w:left w:val="nil"/>
                    <w:bottom w:val="nil"/>
                    <w:right w:val="nil"/>
                  </w:tcBorders>
                  <w:tcMar>
                    <w:top w:w="0" w:type="dxa"/>
                    <w:left w:w="28" w:type="dxa"/>
                    <w:bottom w:w="0" w:type="dxa"/>
                    <w:right w:w="28" w:type="dxa"/>
                  </w:tcMar>
                  <w:vAlign w:val="bottom"/>
                  <w:hideMark/>
                </w:tcPr>
                <w:p w14:paraId="5F0B3D6F"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445</w:t>
                  </w:r>
                </w:p>
              </w:tc>
            </w:tr>
            <w:tr w:rsidR="00915137" w:rsidRPr="00442A3B" w14:paraId="15C0CF70" w14:textId="77777777" w:rsidTr="0099072C">
              <w:trPr>
                <w:trHeight w:val="315"/>
              </w:trPr>
              <w:tc>
                <w:tcPr>
                  <w:tcW w:w="2869" w:type="dxa"/>
                  <w:tcBorders>
                    <w:top w:val="single" w:sz="8" w:space="0" w:color="ADD6EA"/>
                    <w:left w:val="nil"/>
                    <w:bottom w:val="nil"/>
                    <w:right w:val="nil"/>
                  </w:tcBorders>
                  <w:tcMar>
                    <w:top w:w="0" w:type="dxa"/>
                    <w:left w:w="28" w:type="dxa"/>
                    <w:bottom w:w="0" w:type="dxa"/>
                    <w:right w:w="28" w:type="dxa"/>
                  </w:tcMar>
                  <w:vAlign w:val="bottom"/>
                  <w:hideMark/>
                </w:tcPr>
                <w:p w14:paraId="47968531" w14:textId="77777777" w:rsidR="00915137" w:rsidRPr="00442A3B" w:rsidRDefault="00915137" w:rsidP="00915137">
                  <w:pPr>
                    <w:keepNext/>
                    <w:keepLines/>
                    <w:pageBreakBefore/>
                    <w:tabs>
                      <w:tab w:val="clear" w:pos="567"/>
                    </w:tabs>
                    <w:spacing w:before="0" w:line="240" w:lineRule="auto"/>
                    <w:ind w:firstLine="57"/>
                    <w:rPr>
                      <w:rFonts w:eastAsia="Calibri" w:cs="Open Sans Light"/>
                      <w:sz w:val="16"/>
                      <w:szCs w:val="16"/>
                      <w:lang w:eastAsia="en-AU"/>
                    </w:rPr>
                  </w:pPr>
                  <w:r w:rsidRPr="00442A3B">
                    <w:rPr>
                      <w:rFonts w:eastAsia="Calibri" w:cs="Open Sans Light"/>
                      <w:color w:val="000000"/>
                      <w:sz w:val="16"/>
                      <w:szCs w:val="16"/>
                      <w:lang w:eastAsia="en-AU"/>
                    </w:rPr>
                    <w:t>Changes in capital requirements</w:t>
                  </w:r>
                </w:p>
              </w:tc>
              <w:tc>
                <w:tcPr>
                  <w:tcW w:w="451" w:type="dxa"/>
                  <w:tcBorders>
                    <w:top w:val="single" w:sz="8" w:space="0" w:color="ADD6EA"/>
                    <w:left w:val="nil"/>
                    <w:bottom w:val="nil"/>
                    <w:right w:val="nil"/>
                  </w:tcBorders>
                  <w:tcMar>
                    <w:top w:w="0" w:type="dxa"/>
                    <w:left w:w="28" w:type="dxa"/>
                    <w:bottom w:w="0" w:type="dxa"/>
                    <w:right w:w="28" w:type="dxa"/>
                  </w:tcMar>
                  <w:vAlign w:val="bottom"/>
                  <w:hideMark/>
                </w:tcPr>
                <w:p w14:paraId="74808868"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-187</w:t>
                  </w:r>
                </w:p>
              </w:tc>
              <w:tc>
                <w:tcPr>
                  <w:tcW w:w="580" w:type="dxa"/>
                  <w:tcBorders>
                    <w:top w:val="single" w:sz="8" w:space="0" w:color="ADD6EA"/>
                    <w:left w:val="nil"/>
                    <w:bottom w:val="nil"/>
                    <w:right w:val="nil"/>
                  </w:tcBorders>
                  <w:tcMar>
                    <w:top w:w="0" w:type="dxa"/>
                    <w:left w:w="28" w:type="dxa"/>
                    <w:bottom w:w="0" w:type="dxa"/>
                    <w:right w:w="28" w:type="dxa"/>
                  </w:tcMar>
                  <w:vAlign w:val="bottom"/>
                  <w:hideMark/>
                </w:tcPr>
                <w:p w14:paraId="01FDF54C"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-46</w:t>
                  </w:r>
                </w:p>
              </w:tc>
              <w:tc>
                <w:tcPr>
                  <w:tcW w:w="640" w:type="dxa"/>
                  <w:tcBorders>
                    <w:top w:val="single" w:sz="8" w:space="0" w:color="ADD6EA"/>
                    <w:left w:val="nil"/>
                    <w:bottom w:val="nil"/>
                    <w:right w:val="nil"/>
                  </w:tcBorders>
                  <w:tcMar>
                    <w:top w:w="0" w:type="dxa"/>
                    <w:left w:w="28" w:type="dxa"/>
                    <w:bottom w:w="0" w:type="dxa"/>
                    <w:right w:w="28" w:type="dxa"/>
                  </w:tcMar>
                  <w:vAlign w:val="bottom"/>
                  <w:hideMark/>
                </w:tcPr>
                <w:p w14:paraId="06B80D4D"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84</w:t>
                  </w:r>
                </w:p>
              </w:tc>
              <w:tc>
                <w:tcPr>
                  <w:tcW w:w="620" w:type="dxa"/>
                  <w:tcBorders>
                    <w:top w:val="single" w:sz="8" w:space="0" w:color="ADD6EA"/>
                    <w:left w:val="nil"/>
                    <w:bottom w:val="nil"/>
                    <w:right w:val="nil"/>
                  </w:tcBorders>
                  <w:tcMar>
                    <w:top w:w="0" w:type="dxa"/>
                    <w:left w:w="28" w:type="dxa"/>
                    <w:bottom w:w="0" w:type="dxa"/>
                    <w:right w:w="28" w:type="dxa"/>
                  </w:tcMar>
                  <w:vAlign w:val="bottom"/>
                  <w:hideMark/>
                </w:tcPr>
                <w:p w14:paraId="5DE2E84A"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196</w:t>
                  </w:r>
                </w:p>
              </w:tc>
              <w:tc>
                <w:tcPr>
                  <w:tcW w:w="560" w:type="dxa"/>
                  <w:tcBorders>
                    <w:top w:val="single" w:sz="8" w:space="0" w:color="ADD6EA"/>
                    <w:left w:val="nil"/>
                    <w:bottom w:val="nil"/>
                    <w:right w:val="nil"/>
                  </w:tcBorders>
                  <w:tcMar>
                    <w:top w:w="0" w:type="dxa"/>
                    <w:left w:w="28" w:type="dxa"/>
                    <w:bottom w:w="0" w:type="dxa"/>
                    <w:right w:w="28" w:type="dxa"/>
                  </w:tcMar>
                  <w:vAlign w:val="bottom"/>
                  <w:hideMark/>
                </w:tcPr>
                <w:p w14:paraId="64F63AE2"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19</w:t>
                  </w:r>
                </w:p>
              </w:tc>
              <w:tc>
                <w:tcPr>
                  <w:tcW w:w="620" w:type="dxa"/>
                  <w:tcBorders>
                    <w:top w:val="single" w:sz="8" w:space="0" w:color="ADD6EA"/>
                    <w:left w:val="nil"/>
                    <w:bottom w:val="nil"/>
                    <w:right w:val="nil"/>
                  </w:tcBorders>
                  <w:tcMar>
                    <w:top w:w="0" w:type="dxa"/>
                    <w:left w:w="28" w:type="dxa"/>
                    <w:bottom w:w="0" w:type="dxa"/>
                    <w:right w:w="28" w:type="dxa"/>
                  </w:tcMar>
                  <w:vAlign w:val="bottom"/>
                  <w:hideMark/>
                </w:tcPr>
                <w:p w14:paraId="553DE31E"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-1</w:t>
                  </w:r>
                </w:p>
              </w:tc>
              <w:tc>
                <w:tcPr>
                  <w:tcW w:w="660" w:type="dxa"/>
                  <w:tcBorders>
                    <w:top w:val="single" w:sz="8" w:space="0" w:color="ADD6EA"/>
                    <w:left w:val="nil"/>
                    <w:bottom w:val="nil"/>
                    <w:right w:val="nil"/>
                  </w:tcBorders>
                  <w:tcMar>
                    <w:top w:w="0" w:type="dxa"/>
                    <w:left w:w="28" w:type="dxa"/>
                    <w:bottom w:w="0" w:type="dxa"/>
                    <w:right w:w="28" w:type="dxa"/>
                  </w:tcMar>
                  <w:vAlign w:val="bottom"/>
                  <w:hideMark/>
                </w:tcPr>
                <w:p w14:paraId="423EC8C5"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-33</w:t>
                  </w:r>
                </w:p>
              </w:tc>
              <w:tc>
                <w:tcPr>
                  <w:tcW w:w="580" w:type="dxa"/>
                  <w:tcBorders>
                    <w:top w:val="single" w:sz="8" w:space="0" w:color="ADD6EA"/>
                    <w:left w:val="nil"/>
                    <w:bottom w:val="nil"/>
                    <w:right w:val="nil"/>
                  </w:tcBorders>
                  <w:tcMar>
                    <w:top w:w="0" w:type="dxa"/>
                    <w:left w:w="28" w:type="dxa"/>
                    <w:bottom w:w="0" w:type="dxa"/>
                    <w:right w:w="28" w:type="dxa"/>
                  </w:tcMar>
                  <w:vAlign w:val="bottom"/>
                  <w:hideMark/>
                </w:tcPr>
                <w:p w14:paraId="7DA9035B"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-33</w:t>
                  </w:r>
                </w:p>
              </w:tc>
              <w:tc>
                <w:tcPr>
                  <w:tcW w:w="820" w:type="dxa"/>
                  <w:tcBorders>
                    <w:top w:val="single" w:sz="8" w:space="0" w:color="ADD6EA"/>
                    <w:left w:val="nil"/>
                    <w:bottom w:val="nil"/>
                    <w:right w:val="nil"/>
                  </w:tcBorders>
                  <w:tcMar>
                    <w:top w:w="0" w:type="dxa"/>
                    <w:left w:w="28" w:type="dxa"/>
                    <w:bottom w:w="0" w:type="dxa"/>
                    <w:right w:w="28" w:type="dxa"/>
                  </w:tcMar>
                  <w:vAlign w:val="bottom"/>
                  <w:hideMark/>
                </w:tcPr>
                <w:p w14:paraId="57F2B970"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300</w:t>
                  </w:r>
                </w:p>
              </w:tc>
            </w:tr>
            <w:tr w:rsidR="00915137" w:rsidRPr="00442A3B" w14:paraId="5A5A00C0" w14:textId="77777777" w:rsidTr="0099072C">
              <w:trPr>
                <w:trHeight w:val="315"/>
              </w:trPr>
              <w:tc>
                <w:tcPr>
                  <w:tcW w:w="2869" w:type="dxa"/>
                  <w:tcBorders>
                    <w:top w:val="single" w:sz="8" w:space="0" w:color="ADD6EA"/>
                    <w:left w:val="nil"/>
                    <w:bottom w:val="nil"/>
                    <w:right w:val="nil"/>
                  </w:tcBorders>
                  <w:tcMar>
                    <w:top w:w="0" w:type="dxa"/>
                    <w:left w:w="28" w:type="dxa"/>
                    <w:bottom w:w="0" w:type="dxa"/>
                    <w:right w:w="28" w:type="dxa"/>
                  </w:tcMar>
                  <w:vAlign w:val="bottom"/>
                  <w:hideMark/>
                </w:tcPr>
                <w:p w14:paraId="20E2B5AF" w14:textId="77777777" w:rsidR="00915137" w:rsidRPr="00442A3B" w:rsidRDefault="00915137" w:rsidP="00915137">
                  <w:pPr>
                    <w:keepNext/>
                    <w:keepLines/>
                    <w:pageBreakBefore/>
                    <w:tabs>
                      <w:tab w:val="clear" w:pos="567"/>
                    </w:tabs>
                    <w:spacing w:before="0" w:line="240" w:lineRule="auto"/>
                    <w:ind w:firstLine="57"/>
                    <w:rPr>
                      <w:rFonts w:eastAsia="Calibri" w:cs="Open Sans Light"/>
                      <w:sz w:val="16"/>
                      <w:szCs w:val="16"/>
                      <w:lang w:eastAsia="en-AU"/>
                    </w:rPr>
                  </w:pPr>
                  <w:r w:rsidRPr="00442A3B">
                    <w:rPr>
                      <w:rFonts w:eastAsia="Calibri" w:cs="Open Sans Light"/>
                      <w:color w:val="000000"/>
                      <w:sz w:val="16"/>
                      <w:szCs w:val="16"/>
                      <w:lang w:eastAsia="en-AU"/>
                    </w:rPr>
                    <w:t>Changes in taxable land values</w:t>
                  </w:r>
                </w:p>
              </w:tc>
              <w:tc>
                <w:tcPr>
                  <w:tcW w:w="451" w:type="dxa"/>
                  <w:tcBorders>
                    <w:top w:val="single" w:sz="8" w:space="0" w:color="ADD6EA"/>
                    <w:left w:val="nil"/>
                    <w:bottom w:val="nil"/>
                    <w:right w:val="nil"/>
                  </w:tcBorders>
                  <w:tcMar>
                    <w:top w:w="0" w:type="dxa"/>
                    <w:left w:w="28" w:type="dxa"/>
                    <w:bottom w:w="0" w:type="dxa"/>
                    <w:right w:w="28" w:type="dxa"/>
                  </w:tcMar>
                  <w:vAlign w:val="bottom"/>
                  <w:hideMark/>
                </w:tcPr>
                <w:p w14:paraId="3460C4AE"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-206</w:t>
                  </w:r>
                </w:p>
              </w:tc>
              <w:tc>
                <w:tcPr>
                  <w:tcW w:w="580" w:type="dxa"/>
                  <w:tcBorders>
                    <w:top w:val="single" w:sz="8" w:space="0" w:color="ADD6EA"/>
                    <w:left w:val="nil"/>
                    <w:bottom w:val="nil"/>
                    <w:right w:val="nil"/>
                  </w:tcBorders>
                  <w:tcMar>
                    <w:top w:w="0" w:type="dxa"/>
                    <w:left w:w="28" w:type="dxa"/>
                    <w:bottom w:w="0" w:type="dxa"/>
                    <w:right w:w="28" w:type="dxa"/>
                  </w:tcMar>
                  <w:vAlign w:val="bottom"/>
                  <w:hideMark/>
                </w:tcPr>
                <w:p w14:paraId="7F661356"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-33</w:t>
                  </w:r>
                </w:p>
              </w:tc>
              <w:tc>
                <w:tcPr>
                  <w:tcW w:w="640" w:type="dxa"/>
                  <w:tcBorders>
                    <w:top w:val="single" w:sz="8" w:space="0" w:color="ADD6EA"/>
                    <w:left w:val="nil"/>
                    <w:bottom w:val="nil"/>
                    <w:right w:val="nil"/>
                  </w:tcBorders>
                  <w:tcMar>
                    <w:top w:w="0" w:type="dxa"/>
                    <w:left w:w="28" w:type="dxa"/>
                    <w:bottom w:w="0" w:type="dxa"/>
                    <w:right w:w="28" w:type="dxa"/>
                  </w:tcMar>
                  <w:vAlign w:val="bottom"/>
                  <w:hideMark/>
                </w:tcPr>
                <w:p w14:paraId="0A00B911"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97</w:t>
                  </w:r>
                </w:p>
              </w:tc>
              <w:tc>
                <w:tcPr>
                  <w:tcW w:w="620" w:type="dxa"/>
                  <w:tcBorders>
                    <w:top w:val="single" w:sz="8" w:space="0" w:color="ADD6EA"/>
                    <w:left w:val="nil"/>
                    <w:bottom w:val="nil"/>
                    <w:right w:val="nil"/>
                  </w:tcBorders>
                  <w:tcMar>
                    <w:top w:w="0" w:type="dxa"/>
                    <w:left w:w="28" w:type="dxa"/>
                    <w:bottom w:w="0" w:type="dxa"/>
                    <w:right w:w="28" w:type="dxa"/>
                  </w:tcMar>
                  <w:vAlign w:val="bottom"/>
                  <w:hideMark/>
                </w:tcPr>
                <w:p w14:paraId="58C8672A"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94</w:t>
                  </w:r>
                </w:p>
              </w:tc>
              <w:tc>
                <w:tcPr>
                  <w:tcW w:w="560" w:type="dxa"/>
                  <w:tcBorders>
                    <w:top w:val="single" w:sz="8" w:space="0" w:color="ADD6EA"/>
                    <w:left w:val="nil"/>
                    <w:bottom w:val="nil"/>
                    <w:right w:val="nil"/>
                  </w:tcBorders>
                  <w:tcMar>
                    <w:top w:w="0" w:type="dxa"/>
                    <w:left w:w="28" w:type="dxa"/>
                    <w:bottom w:w="0" w:type="dxa"/>
                    <w:right w:w="28" w:type="dxa"/>
                  </w:tcMar>
                  <w:vAlign w:val="bottom"/>
                  <w:hideMark/>
                </w:tcPr>
                <w:p w14:paraId="1B2A939F"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31</w:t>
                  </w:r>
                </w:p>
              </w:tc>
              <w:tc>
                <w:tcPr>
                  <w:tcW w:w="620" w:type="dxa"/>
                  <w:tcBorders>
                    <w:top w:val="single" w:sz="8" w:space="0" w:color="ADD6EA"/>
                    <w:left w:val="nil"/>
                    <w:bottom w:val="nil"/>
                    <w:right w:val="nil"/>
                  </w:tcBorders>
                  <w:tcMar>
                    <w:top w:w="0" w:type="dxa"/>
                    <w:left w:w="28" w:type="dxa"/>
                    <w:bottom w:w="0" w:type="dxa"/>
                    <w:right w:w="28" w:type="dxa"/>
                  </w:tcMar>
                  <w:vAlign w:val="bottom"/>
                  <w:hideMark/>
                </w:tcPr>
                <w:p w14:paraId="4B6DFAAD"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11</w:t>
                  </w:r>
                </w:p>
              </w:tc>
              <w:tc>
                <w:tcPr>
                  <w:tcW w:w="660" w:type="dxa"/>
                  <w:tcBorders>
                    <w:top w:val="single" w:sz="8" w:space="0" w:color="ADD6EA"/>
                    <w:left w:val="nil"/>
                    <w:bottom w:val="nil"/>
                    <w:right w:val="nil"/>
                  </w:tcBorders>
                  <w:tcMar>
                    <w:top w:w="0" w:type="dxa"/>
                    <w:left w:w="28" w:type="dxa"/>
                    <w:bottom w:w="0" w:type="dxa"/>
                    <w:right w:w="28" w:type="dxa"/>
                  </w:tcMar>
                  <w:vAlign w:val="bottom"/>
                  <w:hideMark/>
                </w:tcPr>
                <w:p w14:paraId="5536965D"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6</w:t>
                  </w:r>
                </w:p>
              </w:tc>
              <w:tc>
                <w:tcPr>
                  <w:tcW w:w="580" w:type="dxa"/>
                  <w:tcBorders>
                    <w:top w:val="single" w:sz="8" w:space="0" w:color="ADD6EA"/>
                    <w:left w:val="nil"/>
                    <w:bottom w:val="nil"/>
                    <w:right w:val="nil"/>
                  </w:tcBorders>
                  <w:tcMar>
                    <w:top w:w="0" w:type="dxa"/>
                    <w:left w:w="28" w:type="dxa"/>
                    <w:bottom w:w="0" w:type="dxa"/>
                    <w:right w:w="28" w:type="dxa"/>
                  </w:tcMar>
                  <w:vAlign w:val="bottom"/>
                  <w:hideMark/>
                </w:tcPr>
                <w:p w14:paraId="2A334D9F"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0</w:t>
                  </w:r>
                </w:p>
              </w:tc>
              <w:tc>
                <w:tcPr>
                  <w:tcW w:w="820" w:type="dxa"/>
                  <w:tcBorders>
                    <w:top w:val="single" w:sz="8" w:space="0" w:color="ADD6EA"/>
                    <w:left w:val="nil"/>
                    <w:bottom w:val="nil"/>
                    <w:right w:val="nil"/>
                  </w:tcBorders>
                  <w:tcMar>
                    <w:top w:w="0" w:type="dxa"/>
                    <w:left w:w="28" w:type="dxa"/>
                    <w:bottom w:w="0" w:type="dxa"/>
                    <w:right w:w="28" w:type="dxa"/>
                  </w:tcMar>
                  <w:vAlign w:val="bottom"/>
                  <w:hideMark/>
                </w:tcPr>
                <w:p w14:paraId="0D358C74"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238</w:t>
                  </w:r>
                </w:p>
              </w:tc>
            </w:tr>
            <w:tr w:rsidR="00915137" w:rsidRPr="00442A3B" w14:paraId="57004346" w14:textId="77777777" w:rsidTr="0099072C">
              <w:trPr>
                <w:trHeight w:val="315"/>
              </w:trPr>
              <w:tc>
                <w:tcPr>
                  <w:tcW w:w="2869" w:type="dxa"/>
                  <w:tcBorders>
                    <w:top w:val="single" w:sz="8" w:space="0" w:color="ADD6EA"/>
                    <w:left w:val="nil"/>
                    <w:bottom w:val="nil"/>
                    <w:right w:val="nil"/>
                  </w:tcBorders>
                  <w:tcMar>
                    <w:top w:w="0" w:type="dxa"/>
                    <w:left w:w="28" w:type="dxa"/>
                    <w:bottom w:w="0" w:type="dxa"/>
                    <w:right w:w="28" w:type="dxa"/>
                  </w:tcMar>
                  <w:vAlign w:val="bottom"/>
                  <w:hideMark/>
                </w:tcPr>
                <w:p w14:paraId="49DBB1F2" w14:textId="466D7257" w:rsidR="00915137" w:rsidRPr="00442A3B" w:rsidRDefault="00915137" w:rsidP="00915137">
                  <w:pPr>
                    <w:keepNext/>
                    <w:keepLines/>
                    <w:pageBreakBefore/>
                    <w:tabs>
                      <w:tab w:val="clear" w:pos="567"/>
                    </w:tabs>
                    <w:spacing w:before="0" w:line="240" w:lineRule="auto"/>
                    <w:ind w:firstLine="57"/>
                    <w:rPr>
                      <w:rFonts w:eastAsia="Calibri" w:cs="Open Sans Light"/>
                      <w:sz w:val="16"/>
                      <w:szCs w:val="16"/>
                      <w:lang w:eastAsia="en-AU"/>
                    </w:rPr>
                  </w:pPr>
                  <w:r w:rsidRPr="00442A3B">
                    <w:rPr>
                      <w:rFonts w:eastAsia="Calibri" w:cs="Open Sans Light"/>
                      <w:color w:val="000000"/>
                      <w:sz w:val="16"/>
                      <w:szCs w:val="16"/>
                      <w:lang w:eastAsia="en-AU"/>
                    </w:rPr>
                    <w:t>Growth in expenses</w:t>
                  </w:r>
                  <w:r w:rsidR="00A555A0" w:rsidRPr="00442A3B">
                    <w:rPr>
                      <w:rFonts w:eastAsia="Calibri" w:cs="Open Sans Light"/>
                      <w:color w:val="000000"/>
                      <w:sz w:val="16"/>
                      <w:szCs w:val="16"/>
                      <w:vertAlign w:val="superscript"/>
                      <w:lang w:eastAsia="en-AU"/>
                    </w:rPr>
                    <w:t>4</w:t>
                  </w:r>
                </w:p>
              </w:tc>
              <w:tc>
                <w:tcPr>
                  <w:tcW w:w="451" w:type="dxa"/>
                  <w:tcBorders>
                    <w:top w:val="single" w:sz="8" w:space="0" w:color="ADD6EA"/>
                    <w:left w:val="nil"/>
                    <w:bottom w:val="nil"/>
                    <w:right w:val="nil"/>
                  </w:tcBorders>
                  <w:noWrap/>
                  <w:tcMar>
                    <w:top w:w="0" w:type="dxa"/>
                    <w:left w:w="28" w:type="dxa"/>
                    <w:bottom w:w="0" w:type="dxa"/>
                    <w:right w:w="28" w:type="dxa"/>
                  </w:tcMar>
                  <w:vAlign w:val="bottom"/>
                  <w:hideMark/>
                </w:tcPr>
                <w:p w14:paraId="0C4675D9"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52</w:t>
                  </w:r>
                </w:p>
              </w:tc>
              <w:tc>
                <w:tcPr>
                  <w:tcW w:w="580" w:type="dxa"/>
                  <w:tcBorders>
                    <w:top w:val="single" w:sz="8" w:space="0" w:color="ADD6EA"/>
                    <w:left w:val="nil"/>
                    <w:bottom w:val="nil"/>
                    <w:right w:val="nil"/>
                  </w:tcBorders>
                  <w:noWrap/>
                  <w:tcMar>
                    <w:top w:w="0" w:type="dxa"/>
                    <w:left w:w="28" w:type="dxa"/>
                    <w:bottom w:w="0" w:type="dxa"/>
                    <w:right w:w="28" w:type="dxa"/>
                  </w:tcMar>
                  <w:vAlign w:val="bottom"/>
                  <w:hideMark/>
                </w:tcPr>
                <w:p w14:paraId="0623ACA6"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-194</w:t>
                  </w:r>
                </w:p>
              </w:tc>
              <w:tc>
                <w:tcPr>
                  <w:tcW w:w="640" w:type="dxa"/>
                  <w:tcBorders>
                    <w:top w:val="single" w:sz="8" w:space="0" w:color="ADD6EA"/>
                    <w:left w:val="nil"/>
                    <w:bottom w:val="nil"/>
                    <w:right w:val="nil"/>
                  </w:tcBorders>
                  <w:noWrap/>
                  <w:tcMar>
                    <w:top w:w="0" w:type="dxa"/>
                    <w:left w:w="28" w:type="dxa"/>
                    <w:bottom w:w="0" w:type="dxa"/>
                    <w:right w:w="28" w:type="dxa"/>
                  </w:tcMar>
                  <w:vAlign w:val="bottom"/>
                  <w:hideMark/>
                </w:tcPr>
                <w:p w14:paraId="21A3133B"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12</w:t>
                  </w:r>
                </w:p>
              </w:tc>
              <w:tc>
                <w:tcPr>
                  <w:tcW w:w="620" w:type="dxa"/>
                  <w:tcBorders>
                    <w:top w:val="single" w:sz="8" w:space="0" w:color="ADD6EA"/>
                    <w:left w:val="nil"/>
                    <w:bottom w:val="nil"/>
                    <w:right w:val="nil"/>
                  </w:tcBorders>
                  <w:noWrap/>
                  <w:tcMar>
                    <w:top w:w="0" w:type="dxa"/>
                    <w:left w:w="28" w:type="dxa"/>
                    <w:bottom w:w="0" w:type="dxa"/>
                    <w:right w:w="28" w:type="dxa"/>
                  </w:tcMar>
                  <w:vAlign w:val="bottom"/>
                  <w:hideMark/>
                </w:tcPr>
                <w:p w14:paraId="08257762"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57</w:t>
                  </w:r>
                </w:p>
              </w:tc>
              <w:tc>
                <w:tcPr>
                  <w:tcW w:w="560" w:type="dxa"/>
                  <w:tcBorders>
                    <w:top w:val="single" w:sz="8" w:space="0" w:color="ADD6EA"/>
                    <w:left w:val="nil"/>
                    <w:bottom w:val="nil"/>
                    <w:right w:val="nil"/>
                  </w:tcBorders>
                  <w:noWrap/>
                  <w:tcMar>
                    <w:top w:w="0" w:type="dxa"/>
                    <w:left w:w="28" w:type="dxa"/>
                    <w:bottom w:w="0" w:type="dxa"/>
                    <w:right w:w="28" w:type="dxa"/>
                  </w:tcMar>
                  <w:vAlign w:val="bottom"/>
                  <w:hideMark/>
                </w:tcPr>
                <w:p w14:paraId="20619FE1"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-13</w:t>
                  </w:r>
                </w:p>
              </w:tc>
              <w:tc>
                <w:tcPr>
                  <w:tcW w:w="620" w:type="dxa"/>
                  <w:tcBorders>
                    <w:top w:val="single" w:sz="8" w:space="0" w:color="ADD6EA"/>
                    <w:left w:val="nil"/>
                    <w:bottom w:val="nil"/>
                    <w:right w:val="nil"/>
                  </w:tcBorders>
                  <w:noWrap/>
                  <w:tcMar>
                    <w:top w:w="0" w:type="dxa"/>
                    <w:left w:w="28" w:type="dxa"/>
                    <w:bottom w:w="0" w:type="dxa"/>
                    <w:right w:w="28" w:type="dxa"/>
                  </w:tcMar>
                  <w:vAlign w:val="bottom"/>
                  <w:hideMark/>
                </w:tcPr>
                <w:p w14:paraId="5C3F33D5"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20</w:t>
                  </w:r>
                </w:p>
              </w:tc>
              <w:tc>
                <w:tcPr>
                  <w:tcW w:w="660" w:type="dxa"/>
                  <w:tcBorders>
                    <w:top w:val="single" w:sz="8" w:space="0" w:color="ADD6EA"/>
                    <w:left w:val="nil"/>
                    <w:bottom w:val="nil"/>
                    <w:right w:val="nil"/>
                  </w:tcBorders>
                  <w:noWrap/>
                  <w:tcMar>
                    <w:top w:w="0" w:type="dxa"/>
                    <w:left w:w="28" w:type="dxa"/>
                    <w:bottom w:w="0" w:type="dxa"/>
                    <w:right w:w="28" w:type="dxa"/>
                  </w:tcMar>
                  <w:vAlign w:val="bottom"/>
                  <w:hideMark/>
                </w:tcPr>
                <w:p w14:paraId="7FB45BF3"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-19</w:t>
                  </w:r>
                </w:p>
              </w:tc>
              <w:tc>
                <w:tcPr>
                  <w:tcW w:w="580" w:type="dxa"/>
                  <w:tcBorders>
                    <w:top w:val="single" w:sz="8" w:space="0" w:color="ADD6EA"/>
                    <w:left w:val="nil"/>
                    <w:bottom w:val="nil"/>
                    <w:right w:val="nil"/>
                  </w:tcBorders>
                  <w:noWrap/>
                  <w:tcMar>
                    <w:top w:w="0" w:type="dxa"/>
                    <w:left w:w="28" w:type="dxa"/>
                    <w:bottom w:w="0" w:type="dxa"/>
                    <w:right w:w="28" w:type="dxa"/>
                  </w:tcMar>
                  <w:vAlign w:val="bottom"/>
                  <w:hideMark/>
                </w:tcPr>
                <w:p w14:paraId="453876DB"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85</w:t>
                  </w:r>
                </w:p>
              </w:tc>
              <w:tc>
                <w:tcPr>
                  <w:tcW w:w="820" w:type="dxa"/>
                  <w:tcBorders>
                    <w:top w:val="single" w:sz="8" w:space="0" w:color="ADD6EA"/>
                    <w:left w:val="nil"/>
                    <w:bottom w:val="nil"/>
                    <w:right w:val="nil"/>
                  </w:tcBorders>
                  <w:noWrap/>
                  <w:tcMar>
                    <w:top w:w="0" w:type="dxa"/>
                    <w:left w:w="28" w:type="dxa"/>
                    <w:bottom w:w="0" w:type="dxa"/>
                    <w:right w:w="28" w:type="dxa"/>
                  </w:tcMar>
                  <w:vAlign w:val="bottom"/>
                  <w:hideMark/>
                </w:tcPr>
                <w:p w14:paraId="223499E2"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226</w:t>
                  </w:r>
                </w:p>
              </w:tc>
            </w:tr>
            <w:tr w:rsidR="00915137" w:rsidRPr="00442A3B" w14:paraId="4D588B41" w14:textId="77777777" w:rsidTr="0099072C">
              <w:trPr>
                <w:trHeight w:val="315"/>
              </w:trPr>
              <w:tc>
                <w:tcPr>
                  <w:tcW w:w="2869" w:type="dxa"/>
                  <w:tcBorders>
                    <w:top w:val="single" w:sz="8" w:space="0" w:color="ADD6EA"/>
                    <w:left w:val="nil"/>
                    <w:bottom w:val="nil"/>
                    <w:right w:val="nil"/>
                  </w:tcBorders>
                  <w:tcMar>
                    <w:top w:w="0" w:type="dxa"/>
                    <w:left w:w="28" w:type="dxa"/>
                    <w:bottom w:w="0" w:type="dxa"/>
                    <w:right w:w="28" w:type="dxa"/>
                  </w:tcMar>
                  <w:vAlign w:val="bottom"/>
                  <w:hideMark/>
                </w:tcPr>
                <w:p w14:paraId="4021BBE8" w14:textId="77777777" w:rsidR="00915137" w:rsidRPr="00442A3B" w:rsidRDefault="00915137" w:rsidP="00915137">
                  <w:pPr>
                    <w:keepNext/>
                    <w:keepLines/>
                    <w:pageBreakBefore/>
                    <w:tabs>
                      <w:tab w:val="clear" w:pos="567"/>
                    </w:tabs>
                    <w:spacing w:before="0" w:line="240" w:lineRule="auto"/>
                    <w:ind w:firstLine="57"/>
                    <w:rPr>
                      <w:rFonts w:eastAsia="Calibri" w:cs="Open Sans Light"/>
                      <w:sz w:val="16"/>
                      <w:szCs w:val="16"/>
                      <w:lang w:eastAsia="en-AU"/>
                    </w:rPr>
                  </w:pPr>
                  <w:r w:rsidRPr="00442A3B">
                    <w:rPr>
                      <w:rFonts w:eastAsia="Calibri" w:cs="Open Sans Light"/>
                      <w:color w:val="000000"/>
                      <w:sz w:val="16"/>
                      <w:szCs w:val="16"/>
                      <w:lang w:eastAsia="en-AU"/>
                    </w:rPr>
                    <w:t>Changes in Commonwealth payments</w:t>
                  </w:r>
                </w:p>
              </w:tc>
              <w:tc>
                <w:tcPr>
                  <w:tcW w:w="451" w:type="dxa"/>
                  <w:tcBorders>
                    <w:top w:val="single" w:sz="8" w:space="0" w:color="ADD6EA"/>
                    <w:left w:val="nil"/>
                    <w:bottom w:val="nil"/>
                    <w:right w:val="nil"/>
                  </w:tcBorders>
                  <w:tcMar>
                    <w:top w:w="0" w:type="dxa"/>
                    <w:left w:w="28" w:type="dxa"/>
                    <w:bottom w:w="0" w:type="dxa"/>
                    <w:right w:w="28" w:type="dxa"/>
                  </w:tcMar>
                  <w:vAlign w:val="bottom"/>
                  <w:hideMark/>
                </w:tcPr>
                <w:p w14:paraId="69328733"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77</w:t>
                  </w:r>
                </w:p>
              </w:tc>
              <w:tc>
                <w:tcPr>
                  <w:tcW w:w="580" w:type="dxa"/>
                  <w:tcBorders>
                    <w:top w:val="single" w:sz="8" w:space="0" w:color="ADD6EA"/>
                    <w:left w:val="nil"/>
                    <w:bottom w:val="nil"/>
                    <w:right w:val="nil"/>
                  </w:tcBorders>
                  <w:tcMar>
                    <w:top w:w="0" w:type="dxa"/>
                    <w:left w:w="28" w:type="dxa"/>
                    <w:bottom w:w="0" w:type="dxa"/>
                    <w:right w:w="28" w:type="dxa"/>
                  </w:tcMar>
                  <w:vAlign w:val="bottom"/>
                  <w:hideMark/>
                </w:tcPr>
                <w:p w14:paraId="52799A26"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58</w:t>
                  </w:r>
                </w:p>
              </w:tc>
              <w:tc>
                <w:tcPr>
                  <w:tcW w:w="640" w:type="dxa"/>
                  <w:tcBorders>
                    <w:top w:val="single" w:sz="8" w:space="0" w:color="ADD6EA"/>
                    <w:left w:val="nil"/>
                    <w:bottom w:val="nil"/>
                    <w:right w:val="nil"/>
                  </w:tcBorders>
                  <w:tcMar>
                    <w:top w:w="0" w:type="dxa"/>
                    <w:left w:w="28" w:type="dxa"/>
                    <w:bottom w:w="0" w:type="dxa"/>
                    <w:right w:w="28" w:type="dxa"/>
                  </w:tcMar>
                  <w:vAlign w:val="bottom"/>
                  <w:hideMark/>
                </w:tcPr>
                <w:p w14:paraId="1E1B8FDB"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-92</w:t>
                  </w:r>
                </w:p>
              </w:tc>
              <w:tc>
                <w:tcPr>
                  <w:tcW w:w="620" w:type="dxa"/>
                  <w:tcBorders>
                    <w:top w:val="single" w:sz="8" w:space="0" w:color="ADD6EA"/>
                    <w:left w:val="nil"/>
                    <w:bottom w:val="nil"/>
                    <w:right w:val="nil"/>
                  </w:tcBorders>
                  <w:tcMar>
                    <w:top w:w="0" w:type="dxa"/>
                    <w:left w:w="28" w:type="dxa"/>
                    <w:bottom w:w="0" w:type="dxa"/>
                    <w:right w:w="28" w:type="dxa"/>
                  </w:tcMar>
                  <w:vAlign w:val="bottom"/>
                  <w:hideMark/>
                </w:tcPr>
                <w:p w14:paraId="226A7530"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-72</w:t>
                  </w:r>
                </w:p>
              </w:tc>
              <w:tc>
                <w:tcPr>
                  <w:tcW w:w="560" w:type="dxa"/>
                  <w:tcBorders>
                    <w:top w:val="single" w:sz="8" w:space="0" w:color="ADD6EA"/>
                    <w:left w:val="nil"/>
                    <w:bottom w:val="nil"/>
                    <w:right w:val="nil"/>
                  </w:tcBorders>
                  <w:tcMar>
                    <w:top w:w="0" w:type="dxa"/>
                    <w:left w:w="28" w:type="dxa"/>
                    <w:bottom w:w="0" w:type="dxa"/>
                    <w:right w:w="28" w:type="dxa"/>
                  </w:tcMar>
                  <w:vAlign w:val="bottom"/>
                  <w:hideMark/>
                </w:tcPr>
                <w:p w14:paraId="691E87DB"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31</w:t>
                  </w:r>
                </w:p>
              </w:tc>
              <w:tc>
                <w:tcPr>
                  <w:tcW w:w="620" w:type="dxa"/>
                  <w:tcBorders>
                    <w:top w:val="single" w:sz="8" w:space="0" w:color="ADD6EA"/>
                    <w:left w:val="nil"/>
                    <w:bottom w:val="nil"/>
                    <w:right w:val="nil"/>
                  </w:tcBorders>
                  <w:tcMar>
                    <w:top w:w="0" w:type="dxa"/>
                    <w:left w:w="28" w:type="dxa"/>
                    <w:bottom w:w="0" w:type="dxa"/>
                    <w:right w:w="28" w:type="dxa"/>
                  </w:tcMar>
                  <w:vAlign w:val="bottom"/>
                  <w:hideMark/>
                </w:tcPr>
                <w:p w14:paraId="534EB918"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1</w:t>
                  </w:r>
                </w:p>
              </w:tc>
              <w:tc>
                <w:tcPr>
                  <w:tcW w:w="660" w:type="dxa"/>
                  <w:tcBorders>
                    <w:top w:val="single" w:sz="8" w:space="0" w:color="ADD6EA"/>
                    <w:left w:val="nil"/>
                    <w:bottom w:val="nil"/>
                    <w:right w:val="nil"/>
                  </w:tcBorders>
                  <w:tcMar>
                    <w:top w:w="0" w:type="dxa"/>
                    <w:left w:w="28" w:type="dxa"/>
                    <w:bottom w:w="0" w:type="dxa"/>
                    <w:right w:w="28" w:type="dxa"/>
                  </w:tcMar>
                  <w:vAlign w:val="bottom"/>
                  <w:hideMark/>
                </w:tcPr>
                <w:p w14:paraId="0E1FB413"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-8</w:t>
                  </w:r>
                </w:p>
              </w:tc>
              <w:tc>
                <w:tcPr>
                  <w:tcW w:w="580" w:type="dxa"/>
                  <w:tcBorders>
                    <w:top w:val="single" w:sz="8" w:space="0" w:color="ADD6EA"/>
                    <w:left w:val="nil"/>
                    <w:bottom w:val="nil"/>
                    <w:right w:val="nil"/>
                  </w:tcBorders>
                  <w:tcMar>
                    <w:top w:w="0" w:type="dxa"/>
                    <w:left w:w="28" w:type="dxa"/>
                    <w:bottom w:w="0" w:type="dxa"/>
                    <w:right w:w="28" w:type="dxa"/>
                  </w:tcMar>
                  <w:vAlign w:val="bottom"/>
                  <w:hideMark/>
                </w:tcPr>
                <w:p w14:paraId="714BF505"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6</w:t>
                  </w:r>
                </w:p>
              </w:tc>
              <w:tc>
                <w:tcPr>
                  <w:tcW w:w="820" w:type="dxa"/>
                  <w:tcBorders>
                    <w:top w:val="single" w:sz="8" w:space="0" w:color="ADD6EA"/>
                    <w:left w:val="nil"/>
                    <w:bottom w:val="nil"/>
                    <w:right w:val="nil"/>
                  </w:tcBorders>
                  <w:tcMar>
                    <w:top w:w="0" w:type="dxa"/>
                    <w:left w:w="28" w:type="dxa"/>
                    <w:bottom w:w="0" w:type="dxa"/>
                    <w:right w:w="28" w:type="dxa"/>
                  </w:tcMar>
                  <w:vAlign w:val="bottom"/>
                  <w:hideMark/>
                </w:tcPr>
                <w:p w14:paraId="0A03C2E5"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173</w:t>
                  </w:r>
                </w:p>
              </w:tc>
            </w:tr>
            <w:tr w:rsidR="00915137" w:rsidRPr="00442A3B" w14:paraId="660E97CA" w14:textId="77777777" w:rsidTr="0099072C">
              <w:trPr>
                <w:trHeight w:val="315"/>
              </w:trPr>
              <w:tc>
                <w:tcPr>
                  <w:tcW w:w="2869" w:type="dxa"/>
                  <w:tcBorders>
                    <w:top w:val="single" w:sz="8" w:space="0" w:color="ADD6EA"/>
                    <w:left w:val="nil"/>
                    <w:bottom w:val="nil"/>
                    <w:right w:val="nil"/>
                  </w:tcBorders>
                  <w:tcMar>
                    <w:top w:w="0" w:type="dxa"/>
                    <w:left w:w="28" w:type="dxa"/>
                    <w:bottom w:w="0" w:type="dxa"/>
                    <w:right w:w="28" w:type="dxa"/>
                  </w:tcMar>
                  <w:vAlign w:val="bottom"/>
                  <w:hideMark/>
                </w:tcPr>
                <w:p w14:paraId="58E32211" w14:textId="77777777" w:rsidR="00915137" w:rsidRPr="00442A3B" w:rsidRDefault="00915137" w:rsidP="00915137">
                  <w:pPr>
                    <w:keepNext/>
                    <w:keepLines/>
                    <w:pageBreakBefore/>
                    <w:tabs>
                      <w:tab w:val="clear" w:pos="567"/>
                    </w:tabs>
                    <w:spacing w:before="0" w:line="240" w:lineRule="auto"/>
                    <w:ind w:firstLine="57"/>
                    <w:rPr>
                      <w:rFonts w:eastAsia="Calibri" w:cs="Open Sans Light"/>
                      <w:sz w:val="16"/>
                      <w:szCs w:val="16"/>
                      <w:lang w:eastAsia="en-AU"/>
                    </w:rPr>
                  </w:pPr>
                  <w:r w:rsidRPr="00442A3B">
                    <w:rPr>
                      <w:rFonts w:eastAsia="Calibri" w:cs="Open Sans Light"/>
                      <w:color w:val="000000"/>
                      <w:sz w:val="16"/>
                      <w:szCs w:val="16"/>
                      <w:lang w:eastAsia="en-AU"/>
                    </w:rPr>
                    <w:t>Other revenue effects (a)</w:t>
                  </w:r>
                </w:p>
              </w:tc>
              <w:tc>
                <w:tcPr>
                  <w:tcW w:w="451" w:type="dxa"/>
                  <w:tcBorders>
                    <w:top w:val="single" w:sz="8" w:space="0" w:color="ADD6EA"/>
                    <w:left w:val="nil"/>
                    <w:bottom w:val="nil"/>
                    <w:right w:val="nil"/>
                  </w:tcBorders>
                  <w:noWrap/>
                  <w:tcMar>
                    <w:top w:w="0" w:type="dxa"/>
                    <w:left w:w="28" w:type="dxa"/>
                    <w:bottom w:w="0" w:type="dxa"/>
                    <w:right w:w="28" w:type="dxa"/>
                  </w:tcMar>
                  <w:vAlign w:val="bottom"/>
                  <w:hideMark/>
                </w:tcPr>
                <w:p w14:paraId="1C9EBDC5"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213</w:t>
                  </w:r>
                </w:p>
              </w:tc>
              <w:tc>
                <w:tcPr>
                  <w:tcW w:w="580" w:type="dxa"/>
                  <w:tcBorders>
                    <w:top w:val="single" w:sz="8" w:space="0" w:color="ADD6EA"/>
                    <w:left w:val="nil"/>
                    <w:bottom w:val="nil"/>
                    <w:right w:val="nil"/>
                  </w:tcBorders>
                  <w:noWrap/>
                  <w:tcMar>
                    <w:top w:w="0" w:type="dxa"/>
                    <w:left w:w="28" w:type="dxa"/>
                    <w:bottom w:w="0" w:type="dxa"/>
                    <w:right w:w="28" w:type="dxa"/>
                  </w:tcMar>
                  <w:vAlign w:val="bottom"/>
                  <w:hideMark/>
                </w:tcPr>
                <w:p w14:paraId="10E2EF02"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-248</w:t>
                  </w:r>
                </w:p>
              </w:tc>
              <w:tc>
                <w:tcPr>
                  <w:tcW w:w="640" w:type="dxa"/>
                  <w:tcBorders>
                    <w:top w:val="single" w:sz="8" w:space="0" w:color="ADD6EA"/>
                    <w:left w:val="nil"/>
                    <w:bottom w:val="nil"/>
                    <w:right w:val="nil"/>
                  </w:tcBorders>
                  <w:noWrap/>
                  <w:tcMar>
                    <w:top w:w="0" w:type="dxa"/>
                    <w:left w:w="28" w:type="dxa"/>
                    <w:bottom w:w="0" w:type="dxa"/>
                    <w:right w:w="28" w:type="dxa"/>
                  </w:tcMar>
                  <w:vAlign w:val="bottom"/>
                  <w:hideMark/>
                </w:tcPr>
                <w:p w14:paraId="6CF7DB4B"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49</w:t>
                  </w:r>
                </w:p>
              </w:tc>
              <w:tc>
                <w:tcPr>
                  <w:tcW w:w="620" w:type="dxa"/>
                  <w:tcBorders>
                    <w:top w:val="single" w:sz="8" w:space="0" w:color="ADD6EA"/>
                    <w:left w:val="nil"/>
                    <w:bottom w:val="nil"/>
                    <w:right w:val="nil"/>
                  </w:tcBorders>
                  <w:noWrap/>
                  <w:tcMar>
                    <w:top w:w="0" w:type="dxa"/>
                    <w:left w:w="28" w:type="dxa"/>
                    <w:bottom w:w="0" w:type="dxa"/>
                    <w:right w:w="28" w:type="dxa"/>
                  </w:tcMar>
                  <w:vAlign w:val="bottom"/>
                  <w:hideMark/>
                </w:tcPr>
                <w:p w14:paraId="7BA4B598"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-67</w:t>
                  </w:r>
                </w:p>
              </w:tc>
              <w:tc>
                <w:tcPr>
                  <w:tcW w:w="560" w:type="dxa"/>
                  <w:tcBorders>
                    <w:top w:val="single" w:sz="8" w:space="0" w:color="ADD6EA"/>
                    <w:left w:val="nil"/>
                    <w:bottom w:val="nil"/>
                    <w:right w:val="nil"/>
                  </w:tcBorders>
                  <w:noWrap/>
                  <w:tcMar>
                    <w:top w:w="0" w:type="dxa"/>
                    <w:left w:w="28" w:type="dxa"/>
                    <w:bottom w:w="0" w:type="dxa"/>
                    <w:right w:w="28" w:type="dxa"/>
                  </w:tcMar>
                  <w:vAlign w:val="bottom"/>
                  <w:hideMark/>
                </w:tcPr>
                <w:p w14:paraId="78D7710A"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-2</w:t>
                  </w:r>
                </w:p>
              </w:tc>
              <w:tc>
                <w:tcPr>
                  <w:tcW w:w="620" w:type="dxa"/>
                  <w:tcBorders>
                    <w:top w:val="single" w:sz="8" w:space="0" w:color="ADD6EA"/>
                    <w:left w:val="nil"/>
                    <w:bottom w:val="nil"/>
                    <w:right w:val="nil"/>
                  </w:tcBorders>
                  <w:noWrap/>
                  <w:tcMar>
                    <w:top w:w="0" w:type="dxa"/>
                    <w:left w:w="28" w:type="dxa"/>
                    <w:bottom w:w="0" w:type="dxa"/>
                    <w:right w:w="28" w:type="dxa"/>
                  </w:tcMar>
                  <w:vAlign w:val="bottom"/>
                  <w:hideMark/>
                </w:tcPr>
                <w:p w14:paraId="7C189154"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2</w:t>
                  </w:r>
                </w:p>
              </w:tc>
              <w:tc>
                <w:tcPr>
                  <w:tcW w:w="660" w:type="dxa"/>
                  <w:tcBorders>
                    <w:top w:val="single" w:sz="8" w:space="0" w:color="ADD6EA"/>
                    <w:left w:val="nil"/>
                    <w:bottom w:val="nil"/>
                    <w:right w:val="nil"/>
                  </w:tcBorders>
                  <w:noWrap/>
                  <w:tcMar>
                    <w:top w:w="0" w:type="dxa"/>
                    <w:left w:w="28" w:type="dxa"/>
                    <w:bottom w:w="0" w:type="dxa"/>
                    <w:right w:w="28" w:type="dxa"/>
                  </w:tcMar>
                  <w:vAlign w:val="bottom"/>
                  <w:hideMark/>
                </w:tcPr>
                <w:p w14:paraId="558C37BA"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38</w:t>
                  </w:r>
                </w:p>
              </w:tc>
              <w:tc>
                <w:tcPr>
                  <w:tcW w:w="580" w:type="dxa"/>
                  <w:tcBorders>
                    <w:top w:val="single" w:sz="8" w:space="0" w:color="ADD6EA"/>
                    <w:left w:val="nil"/>
                    <w:bottom w:val="nil"/>
                    <w:right w:val="nil"/>
                  </w:tcBorders>
                  <w:noWrap/>
                  <w:tcMar>
                    <w:top w:w="0" w:type="dxa"/>
                    <w:left w:w="28" w:type="dxa"/>
                    <w:bottom w:w="0" w:type="dxa"/>
                    <w:right w:w="28" w:type="dxa"/>
                  </w:tcMar>
                  <w:vAlign w:val="bottom"/>
                  <w:hideMark/>
                </w:tcPr>
                <w:p w14:paraId="7F42D047"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15</w:t>
                  </w:r>
                </w:p>
              </w:tc>
              <w:tc>
                <w:tcPr>
                  <w:tcW w:w="820" w:type="dxa"/>
                  <w:tcBorders>
                    <w:top w:val="single" w:sz="8" w:space="0" w:color="ADD6EA"/>
                    <w:left w:val="nil"/>
                    <w:bottom w:val="nil"/>
                    <w:right w:val="nil"/>
                  </w:tcBorders>
                  <w:noWrap/>
                  <w:tcMar>
                    <w:top w:w="0" w:type="dxa"/>
                    <w:left w:w="28" w:type="dxa"/>
                    <w:bottom w:w="0" w:type="dxa"/>
                    <w:right w:w="28" w:type="dxa"/>
                  </w:tcMar>
                  <w:vAlign w:val="bottom"/>
                  <w:hideMark/>
                </w:tcPr>
                <w:p w14:paraId="413D41B5"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317</w:t>
                  </w:r>
                </w:p>
              </w:tc>
            </w:tr>
            <w:tr w:rsidR="00915137" w:rsidRPr="00442A3B" w14:paraId="7EE37464" w14:textId="77777777" w:rsidTr="0099072C">
              <w:trPr>
                <w:trHeight w:val="315"/>
              </w:trPr>
              <w:tc>
                <w:tcPr>
                  <w:tcW w:w="2869" w:type="dxa"/>
                  <w:tcBorders>
                    <w:top w:val="single" w:sz="8" w:space="0" w:color="ADD6EA"/>
                    <w:left w:val="nil"/>
                    <w:bottom w:val="nil"/>
                    <w:right w:val="nil"/>
                  </w:tcBorders>
                  <w:tcMar>
                    <w:top w:w="0" w:type="dxa"/>
                    <w:left w:w="28" w:type="dxa"/>
                    <w:bottom w:w="0" w:type="dxa"/>
                    <w:right w:w="28" w:type="dxa"/>
                  </w:tcMar>
                  <w:vAlign w:val="bottom"/>
                  <w:hideMark/>
                </w:tcPr>
                <w:p w14:paraId="58E214D2" w14:textId="77777777" w:rsidR="00915137" w:rsidRPr="00442A3B" w:rsidRDefault="00915137" w:rsidP="00915137">
                  <w:pPr>
                    <w:keepNext/>
                    <w:keepLines/>
                    <w:pageBreakBefore/>
                    <w:tabs>
                      <w:tab w:val="clear" w:pos="567"/>
                    </w:tabs>
                    <w:spacing w:before="0" w:line="240" w:lineRule="auto"/>
                    <w:ind w:firstLine="57"/>
                    <w:rPr>
                      <w:rFonts w:eastAsia="Calibri" w:cs="Open Sans Light"/>
                      <w:sz w:val="16"/>
                      <w:szCs w:val="16"/>
                      <w:lang w:eastAsia="en-AU"/>
                    </w:rPr>
                  </w:pPr>
                  <w:r w:rsidRPr="00442A3B">
                    <w:rPr>
                      <w:rFonts w:eastAsia="Calibri" w:cs="Open Sans Light"/>
                      <w:color w:val="000000"/>
                      <w:sz w:val="16"/>
                      <w:szCs w:val="16"/>
                      <w:lang w:eastAsia="en-AU"/>
                    </w:rPr>
                    <w:t>Other expense effects (a)</w:t>
                  </w:r>
                </w:p>
              </w:tc>
              <w:tc>
                <w:tcPr>
                  <w:tcW w:w="451" w:type="dxa"/>
                  <w:tcBorders>
                    <w:top w:val="single" w:sz="8" w:space="0" w:color="ADD6EA"/>
                    <w:left w:val="nil"/>
                    <w:bottom w:val="nil"/>
                    <w:right w:val="nil"/>
                  </w:tcBorders>
                  <w:noWrap/>
                  <w:tcMar>
                    <w:top w:w="0" w:type="dxa"/>
                    <w:left w:w="28" w:type="dxa"/>
                    <w:bottom w:w="0" w:type="dxa"/>
                    <w:right w:w="28" w:type="dxa"/>
                  </w:tcMar>
                  <w:vAlign w:val="bottom"/>
                  <w:hideMark/>
                </w:tcPr>
                <w:p w14:paraId="7445A077"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143</w:t>
                  </w:r>
                </w:p>
              </w:tc>
              <w:tc>
                <w:tcPr>
                  <w:tcW w:w="580" w:type="dxa"/>
                  <w:tcBorders>
                    <w:top w:val="single" w:sz="8" w:space="0" w:color="ADD6EA"/>
                    <w:left w:val="nil"/>
                    <w:bottom w:val="nil"/>
                    <w:right w:val="nil"/>
                  </w:tcBorders>
                  <w:noWrap/>
                  <w:tcMar>
                    <w:top w:w="0" w:type="dxa"/>
                    <w:left w:w="28" w:type="dxa"/>
                    <w:bottom w:w="0" w:type="dxa"/>
                    <w:right w:w="28" w:type="dxa"/>
                  </w:tcMar>
                  <w:vAlign w:val="bottom"/>
                  <w:hideMark/>
                </w:tcPr>
                <w:p w14:paraId="2E29EFD1"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-221</w:t>
                  </w:r>
                </w:p>
              </w:tc>
              <w:tc>
                <w:tcPr>
                  <w:tcW w:w="640" w:type="dxa"/>
                  <w:tcBorders>
                    <w:top w:val="single" w:sz="8" w:space="0" w:color="ADD6EA"/>
                    <w:left w:val="nil"/>
                    <w:bottom w:val="nil"/>
                    <w:right w:val="nil"/>
                  </w:tcBorders>
                  <w:noWrap/>
                  <w:tcMar>
                    <w:top w:w="0" w:type="dxa"/>
                    <w:left w:w="28" w:type="dxa"/>
                    <w:bottom w:w="0" w:type="dxa"/>
                    <w:right w:w="28" w:type="dxa"/>
                  </w:tcMar>
                  <w:vAlign w:val="bottom"/>
                  <w:hideMark/>
                </w:tcPr>
                <w:p w14:paraId="19E1DEB3"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-36</w:t>
                  </w:r>
                </w:p>
              </w:tc>
              <w:tc>
                <w:tcPr>
                  <w:tcW w:w="620" w:type="dxa"/>
                  <w:tcBorders>
                    <w:top w:val="single" w:sz="8" w:space="0" w:color="ADD6EA"/>
                    <w:left w:val="nil"/>
                    <w:bottom w:val="nil"/>
                    <w:right w:val="nil"/>
                  </w:tcBorders>
                  <w:noWrap/>
                  <w:tcMar>
                    <w:top w:w="0" w:type="dxa"/>
                    <w:left w:w="28" w:type="dxa"/>
                    <w:bottom w:w="0" w:type="dxa"/>
                    <w:right w:w="28" w:type="dxa"/>
                  </w:tcMar>
                  <w:vAlign w:val="bottom"/>
                  <w:hideMark/>
                </w:tcPr>
                <w:p w14:paraId="09292E3B"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67</w:t>
                  </w:r>
                </w:p>
              </w:tc>
              <w:tc>
                <w:tcPr>
                  <w:tcW w:w="560" w:type="dxa"/>
                  <w:tcBorders>
                    <w:top w:val="single" w:sz="8" w:space="0" w:color="ADD6EA"/>
                    <w:left w:val="nil"/>
                    <w:bottom w:val="nil"/>
                    <w:right w:val="nil"/>
                  </w:tcBorders>
                  <w:noWrap/>
                  <w:tcMar>
                    <w:top w:w="0" w:type="dxa"/>
                    <w:left w:w="28" w:type="dxa"/>
                    <w:bottom w:w="0" w:type="dxa"/>
                    <w:right w:w="28" w:type="dxa"/>
                  </w:tcMar>
                  <w:vAlign w:val="bottom"/>
                  <w:hideMark/>
                </w:tcPr>
                <w:p w14:paraId="0BDF3F90"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-18</w:t>
                  </w:r>
                </w:p>
              </w:tc>
              <w:tc>
                <w:tcPr>
                  <w:tcW w:w="620" w:type="dxa"/>
                  <w:tcBorders>
                    <w:top w:val="single" w:sz="8" w:space="0" w:color="ADD6EA"/>
                    <w:left w:val="nil"/>
                    <w:bottom w:val="nil"/>
                    <w:right w:val="nil"/>
                  </w:tcBorders>
                  <w:noWrap/>
                  <w:tcMar>
                    <w:top w:w="0" w:type="dxa"/>
                    <w:left w:w="28" w:type="dxa"/>
                    <w:bottom w:w="0" w:type="dxa"/>
                    <w:right w:w="28" w:type="dxa"/>
                  </w:tcMar>
                  <w:vAlign w:val="bottom"/>
                  <w:hideMark/>
                </w:tcPr>
                <w:p w14:paraId="0E963EA6"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87</w:t>
                  </w:r>
                </w:p>
              </w:tc>
              <w:tc>
                <w:tcPr>
                  <w:tcW w:w="660" w:type="dxa"/>
                  <w:tcBorders>
                    <w:top w:val="single" w:sz="8" w:space="0" w:color="ADD6EA"/>
                    <w:left w:val="nil"/>
                    <w:bottom w:val="nil"/>
                    <w:right w:val="nil"/>
                  </w:tcBorders>
                  <w:noWrap/>
                  <w:tcMar>
                    <w:top w:w="0" w:type="dxa"/>
                    <w:left w:w="28" w:type="dxa"/>
                    <w:bottom w:w="0" w:type="dxa"/>
                    <w:right w:w="28" w:type="dxa"/>
                  </w:tcMar>
                  <w:vAlign w:val="bottom"/>
                  <w:hideMark/>
                </w:tcPr>
                <w:p w14:paraId="34EE16C9"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7</w:t>
                  </w:r>
                </w:p>
              </w:tc>
              <w:tc>
                <w:tcPr>
                  <w:tcW w:w="580" w:type="dxa"/>
                  <w:tcBorders>
                    <w:top w:val="single" w:sz="8" w:space="0" w:color="ADD6EA"/>
                    <w:left w:val="nil"/>
                    <w:bottom w:val="nil"/>
                    <w:right w:val="nil"/>
                  </w:tcBorders>
                  <w:noWrap/>
                  <w:tcMar>
                    <w:top w:w="0" w:type="dxa"/>
                    <w:left w:w="28" w:type="dxa"/>
                    <w:bottom w:w="0" w:type="dxa"/>
                    <w:right w:w="28" w:type="dxa"/>
                  </w:tcMar>
                  <w:vAlign w:val="bottom"/>
                  <w:hideMark/>
                </w:tcPr>
                <w:p w14:paraId="2CECE481"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-29</w:t>
                  </w:r>
                </w:p>
              </w:tc>
              <w:tc>
                <w:tcPr>
                  <w:tcW w:w="820" w:type="dxa"/>
                  <w:tcBorders>
                    <w:top w:val="single" w:sz="8" w:space="0" w:color="ADD6EA"/>
                    <w:left w:val="nil"/>
                    <w:bottom w:val="nil"/>
                    <w:right w:val="nil"/>
                  </w:tcBorders>
                  <w:noWrap/>
                  <w:tcMar>
                    <w:top w:w="0" w:type="dxa"/>
                    <w:left w:w="28" w:type="dxa"/>
                    <w:bottom w:w="0" w:type="dxa"/>
                    <w:right w:w="28" w:type="dxa"/>
                  </w:tcMar>
                  <w:vAlign w:val="bottom"/>
                  <w:hideMark/>
                </w:tcPr>
                <w:p w14:paraId="1706E748"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304</w:t>
                  </w:r>
                </w:p>
              </w:tc>
            </w:tr>
            <w:tr w:rsidR="00915137" w:rsidRPr="00442A3B" w14:paraId="7D51A9D9" w14:textId="77777777" w:rsidTr="0099072C">
              <w:trPr>
                <w:trHeight w:val="315"/>
              </w:trPr>
              <w:tc>
                <w:tcPr>
                  <w:tcW w:w="2869" w:type="dxa"/>
                  <w:tcBorders>
                    <w:top w:val="single" w:sz="8" w:space="0" w:color="ADD6EA"/>
                    <w:left w:val="nil"/>
                    <w:bottom w:val="single" w:sz="8" w:space="0" w:color="ADD6EA"/>
                    <w:right w:val="nil"/>
                  </w:tcBorders>
                  <w:shd w:val="clear" w:color="auto" w:fill="B6D5E4"/>
                  <w:tcMar>
                    <w:top w:w="0" w:type="dxa"/>
                    <w:left w:w="28" w:type="dxa"/>
                    <w:bottom w:w="0" w:type="dxa"/>
                    <w:right w:w="28" w:type="dxa"/>
                  </w:tcMar>
                  <w:vAlign w:val="bottom"/>
                  <w:hideMark/>
                </w:tcPr>
                <w:p w14:paraId="76F52C37" w14:textId="77777777" w:rsidR="00915137" w:rsidRPr="00442A3B" w:rsidRDefault="00915137" w:rsidP="00915137">
                  <w:pPr>
                    <w:keepNext/>
                    <w:keepLines/>
                    <w:pageBreakBefore/>
                    <w:tabs>
                      <w:tab w:val="clear" w:pos="567"/>
                      <w:tab w:val="left" w:pos="1134"/>
                      <w:tab w:val="left" w:pos="1420"/>
                    </w:tabs>
                    <w:spacing w:before="0" w:line="240" w:lineRule="auto"/>
                    <w:rPr>
                      <w:rFonts w:ascii="Open Sans Semibold" w:hAnsi="Open Sans Semibold"/>
                      <w:sz w:val="16"/>
                      <w:szCs w:val="20"/>
                      <w:lang w:eastAsia="en-AU"/>
                    </w:rPr>
                  </w:pPr>
                  <w:r w:rsidRPr="00442A3B">
                    <w:rPr>
                      <w:rFonts w:ascii="Open Sans Semibold" w:hAnsi="Open Sans Semibold"/>
                      <w:sz w:val="16"/>
                      <w:szCs w:val="20"/>
                      <w:lang w:eastAsia="en-AU"/>
                    </w:rPr>
                    <w:t>Total change in fiscal capacities</w:t>
                  </w:r>
                </w:p>
              </w:tc>
              <w:tc>
                <w:tcPr>
                  <w:tcW w:w="451" w:type="dxa"/>
                  <w:tcBorders>
                    <w:top w:val="single" w:sz="8" w:space="0" w:color="ADD6EA"/>
                    <w:left w:val="nil"/>
                    <w:bottom w:val="single" w:sz="8" w:space="0" w:color="ADD6EA"/>
                    <w:right w:val="nil"/>
                  </w:tcBorders>
                  <w:shd w:val="clear" w:color="auto" w:fill="B6D5E4"/>
                  <w:noWrap/>
                  <w:tcMar>
                    <w:top w:w="0" w:type="dxa"/>
                    <w:left w:w="28" w:type="dxa"/>
                    <w:bottom w:w="0" w:type="dxa"/>
                    <w:right w:w="28" w:type="dxa"/>
                  </w:tcMar>
                  <w:vAlign w:val="bottom"/>
                  <w:hideMark/>
                </w:tcPr>
                <w:p w14:paraId="36AE3EFB" w14:textId="77777777" w:rsidR="00915137" w:rsidRPr="00442A3B" w:rsidRDefault="00915137" w:rsidP="00915137">
                  <w:pPr>
                    <w:keepNext/>
                    <w:keepLines/>
                    <w:pageBreakBefore/>
                    <w:tabs>
                      <w:tab w:val="clear" w:pos="567"/>
                      <w:tab w:val="left" w:pos="1134"/>
                      <w:tab w:val="left" w:pos="1420"/>
                    </w:tabs>
                    <w:spacing w:before="0" w:line="240" w:lineRule="auto"/>
                    <w:jc w:val="right"/>
                    <w:rPr>
                      <w:rFonts w:ascii="Open Sans Semibold" w:hAnsi="Open Sans Semibold"/>
                      <w:sz w:val="16"/>
                      <w:szCs w:val="20"/>
                    </w:rPr>
                  </w:pPr>
                  <w:r w:rsidRPr="00442A3B">
                    <w:rPr>
                      <w:rFonts w:ascii="Open Sans Semibold" w:hAnsi="Open Sans Semibold"/>
                      <w:sz w:val="16"/>
                      <w:szCs w:val="20"/>
                    </w:rPr>
                    <w:t>978</w:t>
                  </w:r>
                </w:p>
              </w:tc>
              <w:tc>
                <w:tcPr>
                  <w:tcW w:w="580" w:type="dxa"/>
                  <w:tcBorders>
                    <w:top w:val="single" w:sz="8" w:space="0" w:color="ADD6EA"/>
                    <w:left w:val="nil"/>
                    <w:bottom w:val="single" w:sz="8" w:space="0" w:color="ADD6EA"/>
                    <w:right w:val="nil"/>
                  </w:tcBorders>
                  <w:shd w:val="clear" w:color="auto" w:fill="B6D5E4"/>
                  <w:noWrap/>
                  <w:tcMar>
                    <w:top w:w="0" w:type="dxa"/>
                    <w:left w:w="28" w:type="dxa"/>
                    <w:bottom w:w="0" w:type="dxa"/>
                    <w:right w:w="28" w:type="dxa"/>
                  </w:tcMar>
                  <w:vAlign w:val="bottom"/>
                  <w:hideMark/>
                </w:tcPr>
                <w:p w14:paraId="55B2E68B" w14:textId="77777777" w:rsidR="00915137" w:rsidRPr="00442A3B" w:rsidRDefault="00915137" w:rsidP="00915137">
                  <w:pPr>
                    <w:keepNext/>
                    <w:keepLines/>
                    <w:pageBreakBefore/>
                    <w:tabs>
                      <w:tab w:val="clear" w:pos="567"/>
                      <w:tab w:val="left" w:pos="1134"/>
                      <w:tab w:val="left" w:pos="1420"/>
                    </w:tabs>
                    <w:spacing w:before="0" w:line="240" w:lineRule="auto"/>
                    <w:jc w:val="right"/>
                    <w:rPr>
                      <w:rFonts w:ascii="Open Sans Semibold" w:hAnsi="Open Sans Semibold"/>
                      <w:sz w:val="16"/>
                      <w:szCs w:val="20"/>
                      <w:lang w:eastAsia="en-AU"/>
                    </w:rPr>
                  </w:pPr>
                  <w:r w:rsidRPr="00442A3B">
                    <w:rPr>
                      <w:rFonts w:ascii="Open Sans Semibold" w:hAnsi="Open Sans Semibold"/>
                      <w:sz w:val="16"/>
                      <w:szCs w:val="20"/>
                      <w:lang w:eastAsia="en-AU"/>
                    </w:rPr>
                    <w:t>-507</w:t>
                  </w:r>
                </w:p>
              </w:tc>
              <w:tc>
                <w:tcPr>
                  <w:tcW w:w="640" w:type="dxa"/>
                  <w:tcBorders>
                    <w:top w:val="single" w:sz="8" w:space="0" w:color="ADD6EA"/>
                    <w:left w:val="nil"/>
                    <w:bottom w:val="single" w:sz="8" w:space="0" w:color="ADD6EA"/>
                    <w:right w:val="nil"/>
                  </w:tcBorders>
                  <w:shd w:val="clear" w:color="auto" w:fill="B6D5E4"/>
                  <w:noWrap/>
                  <w:tcMar>
                    <w:top w:w="0" w:type="dxa"/>
                    <w:left w:w="28" w:type="dxa"/>
                    <w:bottom w:w="0" w:type="dxa"/>
                    <w:right w:w="28" w:type="dxa"/>
                  </w:tcMar>
                  <w:vAlign w:val="bottom"/>
                  <w:hideMark/>
                </w:tcPr>
                <w:p w14:paraId="4B4347A6" w14:textId="77777777" w:rsidR="00915137" w:rsidRPr="00442A3B" w:rsidRDefault="00915137" w:rsidP="00915137">
                  <w:pPr>
                    <w:keepNext/>
                    <w:keepLines/>
                    <w:pageBreakBefore/>
                    <w:tabs>
                      <w:tab w:val="clear" w:pos="567"/>
                      <w:tab w:val="left" w:pos="1134"/>
                      <w:tab w:val="left" w:pos="1420"/>
                    </w:tabs>
                    <w:spacing w:before="0" w:line="240" w:lineRule="auto"/>
                    <w:jc w:val="right"/>
                    <w:rPr>
                      <w:rFonts w:ascii="Open Sans Semibold" w:hAnsi="Open Sans Semibold"/>
                      <w:sz w:val="16"/>
                      <w:szCs w:val="20"/>
                      <w:lang w:eastAsia="en-AU"/>
                    </w:rPr>
                  </w:pPr>
                  <w:r w:rsidRPr="00442A3B">
                    <w:rPr>
                      <w:rFonts w:ascii="Open Sans Semibold" w:hAnsi="Open Sans Semibold"/>
                      <w:sz w:val="16"/>
                      <w:szCs w:val="20"/>
                      <w:lang w:eastAsia="en-AU"/>
                    </w:rPr>
                    <w:t>243</w:t>
                  </w:r>
                </w:p>
              </w:tc>
              <w:tc>
                <w:tcPr>
                  <w:tcW w:w="620" w:type="dxa"/>
                  <w:tcBorders>
                    <w:top w:val="single" w:sz="8" w:space="0" w:color="ADD6EA"/>
                    <w:left w:val="nil"/>
                    <w:bottom w:val="single" w:sz="8" w:space="0" w:color="ADD6EA"/>
                    <w:right w:val="nil"/>
                  </w:tcBorders>
                  <w:shd w:val="clear" w:color="auto" w:fill="B6D5E4"/>
                  <w:noWrap/>
                  <w:tcMar>
                    <w:top w:w="0" w:type="dxa"/>
                    <w:left w:w="28" w:type="dxa"/>
                    <w:bottom w:w="0" w:type="dxa"/>
                    <w:right w:w="28" w:type="dxa"/>
                  </w:tcMar>
                  <w:vAlign w:val="bottom"/>
                  <w:hideMark/>
                </w:tcPr>
                <w:p w14:paraId="6F208D62" w14:textId="77777777" w:rsidR="00915137" w:rsidRPr="00442A3B" w:rsidRDefault="00915137" w:rsidP="00915137">
                  <w:pPr>
                    <w:keepNext/>
                    <w:keepLines/>
                    <w:pageBreakBefore/>
                    <w:tabs>
                      <w:tab w:val="clear" w:pos="567"/>
                      <w:tab w:val="left" w:pos="1134"/>
                      <w:tab w:val="left" w:pos="1420"/>
                    </w:tabs>
                    <w:spacing w:before="0" w:line="240" w:lineRule="auto"/>
                    <w:jc w:val="right"/>
                    <w:rPr>
                      <w:rFonts w:ascii="Open Sans Semibold" w:hAnsi="Open Sans Semibold"/>
                      <w:sz w:val="16"/>
                      <w:szCs w:val="20"/>
                      <w:lang w:eastAsia="en-AU"/>
                    </w:rPr>
                  </w:pPr>
                  <w:r w:rsidRPr="00442A3B">
                    <w:rPr>
                      <w:rFonts w:ascii="Open Sans Semibold" w:hAnsi="Open Sans Semibold"/>
                      <w:sz w:val="16"/>
                      <w:szCs w:val="20"/>
                      <w:lang w:eastAsia="en-AU"/>
                    </w:rPr>
                    <w:t>-846</w:t>
                  </w:r>
                </w:p>
              </w:tc>
              <w:tc>
                <w:tcPr>
                  <w:tcW w:w="560" w:type="dxa"/>
                  <w:tcBorders>
                    <w:top w:val="single" w:sz="8" w:space="0" w:color="ADD6EA"/>
                    <w:left w:val="nil"/>
                    <w:bottom w:val="single" w:sz="8" w:space="0" w:color="ADD6EA"/>
                    <w:right w:val="nil"/>
                  </w:tcBorders>
                  <w:shd w:val="clear" w:color="auto" w:fill="B6D5E4"/>
                  <w:noWrap/>
                  <w:tcMar>
                    <w:top w:w="0" w:type="dxa"/>
                    <w:left w:w="28" w:type="dxa"/>
                    <w:bottom w:w="0" w:type="dxa"/>
                    <w:right w:w="28" w:type="dxa"/>
                  </w:tcMar>
                  <w:vAlign w:val="bottom"/>
                  <w:hideMark/>
                </w:tcPr>
                <w:p w14:paraId="4EDCDFE3" w14:textId="77777777" w:rsidR="00915137" w:rsidRPr="00442A3B" w:rsidRDefault="00915137" w:rsidP="00915137">
                  <w:pPr>
                    <w:keepNext/>
                    <w:keepLines/>
                    <w:pageBreakBefore/>
                    <w:tabs>
                      <w:tab w:val="clear" w:pos="567"/>
                      <w:tab w:val="left" w:pos="1134"/>
                      <w:tab w:val="left" w:pos="1420"/>
                    </w:tabs>
                    <w:spacing w:before="0" w:line="240" w:lineRule="auto"/>
                    <w:jc w:val="right"/>
                    <w:rPr>
                      <w:rFonts w:ascii="Open Sans Semibold" w:hAnsi="Open Sans Semibold"/>
                      <w:sz w:val="16"/>
                      <w:szCs w:val="20"/>
                      <w:lang w:eastAsia="en-AU"/>
                    </w:rPr>
                  </w:pPr>
                  <w:r w:rsidRPr="00442A3B">
                    <w:rPr>
                      <w:rFonts w:ascii="Open Sans Semibold" w:hAnsi="Open Sans Semibold"/>
                      <w:sz w:val="16"/>
                      <w:szCs w:val="20"/>
                      <w:lang w:eastAsia="en-AU"/>
                    </w:rPr>
                    <w:t>-13</w:t>
                  </w:r>
                </w:p>
              </w:tc>
              <w:tc>
                <w:tcPr>
                  <w:tcW w:w="620" w:type="dxa"/>
                  <w:tcBorders>
                    <w:top w:val="single" w:sz="8" w:space="0" w:color="ADD6EA"/>
                    <w:left w:val="nil"/>
                    <w:bottom w:val="single" w:sz="8" w:space="0" w:color="ADD6EA"/>
                    <w:right w:val="nil"/>
                  </w:tcBorders>
                  <w:shd w:val="clear" w:color="auto" w:fill="B6D5E4"/>
                  <w:noWrap/>
                  <w:tcMar>
                    <w:top w:w="0" w:type="dxa"/>
                    <w:left w:w="28" w:type="dxa"/>
                    <w:bottom w:w="0" w:type="dxa"/>
                    <w:right w:w="28" w:type="dxa"/>
                  </w:tcMar>
                  <w:vAlign w:val="bottom"/>
                  <w:hideMark/>
                </w:tcPr>
                <w:p w14:paraId="0A85E7E7" w14:textId="77777777" w:rsidR="00915137" w:rsidRPr="00442A3B" w:rsidRDefault="00915137" w:rsidP="00915137">
                  <w:pPr>
                    <w:keepNext/>
                    <w:keepLines/>
                    <w:pageBreakBefore/>
                    <w:tabs>
                      <w:tab w:val="clear" w:pos="567"/>
                      <w:tab w:val="left" w:pos="1134"/>
                      <w:tab w:val="left" w:pos="1420"/>
                    </w:tabs>
                    <w:spacing w:before="0" w:line="240" w:lineRule="auto"/>
                    <w:jc w:val="right"/>
                    <w:rPr>
                      <w:rFonts w:ascii="Open Sans Semibold" w:hAnsi="Open Sans Semibold"/>
                      <w:sz w:val="16"/>
                      <w:szCs w:val="20"/>
                      <w:lang w:eastAsia="en-AU"/>
                    </w:rPr>
                  </w:pPr>
                  <w:r w:rsidRPr="00442A3B">
                    <w:rPr>
                      <w:rFonts w:ascii="Open Sans Semibold" w:hAnsi="Open Sans Semibold"/>
                      <w:sz w:val="16"/>
                      <w:szCs w:val="20"/>
                      <w:lang w:eastAsia="en-AU"/>
                    </w:rPr>
                    <w:t>100</w:t>
                  </w:r>
                </w:p>
              </w:tc>
              <w:tc>
                <w:tcPr>
                  <w:tcW w:w="660" w:type="dxa"/>
                  <w:tcBorders>
                    <w:top w:val="single" w:sz="8" w:space="0" w:color="ADD6EA"/>
                    <w:left w:val="nil"/>
                    <w:bottom w:val="single" w:sz="8" w:space="0" w:color="ADD6EA"/>
                    <w:right w:val="nil"/>
                  </w:tcBorders>
                  <w:shd w:val="clear" w:color="auto" w:fill="B6D5E4"/>
                  <w:noWrap/>
                  <w:tcMar>
                    <w:top w:w="0" w:type="dxa"/>
                    <w:left w:w="28" w:type="dxa"/>
                    <w:bottom w:w="0" w:type="dxa"/>
                    <w:right w:w="28" w:type="dxa"/>
                  </w:tcMar>
                  <w:vAlign w:val="bottom"/>
                  <w:hideMark/>
                </w:tcPr>
                <w:p w14:paraId="4E1E33A0" w14:textId="77777777" w:rsidR="00915137" w:rsidRPr="00442A3B" w:rsidRDefault="00915137" w:rsidP="00915137">
                  <w:pPr>
                    <w:keepNext/>
                    <w:keepLines/>
                    <w:pageBreakBefore/>
                    <w:tabs>
                      <w:tab w:val="clear" w:pos="567"/>
                      <w:tab w:val="left" w:pos="1134"/>
                      <w:tab w:val="left" w:pos="1420"/>
                    </w:tabs>
                    <w:spacing w:before="0" w:line="240" w:lineRule="auto"/>
                    <w:jc w:val="right"/>
                    <w:rPr>
                      <w:rFonts w:ascii="Open Sans Semibold" w:hAnsi="Open Sans Semibold"/>
                      <w:sz w:val="16"/>
                      <w:szCs w:val="20"/>
                      <w:lang w:eastAsia="en-AU"/>
                    </w:rPr>
                  </w:pPr>
                  <w:r w:rsidRPr="00442A3B">
                    <w:rPr>
                      <w:rFonts w:ascii="Open Sans Semibold" w:hAnsi="Open Sans Semibold"/>
                      <w:sz w:val="16"/>
                      <w:szCs w:val="20"/>
                      <w:lang w:eastAsia="en-AU"/>
                    </w:rPr>
                    <w:t>22</w:t>
                  </w:r>
                </w:p>
              </w:tc>
              <w:tc>
                <w:tcPr>
                  <w:tcW w:w="580" w:type="dxa"/>
                  <w:tcBorders>
                    <w:top w:val="single" w:sz="8" w:space="0" w:color="ADD6EA"/>
                    <w:left w:val="nil"/>
                    <w:bottom w:val="single" w:sz="8" w:space="0" w:color="ADD6EA"/>
                    <w:right w:val="nil"/>
                  </w:tcBorders>
                  <w:shd w:val="clear" w:color="auto" w:fill="B6D5E4"/>
                  <w:noWrap/>
                  <w:tcMar>
                    <w:top w:w="0" w:type="dxa"/>
                    <w:left w:w="28" w:type="dxa"/>
                    <w:bottom w:w="0" w:type="dxa"/>
                    <w:right w:w="28" w:type="dxa"/>
                  </w:tcMar>
                  <w:vAlign w:val="bottom"/>
                  <w:hideMark/>
                </w:tcPr>
                <w:p w14:paraId="77AF6F7E" w14:textId="77777777" w:rsidR="00915137" w:rsidRPr="00442A3B" w:rsidRDefault="00915137" w:rsidP="00915137">
                  <w:pPr>
                    <w:keepNext/>
                    <w:keepLines/>
                    <w:pageBreakBefore/>
                    <w:tabs>
                      <w:tab w:val="clear" w:pos="567"/>
                      <w:tab w:val="left" w:pos="1134"/>
                      <w:tab w:val="left" w:pos="1420"/>
                    </w:tabs>
                    <w:spacing w:before="0" w:line="240" w:lineRule="auto"/>
                    <w:jc w:val="right"/>
                    <w:rPr>
                      <w:rFonts w:ascii="Open Sans Semibold" w:hAnsi="Open Sans Semibold"/>
                      <w:sz w:val="16"/>
                      <w:szCs w:val="20"/>
                      <w:lang w:eastAsia="en-AU"/>
                    </w:rPr>
                  </w:pPr>
                  <w:r w:rsidRPr="00442A3B">
                    <w:rPr>
                      <w:rFonts w:ascii="Open Sans Semibold" w:hAnsi="Open Sans Semibold"/>
                      <w:sz w:val="16"/>
                      <w:szCs w:val="20"/>
                      <w:lang w:eastAsia="en-AU"/>
                    </w:rPr>
                    <w:t>23</w:t>
                  </w:r>
                </w:p>
              </w:tc>
              <w:tc>
                <w:tcPr>
                  <w:tcW w:w="820" w:type="dxa"/>
                  <w:tcBorders>
                    <w:top w:val="single" w:sz="8" w:space="0" w:color="ADD6EA"/>
                    <w:left w:val="nil"/>
                    <w:bottom w:val="single" w:sz="8" w:space="0" w:color="ADD6EA"/>
                    <w:right w:val="nil"/>
                  </w:tcBorders>
                  <w:shd w:val="clear" w:color="auto" w:fill="B6D5E4"/>
                  <w:noWrap/>
                  <w:tcMar>
                    <w:top w:w="0" w:type="dxa"/>
                    <w:left w:w="28" w:type="dxa"/>
                    <w:bottom w:w="0" w:type="dxa"/>
                    <w:right w:w="28" w:type="dxa"/>
                  </w:tcMar>
                  <w:vAlign w:val="bottom"/>
                  <w:hideMark/>
                </w:tcPr>
                <w:p w14:paraId="205523F8" w14:textId="77777777" w:rsidR="00915137" w:rsidRPr="00442A3B" w:rsidRDefault="00915137" w:rsidP="00915137">
                  <w:pPr>
                    <w:keepNext/>
                    <w:keepLines/>
                    <w:pageBreakBefore/>
                    <w:tabs>
                      <w:tab w:val="clear" w:pos="567"/>
                      <w:tab w:val="left" w:pos="1134"/>
                      <w:tab w:val="left" w:pos="1420"/>
                    </w:tabs>
                    <w:spacing w:before="0" w:line="240" w:lineRule="auto"/>
                    <w:jc w:val="right"/>
                    <w:rPr>
                      <w:rFonts w:ascii="Open Sans Semibold" w:hAnsi="Open Sans Semibold"/>
                      <w:sz w:val="16"/>
                      <w:szCs w:val="20"/>
                      <w:lang w:eastAsia="en-AU"/>
                    </w:rPr>
                  </w:pPr>
                  <w:r w:rsidRPr="00442A3B">
                    <w:rPr>
                      <w:rFonts w:ascii="Open Sans Semibold" w:hAnsi="Open Sans Semibold"/>
                      <w:sz w:val="16"/>
                      <w:szCs w:val="20"/>
                      <w:lang w:eastAsia="en-AU"/>
                    </w:rPr>
                    <w:t>1,366</w:t>
                  </w:r>
                </w:p>
              </w:tc>
            </w:tr>
            <w:tr w:rsidR="00915137" w:rsidRPr="00442A3B" w14:paraId="6942CB60" w14:textId="77777777" w:rsidTr="0099072C">
              <w:trPr>
                <w:trHeight w:val="315"/>
              </w:trPr>
              <w:tc>
                <w:tcPr>
                  <w:tcW w:w="2869" w:type="dxa"/>
                  <w:tcMar>
                    <w:top w:w="0" w:type="dxa"/>
                    <w:left w:w="28" w:type="dxa"/>
                    <w:bottom w:w="0" w:type="dxa"/>
                    <w:right w:w="28" w:type="dxa"/>
                  </w:tcMar>
                  <w:vAlign w:val="bottom"/>
                  <w:hideMark/>
                </w:tcPr>
                <w:p w14:paraId="40EDD1FC" w14:textId="77777777" w:rsidR="00915137" w:rsidRPr="00442A3B" w:rsidRDefault="00915137" w:rsidP="00915137">
                  <w:pPr>
                    <w:keepNext/>
                    <w:keepLines/>
                    <w:pageBreakBefore/>
                    <w:tabs>
                      <w:tab w:val="clear" w:pos="567"/>
                    </w:tabs>
                    <w:spacing w:before="0" w:line="240" w:lineRule="auto"/>
                    <w:rPr>
                      <w:rFonts w:eastAsia="Calibri" w:cs="Open Sans Light"/>
                      <w:sz w:val="16"/>
                      <w:szCs w:val="16"/>
                      <w:lang w:eastAsia="en-AU"/>
                    </w:rPr>
                  </w:pPr>
                  <w:r w:rsidRPr="00442A3B">
                    <w:rPr>
                      <w:rFonts w:eastAsia="Calibri" w:cs="Open Sans Light"/>
                      <w:color w:val="000000"/>
                      <w:sz w:val="16"/>
                      <w:szCs w:val="16"/>
                      <w:lang w:eastAsia="en-AU"/>
                    </w:rPr>
                    <w:t>New arrangements</w:t>
                  </w:r>
                </w:p>
              </w:tc>
              <w:tc>
                <w:tcPr>
                  <w:tcW w:w="451" w:type="dxa"/>
                  <w:noWrap/>
                  <w:tcMar>
                    <w:top w:w="0" w:type="dxa"/>
                    <w:left w:w="28" w:type="dxa"/>
                    <w:bottom w:w="0" w:type="dxa"/>
                    <w:right w:w="28" w:type="dxa"/>
                  </w:tcMar>
                  <w:vAlign w:val="bottom"/>
                  <w:hideMark/>
                </w:tcPr>
                <w:p w14:paraId="7E9D769A"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-218</w:t>
                  </w:r>
                </w:p>
              </w:tc>
              <w:tc>
                <w:tcPr>
                  <w:tcW w:w="580" w:type="dxa"/>
                  <w:noWrap/>
                  <w:tcMar>
                    <w:top w:w="0" w:type="dxa"/>
                    <w:left w:w="28" w:type="dxa"/>
                    <w:bottom w:w="0" w:type="dxa"/>
                    <w:right w:w="28" w:type="dxa"/>
                  </w:tcMar>
                  <w:vAlign w:val="bottom"/>
                  <w:hideMark/>
                </w:tcPr>
                <w:p w14:paraId="79DBEBC7"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-179</w:t>
                  </w:r>
                </w:p>
              </w:tc>
              <w:tc>
                <w:tcPr>
                  <w:tcW w:w="640" w:type="dxa"/>
                  <w:noWrap/>
                  <w:tcMar>
                    <w:top w:w="0" w:type="dxa"/>
                    <w:left w:w="28" w:type="dxa"/>
                    <w:bottom w:w="0" w:type="dxa"/>
                    <w:right w:w="28" w:type="dxa"/>
                  </w:tcMar>
                  <w:vAlign w:val="bottom"/>
                  <w:hideMark/>
                </w:tcPr>
                <w:p w14:paraId="04F1189F"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-142</w:t>
                  </w:r>
                </w:p>
              </w:tc>
              <w:tc>
                <w:tcPr>
                  <w:tcW w:w="620" w:type="dxa"/>
                  <w:noWrap/>
                  <w:tcMar>
                    <w:top w:w="0" w:type="dxa"/>
                    <w:left w:w="28" w:type="dxa"/>
                    <w:bottom w:w="0" w:type="dxa"/>
                    <w:right w:w="28" w:type="dxa"/>
                  </w:tcMar>
                  <w:vAlign w:val="bottom"/>
                  <w:hideMark/>
                </w:tcPr>
                <w:p w14:paraId="304A51D2"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629</w:t>
                  </w:r>
                </w:p>
              </w:tc>
              <w:tc>
                <w:tcPr>
                  <w:tcW w:w="560" w:type="dxa"/>
                  <w:noWrap/>
                  <w:tcMar>
                    <w:top w:w="0" w:type="dxa"/>
                    <w:left w:w="28" w:type="dxa"/>
                    <w:bottom w:w="0" w:type="dxa"/>
                    <w:right w:w="28" w:type="dxa"/>
                  </w:tcMar>
                  <w:vAlign w:val="bottom"/>
                  <w:hideMark/>
                </w:tcPr>
                <w:p w14:paraId="2E31B8C3"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-51</w:t>
                  </w:r>
                </w:p>
              </w:tc>
              <w:tc>
                <w:tcPr>
                  <w:tcW w:w="620" w:type="dxa"/>
                  <w:noWrap/>
                  <w:tcMar>
                    <w:top w:w="0" w:type="dxa"/>
                    <w:left w:w="28" w:type="dxa"/>
                    <w:bottom w:w="0" w:type="dxa"/>
                    <w:right w:w="28" w:type="dxa"/>
                  </w:tcMar>
                  <w:vAlign w:val="bottom"/>
                  <w:hideMark/>
                </w:tcPr>
                <w:p w14:paraId="4489D1A7"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-17</w:t>
                  </w:r>
                </w:p>
              </w:tc>
              <w:tc>
                <w:tcPr>
                  <w:tcW w:w="660" w:type="dxa"/>
                  <w:noWrap/>
                  <w:tcMar>
                    <w:top w:w="0" w:type="dxa"/>
                    <w:left w:w="28" w:type="dxa"/>
                    <w:bottom w:w="0" w:type="dxa"/>
                    <w:right w:w="28" w:type="dxa"/>
                  </w:tcMar>
                  <w:vAlign w:val="bottom"/>
                  <w:hideMark/>
                </w:tcPr>
                <w:p w14:paraId="763CD213"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-12</w:t>
                  </w:r>
                </w:p>
              </w:tc>
              <w:tc>
                <w:tcPr>
                  <w:tcW w:w="580" w:type="dxa"/>
                  <w:noWrap/>
                  <w:tcMar>
                    <w:top w:w="0" w:type="dxa"/>
                    <w:left w:w="28" w:type="dxa"/>
                    <w:bottom w:w="0" w:type="dxa"/>
                    <w:right w:w="28" w:type="dxa"/>
                  </w:tcMar>
                  <w:vAlign w:val="bottom"/>
                  <w:hideMark/>
                </w:tcPr>
                <w:p w14:paraId="16541E03"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-11</w:t>
                  </w:r>
                </w:p>
              </w:tc>
              <w:tc>
                <w:tcPr>
                  <w:tcW w:w="820" w:type="dxa"/>
                  <w:noWrap/>
                  <w:tcMar>
                    <w:top w:w="0" w:type="dxa"/>
                    <w:left w:w="28" w:type="dxa"/>
                    <w:bottom w:w="0" w:type="dxa"/>
                    <w:right w:w="28" w:type="dxa"/>
                  </w:tcMar>
                  <w:vAlign w:val="bottom"/>
                  <w:hideMark/>
                </w:tcPr>
                <w:p w14:paraId="34101D5A"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629</w:t>
                  </w:r>
                </w:p>
              </w:tc>
            </w:tr>
            <w:tr w:rsidR="00915137" w:rsidRPr="00442A3B" w14:paraId="268A219F" w14:textId="77777777" w:rsidTr="0099072C">
              <w:trPr>
                <w:trHeight w:val="315"/>
              </w:trPr>
              <w:tc>
                <w:tcPr>
                  <w:tcW w:w="2869" w:type="dxa"/>
                  <w:tcMar>
                    <w:top w:w="0" w:type="dxa"/>
                    <w:left w:w="28" w:type="dxa"/>
                    <w:bottom w:w="0" w:type="dxa"/>
                    <w:right w:w="28" w:type="dxa"/>
                  </w:tcMar>
                  <w:vAlign w:val="bottom"/>
                  <w:hideMark/>
                </w:tcPr>
                <w:p w14:paraId="42811F3B" w14:textId="77777777" w:rsidR="00915137" w:rsidRPr="00442A3B" w:rsidRDefault="00915137" w:rsidP="00915137">
                  <w:pPr>
                    <w:keepNext/>
                    <w:keepLines/>
                    <w:pageBreakBefore/>
                    <w:tabs>
                      <w:tab w:val="clear" w:pos="567"/>
                    </w:tabs>
                    <w:spacing w:before="0" w:line="240" w:lineRule="auto"/>
                    <w:rPr>
                      <w:rFonts w:eastAsia="Calibri" w:cs="Open Sans Light"/>
                      <w:sz w:val="16"/>
                      <w:szCs w:val="16"/>
                      <w:lang w:eastAsia="en-AU"/>
                    </w:rPr>
                  </w:pPr>
                  <w:r w:rsidRPr="00442A3B">
                    <w:rPr>
                      <w:rFonts w:eastAsia="Calibri" w:cs="Open Sans Light"/>
                      <w:color w:val="000000"/>
                      <w:sz w:val="16"/>
                      <w:szCs w:val="16"/>
                      <w:lang w:eastAsia="en-AU"/>
                    </w:rPr>
                    <w:t>Change in pool and population</w:t>
                  </w:r>
                </w:p>
              </w:tc>
              <w:tc>
                <w:tcPr>
                  <w:tcW w:w="451" w:type="dxa"/>
                  <w:noWrap/>
                  <w:tcMar>
                    <w:top w:w="0" w:type="dxa"/>
                    <w:left w:w="28" w:type="dxa"/>
                    <w:bottom w:w="0" w:type="dxa"/>
                    <w:right w:w="28" w:type="dxa"/>
                  </w:tcMar>
                  <w:vAlign w:val="bottom"/>
                  <w:hideMark/>
                </w:tcPr>
                <w:p w14:paraId="6E97EFD9"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1,134</w:t>
                  </w:r>
                </w:p>
              </w:tc>
              <w:tc>
                <w:tcPr>
                  <w:tcW w:w="580" w:type="dxa"/>
                  <w:noWrap/>
                  <w:tcMar>
                    <w:top w:w="0" w:type="dxa"/>
                    <w:left w:w="28" w:type="dxa"/>
                    <w:bottom w:w="0" w:type="dxa"/>
                    <w:right w:w="28" w:type="dxa"/>
                  </w:tcMar>
                  <w:vAlign w:val="bottom"/>
                  <w:hideMark/>
                </w:tcPr>
                <w:p w14:paraId="55D95ABB"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1,029</w:t>
                  </w:r>
                </w:p>
              </w:tc>
              <w:tc>
                <w:tcPr>
                  <w:tcW w:w="640" w:type="dxa"/>
                  <w:noWrap/>
                  <w:tcMar>
                    <w:top w:w="0" w:type="dxa"/>
                    <w:left w:w="28" w:type="dxa"/>
                    <w:bottom w:w="0" w:type="dxa"/>
                    <w:right w:w="28" w:type="dxa"/>
                  </w:tcMar>
                  <w:vAlign w:val="bottom"/>
                  <w:hideMark/>
                </w:tcPr>
                <w:p w14:paraId="0E7A9E5D"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922</w:t>
                  </w:r>
                </w:p>
              </w:tc>
              <w:tc>
                <w:tcPr>
                  <w:tcW w:w="620" w:type="dxa"/>
                  <w:noWrap/>
                  <w:tcMar>
                    <w:top w:w="0" w:type="dxa"/>
                    <w:left w:w="28" w:type="dxa"/>
                    <w:bottom w:w="0" w:type="dxa"/>
                    <w:right w:w="28" w:type="dxa"/>
                  </w:tcMar>
                  <w:vAlign w:val="bottom"/>
                  <w:hideMark/>
                </w:tcPr>
                <w:p w14:paraId="111A14E1"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194</w:t>
                  </w:r>
                </w:p>
              </w:tc>
              <w:tc>
                <w:tcPr>
                  <w:tcW w:w="560" w:type="dxa"/>
                  <w:noWrap/>
                  <w:tcMar>
                    <w:top w:w="0" w:type="dxa"/>
                    <w:left w:w="28" w:type="dxa"/>
                    <w:bottom w:w="0" w:type="dxa"/>
                    <w:right w:w="28" w:type="dxa"/>
                  </w:tcMar>
                  <w:vAlign w:val="bottom"/>
                  <w:hideMark/>
                </w:tcPr>
                <w:p w14:paraId="309FACF8"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365</w:t>
                  </w:r>
                </w:p>
              </w:tc>
              <w:tc>
                <w:tcPr>
                  <w:tcW w:w="620" w:type="dxa"/>
                  <w:noWrap/>
                  <w:tcMar>
                    <w:top w:w="0" w:type="dxa"/>
                    <w:left w:w="28" w:type="dxa"/>
                    <w:bottom w:w="0" w:type="dxa"/>
                    <w:right w:w="28" w:type="dxa"/>
                  </w:tcMar>
                  <w:vAlign w:val="bottom"/>
                  <w:hideMark/>
                </w:tcPr>
                <w:p w14:paraId="78BB6687"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170</w:t>
                  </w:r>
                </w:p>
              </w:tc>
              <w:tc>
                <w:tcPr>
                  <w:tcW w:w="660" w:type="dxa"/>
                  <w:noWrap/>
                  <w:tcMar>
                    <w:top w:w="0" w:type="dxa"/>
                    <w:left w:w="28" w:type="dxa"/>
                    <w:bottom w:w="0" w:type="dxa"/>
                    <w:right w:w="28" w:type="dxa"/>
                  </w:tcMar>
                  <w:vAlign w:val="bottom"/>
                  <w:hideMark/>
                </w:tcPr>
                <w:p w14:paraId="48595156"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79</w:t>
                  </w:r>
                </w:p>
              </w:tc>
              <w:tc>
                <w:tcPr>
                  <w:tcW w:w="580" w:type="dxa"/>
                  <w:noWrap/>
                  <w:tcMar>
                    <w:top w:w="0" w:type="dxa"/>
                    <w:left w:w="28" w:type="dxa"/>
                    <w:bottom w:w="0" w:type="dxa"/>
                    <w:right w:w="28" w:type="dxa"/>
                  </w:tcMar>
                  <w:vAlign w:val="bottom"/>
                  <w:hideMark/>
                </w:tcPr>
                <w:p w14:paraId="259239AB"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138</w:t>
                  </w:r>
                </w:p>
              </w:tc>
              <w:tc>
                <w:tcPr>
                  <w:tcW w:w="820" w:type="dxa"/>
                  <w:noWrap/>
                  <w:tcMar>
                    <w:top w:w="0" w:type="dxa"/>
                    <w:left w:w="28" w:type="dxa"/>
                    <w:bottom w:w="0" w:type="dxa"/>
                    <w:right w:w="28" w:type="dxa"/>
                  </w:tcMar>
                  <w:vAlign w:val="bottom"/>
                  <w:hideMark/>
                </w:tcPr>
                <w:p w14:paraId="75BB1E66" w14:textId="77777777" w:rsidR="00915137" w:rsidRPr="00442A3B" w:rsidRDefault="00915137" w:rsidP="00915137">
                  <w:pPr>
                    <w:keepNext/>
                    <w:keepLines/>
                    <w:pageBreakBefore/>
                    <w:tabs>
                      <w:tab w:val="clear" w:pos="567"/>
                    </w:tabs>
                    <w:spacing w:before="0" w:line="240" w:lineRule="auto"/>
                    <w:jc w:val="right"/>
                    <w:rPr>
                      <w:rFonts w:eastAsia="Calibri" w:cs="Open Sans Light"/>
                      <w:sz w:val="16"/>
                      <w:szCs w:val="16"/>
                      <w:lang w:eastAsia="en-AU"/>
                    </w:rPr>
                  </w:pPr>
                  <w:r w:rsidRPr="00442A3B">
                    <w:rPr>
                      <w:rFonts w:eastAsia="Calibri" w:cs="Open Sans Light"/>
                      <w:color w:val="000000"/>
                      <w:sz w:val="16"/>
                      <w:szCs w:val="16"/>
                      <w:lang w:eastAsia="en-AU"/>
                    </w:rPr>
                    <w:t>(b) 4,030</w:t>
                  </w:r>
                </w:p>
              </w:tc>
            </w:tr>
            <w:tr w:rsidR="00915137" w:rsidRPr="00442A3B" w14:paraId="56204AEF" w14:textId="77777777" w:rsidTr="0099072C">
              <w:trPr>
                <w:trHeight w:val="315"/>
              </w:trPr>
              <w:tc>
                <w:tcPr>
                  <w:tcW w:w="2869" w:type="dxa"/>
                  <w:tcBorders>
                    <w:top w:val="single" w:sz="8" w:space="0" w:color="ADD6EA"/>
                    <w:left w:val="nil"/>
                    <w:bottom w:val="single" w:sz="8" w:space="0" w:color="ADD6EA"/>
                    <w:right w:val="nil"/>
                  </w:tcBorders>
                  <w:shd w:val="clear" w:color="auto" w:fill="D6E7F0"/>
                  <w:tcMar>
                    <w:top w:w="0" w:type="dxa"/>
                    <w:left w:w="28" w:type="dxa"/>
                    <w:bottom w:w="0" w:type="dxa"/>
                    <w:right w:w="28" w:type="dxa"/>
                  </w:tcMar>
                  <w:vAlign w:val="bottom"/>
                  <w:hideMark/>
                </w:tcPr>
                <w:p w14:paraId="1C38A043" w14:textId="77777777" w:rsidR="00915137" w:rsidRPr="00442A3B" w:rsidRDefault="00915137" w:rsidP="00915137">
                  <w:pPr>
                    <w:keepNext/>
                    <w:keepLines/>
                    <w:pageBreakBefore/>
                    <w:tabs>
                      <w:tab w:val="clear" w:pos="567"/>
                      <w:tab w:val="left" w:pos="1134"/>
                      <w:tab w:val="left" w:pos="1420"/>
                    </w:tabs>
                    <w:spacing w:before="0" w:line="240" w:lineRule="auto"/>
                    <w:rPr>
                      <w:rFonts w:ascii="Open Sans Semibold" w:hAnsi="Open Sans Semibold"/>
                      <w:sz w:val="16"/>
                      <w:szCs w:val="20"/>
                      <w:lang w:eastAsia="en-AU"/>
                    </w:rPr>
                  </w:pPr>
                  <w:r w:rsidRPr="00442A3B">
                    <w:rPr>
                      <w:rFonts w:ascii="Open Sans Semibold" w:hAnsi="Open Sans Semibold"/>
                      <w:sz w:val="16"/>
                      <w:szCs w:val="20"/>
                      <w:lang w:eastAsia="en-AU"/>
                    </w:rPr>
                    <w:t>Total change in GST</w:t>
                  </w:r>
                </w:p>
              </w:tc>
              <w:tc>
                <w:tcPr>
                  <w:tcW w:w="451" w:type="dxa"/>
                  <w:tcBorders>
                    <w:top w:val="single" w:sz="8" w:space="0" w:color="ADD6EA"/>
                    <w:left w:val="nil"/>
                    <w:bottom w:val="single" w:sz="8" w:space="0" w:color="ADD6EA"/>
                    <w:right w:val="nil"/>
                  </w:tcBorders>
                  <w:shd w:val="clear" w:color="auto" w:fill="D6E7F0"/>
                  <w:noWrap/>
                  <w:tcMar>
                    <w:top w:w="0" w:type="dxa"/>
                    <w:left w:w="28" w:type="dxa"/>
                    <w:bottom w:w="0" w:type="dxa"/>
                    <w:right w:w="28" w:type="dxa"/>
                  </w:tcMar>
                  <w:vAlign w:val="bottom"/>
                  <w:hideMark/>
                </w:tcPr>
                <w:p w14:paraId="4368F977" w14:textId="77777777" w:rsidR="00915137" w:rsidRPr="00442A3B" w:rsidRDefault="00915137" w:rsidP="00915137">
                  <w:pPr>
                    <w:keepNext/>
                    <w:keepLines/>
                    <w:pageBreakBefore/>
                    <w:tabs>
                      <w:tab w:val="clear" w:pos="567"/>
                      <w:tab w:val="left" w:pos="1134"/>
                      <w:tab w:val="left" w:pos="1420"/>
                    </w:tabs>
                    <w:spacing w:before="0" w:line="240" w:lineRule="auto"/>
                    <w:jc w:val="right"/>
                    <w:rPr>
                      <w:rFonts w:ascii="Open Sans Semibold" w:hAnsi="Open Sans Semibold"/>
                      <w:sz w:val="16"/>
                      <w:szCs w:val="20"/>
                      <w:lang w:eastAsia="en-AU"/>
                    </w:rPr>
                  </w:pPr>
                  <w:r w:rsidRPr="00442A3B">
                    <w:rPr>
                      <w:rFonts w:ascii="Open Sans Semibold" w:hAnsi="Open Sans Semibold"/>
                      <w:sz w:val="16"/>
                      <w:szCs w:val="20"/>
                      <w:lang w:eastAsia="en-AU"/>
                    </w:rPr>
                    <w:t>1,894</w:t>
                  </w:r>
                </w:p>
              </w:tc>
              <w:tc>
                <w:tcPr>
                  <w:tcW w:w="580" w:type="dxa"/>
                  <w:tcBorders>
                    <w:top w:val="single" w:sz="8" w:space="0" w:color="ADD6EA"/>
                    <w:left w:val="nil"/>
                    <w:bottom w:val="single" w:sz="8" w:space="0" w:color="ADD6EA"/>
                    <w:right w:val="nil"/>
                  </w:tcBorders>
                  <w:shd w:val="clear" w:color="auto" w:fill="D6E7F0"/>
                  <w:noWrap/>
                  <w:tcMar>
                    <w:top w:w="0" w:type="dxa"/>
                    <w:left w:w="28" w:type="dxa"/>
                    <w:bottom w:w="0" w:type="dxa"/>
                    <w:right w:w="28" w:type="dxa"/>
                  </w:tcMar>
                  <w:vAlign w:val="bottom"/>
                  <w:hideMark/>
                </w:tcPr>
                <w:p w14:paraId="2D371CE1" w14:textId="77777777" w:rsidR="00915137" w:rsidRPr="00442A3B" w:rsidRDefault="00915137" w:rsidP="00915137">
                  <w:pPr>
                    <w:keepNext/>
                    <w:keepLines/>
                    <w:pageBreakBefore/>
                    <w:tabs>
                      <w:tab w:val="clear" w:pos="567"/>
                      <w:tab w:val="left" w:pos="1134"/>
                      <w:tab w:val="left" w:pos="1420"/>
                    </w:tabs>
                    <w:spacing w:before="0" w:line="240" w:lineRule="auto"/>
                    <w:jc w:val="right"/>
                    <w:rPr>
                      <w:rFonts w:ascii="Open Sans Semibold" w:hAnsi="Open Sans Semibold"/>
                      <w:sz w:val="16"/>
                      <w:szCs w:val="20"/>
                      <w:lang w:eastAsia="en-AU"/>
                    </w:rPr>
                  </w:pPr>
                  <w:r w:rsidRPr="00442A3B">
                    <w:rPr>
                      <w:rFonts w:ascii="Open Sans Semibold" w:hAnsi="Open Sans Semibold"/>
                      <w:sz w:val="16"/>
                      <w:szCs w:val="20"/>
                      <w:lang w:eastAsia="en-AU"/>
                    </w:rPr>
                    <w:t>344</w:t>
                  </w:r>
                </w:p>
              </w:tc>
              <w:tc>
                <w:tcPr>
                  <w:tcW w:w="640" w:type="dxa"/>
                  <w:tcBorders>
                    <w:top w:val="single" w:sz="8" w:space="0" w:color="ADD6EA"/>
                    <w:left w:val="nil"/>
                    <w:bottom w:val="single" w:sz="8" w:space="0" w:color="ADD6EA"/>
                    <w:right w:val="nil"/>
                  </w:tcBorders>
                  <w:shd w:val="clear" w:color="auto" w:fill="D6E7F0"/>
                  <w:noWrap/>
                  <w:tcMar>
                    <w:top w:w="0" w:type="dxa"/>
                    <w:left w:w="28" w:type="dxa"/>
                    <w:bottom w:w="0" w:type="dxa"/>
                    <w:right w:w="28" w:type="dxa"/>
                  </w:tcMar>
                  <w:vAlign w:val="bottom"/>
                  <w:hideMark/>
                </w:tcPr>
                <w:p w14:paraId="365BA4A1" w14:textId="77777777" w:rsidR="00915137" w:rsidRPr="00442A3B" w:rsidRDefault="00915137" w:rsidP="00915137">
                  <w:pPr>
                    <w:keepNext/>
                    <w:keepLines/>
                    <w:pageBreakBefore/>
                    <w:tabs>
                      <w:tab w:val="clear" w:pos="567"/>
                      <w:tab w:val="left" w:pos="1134"/>
                      <w:tab w:val="left" w:pos="1420"/>
                    </w:tabs>
                    <w:spacing w:before="0" w:line="240" w:lineRule="auto"/>
                    <w:jc w:val="right"/>
                    <w:rPr>
                      <w:rFonts w:ascii="Open Sans Semibold" w:hAnsi="Open Sans Semibold"/>
                      <w:sz w:val="16"/>
                      <w:szCs w:val="20"/>
                      <w:lang w:eastAsia="en-AU"/>
                    </w:rPr>
                  </w:pPr>
                  <w:r w:rsidRPr="00442A3B">
                    <w:rPr>
                      <w:rFonts w:ascii="Open Sans Semibold" w:hAnsi="Open Sans Semibold"/>
                      <w:sz w:val="16"/>
                      <w:szCs w:val="20"/>
                      <w:lang w:eastAsia="en-AU"/>
                    </w:rPr>
                    <w:t>1,023</w:t>
                  </w:r>
                </w:p>
              </w:tc>
              <w:tc>
                <w:tcPr>
                  <w:tcW w:w="620" w:type="dxa"/>
                  <w:tcBorders>
                    <w:top w:val="single" w:sz="8" w:space="0" w:color="ADD6EA"/>
                    <w:left w:val="nil"/>
                    <w:bottom w:val="single" w:sz="8" w:space="0" w:color="ADD6EA"/>
                    <w:right w:val="nil"/>
                  </w:tcBorders>
                  <w:shd w:val="clear" w:color="auto" w:fill="D6E7F0"/>
                  <w:noWrap/>
                  <w:tcMar>
                    <w:top w:w="0" w:type="dxa"/>
                    <w:left w:w="28" w:type="dxa"/>
                    <w:bottom w:w="0" w:type="dxa"/>
                    <w:right w:w="28" w:type="dxa"/>
                  </w:tcMar>
                  <w:vAlign w:val="bottom"/>
                  <w:hideMark/>
                </w:tcPr>
                <w:p w14:paraId="74C77380" w14:textId="77777777" w:rsidR="00915137" w:rsidRPr="00442A3B" w:rsidRDefault="00915137" w:rsidP="00915137">
                  <w:pPr>
                    <w:keepNext/>
                    <w:keepLines/>
                    <w:pageBreakBefore/>
                    <w:tabs>
                      <w:tab w:val="clear" w:pos="567"/>
                      <w:tab w:val="left" w:pos="1134"/>
                      <w:tab w:val="left" w:pos="1420"/>
                    </w:tabs>
                    <w:spacing w:before="0" w:line="240" w:lineRule="auto"/>
                    <w:jc w:val="right"/>
                    <w:rPr>
                      <w:rFonts w:ascii="Open Sans Semibold" w:hAnsi="Open Sans Semibold"/>
                      <w:sz w:val="16"/>
                      <w:szCs w:val="20"/>
                      <w:lang w:eastAsia="en-AU"/>
                    </w:rPr>
                  </w:pPr>
                  <w:r w:rsidRPr="00442A3B">
                    <w:rPr>
                      <w:rFonts w:ascii="Open Sans Semibold" w:hAnsi="Open Sans Semibold"/>
                      <w:sz w:val="16"/>
                      <w:szCs w:val="20"/>
                      <w:lang w:eastAsia="en-AU"/>
                    </w:rPr>
                    <w:t>-23</w:t>
                  </w:r>
                </w:p>
              </w:tc>
              <w:tc>
                <w:tcPr>
                  <w:tcW w:w="560" w:type="dxa"/>
                  <w:tcBorders>
                    <w:top w:val="single" w:sz="8" w:space="0" w:color="ADD6EA"/>
                    <w:left w:val="nil"/>
                    <w:bottom w:val="single" w:sz="8" w:space="0" w:color="ADD6EA"/>
                    <w:right w:val="nil"/>
                  </w:tcBorders>
                  <w:shd w:val="clear" w:color="auto" w:fill="D6E7F0"/>
                  <w:noWrap/>
                  <w:tcMar>
                    <w:top w:w="0" w:type="dxa"/>
                    <w:left w:w="28" w:type="dxa"/>
                    <w:bottom w:w="0" w:type="dxa"/>
                    <w:right w:w="28" w:type="dxa"/>
                  </w:tcMar>
                  <w:vAlign w:val="bottom"/>
                  <w:hideMark/>
                </w:tcPr>
                <w:p w14:paraId="22A6EC7D" w14:textId="77777777" w:rsidR="00915137" w:rsidRPr="00442A3B" w:rsidRDefault="00915137" w:rsidP="00915137">
                  <w:pPr>
                    <w:keepNext/>
                    <w:keepLines/>
                    <w:pageBreakBefore/>
                    <w:tabs>
                      <w:tab w:val="clear" w:pos="567"/>
                      <w:tab w:val="left" w:pos="1134"/>
                      <w:tab w:val="left" w:pos="1420"/>
                    </w:tabs>
                    <w:spacing w:before="0" w:line="240" w:lineRule="auto"/>
                    <w:jc w:val="right"/>
                    <w:rPr>
                      <w:rFonts w:ascii="Open Sans Semibold" w:hAnsi="Open Sans Semibold"/>
                      <w:sz w:val="16"/>
                      <w:szCs w:val="20"/>
                      <w:lang w:eastAsia="en-AU"/>
                    </w:rPr>
                  </w:pPr>
                  <w:r w:rsidRPr="00442A3B">
                    <w:rPr>
                      <w:rFonts w:ascii="Open Sans Semibold" w:hAnsi="Open Sans Semibold"/>
                      <w:sz w:val="16"/>
                      <w:szCs w:val="20"/>
                      <w:lang w:eastAsia="en-AU"/>
                    </w:rPr>
                    <w:t>301</w:t>
                  </w:r>
                </w:p>
              </w:tc>
              <w:tc>
                <w:tcPr>
                  <w:tcW w:w="620" w:type="dxa"/>
                  <w:tcBorders>
                    <w:top w:val="single" w:sz="8" w:space="0" w:color="ADD6EA"/>
                    <w:left w:val="nil"/>
                    <w:bottom w:val="single" w:sz="8" w:space="0" w:color="ADD6EA"/>
                    <w:right w:val="nil"/>
                  </w:tcBorders>
                  <w:shd w:val="clear" w:color="auto" w:fill="D6E7F0"/>
                  <w:noWrap/>
                  <w:tcMar>
                    <w:top w:w="0" w:type="dxa"/>
                    <w:left w:w="28" w:type="dxa"/>
                    <w:bottom w:w="0" w:type="dxa"/>
                    <w:right w:w="28" w:type="dxa"/>
                  </w:tcMar>
                  <w:vAlign w:val="bottom"/>
                  <w:hideMark/>
                </w:tcPr>
                <w:p w14:paraId="78CB3BF7" w14:textId="77777777" w:rsidR="00915137" w:rsidRPr="00442A3B" w:rsidRDefault="00915137" w:rsidP="00915137">
                  <w:pPr>
                    <w:keepNext/>
                    <w:keepLines/>
                    <w:pageBreakBefore/>
                    <w:tabs>
                      <w:tab w:val="clear" w:pos="567"/>
                      <w:tab w:val="left" w:pos="1134"/>
                      <w:tab w:val="left" w:pos="1420"/>
                    </w:tabs>
                    <w:spacing w:before="0" w:line="240" w:lineRule="auto"/>
                    <w:jc w:val="right"/>
                    <w:rPr>
                      <w:rFonts w:ascii="Open Sans Semibold" w:hAnsi="Open Sans Semibold"/>
                      <w:sz w:val="16"/>
                      <w:szCs w:val="20"/>
                      <w:lang w:eastAsia="en-AU"/>
                    </w:rPr>
                  </w:pPr>
                  <w:r w:rsidRPr="00442A3B">
                    <w:rPr>
                      <w:rFonts w:ascii="Open Sans Semibold" w:hAnsi="Open Sans Semibold"/>
                      <w:sz w:val="16"/>
                      <w:szCs w:val="20"/>
                      <w:lang w:eastAsia="en-AU"/>
                    </w:rPr>
                    <w:t>253</w:t>
                  </w:r>
                </w:p>
              </w:tc>
              <w:tc>
                <w:tcPr>
                  <w:tcW w:w="660" w:type="dxa"/>
                  <w:tcBorders>
                    <w:top w:val="single" w:sz="8" w:space="0" w:color="ADD6EA"/>
                    <w:left w:val="nil"/>
                    <w:bottom w:val="single" w:sz="8" w:space="0" w:color="ADD6EA"/>
                    <w:right w:val="nil"/>
                  </w:tcBorders>
                  <w:shd w:val="clear" w:color="auto" w:fill="D6E7F0"/>
                  <w:noWrap/>
                  <w:tcMar>
                    <w:top w:w="0" w:type="dxa"/>
                    <w:left w:w="28" w:type="dxa"/>
                    <w:bottom w:w="0" w:type="dxa"/>
                    <w:right w:w="28" w:type="dxa"/>
                  </w:tcMar>
                  <w:vAlign w:val="bottom"/>
                  <w:hideMark/>
                </w:tcPr>
                <w:p w14:paraId="27C87AA7" w14:textId="77777777" w:rsidR="00915137" w:rsidRPr="00442A3B" w:rsidRDefault="00915137" w:rsidP="00915137">
                  <w:pPr>
                    <w:keepNext/>
                    <w:keepLines/>
                    <w:pageBreakBefore/>
                    <w:tabs>
                      <w:tab w:val="clear" w:pos="567"/>
                      <w:tab w:val="left" w:pos="1134"/>
                      <w:tab w:val="left" w:pos="1420"/>
                    </w:tabs>
                    <w:spacing w:before="0" w:line="240" w:lineRule="auto"/>
                    <w:jc w:val="right"/>
                    <w:rPr>
                      <w:rFonts w:ascii="Open Sans Semibold" w:hAnsi="Open Sans Semibold"/>
                      <w:sz w:val="16"/>
                      <w:szCs w:val="20"/>
                      <w:lang w:eastAsia="en-AU"/>
                    </w:rPr>
                  </w:pPr>
                  <w:r w:rsidRPr="00442A3B">
                    <w:rPr>
                      <w:rFonts w:ascii="Open Sans Semibold" w:hAnsi="Open Sans Semibold"/>
                      <w:sz w:val="16"/>
                      <w:szCs w:val="20"/>
                      <w:lang w:eastAsia="en-AU"/>
                    </w:rPr>
                    <w:t>89</w:t>
                  </w:r>
                </w:p>
              </w:tc>
              <w:tc>
                <w:tcPr>
                  <w:tcW w:w="580" w:type="dxa"/>
                  <w:tcBorders>
                    <w:top w:val="single" w:sz="8" w:space="0" w:color="ADD6EA"/>
                    <w:left w:val="nil"/>
                    <w:bottom w:val="single" w:sz="8" w:space="0" w:color="ADD6EA"/>
                    <w:right w:val="nil"/>
                  </w:tcBorders>
                  <w:shd w:val="clear" w:color="auto" w:fill="D6E7F0"/>
                  <w:noWrap/>
                  <w:tcMar>
                    <w:top w:w="0" w:type="dxa"/>
                    <w:left w:w="28" w:type="dxa"/>
                    <w:bottom w:w="0" w:type="dxa"/>
                    <w:right w:w="28" w:type="dxa"/>
                  </w:tcMar>
                  <w:vAlign w:val="bottom"/>
                  <w:hideMark/>
                </w:tcPr>
                <w:p w14:paraId="51161F53" w14:textId="77777777" w:rsidR="00915137" w:rsidRPr="00442A3B" w:rsidRDefault="00915137" w:rsidP="00915137">
                  <w:pPr>
                    <w:keepNext/>
                    <w:keepLines/>
                    <w:pageBreakBefore/>
                    <w:tabs>
                      <w:tab w:val="clear" w:pos="567"/>
                      <w:tab w:val="left" w:pos="1134"/>
                      <w:tab w:val="left" w:pos="1420"/>
                    </w:tabs>
                    <w:spacing w:before="0" w:line="240" w:lineRule="auto"/>
                    <w:jc w:val="right"/>
                    <w:rPr>
                      <w:rFonts w:ascii="Open Sans Semibold" w:hAnsi="Open Sans Semibold"/>
                      <w:sz w:val="16"/>
                      <w:szCs w:val="20"/>
                      <w:lang w:eastAsia="en-AU"/>
                    </w:rPr>
                  </w:pPr>
                  <w:r w:rsidRPr="00442A3B">
                    <w:rPr>
                      <w:rFonts w:ascii="Open Sans Semibold" w:hAnsi="Open Sans Semibold"/>
                      <w:sz w:val="16"/>
                      <w:szCs w:val="20"/>
                      <w:lang w:eastAsia="en-AU"/>
                    </w:rPr>
                    <w:t>149</w:t>
                  </w:r>
                </w:p>
              </w:tc>
              <w:tc>
                <w:tcPr>
                  <w:tcW w:w="820" w:type="dxa"/>
                  <w:tcBorders>
                    <w:top w:val="single" w:sz="8" w:space="0" w:color="ADD6EA"/>
                    <w:left w:val="nil"/>
                    <w:bottom w:val="single" w:sz="8" w:space="0" w:color="ADD6EA"/>
                    <w:right w:val="nil"/>
                  </w:tcBorders>
                  <w:shd w:val="clear" w:color="auto" w:fill="D6E7F0"/>
                  <w:noWrap/>
                  <w:tcMar>
                    <w:top w:w="0" w:type="dxa"/>
                    <w:left w:w="28" w:type="dxa"/>
                    <w:bottom w:w="0" w:type="dxa"/>
                    <w:right w:w="28" w:type="dxa"/>
                  </w:tcMar>
                  <w:vAlign w:val="bottom"/>
                  <w:hideMark/>
                </w:tcPr>
                <w:p w14:paraId="58BC9801" w14:textId="77777777" w:rsidR="00915137" w:rsidRPr="00442A3B" w:rsidRDefault="00915137" w:rsidP="00915137">
                  <w:pPr>
                    <w:keepNext/>
                    <w:keepLines/>
                    <w:pageBreakBefore/>
                    <w:tabs>
                      <w:tab w:val="clear" w:pos="567"/>
                      <w:tab w:val="left" w:pos="1134"/>
                      <w:tab w:val="left" w:pos="1420"/>
                    </w:tabs>
                    <w:spacing w:before="0" w:line="240" w:lineRule="auto"/>
                    <w:jc w:val="right"/>
                    <w:rPr>
                      <w:rFonts w:ascii="Open Sans Semibold" w:hAnsi="Open Sans Semibold"/>
                      <w:sz w:val="16"/>
                      <w:szCs w:val="20"/>
                      <w:lang w:eastAsia="en-AU"/>
                    </w:rPr>
                  </w:pPr>
                  <w:r w:rsidRPr="00442A3B">
                    <w:rPr>
                      <w:rFonts w:ascii="Open Sans Semibold" w:hAnsi="Open Sans Semibold"/>
                      <w:sz w:val="16"/>
                      <w:szCs w:val="20"/>
                      <w:lang w:eastAsia="en-AU"/>
                    </w:rPr>
                    <w:t>(b) 4,030</w:t>
                  </w:r>
                </w:p>
              </w:tc>
            </w:tr>
          </w:tbl>
          <w:p w14:paraId="2FE7943B" w14:textId="7B60E9D7" w:rsidR="00915137" w:rsidRPr="00442A3B" w:rsidRDefault="00915137" w:rsidP="00915137">
            <w:pPr>
              <w:tabs>
                <w:tab w:val="clear" w:pos="567"/>
                <w:tab w:val="left" w:pos="680"/>
              </w:tabs>
              <w:spacing w:before="40" w:line="240" w:lineRule="auto"/>
              <w:ind w:left="567" w:hanging="567"/>
              <w:rPr>
                <w:sz w:val="14"/>
                <w:lang w:eastAsia="en-AU"/>
              </w:rPr>
            </w:pPr>
            <w:r w:rsidRPr="00442A3B">
              <w:rPr>
                <w:sz w:val="14"/>
                <w:lang w:eastAsia="en-AU"/>
              </w:rPr>
              <w:t>(a)</w:t>
            </w:r>
            <w:r w:rsidRPr="00442A3B">
              <w:rPr>
                <w:sz w:val="14"/>
                <w:lang w:eastAsia="en-AU"/>
              </w:rPr>
              <w:tab/>
              <w:t xml:space="preserve">The other revenue and expense effects largely reflect revisions to data and other changes in State circumstances. See the discussion in </w:t>
            </w:r>
            <w:r w:rsidR="00B33810" w:rsidRPr="00442A3B">
              <w:rPr>
                <w:sz w:val="14"/>
                <w:lang w:eastAsia="en-AU"/>
              </w:rPr>
              <w:t>Chapter</w:t>
            </w:r>
            <w:r w:rsidRPr="00442A3B">
              <w:rPr>
                <w:sz w:val="14"/>
                <w:lang w:eastAsia="en-AU"/>
              </w:rPr>
              <w:t xml:space="preserve">s 2 to 4 for details of the other revenue and expense effects. </w:t>
            </w:r>
          </w:p>
          <w:p w14:paraId="622E7A5E" w14:textId="77777777" w:rsidR="00C93A93" w:rsidRPr="00442A3B" w:rsidRDefault="00915137" w:rsidP="00C93A93">
            <w:pPr>
              <w:tabs>
                <w:tab w:val="clear" w:pos="567"/>
                <w:tab w:val="left" w:pos="680"/>
              </w:tabs>
              <w:spacing w:before="40" w:line="240" w:lineRule="auto"/>
              <w:ind w:left="567" w:hanging="567"/>
              <w:rPr>
                <w:sz w:val="14"/>
                <w:lang w:eastAsia="en-AU"/>
              </w:rPr>
            </w:pPr>
            <w:r w:rsidRPr="00442A3B">
              <w:rPr>
                <w:sz w:val="14"/>
                <w:lang w:eastAsia="en-AU"/>
              </w:rPr>
              <w:t xml:space="preserve">(b) </w:t>
            </w:r>
            <w:r w:rsidRPr="00442A3B">
              <w:rPr>
                <w:sz w:val="14"/>
                <w:lang w:eastAsia="en-AU"/>
              </w:rPr>
              <w:tab/>
              <w:t>Total increase in GST and top-up payment pool.</w:t>
            </w:r>
          </w:p>
          <w:p w14:paraId="5B03BCB1" w14:textId="0DA665CF" w:rsidR="0091195C" w:rsidRPr="00442A3B" w:rsidRDefault="0091195C" w:rsidP="00915137">
            <w:pPr>
              <w:tabs>
                <w:tab w:val="clear" w:pos="567"/>
                <w:tab w:val="left" w:pos="680"/>
              </w:tabs>
              <w:spacing w:before="40" w:line="240" w:lineRule="auto"/>
              <w:ind w:left="567" w:hanging="567"/>
              <w:rPr>
                <w:sz w:val="14"/>
                <w:lang w:eastAsia="en-AU"/>
              </w:rPr>
            </w:pPr>
            <w:r w:rsidRPr="00442A3B">
              <w:rPr>
                <w:sz w:val="14"/>
                <w:lang w:eastAsia="en-AU"/>
              </w:rPr>
              <w:t xml:space="preserve">Source: </w:t>
            </w:r>
            <w:r w:rsidR="005A0AEF" w:rsidRPr="00442A3B">
              <w:rPr>
                <w:sz w:val="14"/>
                <w:lang w:eastAsia="en-AU"/>
              </w:rPr>
              <w:t xml:space="preserve">  </w:t>
            </w:r>
            <w:r w:rsidRPr="00442A3B">
              <w:rPr>
                <w:sz w:val="14"/>
                <w:lang w:eastAsia="en-AU"/>
              </w:rPr>
              <w:t>Commission calculation.</w:t>
            </w:r>
          </w:p>
          <w:p w14:paraId="2C19474F" w14:textId="4F74E7D6" w:rsidR="00915137" w:rsidRPr="00442A3B" w:rsidRDefault="00915137" w:rsidP="00915137">
            <w:pPr>
              <w:widowControl w:val="0"/>
              <w:rPr>
                <w:rFonts w:eastAsia="Courier New" w:cs="MS Gothic"/>
              </w:rPr>
            </w:pPr>
            <w:r w:rsidRPr="00442A3B">
              <w:rPr>
                <w:rFonts w:eastAsia="Courier New" w:cs="MS Gothic"/>
              </w:rPr>
              <w:t xml:space="preserve">The other States experienced an increased requirement for distribution of the GST pool in this update. A decrease in </w:t>
            </w:r>
            <w:r w:rsidR="00D36351" w:rsidRPr="00442A3B">
              <w:rPr>
                <w:rFonts w:eastAsia="Courier New" w:cs="MS Gothic"/>
                <w:b/>
                <w:bCs/>
              </w:rPr>
              <w:t>New South Wales</w:t>
            </w:r>
            <w:r w:rsidR="00D36351" w:rsidRPr="0080260E">
              <w:rPr>
                <w:rFonts w:eastAsia="Courier New" w:cs="MS Gothic"/>
              </w:rPr>
              <w:t>’</w:t>
            </w:r>
            <w:r w:rsidRPr="00442A3B">
              <w:rPr>
                <w:rFonts w:eastAsia="Courier New" w:cs="MS Gothic"/>
              </w:rPr>
              <w:t xml:space="preserve"> share of property sales increased its GST requirements. </w:t>
            </w:r>
            <w:r w:rsidRPr="00442A3B">
              <w:rPr>
                <w:rFonts w:eastAsia="Courier New" w:cs="MS Gothic"/>
                <w:b/>
                <w:bCs/>
              </w:rPr>
              <w:t>Queensland</w:t>
            </w:r>
            <w:r w:rsidRPr="00442A3B">
              <w:rPr>
                <w:rFonts w:eastAsia="Courier New" w:cs="MS Gothic"/>
              </w:rPr>
              <w:t xml:space="preserve">’s increase was mainly due to below average growth of taxable land values and property sales, and higher investment requirements. These changes were partly offset by downward revisions to natural disaster relief expenses. </w:t>
            </w:r>
            <w:r w:rsidRPr="00442A3B">
              <w:rPr>
                <w:rFonts w:eastAsia="Courier New" w:cs="MS Gothic"/>
                <w:b/>
                <w:bCs/>
              </w:rPr>
              <w:t>Tasmania</w:t>
            </w:r>
            <w:r w:rsidRPr="00442A3B">
              <w:rPr>
                <w:rFonts w:eastAsia="Courier New" w:cs="MS Gothic"/>
              </w:rPr>
              <w:t>‘s increased GST distribution mainly reflect</w:t>
            </w:r>
            <w:r w:rsidR="00A22870" w:rsidRPr="00442A3B">
              <w:rPr>
                <w:rFonts w:eastAsia="Courier New" w:cs="MS Gothic"/>
              </w:rPr>
              <w:t>ed</w:t>
            </w:r>
            <w:r w:rsidRPr="00442A3B">
              <w:rPr>
                <w:rFonts w:eastAsia="Courier New" w:cs="MS Gothic"/>
              </w:rPr>
              <w:t xml:space="preserve"> an increase in its relative wage costs, and its above average expense needs.</w:t>
            </w:r>
            <w:r w:rsidR="00043B41" w:rsidRPr="00442A3B">
              <w:rPr>
                <w:rFonts w:eastAsia="Courier New" w:cs="MS Gothic"/>
                <w:vertAlign w:val="superscript"/>
              </w:rPr>
              <w:t>4</w:t>
            </w:r>
            <w:r w:rsidRPr="00442A3B">
              <w:rPr>
                <w:rFonts w:eastAsia="Courier New" w:cs="MS Gothic"/>
              </w:rPr>
              <w:t xml:space="preserve"> These influences were partly offset by above national average growth in property sales. The </w:t>
            </w:r>
            <w:r w:rsidRPr="00442A3B">
              <w:rPr>
                <w:rFonts w:eastAsia="Courier New" w:cs="MS Gothic"/>
                <w:b/>
                <w:bCs/>
              </w:rPr>
              <w:t>ACT</w:t>
            </w:r>
            <w:r w:rsidRPr="00442A3B">
              <w:rPr>
                <w:rFonts w:eastAsia="Courier New" w:cs="MS Gothic"/>
              </w:rPr>
              <w:t xml:space="preserve">’s share of </w:t>
            </w:r>
            <w:r w:rsidR="00B33810" w:rsidRPr="00442A3B">
              <w:rPr>
                <w:rFonts w:eastAsia="Courier New" w:cs="MS Gothic"/>
              </w:rPr>
              <w:t xml:space="preserve">the </w:t>
            </w:r>
            <w:r w:rsidRPr="00442A3B">
              <w:rPr>
                <w:rFonts w:eastAsia="Courier New" w:cs="MS Gothic"/>
              </w:rPr>
              <w:t xml:space="preserve">GST </w:t>
            </w:r>
            <w:r w:rsidR="00B33810" w:rsidRPr="00442A3B">
              <w:rPr>
                <w:rFonts w:eastAsia="Courier New" w:cs="MS Gothic"/>
              </w:rPr>
              <w:t xml:space="preserve">pool </w:t>
            </w:r>
            <w:r w:rsidRPr="00442A3B">
              <w:rPr>
                <w:rFonts w:eastAsia="Courier New" w:cs="MS Gothic"/>
              </w:rPr>
              <w:t xml:space="preserve">increased because of below average growth in taxable payrolls, as well as revisions to payrolls data. Revisions to natural disaster relief expenses also contributed to the </w:t>
            </w:r>
            <w:r w:rsidRPr="00442A3B">
              <w:rPr>
                <w:rFonts w:eastAsia="Courier New" w:cs="MS Gothic"/>
                <w:b/>
                <w:bCs/>
              </w:rPr>
              <w:t>ACT</w:t>
            </w:r>
            <w:r w:rsidRPr="00442A3B">
              <w:rPr>
                <w:rFonts w:eastAsia="Courier New" w:cs="MS Gothic"/>
              </w:rPr>
              <w:t xml:space="preserve">’s relative increase in GST requirements. Partially offsetting this was the impact of the </w:t>
            </w:r>
            <w:r w:rsidRPr="00442A3B">
              <w:rPr>
                <w:rFonts w:eastAsia="Courier New" w:cs="MS Gothic"/>
                <w:b/>
                <w:bCs/>
              </w:rPr>
              <w:t>ACT</w:t>
            </w:r>
            <w:r w:rsidRPr="00442A3B">
              <w:rPr>
                <w:rFonts w:eastAsia="Courier New" w:cs="MS Gothic"/>
              </w:rPr>
              <w:t xml:space="preserve">’s below average expense needs. The </w:t>
            </w:r>
            <w:r w:rsidRPr="00442A3B">
              <w:rPr>
                <w:rFonts w:eastAsia="Courier New" w:cs="MS Gothic"/>
                <w:b/>
                <w:bCs/>
              </w:rPr>
              <w:t>Northern Territory</w:t>
            </w:r>
            <w:r w:rsidRPr="00442A3B">
              <w:rPr>
                <w:rFonts w:eastAsia="Courier New" w:cs="MS Gothic"/>
              </w:rPr>
              <w:t>’s increased requirement for GST distribution was mainly driven by its above average expense needs.</w:t>
            </w:r>
            <w:r w:rsidR="00043B41" w:rsidRPr="00442A3B">
              <w:rPr>
                <w:rFonts w:eastAsia="Courier New" w:cs="MS Gothic"/>
                <w:vertAlign w:val="superscript"/>
              </w:rPr>
              <w:t>4</w:t>
            </w:r>
            <w:r w:rsidRPr="00442A3B">
              <w:rPr>
                <w:rFonts w:eastAsia="Courier New" w:cs="MS Gothic"/>
              </w:rPr>
              <w:t xml:space="preserve"> </w:t>
            </w:r>
          </w:p>
          <w:p w14:paraId="1F8FA506" w14:textId="163EAF16" w:rsidR="00915137" w:rsidRPr="00442A3B" w:rsidRDefault="00380B0F" w:rsidP="003A08D2">
            <w:pPr>
              <w:spacing w:after="120"/>
            </w:pPr>
            <w:r w:rsidRPr="00442A3B">
              <w:lastRenderedPageBreak/>
              <w:t xml:space="preserve">For all States other than </w:t>
            </w:r>
            <w:r w:rsidRPr="00442A3B">
              <w:rPr>
                <w:b/>
                <w:bCs/>
              </w:rPr>
              <w:t>Western Australia</w:t>
            </w:r>
            <w:r w:rsidRPr="00442A3B">
              <w:t xml:space="preserve">, strong </w:t>
            </w:r>
            <w:r w:rsidRPr="00442A3B">
              <w:rPr>
                <w:rFonts w:eastAsia="Courier New" w:cs="MS Gothic"/>
              </w:rPr>
              <w:t xml:space="preserve">growth in the value of mining production in </w:t>
            </w:r>
            <w:r w:rsidRPr="00442A3B">
              <w:rPr>
                <w:rFonts w:eastAsia="Courier New" w:cs="MS Gothic"/>
                <w:b/>
                <w:bCs/>
              </w:rPr>
              <w:t>Western Australia</w:t>
            </w:r>
            <w:r w:rsidRPr="00442A3B">
              <w:rPr>
                <w:rFonts w:eastAsia="Courier New" w:cs="MS Gothic"/>
              </w:rPr>
              <w:t xml:space="preserve"> led to a reduction in their relative ability to raise mining revenue</w:t>
            </w:r>
            <w:r w:rsidRPr="00442A3B">
              <w:t xml:space="preserve">. This contributed to increasing their relative GST shares. For </w:t>
            </w:r>
            <w:r w:rsidRPr="00442A3B">
              <w:rPr>
                <w:b/>
                <w:bCs/>
              </w:rPr>
              <w:t>Victoria</w:t>
            </w:r>
            <w:r w:rsidRPr="00442A3B">
              <w:t xml:space="preserve"> and </w:t>
            </w:r>
            <w:r w:rsidRPr="00442A3B">
              <w:rPr>
                <w:b/>
                <w:bCs/>
              </w:rPr>
              <w:t>South Australia</w:t>
            </w:r>
            <w:r w:rsidRPr="00442A3B">
              <w:t xml:space="preserve">, this partially offset the other factors that reduced their shares. </w:t>
            </w:r>
            <w:r w:rsidRPr="00442A3B">
              <w:rPr>
                <w:rFonts w:eastAsia="Courier New" w:cs="MS Gothic"/>
              </w:rPr>
              <w:t xml:space="preserve">For </w:t>
            </w:r>
            <w:r w:rsidRPr="00442A3B">
              <w:rPr>
                <w:rFonts w:eastAsia="Courier New" w:cs="MS Gothic"/>
                <w:b/>
                <w:bCs/>
              </w:rPr>
              <w:t>New South Wales</w:t>
            </w:r>
            <w:r w:rsidRPr="00442A3B">
              <w:rPr>
                <w:rFonts w:eastAsia="Courier New" w:cs="MS Gothic"/>
              </w:rPr>
              <w:t xml:space="preserve">, </w:t>
            </w:r>
            <w:r w:rsidRPr="00442A3B">
              <w:rPr>
                <w:rFonts w:eastAsia="Courier New" w:cs="MS Gothic"/>
                <w:b/>
                <w:bCs/>
              </w:rPr>
              <w:t>Queensland</w:t>
            </w:r>
            <w:r w:rsidRPr="00442A3B">
              <w:rPr>
                <w:rFonts w:eastAsia="Courier New" w:cs="MS Gothic"/>
              </w:rPr>
              <w:t xml:space="preserve">, </w:t>
            </w:r>
            <w:r w:rsidRPr="00442A3B">
              <w:rPr>
                <w:rFonts w:eastAsia="Courier New" w:cs="MS Gothic"/>
                <w:b/>
                <w:bCs/>
              </w:rPr>
              <w:t>Tasmania</w:t>
            </w:r>
            <w:r w:rsidRPr="00442A3B">
              <w:rPr>
                <w:rFonts w:eastAsia="Courier New" w:cs="MS Gothic"/>
              </w:rPr>
              <w:t xml:space="preserve"> and the </w:t>
            </w:r>
            <w:r w:rsidRPr="00442A3B">
              <w:rPr>
                <w:rFonts w:eastAsia="Courier New" w:cs="MS Gothic"/>
                <w:b/>
                <w:bCs/>
              </w:rPr>
              <w:t>ACT</w:t>
            </w:r>
            <w:r w:rsidRPr="00442A3B">
              <w:rPr>
                <w:rFonts w:eastAsia="Courier New" w:cs="MS Gothic"/>
              </w:rPr>
              <w:t xml:space="preserve">, this accentuated growth in their GST shares. In the case of the </w:t>
            </w:r>
            <w:r w:rsidRPr="00442A3B">
              <w:rPr>
                <w:rFonts w:eastAsia="Courier New" w:cs="MS Gothic"/>
                <w:b/>
                <w:bCs/>
              </w:rPr>
              <w:t>Northern Territory</w:t>
            </w:r>
            <w:r w:rsidRPr="00442A3B">
              <w:rPr>
                <w:rFonts w:eastAsia="Courier New" w:cs="MS Gothic"/>
              </w:rPr>
              <w:t xml:space="preserve">, the impact on its </w:t>
            </w:r>
            <w:r w:rsidR="00A14C81" w:rsidRPr="00442A3B">
              <w:rPr>
                <w:rFonts w:eastAsia="Courier New" w:cs="MS Gothic"/>
              </w:rPr>
              <w:t>relative</w:t>
            </w:r>
            <w:r w:rsidRPr="00442A3B">
              <w:rPr>
                <w:rFonts w:eastAsia="Courier New" w:cs="MS Gothic"/>
              </w:rPr>
              <w:t xml:space="preserve"> ability to raise mining revenue was offset by growth in the value of other minerals produced in the Northern Territory.</w:t>
            </w:r>
          </w:p>
        </w:tc>
      </w:tr>
    </w:tbl>
    <w:p w14:paraId="411C9B8C" w14:textId="77777777" w:rsidR="00690BB1" w:rsidRPr="00442A3B" w:rsidRDefault="00690BB1" w:rsidP="00690BB1"/>
    <w:p w14:paraId="70F3A991" w14:textId="3E9C294A" w:rsidR="007F74AD" w:rsidRPr="00442A3B" w:rsidRDefault="007F74AD" w:rsidP="007F74AD">
      <w:pPr>
        <w:sectPr w:rsidR="007F74AD" w:rsidRPr="00442A3B" w:rsidSect="00C14C32">
          <w:headerReference w:type="default" r:id="rId44"/>
          <w:headerReference w:type="first" r:id="rId45"/>
          <w:footerReference w:type="first" r:id="rId46"/>
          <w:footnotePr>
            <w:numRestart w:val="eachSect"/>
          </w:footnotePr>
          <w:pgSz w:w="11907" w:h="16840" w:code="9"/>
          <w:pgMar w:top="1418" w:right="1474" w:bottom="1021" w:left="1474" w:header="567" w:footer="510" w:gutter="0"/>
          <w:pgNumType w:fmt="lowerRoman"/>
          <w:cols w:space="720"/>
          <w:titlePg/>
          <w:docGrid w:linePitch="360"/>
        </w:sectPr>
      </w:pPr>
    </w:p>
    <w:p w14:paraId="4EBD1FBA" w14:textId="70F99307" w:rsidR="00165998" w:rsidRPr="00442A3B" w:rsidRDefault="00165998" w:rsidP="00713C46">
      <w:pPr>
        <w:pStyle w:val="Heading2"/>
        <w:numPr>
          <w:ilvl w:val="0"/>
          <w:numId w:val="31"/>
        </w:numPr>
        <w:ind w:left="573" w:hanging="573"/>
      </w:pPr>
      <w:bookmarkStart w:id="49" w:name="_Toc65050519"/>
      <w:r w:rsidRPr="00442A3B">
        <w:lastRenderedPageBreak/>
        <w:t xml:space="preserve">Recommended GST </w:t>
      </w:r>
      <w:r w:rsidR="00564D71" w:rsidRPr="00442A3B">
        <w:t xml:space="preserve">pool </w:t>
      </w:r>
      <w:r w:rsidRPr="00442A3B">
        <w:t>distribution</w:t>
      </w:r>
      <w:bookmarkEnd w:id="49"/>
    </w:p>
    <w:p w14:paraId="318A72D9" w14:textId="522CB1F6" w:rsidR="003C2A76" w:rsidRPr="00442A3B" w:rsidRDefault="00863CCC" w:rsidP="003C2A76">
      <w:pPr>
        <w:spacing w:before="0"/>
      </w:pPr>
      <w:r w:rsidRPr="00442A3B">
        <w:rPr>
          <w:rStyle w:val="Heading3Char"/>
          <w:noProof/>
        </w:rPr>
        <mc:AlternateContent>
          <mc:Choice Requires="wps">
            <w:drawing>
              <wp:anchor distT="0" distB="0" distL="114300" distR="114300" simplePos="0" relativeHeight="251653120" behindDoc="1" locked="0" layoutInCell="1" allowOverlap="1" wp14:anchorId="3351ED59" wp14:editId="4ADD81FD">
                <wp:simplePos x="0" y="0"/>
                <wp:positionH relativeFrom="column">
                  <wp:posOffset>-6350</wp:posOffset>
                </wp:positionH>
                <wp:positionV relativeFrom="paragraph">
                  <wp:posOffset>165405</wp:posOffset>
                </wp:positionV>
                <wp:extent cx="5723890" cy="3232785"/>
                <wp:effectExtent l="0" t="0" r="0" b="5715"/>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3890" cy="3232785"/>
                        </a:xfrm>
                        <a:prstGeom prst="rect">
                          <a:avLst/>
                        </a:prstGeom>
                        <a:solidFill>
                          <a:srgbClr val="EBF3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7F7C4" id="Rectangle 7" o:spid="_x0000_s1026" alt="&quot;&quot;" style="position:absolute;margin-left:-.5pt;margin-top:13pt;width:450.7pt;height:25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" fillcolor="#ebf3f5" stroked="f" strokeweight="2pt">
                <v:textbox inset="1mm,,1mm"/>
              </v:rect>
            </w:pict>
          </mc:Fallback>
        </mc:AlternateContent>
      </w:r>
    </w:p>
    <w:p w14:paraId="144DB66D" w14:textId="36E389DD" w:rsidR="009A579A" w:rsidRPr="00442A3B" w:rsidRDefault="009A579A" w:rsidP="00863CCC">
      <w:pPr>
        <w:pStyle w:val="Heading3"/>
        <w:spacing w:before="120"/>
      </w:pPr>
      <w:bookmarkStart w:id="50" w:name="_Toc65050520"/>
      <w:r w:rsidRPr="00442A3B">
        <w:t>Key points</w:t>
      </w:r>
      <w:bookmarkEnd w:id="50"/>
    </w:p>
    <w:p w14:paraId="045C2BCC" w14:textId="1833E8D6" w:rsidR="009A579A" w:rsidRPr="00442A3B" w:rsidRDefault="009A579A" w:rsidP="009A579A">
      <w:pPr>
        <w:pStyle w:val="CGCBullet1"/>
      </w:pPr>
      <w:r w:rsidRPr="00442A3B">
        <w:t xml:space="preserve">The key drivers of changes in GST distribution in 2021-22 </w:t>
      </w:r>
      <w:r w:rsidR="00C7113A" w:rsidRPr="00442A3B">
        <w:t>were</w:t>
      </w:r>
      <w:r w:rsidRPr="00442A3B">
        <w:t>:</w:t>
      </w:r>
    </w:p>
    <w:p w14:paraId="5F08ED6D" w14:textId="77777777" w:rsidR="009A579A" w:rsidRPr="00442A3B" w:rsidRDefault="009A579A" w:rsidP="009A579A">
      <w:pPr>
        <w:pStyle w:val="CGCBullet2"/>
      </w:pPr>
      <w:r w:rsidRPr="00442A3B">
        <w:t xml:space="preserve">expected growth in the GST pool of around $4 billion </w:t>
      </w:r>
    </w:p>
    <w:p w14:paraId="748950E7" w14:textId="77777777" w:rsidR="009A579A" w:rsidRPr="00442A3B" w:rsidRDefault="009A579A" w:rsidP="009A579A">
      <w:pPr>
        <w:pStyle w:val="CGCBullet2"/>
      </w:pPr>
      <w:r w:rsidRPr="00442A3B">
        <w:t>strong iron ore royalties and changes in States’ ability to raise revenue from property values and transactions</w:t>
      </w:r>
    </w:p>
    <w:p w14:paraId="52F193BF" w14:textId="0DF75436" w:rsidR="009A579A" w:rsidRPr="00442A3B" w:rsidRDefault="009A579A" w:rsidP="009A579A">
      <w:pPr>
        <w:pStyle w:val="CGCBullet2"/>
      </w:pPr>
      <w:r w:rsidRPr="00442A3B">
        <w:t>the new equalisation arrangements</w:t>
      </w:r>
    </w:p>
    <w:p w14:paraId="18BDDA89" w14:textId="77777777" w:rsidR="009A579A" w:rsidRPr="00442A3B" w:rsidRDefault="009A579A" w:rsidP="009A579A">
      <w:pPr>
        <w:pStyle w:val="CGCBullet2"/>
      </w:pPr>
      <w:r w:rsidRPr="00442A3B">
        <w:t>changes in States’ capital requirements.</w:t>
      </w:r>
    </w:p>
    <w:p w14:paraId="46756C92" w14:textId="04094D8E" w:rsidR="009A579A" w:rsidRPr="00442A3B" w:rsidRDefault="009A579A" w:rsidP="009A579A">
      <w:pPr>
        <w:pStyle w:val="CGCBullet1"/>
      </w:pPr>
      <w:r w:rsidRPr="00442A3B">
        <w:t xml:space="preserve">The recommended proportion of the GST pool redistributed in 2021-22 is 9.4 % ($6.3 billion) compared with 9.2% ($5.8 billion) in 2020-21. The </w:t>
      </w:r>
      <w:r w:rsidR="00406A14" w:rsidRPr="00442A3B">
        <w:t xml:space="preserve">biggest driver of </w:t>
      </w:r>
      <w:r w:rsidR="00C45208" w:rsidRPr="00442A3B">
        <w:t>this</w:t>
      </w:r>
      <w:r w:rsidRPr="00442A3B">
        <w:t xml:space="preserve"> redistribution </w:t>
      </w:r>
      <w:r w:rsidR="00406A14" w:rsidRPr="00442A3B">
        <w:t>was</w:t>
      </w:r>
      <w:r w:rsidRPr="00442A3B">
        <w:t xml:space="preserve"> the large increase in iron ore royalties</w:t>
      </w:r>
      <w:r w:rsidR="002C4867" w:rsidRPr="00442A3B">
        <w:t xml:space="preserve">. </w:t>
      </w:r>
    </w:p>
    <w:p w14:paraId="07C3884B" w14:textId="21D2FCBA" w:rsidR="009A579A" w:rsidRPr="00442A3B" w:rsidRDefault="009A579A" w:rsidP="00F61DAF">
      <w:pPr>
        <w:pStyle w:val="CGCBullet1"/>
      </w:pPr>
      <w:r w:rsidRPr="00442A3B">
        <w:t>2021-22 is the first year of transition to the new arrangements of equalisation based on the fiscally stronger of New South Wales and Victoria. The main effect of the transition in 2021-22 is to increase Western Australia’s GST share by $629 million.</w:t>
      </w:r>
    </w:p>
    <w:p w14:paraId="687BC95C" w14:textId="77777777" w:rsidR="008A28EE" w:rsidRPr="00442A3B" w:rsidRDefault="008A28EE" w:rsidP="003C2A76">
      <w:pPr>
        <w:spacing w:before="0"/>
      </w:pPr>
    </w:p>
    <w:p w14:paraId="48770CBE" w14:textId="0F0907C5" w:rsidR="00165998" w:rsidRPr="00442A3B" w:rsidRDefault="00165998" w:rsidP="00165998">
      <w:pPr>
        <w:pStyle w:val="Heading3"/>
      </w:pPr>
      <w:bookmarkStart w:id="51" w:name="_Toc65050521"/>
      <w:r w:rsidRPr="00442A3B">
        <w:t xml:space="preserve">Recommended GST </w:t>
      </w:r>
      <w:r w:rsidR="00564D71" w:rsidRPr="00442A3B">
        <w:t>pool</w:t>
      </w:r>
      <w:r w:rsidRPr="00442A3B">
        <w:t xml:space="preserve"> distribution</w:t>
      </w:r>
      <w:bookmarkEnd w:id="51"/>
    </w:p>
    <w:p w14:paraId="5B0F443E" w14:textId="1470A281" w:rsidR="00B75281" w:rsidRPr="00442A3B" w:rsidRDefault="00165998" w:rsidP="000361EA">
      <w:pPr>
        <w:pStyle w:val="CGCParaNumber"/>
        <w:ind w:left="567" w:hanging="567"/>
      </w:pPr>
      <w:r w:rsidRPr="00442A3B">
        <w:fldChar w:fldCharType="begin"/>
      </w:r>
      <w:r w:rsidRPr="00442A3B">
        <w:instrText xml:space="preserve"> REF _Ref27749222 \h </w:instrText>
      </w:r>
      <w:r w:rsidR="000361EA" w:rsidRPr="00442A3B">
        <w:instrText xml:space="preserve"> \* MERGEFORMAT </w:instrText>
      </w:r>
      <w:r w:rsidRPr="00442A3B">
        <w:fldChar w:fldCharType="separate"/>
      </w:r>
      <w:r w:rsidR="00FC3D3D" w:rsidRPr="00442A3B">
        <w:t>Table 1</w:t>
      </w:r>
      <w:r w:rsidR="00FC3D3D" w:rsidRPr="00442A3B">
        <w:noBreakHyphen/>
      </w:r>
      <w:r w:rsidR="00FC3D3D">
        <w:t>1</w:t>
      </w:r>
      <w:r w:rsidRPr="00442A3B">
        <w:fldChar w:fldCharType="end"/>
      </w:r>
      <w:r w:rsidRPr="00442A3B">
        <w:t xml:space="preserve"> </w:t>
      </w:r>
      <w:r w:rsidR="00D41C5B" w:rsidRPr="00442A3B">
        <w:t xml:space="preserve">provides </w:t>
      </w:r>
      <w:r w:rsidR="002801CA" w:rsidRPr="00442A3B">
        <w:t xml:space="preserve">the </w:t>
      </w:r>
      <w:r w:rsidR="00750812" w:rsidRPr="00442A3B">
        <w:t>GST pool sharing</w:t>
      </w:r>
      <w:r w:rsidR="00D56E76" w:rsidRPr="00442A3B">
        <w:t xml:space="preserve"> </w:t>
      </w:r>
      <w:r w:rsidR="00073BF9" w:rsidRPr="00442A3B">
        <w:t xml:space="preserve">relativities </w:t>
      </w:r>
      <w:r w:rsidR="002801CA" w:rsidRPr="00442A3B">
        <w:t xml:space="preserve">the Commission recommends for distributing the pool of funds comprising GST revenue and </w:t>
      </w:r>
      <w:r w:rsidR="00C16E88" w:rsidRPr="00442A3B">
        <w:t>the $600 million</w:t>
      </w:r>
      <w:r w:rsidR="002801CA" w:rsidRPr="00442A3B">
        <w:t xml:space="preserve"> top-up in 2021</w:t>
      </w:r>
      <w:r w:rsidR="000819BF" w:rsidRPr="00442A3B">
        <w:noBreakHyphen/>
      </w:r>
      <w:r w:rsidR="002801CA" w:rsidRPr="00442A3B">
        <w:t>22.</w:t>
      </w:r>
      <w:r w:rsidR="00A17286" w:rsidRPr="00442A3B">
        <w:rPr>
          <w:rStyle w:val="FootnoteReference"/>
        </w:rPr>
        <w:footnoteReference w:id="6"/>
      </w:r>
      <w:r w:rsidR="002801CA" w:rsidRPr="00442A3B">
        <w:t xml:space="preserve"> </w:t>
      </w:r>
    </w:p>
    <w:p w14:paraId="1A30BDA0" w14:textId="01E5911F" w:rsidR="00165998" w:rsidRPr="00442A3B" w:rsidRDefault="00714152" w:rsidP="000361EA">
      <w:pPr>
        <w:pStyle w:val="CGCParaNumber"/>
        <w:ind w:left="567" w:hanging="567"/>
      </w:pPr>
      <w:r w:rsidRPr="00442A3B">
        <w:t xml:space="preserve">The relativities incorporate the </w:t>
      </w:r>
      <w:r w:rsidR="00BE41FD" w:rsidRPr="00442A3B">
        <w:t xml:space="preserve">first year of the </w:t>
      </w:r>
      <w:r w:rsidRPr="00442A3B">
        <w:t xml:space="preserve">transition </w:t>
      </w:r>
      <w:r w:rsidR="00017052" w:rsidRPr="00442A3B">
        <w:t>from equalising based on</w:t>
      </w:r>
      <w:r w:rsidRPr="00442A3B">
        <w:t xml:space="preserve"> State </w:t>
      </w:r>
      <w:r w:rsidR="00017052" w:rsidRPr="00442A3B">
        <w:t xml:space="preserve">relative fiscal capacities </w:t>
      </w:r>
      <w:r w:rsidR="00FE7881" w:rsidRPr="00442A3B">
        <w:t xml:space="preserve">(previous arrangements) </w:t>
      </w:r>
      <w:r w:rsidRPr="00442A3B">
        <w:t xml:space="preserve">to </w:t>
      </w:r>
      <w:r w:rsidR="00700CB1" w:rsidRPr="00442A3B">
        <w:t>equalising to the fiscally stronger of New</w:t>
      </w:r>
      <w:r w:rsidR="00340952" w:rsidRPr="00442A3B">
        <w:t> </w:t>
      </w:r>
      <w:r w:rsidR="00700CB1" w:rsidRPr="00442A3B">
        <w:t>South</w:t>
      </w:r>
      <w:r w:rsidR="00340952" w:rsidRPr="00442A3B">
        <w:t> </w:t>
      </w:r>
      <w:r w:rsidR="00700CB1" w:rsidRPr="00442A3B">
        <w:t>Wales and Victoria (referred</w:t>
      </w:r>
      <w:r w:rsidR="00A843D7" w:rsidRPr="00442A3B">
        <w:t xml:space="preserve"> to as the </w:t>
      </w:r>
      <w:r w:rsidR="00CB7814" w:rsidRPr="00442A3B">
        <w:t>s</w:t>
      </w:r>
      <w:r w:rsidRPr="00442A3B">
        <w:t xml:space="preserve">tandard State </w:t>
      </w:r>
      <w:r w:rsidR="00D059BA" w:rsidRPr="00442A3B">
        <w:t>capacities)</w:t>
      </w:r>
      <w:r w:rsidR="005A4250" w:rsidRPr="00442A3B">
        <w:t xml:space="preserve">, consistent with the </w:t>
      </w:r>
      <w:r w:rsidR="0072121E" w:rsidRPr="00442A3B">
        <w:t xml:space="preserve">new </w:t>
      </w:r>
      <w:r w:rsidR="00A17D9A" w:rsidRPr="00442A3B">
        <w:t xml:space="preserve">equalisation </w:t>
      </w:r>
      <w:r w:rsidR="0072121E" w:rsidRPr="00442A3B">
        <w:t>arrangements</w:t>
      </w:r>
      <w:r w:rsidR="0073669C" w:rsidRPr="00442A3B">
        <w:t xml:space="preserve"> (new arrangements</w:t>
      </w:r>
      <w:r w:rsidR="00292E84" w:rsidRPr="00442A3B">
        <w:t>)</w:t>
      </w:r>
      <w:r w:rsidR="005A4250" w:rsidRPr="00442A3B">
        <w:t>.</w:t>
      </w:r>
      <w:r w:rsidR="00923CB9" w:rsidRPr="00442A3B">
        <w:rPr>
          <w:rStyle w:val="FootnoteReference"/>
        </w:rPr>
        <w:footnoteReference w:id="7"/>
      </w:r>
      <w:r w:rsidRPr="00442A3B">
        <w:rPr>
          <w:rStyle w:val="FootnoteReference"/>
        </w:rPr>
        <w:t xml:space="preserve"> </w:t>
      </w:r>
      <w:r w:rsidR="009F6BE5" w:rsidRPr="00442A3B">
        <w:fldChar w:fldCharType="begin"/>
      </w:r>
      <w:r w:rsidR="009F6BE5" w:rsidRPr="00442A3B">
        <w:rPr>
          <w:rStyle w:val="FootnoteReference"/>
        </w:rPr>
        <w:instrText xml:space="preserve"> REF _Ref27749222 \h </w:instrText>
      </w:r>
      <w:r w:rsidR="00442A3B">
        <w:instrText xml:space="preserve"> \* MERGEFORMAT </w:instrText>
      </w:r>
      <w:r w:rsidR="009F6BE5" w:rsidRPr="00442A3B">
        <w:fldChar w:fldCharType="separate"/>
      </w:r>
      <w:r w:rsidR="00FC3D3D" w:rsidRPr="00442A3B">
        <w:t>Table 1</w:t>
      </w:r>
      <w:r w:rsidR="00FC3D3D" w:rsidRPr="00442A3B">
        <w:noBreakHyphen/>
      </w:r>
      <w:r w:rsidR="00FC3D3D">
        <w:t>1</w:t>
      </w:r>
      <w:r w:rsidR="009F6BE5" w:rsidRPr="00442A3B">
        <w:fldChar w:fldCharType="end"/>
      </w:r>
      <w:r w:rsidR="00E54E21" w:rsidRPr="00442A3B">
        <w:t xml:space="preserve"> </w:t>
      </w:r>
      <w:r w:rsidR="00165998" w:rsidRPr="00442A3B">
        <w:t xml:space="preserve">also shows State shares of the GST </w:t>
      </w:r>
      <w:r w:rsidR="009B4699" w:rsidRPr="00442A3B">
        <w:t>pool</w:t>
      </w:r>
      <w:r w:rsidR="00165998" w:rsidRPr="00442A3B">
        <w:t xml:space="preserve"> implied by the Commission’s 202</w:t>
      </w:r>
      <w:r w:rsidR="00165268" w:rsidRPr="00442A3B">
        <w:t>1</w:t>
      </w:r>
      <w:r w:rsidR="00165998" w:rsidRPr="00442A3B">
        <w:noBreakHyphen/>
        <w:t>2</w:t>
      </w:r>
      <w:r w:rsidR="00165268" w:rsidRPr="00442A3B">
        <w:t>2</w:t>
      </w:r>
      <w:r w:rsidR="00165998" w:rsidRPr="00442A3B">
        <w:t xml:space="preserve"> recommendations and an </w:t>
      </w:r>
      <w:r w:rsidR="00D55223" w:rsidRPr="00442A3B">
        <w:t xml:space="preserve">estimated </w:t>
      </w:r>
      <w:r w:rsidR="00165998" w:rsidRPr="00442A3B">
        <w:t xml:space="preserve">GST </w:t>
      </w:r>
      <w:r w:rsidR="00B1753B" w:rsidRPr="00442A3B">
        <w:t>pool</w:t>
      </w:r>
      <w:r w:rsidR="00165998" w:rsidRPr="00442A3B">
        <w:t xml:space="preserve"> distribution. The table compares these with the results for 20</w:t>
      </w:r>
      <w:r w:rsidR="00165268" w:rsidRPr="00442A3B">
        <w:t>20</w:t>
      </w:r>
      <w:r w:rsidR="00165998" w:rsidRPr="00442A3B">
        <w:noBreakHyphen/>
        <w:t>2</w:t>
      </w:r>
      <w:r w:rsidR="00165268" w:rsidRPr="00442A3B">
        <w:t>1</w:t>
      </w:r>
      <w:r w:rsidR="00165998" w:rsidRPr="00442A3B">
        <w:t>.</w:t>
      </w:r>
    </w:p>
    <w:p w14:paraId="02C31F4B" w14:textId="77777777" w:rsidR="008466A0" w:rsidRPr="00442A3B" w:rsidRDefault="008466A0" w:rsidP="008466A0">
      <w:pPr>
        <w:pStyle w:val="CGCParaNumber"/>
        <w:ind w:left="567" w:hanging="567"/>
        <w:rPr>
          <w:lang w:val="en-US"/>
        </w:rPr>
      </w:pPr>
      <w:r w:rsidRPr="00442A3B">
        <w:t xml:space="preserve">Before deriving its recommended GST pool sharing relativities for 2021-22, the Commission first calculated the relative fiscal capacities of States. This is the amount each State requires from the GST pool to ensure it has the fiscal capacity to provide the (national) average standard of services and associated infrastructure for its population, if it makes the average effort to raise revenue and operates at the average level of efficiency. </w:t>
      </w:r>
      <w:r w:rsidRPr="00442A3B">
        <w:rPr>
          <w:lang w:val="en-US"/>
        </w:rPr>
        <w:t xml:space="preserve">The relative fiscal capacities are the relativities that </w:t>
      </w:r>
      <w:r w:rsidRPr="00442A3B">
        <w:t xml:space="preserve">would have applied had the </w:t>
      </w:r>
      <w:r w:rsidRPr="00442A3B">
        <w:rPr>
          <w:iCs/>
        </w:rPr>
        <w:t>new arrangements not</w:t>
      </w:r>
      <w:r w:rsidRPr="00442A3B">
        <w:t xml:space="preserve"> been enacted. They are also referred to as the ‘no worse off’ relativities.</w:t>
      </w:r>
    </w:p>
    <w:p w14:paraId="5AE76C7A" w14:textId="77C9CE9B" w:rsidR="00165998" w:rsidRPr="00442A3B" w:rsidRDefault="00165998" w:rsidP="0087689B">
      <w:pPr>
        <w:pStyle w:val="Caption"/>
      </w:pPr>
      <w:bookmarkStart w:id="52" w:name="_Ref27749222"/>
      <w:bookmarkStart w:id="53" w:name="_Toc62487269"/>
      <w:bookmarkStart w:id="54" w:name="_Toc62723800"/>
      <w:r w:rsidRPr="00442A3B">
        <w:lastRenderedPageBreak/>
        <w:t>Table 1</w:t>
      </w:r>
      <w:r w:rsidRPr="00442A3B">
        <w:noBreakHyphen/>
      </w:r>
      <w:r w:rsidRPr="00442A3B">
        <w:fldChar w:fldCharType="begin"/>
      </w:r>
      <w:r w:rsidRPr="00442A3B">
        <w:instrText>SEQ Table \* ARABIC</w:instrText>
      </w:r>
      <w:r w:rsidRPr="00442A3B">
        <w:fldChar w:fldCharType="separate"/>
      </w:r>
      <w:r w:rsidR="00FC3D3D">
        <w:rPr>
          <w:noProof/>
        </w:rPr>
        <w:t>1</w:t>
      </w:r>
      <w:r w:rsidRPr="00442A3B">
        <w:fldChar w:fldCharType="end"/>
      </w:r>
      <w:bookmarkEnd w:id="52"/>
      <w:r w:rsidRPr="00442A3B">
        <w:tab/>
        <w:t xml:space="preserve">Relativities, shares and </w:t>
      </w:r>
      <w:r w:rsidR="005E7EE6" w:rsidRPr="00442A3B">
        <w:t xml:space="preserve">estimated </w:t>
      </w:r>
      <w:r w:rsidRPr="00442A3B">
        <w:t>GST distributions, 202</w:t>
      </w:r>
      <w:r w:rsidR="00BC713A" w:rsidRPr="00442A3B">
        <w:t>0</w:t>
      </w:r>
      <w:r w:rsidR="00165268" w:rsidRPr="00442A3B">
        <w:t>-21</w:t>
      </w:r>
      <w:r w:rsidRPr="00442A3B">
        <w:t xml:space="preserve"> and 202</w:t>
      </w:r>
      <w:r w:rsidR="00165268" w:rsidRPr="00442A3B">
        <w:t>1</w:t>
      </w:r>
      <w:r w:rsidRPr="00442A3B">
        <w:noBreakHyphen/>
        <w:t>2</w:t>
      </w:r>
      <w:r w:rsidR="00165268" w:rsidRPr="00442A3B">
        <w:t>2</w:t>
      </w:r>
      <w:bookmarkEnd w:id="53"/>
      <w:bookmarkEnd w:id="54"/>
    </w:p>
    <w:tbl>
      <w:tblPr>
        <w:tblW w:w="8902" w:type="dxa"/>
        <w:tblCellMar>
          <w:left w:w="28" w:type="dxa"/>
          <w:right w:w="28" w:type="dxa"/>
        </w:tblCellMar>
        <w:tblLook w:val="04A0" w:firstRow="1" w:lastRow="0" w:firstColumn="1" w:lastColumn="0" w:noHBand="0" w:noVBand="1"/>
      </w:tblPr>
      <w:tblGrid>
        <w:gridCol w:w="2740"/>
        <w:gridCol w:w="1040"/>
        <w:gridCol w:w="1040"/>
        <w:gridCol w:w="1040"/>
        <w:gridCol w:w="1040"/>
        <w:gridCol w:w="1040"/>
        <w:gridCol w:w="1040"/>
      </w:tblGrid>
      <w:tr w:rsidR="000672C4" w:rsidRPr="00442A3B" w14:paraId="40825EF5" w14:textId="77777777" w:rsidTr="00AF089D">
        <w:trPr>
          <w:trHeight w:val="375"/>
        </w:trPr>
        <w:tc>
          <w:tcPr>
            <w:tcW w:w="2740" w:type="dxa"/>
            <w:tcBorders>
              <w:top w:val="single" w:sz="4" w:space="0" w:color="ADD6EA"/>
              <w:left w:val="nil"/>
              <w:bottom w:val="single" w:sz="4" w:space="0" w:color="ADD6EA"/>
              <w:right w:val="nil"/>
            </w:tcBorders>
            <w:shd w:val="clear" w:color="000000" w:fill="006991"/>
            <w:noWrap/>
            <w:vAlign w:val="center"/>
            <w:hideMark/>
          </w:tcPr>
          <w:p w14:paraId="3AA7BC4A" w14:textId="77777777" w:rsidR="000672C4" w:rsidRPr="00442A3B" w:rsidRDefault="000672C4" w:rsidP="0087689B">
            <w:pPr>
              <w:pStyle w:val="CGCTableHeading"/>
              <w:jc w:val="right"/>
              <w:rPr>
                <w:rFonts w:ascii="Symbol" w:eastAsia="MS Mincho" w:hAnsi="Symbol" w:cs="Symbol" w:hint="eastAsia"/>
                <w:color w:val="FFFFFF"/>
                <w:szCs w:val="16"/>
                <w:lang w:eastAsia="en-AU"/>
              </w:rPr>
            </w:pPr>
            <w:r w:rsidRPr="00442A3B">
              <w:rPr>
                <w:lang w:eastAsia="en-AU"/>
              </w:rPr>
              <w:t> </w:t>
            </w:r>
          </w:p>
        </w:tc>
        <w:tc>
          <w:tcPr>
            <w:tcW w:w="2080" w:type="dxa"/>
            <w:gridSpan w:val="2"/>
            <w:tcBorders>
              <w:top w:val="single" w:sz="4" w:space="0" w:color="ADD6EA"/>
              <w:left w:val="nil"/>
              <w:bottom w:val="single" w:sz="4" w:space="0" w:color="ADD6EA"/>
              <w:right w:val="nil"/>
            </w:tcBorders>
            <w:shd w:val="clear" w:color="000000" w:fill="006991"/>
            <w:noWrap/>
            <w:vAlign w:val="center"/>
            <w:hideMark/>
          </w:tcPr>
          <w:p w14:paraId="4FEF3B26" w14:textId="77777777" w:rsidR="000672C4" w:rsidRPr="00442A3B" w:rsidRDefault="000672C4" w:rsidP="0087689B">
            <w:pPr>
              <w:pStyle w:val="CGCTableHeading"/>
              <w:jc w:val="center"/>
              <w:rPr>
                <w:rFonts w:eastAsia="MS Mincho" w:cs="Open Sans Semibold"/>
                <w:color w:val="FFFFFF"/>
                <w:szCs w:val="16"/>
                <w:lang w:eastAsia="en-AU"/>
              </w:rPr>
            </w:pPr>
            <w:r w:rsidRPr="00442A3B">
              <w:rPr>
                <w:rFonts w:cs="Open Sans Semibold"/>
                <w:lang w:eastAsia="en-AU"/>
              </w:rPr>
              <w:t>Relativities</w:t>
            </w:r>
          </w:p>
        </w:tc>
        <w:tc>
          <w:tcPr>
            <w:tcW w:w="2080" w:type="dxa"/>
            <w:gridSpan w:val="2"/>
            <w:tcBorders>
              <w:top w:val="single" w:sz="4" w:space="0" w:color="ADD6EA"/>
              <w:left w:val="nil"/>
              <w:bottom w:val="single" w:sz="4" w:space="0" w:color="ADD6EA"/>
              <w:right w:val="nil"/>
            </w:tcBorders>
            <w:shd w:val="clear" w:color="000000" w:fill="006991"/>
            <w:noWrap/>
            <w:vAlign w:val="center"/>
            <w:hideMark/>
          </w:tcPr>
          <w:p w14:paraId="27BCF999" w14:textId="77777777" w:rsidR="000672C4" w:rsidRPr="00442A3B" w:rsidRDefault="000672C4" w:rsidP="0087689B">
            <w:pPr>
              <w:pStyle w:val="CGCTableHeading"/>
              <w:jc w:val="center"/>
              <w:rPr>
                <w:rFonts w:eastAsia="MS Mincho" w:cs="Open Sans Semibold"/>
                <w:color w:val="FFFFFF"/>
                <w:szCs w:val="16"/>
                <w:lang w:eastAsia="en-AU"/>
              </w:rPr>
            </w:pPr>
            <w:r w:rsidRPr="00442A3B">
              <w:rPr>
                <w:rFonts w:cs="Open Sans Semibold"/>
                <w:lang w:eastAsia="en-AU"/>
              </w:rPr>
              <w:t xml:space="preserve">GST </w:t>
            </w:r>
            <w:r w:rsidRPr="00442A3B">
              <w:rPr>
                <w:rFonts w:eastAsia="MS Mincho" w:cs="Open Sans Semibold"/>
                <w:color w:val="FFFFFF"/>
                <w:szCs w:val="16"/>
                <w:lang w:eastAsia="en-AU"/>
              </w:rPr>
              <w:t>shares</w:t>
            </w:r>
          </w:p>
        </w:tc>
        <w:tc>
          <w:tcPr>
            <w:tcW w:w="2080" w:type="dxa"/>
            <w:gridSpan w:val="2"/>
            <w:tcBorders>
              <w:top w:val="single" w:sz="4" w:space="0" w:color="ADD6EA"/>
              <w:left w:val="nil"/>
              <w:bottom w:val="single" w:sz="4" w:space="0" w:color="ADD6EA"/>
              <w:right w:val="nil"/>
            </w:tcBorders>
            <w:shd w:val="clear" w:color="000000" w:fill="006991"/>
            <w:noWrap/>
            <w:vAlign w:val="center"/>
            <w:hideMark/>
          </w:tcPr>
          <w:p w14:paraId="17C01F6D" w14:textId="77777777" w:rsidR="000672C4" w:rsidRPr="00442A3B" w:rsidRDefault="000672C4" w:rsidP="0087689B">
            <w:pPr>
              <w:pStyle w:val="CGCTableHeading"/>
              <w:jc w:val="center"/>
              <w:rPr>
                <w:rFonts w:eastAsia="MS Mincho" w:cs="Open Sans Semibold"/>
                <w:color w:val="FFFFFF"/>
                <w:szCs w:val="16"/>
                <w:lang w:eastAsia="en-AU"/>
              </w:rPr>
            </w:pPr>
            <w:r w:rsidRPr="00442A3B">
              <w:rPr>
                <w:rFonts w:cs="Open Sans Semibold"/>
                <w:lang w:eastAsia="en-AU"/>
              </w:rPr>
              <w:t>GST distribution</w:t>
            </w:r>
          </w:p>
        </w:tc>
      </w:tr>
      <w:tr w:rsidR="000672C4" w:rsidRPr="00442A3B" w14:paraId="2B39D96E" w14:textId="77777777" w:rsidTr="00AF089D">
        <w:trPr>
          <w:trHeight w:val="315"/>
        </w:trPr>
        <w:tc>
          <w:tcPr>
            <w:tcW w:w="2740" w:type="dxa"/>
            <w:tcBorders>
              <w:top w:val="nil"/>
              <w:left w:val="nil"/>
              <w:bottom w:val="single" w:sz="4" w:space="0" w:color="ADD6EA"/>
              <w:right w:val="nil"/>
            </w:tcBorders>
            <w:shd w:val="clear" w:color="000000" w:fill="006991"/>
            <w:noWrap/>
            <w:vAlign w:val="center"/>
            <w:hideMark/>
          </w:tcPr>
          <w:p w14:paraId="6481A5FB" w14:textId="77777777" w:rsidR="000672C4" w:rsidRPr="00442A3B" w:rsidRDefault="000672C4" w:rsidP="0087689B">
            <w:pPr>
              <w:pStyle w:val="CGCTableHeading"/>
              <w:jc w:val="right"/>
              <w:rPr>
                <w:rFonts w:ascii="Symbol" w:eastAsia="MS Mincho" w:hAnsi="Symbol" w:cs="Symbol" w:hint="eastAsia"/>
                <w:color w:val="FFFFFF"/>
                <w:szCs w:val="16"/>
                <w:lang w:eastAsia="en-AU"/>
              </w:rPr>
            </w:pPr>
            <w:r w:rsidRPr="00442A3B">
              <w:rPr>
                <w:lang w:eastAsia="en-AU"/>
              </w:rPr>
              <w:t> </w:t>
            </w:r>
          </w:p>
        </w:tc>
        <w:tc>
          <w:tcPr>
            <w:tcW w:w="1040" w:type="dxa"/>
            <w:tcBorders>
              <w:top w:val="nil"/>
              <w:left w:val="nil"/>
              <w:bottom w:val="single" w:sz="4" w:space="0" w:color="ADD6EA"/>
              <w:right w:val="nil"/>
            </w:tcBorders>
            <w:shd w:val="clear" w:color="000000" w:fill="006991"/>
            <w:noWrap/>
            <w:vAlign w:val="center"/>
            <w:hideMark/>
          </w:tcPr>
          <w:p w14:paraId="5CC98B3D" w14:textId="77777777" w:rsidR="000672C4" w:rsidRPr="00442A3B" w:rsidRDefault="000672C4" w:rsidP="0087689B">
            <w:pPr>
              <w:pStyle w:val="CGCTableHeading"/>
              <w:jc w:val="right"/>
              <w:rPr>
                <w:rFonts w:ascii="Symbol" w:eastAsia="MS Mincho" w:hAnsi="Symbol" w:cs="Symbol" w:hint="eastAsia"/>
                <w:color w:val="FFFFFF"/>
                <w:szCs w:val="16"/>
                <w:lang w:eastAsia="en-AU"/>
              </w:rPr>
            </w:pPr>
            <w:r w:rsidRPr="00442A3B">
              <w:rPr>
                <w:lang w:eastAsia="en-AU"/>
              </w:rPr>
              <w:t>2020-21</w:t>
            </w:r>
          </w:p>
        </w:tc>
        <w:tc>
          <w:tcPr>
            <w:tcW w:w="1040" w:type="dxa"/>
            <w:tcBorders>
              <w:top w:val="nil"/>
              <w:left w:val="nil"/>
              <w:bottom w:val="single" w:sz="4" w:space="0" w:color="ADD6EA"/>
              <w:right w:val="nil"/>
            </w:tcBorders>
            <w:shd w:val="clear" w:color="000000" w:fill="006991"/>
            <w:noWrap/>
            <w:vAlign w:val="center"/>
            <w:hideMark/>
          </w:tcPr>
          <w:p w14:paraId="3AEF8312" w14:textId="77777777" w:rsidR="000672C4" w:rsidRPr="00442A3B" w:rsidRDefault="000672C4" w:rsidP="0087689B">
            <w:pPr>
              <w:pStyle w:val="CGCTableHeading"/>
              <w:jc w:val="right"/>
              <w:rPr>
                <w:rFonts w:ascii="Symbol" w:eastAsia="MS Mincho" w:hAnsi="Symbol" w:cs="Symbol" w:hint="eastAsia"/>
                <w:color w:val="FFFFFF"/>
                <w:szCs w:val="16"/>
                <w:lang w:eastAsia="en-AU"/>
              </w:rPr>
            </w:pPr>
            <w:r w:rsidRPr="00442A3B">
              <w:rPr>
                <w:lang w:eastAsia="en-AU"/>
              </w:rPr>
              <w:t>2021-22</w:t>
            </w:r>
          </w:p>
        </w:tc>
        <w:tc>
          <w:tcPr>
            <w:tcW w:w="1040" w:type="dxa"/>
            <w:tcBorders>
              <w:top w:val="nil"/>
              <w:left w:val="nil"/>
              <w:bottom w:val="single" w:sz="4" w:space="0" w:color="ADD6EA"/>
              <w:right w:val="nil"/>
            </w:tcBorders>
            <w:shd w:val="clear" w:color="000000" w:fill="006991"/>
            <w:noWrap/>
            <w:vAlign w:val="center"/>
            <w:hideMark/>
          </w:tcPr>
          <w:p w14:paraId="11841033" w14:textId="77777777" w:rsidR="000672C4" w:rsidRPr="00442A3B" w:rsidRDefault="000672C4" w:rsidP="0087689B">
            <w:pPr>
              <w:pStyle w:val="CGCTableHeading"/>
              <w:jc w:val="right"/>
              <w:rPr>
                <w:rFonts w:ascii="Symbol" w:eastAsia="MS Mincho" w:hAnsi="Symbol" w:cs="Symbol" w:hint="eastAsia"/>
                <w:color w:val="FFFFFF"/>
                <w:szCs w:val="16"/>
                <w:lang w:eastAsia="en-AU"/>
              </w:rPr>
            </w:pPr>
            <w:r w:rsidRPr="00442A3B">
              <w:rPr>
                <w:lang w:eastAsia="en-AU"/>
              </w:rPr>
              <w:t>2020-21</w:t>
            </w:r>
          </w:p>
        </w:tc>
        <w:tc>
          <w:tcPr>
            <w:tcW w:w="1040" w:type="dxa"/>
            <w:tcBorders>
              <w:top w:val="nil"/>
              <w:left w:val="nil"/>
              <w:bottom w:val="single" w:sz="4" w:space="0" w:color="ADD6EA"/>
              <w:right w:val="nil"/>
            </w:tcBorders>
            <w:shd w:val="clear" w:color="000000" w:fill="006991"/>
            <w:noWrap/>
            <w:vAlign w:val="center"/>
            <w:hideMark/>
          </w:tcPr>
          <w:p w14:paraId="126E3305" w14:textId="77777777" w:rsidR="000672C4" w:rsidRPr="00442A3B" w:rsidRDefault="000672C4" w:rsidP="0087689B">
            <w:pPr>
              <w:pStyle w:val="CGCTableHeading"/>
              <w:jc w:val="right"/>
              <w:rPr>
                <w:rFonts w:ascii="Symbol" w:eastAsia="MS Mincho" w:hAnsi="Symbol" w:cs="Symbol" w:hint="eastAsia"/>
                <w:color w:val="FFFFFF"/>
                <w:szCs w:val="16"/>
                <w:lang w:eastAsia="en-AU"/>
              </w:rPr>
            </w:pPr>
            <w:r w:rsidRPr="00442A3B">
              <w:rPr>
                <w:lang w:eastAsia="en-AU"/>
              </w:rPr>
              <w:t>2021-22</w:t>
            </w:r>
          </w:p>
        </w:tc>
        <w:tc>
          <w:tcPr>
            <w:tcW w:w="1040" w:type="dxa"/>
            <w:tcBorders>
              <w:top w:val="nil"/>
              <w:left w:val="nil"/>
              <w:bottom w:val="single" w:sz="4" w:space="0" w:color="ADD6EA"/>
              <w:right w:val="nil"/>
            </w:tcBorders>
            <w:shd w:val="clear" w:color="000000" w:fill="006991"/>
            <w:noWrap/>
            <w:vAlign w:val="center"/>
            <w:hideMark/>
          </w:tcPr>
          <w:p w14:paraId="28A80D07" w14:textId="77777777" w:rsidR="000672C4" w:rsidRPr="00442A3B" w:rsidRDefault="000672C4" w:rsidP="0087689B">
            <w:pPr>
              <w:pStyle w:val="CGCTableHeading"/>
              <w:jc w:val="right"/>
              <w:rPr>
                <w:rFonts w:ascii="Symbol" w:eastAsia="MS Mincho" w:hAnsi="Symbol" w:cs="Symbol" w:hint="eastAsia"/>
                <w:color w:val="FFFFFF"/>
                <w:szCs w:val="16"/>
                <w:lang w:eastAsia="en-AU"/>
              </w:rPr>
            </w:pPr>
            <w:r w:rsidRPr="00442A3B">
              <w:rPr>
                <w:lang w:eastAsia="en-AU"/>
              </w:rPr>
              <w:t>2020-21</w:t>
            </w:r>
          </w:p>
        </w:tc>
        <w:tc>
          <w:tcPr>
            <w:tcW w:w="1040" w:type="dxa"/>
            <w:tcBorders>
              <w:top w:val="nil"/>
              <w:left w:val="nil"/>
              <w:bottom w:val="single" w:sz="4" w:space="0" w:color="ADD6EA"/>
              <w:right w:val="nil"/>
            </w:tcBorders>
            <w:shd w:val="clear" w:color="000000" w:fill="006991"/>
            <w:noWrap/>
            <w:vAlign w:val="center"/>
            <w:hideMark/>
          </w:tcPr>
          <w:p w14:paraId="52088096" w14:textId="77777777" w:rsidR="000672C4" w:rsidRPr="00442A3B" w:rsidRDefault="000672C4" w:rsidP="0087689B">
            <w:pPr>
              <w:pStyle w:val="CGCTableHeading"/>
              <w:jc w:val="right"/>
              <w:rPr>
                <w:rFonts w:ascii="Symbol" w:eastAsia="MS Mincho" w:hAnsi="Symbol" w:cs="Symbol" w:hint="eastAsia"/>
                <w:color w:val="FFFFFF"/>
                <w:szCs w:val="16"/>
                <w:lang w:eastAsia="en-AU"/>
              </w:rPr>
            </w:pPr>
            <w:r w:rsidRPr="00442A3B">
              <w:rPr>
                <w:lang w:eastAsia="en-AU"/>
              </w:rPr>
              <w:t>2021-22</w:t>
            </w:r>
          </w:p>
        </w:tc>
      </w:tr>
      <w:tr w:rsidR="000672C4" w:rsidRPr="00442A3B" w14:paraId="7DCDF000" w14:textId="77777777" w:rsidTr="00AF089D">
        <w:trPr>
          <w:trHeight w:val="259"/>
        </w:trPr>
        <w:tc>
          <w:tcPr>
            <w:tcW w:w="2740" w:type="dxa"/>
            <w:tcBorders>
              <w:top w:val="nil"/>
              <w:left w:val="nil"/>
              <w:bottom w:val="single" w:sz="4" w:space="0" w:color="ADD6EA"/>
              <w:right w:val="nil"/>
            </w:tcBorders>
            <w:shd w:val="clear" w:color="000000" w:fill="B6D5E4"/>
            <w:noWrap/>
            <w:vAlign w:val="center"/>
            <w:hideMark/>
          </w:tcPr>
          <w:p w14:paraId="655709C1" w14:textId="77777777" w:rsidR="000672C4" w:rsidRPr="00442A3B" w:rsidRDefault="000672C4" w:rsidP="0087689B">
            <w:pPr>
              <w:keepNext/>
              <w:keepLines/>
              <w:tabs>
                <w:tab w:val="clear" w:pos="567"/>
              </w:tabs>
              <w:spacing w:before="0" w:line="240" w:lineRule="auto"/>
              <w:jc w:val="center"/>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 </w:t>
            </w:r>
          </w:p>
        </w:tc>
        <w:tc>
          <w:tcPr>
            <w:tcW w:w="1040" w:type="dxa"/>
            <w:tcBorders>
              <w:top w:val="nil"/>
              <w:left w:val="nil"/>
              <w:bottom w:val="single" w:sz="4" w:space="0" w:color="ADD6EA"/>
              <w:right w:val="nil"/>
            </w:tcBorders>
            <w:shd w:val="clear" w:color="000000" w:fill="B6D5E4"/>
            <w:noWrap/>
            <w:vAlign w:val="center"/>
            <w:hideMark/>
          </w:tcPr>
          <w:p w14:paraId="571E252D" w14:textId="77777777" w:rsidR="000672C4" w:rsidRPr="00442A3B" w:rsidRDefault="000672C4" w:rsidP="0087689B">
            <w:pPr>
              <w:keepNext/>
              <w:keepLines/>
              <w:tabs>
                <w:tab w:val="clear" w:pos="567"/>
              </w:tabs>
              <w:spacing w:before="0" w:line="240" w:lineRule="auto"/>
              <w:jc w:val="center"/>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 </w:t>
            </w:r>
          </w:p>
        </w:tc>
        <w:tc>
          <w:tcPr>
            <w:tcW w:w="1040" w:type="dxa"/>
            <w:tcBorders>
              <w:top w:val="nil"/>
              <w:left w:val="nil"/>
              <w:bottom w:val="single" w:sz="4" w:space="0" w:color="ADD6EA"/>
              <w:right w:val="nil"/>
            </w:tcBorders>
            <w:shd w:val="clear" w:color="000000" w:fill="B6D5E4"/>
            <w:noWrap/>
            <w:vAlign w:val="center"/>
            <w:hideMark/>
          </w:tcPr>
          <w:p w14:paraId="3A85170D" w14:textId="77777777" w:rsidR="000672C4" w:rsidRPr="00442A3B" w:rsidRDefault="000672C4" w:rsidP="0087689B">
            <w:pPr>
              <w:keepNext/>
              <w:keepLines/>
              <w:tabs>
                <w:tab w:val="clear" w:pos="567"/>
              </w:tabs>
              <w:spacing w:before="0" w:line="240" w:lineRule="auto"/>
              <w:jc w:val="center"/>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 </w:t>
            </w:r>
          </w:p>
        </w:tc>
        <w:tc>
          <w:tcPr>
            <w:tcW w:w="1040" w:type="dxa"/>
            <w:tcBorders>
              <w:top w:val="nil"/>
              <w:left w:val="nil"/>
              <w:bottom w:val="single" w:sz="4" w:space="0" w:color="ADD6EA"/>
              <w:right w:val="nil"/>
            </w:tcBorders>
            <w:shd w:val="clear" w:color="000000" w:fill="B6D5E4"/>
            <w:noWrap/>
            <w:vAlign w:val="center"/>
            <w:hideMark/>
          </w:tcPr>
          <w:p w14:paraId="1ED21030" w14:textId="77777777" w:rsidR="000672C4" w:rsidRPr="00442A3B" w:rsidRDefault="000672C4" w:rsidP="0087689B">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w:t>
            </w:r>
          </w:p>
        </w:tc>
        <w:tc>
          <w:tcPr>
            <w:tcW w:w="1040" w:type="dxa"/>
            <w:tcBorders>
              <w:top w:val="nil"/>
              <w:left w:val="nil"/>
              <w:bottom w:val="single" w:sz="4" w:space="0" w:color="ADD6EA"/>
              <w:right w:val="nil"/>
            </w:tcBorders>
            <w:shd w:val="clear" w:color="000000" w:fill="B6D5E4"/>
            <w:noWrap/>
            <w:vAlign w:val="center"/>
            <w:hideMark/>
          </w:tcPr>
          <w:p w14:paraId="7BC3B955" w14:textId="77777777" w:rsidR="000672C4" w:rsidRPr="00442A3B" w:rsidRDefault="000672C4" w:rsidP="0087689B">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w:t>
            </w:r>
          </w:p>
        </w:tc>
        <w:tc>
          <w:tcPr>
            <w:tcW w:w="1040" w:type="dxa"/>
            <w:tcBorders>
              <w:top w:val="nil"/>
              <w:left w:val="nil"/>
              <w:bottom w:val="single" w:sz="4" w:space="0" w:color="ADD6EA"/>
              <w:right w:val="nil"/>
            </w:tcBorders>
            <w:shd w:val="clear" w:color="000000" w:fill="B6D5E4"/>
            <w:noWrap/>
            <w:vAlign w:val="center"/>
            <w:hideMark/>
          </w:tcPr>
          <w:p w14:paraId="1EA9DF0D" w14:textId="77777777" w:rsidR="000672C4" w:rsidRPr="00442A3B" w:rsidRDefault="000672C4" w:rsidP="0087689B">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$m</w:t>
            </w:r>
          </w:p>
        </w:tc>
        <w:tc>
          <w:tcPr>
            <w:tcW w:w="1040" w:type="dxa"/>
            <w:tcBorders>
              <w:top w:val="nil"/>
              <w:left w:val="nil"/>
              <w:bottom w:val="single" w:sz="4" w:space="0" w:color="ADD6EA"/>
              <w:right w:val="nil"/>
            </w:tcBorders>
            <w:shd w:val="clear" w:color="000000" w:fill="B6D5E4"/>
            <w:noWrap/>
            <w:vAlign w:val="center"/>
            <w:hideMark/>
          </w:tcPr>
          <w:p w14:paraId="75DEC239" w14:textId="77777777" w:rsidR="000672C4" w:rsidRPr="00442A3B" w:rsidRDefault="000672C4" w:rsidP="0087689B">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$m</w:t>
            </w:r>
          </w:p>
        </w:tc>
      </w:tr>
      <w:tr w:rsidR="000672C4" w:rsidRPr="00442A3B" w14:paraId="3A97C1AC" w14:textId="77777777" w:rsidTr="00AF089D">
        <w:trPr>
          <w:trHeight w:val="315"/>
        </w:trPr>
        <w:tc>
          <w:tcPr>
            <w:tcW w:w="2740" w:type="dxa"/>
            <w:tcBorders>
              <w:top w:val="nil"/>
              <w:left w:val="nil"/>
              <w:bottom w:val="single" w:sz="4" w:space="0" w:color="ADD6EA"/>
              <w:right w:val="nil"/>
            </w:tcBorders>
            <w:shd w:val="clear" w:color="auto" w:fill="auto"/>
            <w:vAlign w:val="bottom"/>
            <w:hideMark/>
          </w:tcPr>
          <w:p w14:paraId="607D3466" w14:textId="77777777" w:rsidR="000672C4" w:rsidRPr="00442A3B" w:rsidRDefault="000672C4" w:rsidP="0087689B">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New South Wales</w:t>
            </w:r>
          </w:p>
        </w:tc>
        <w:tc>
          <w:tcPr>
            <w:tcW w:w="1040" w:type="dxa"/>
            <w:tcBorders>
              <w:top w:val="nil"/>
              <w:left w:val="nil"/>
              <w:bottom w:val="single" w:sz="4" w:space="0" w:color="ADD6EA"/>
              <w:right w:val="nil"/>
            </w:tcBorders>
            <w:shd w:val="clear" w:color="auto" w:fill="auto"/>
            <w:vAlign w:val="bottom"/>
            <w:hideMark/>
          </w:tcPr>
          <w:p w14:paraId="3E500565" w14:textId="77777777" w:rsidR="000672C4" w:rsidRPr="00442A3B" w:rsidRDefault="000672C4" w:rsidP="0087689B">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0.91808</w:t>
            </w:r>
          </w:p>
        </w:tc>
        <w:tc>
          <w:tcPr>
            <w:tcW w:w="1040" w:type="dxa"/>
            <w:tcBorders>
              <w:top w:val="nil"/>
              <w:left w:val="nil"/>
              <w:bottom w:val="single" w:sz="4" w:space="0" w:color="ADD6EA"/>
              <w:right w:val="nil"/>
            </w:tcBorders>
            <w:shd w:val="clear" w:color="000000" w:fill="D6E7F0"/>
            <w:vAlign w:val="bottom"/>
            <w:hideMark/>
          </w:tcPr>
          <w:p w14:paraId="1EEBD374" w14:textId="77777777" w:rsidR="000672C4" w:rsidRPr="00442A3B" w:rsidRDefault="000672C4" w:rsidP="0087689B">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0.95617</w:t>
            </w:r>
          </w:p>
        </w:tc>
        <w:tc>
          <w:tcPr>
            <w:tcW w:w="1040" w:type="dxa"/>
            <w:tcBorders>
              <w:top w:val="nil"/>
              <w:left w:val="nil"/>
              <w:bottom w:val="single" w:sz="4" w:space="0" w:color="ADD6EA"/>
              <w:right w:val="nil"/>
            </w:tcBorders>
            <w:shd w:val="clear" w:color="auto" w:fill="auto"/>
            <w:vAlign w:val="bottom"/>
            <w:hideMark/>
          </w:tcPr>
          <w:p w14:paraId="581BC1DC" w14:textId="77777777" w:rsidR="000672C4" w:rsidRPr="00442A3B" w:rsidRDefault="000672C4" w:rsidP="0087689B">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29.2</w:t>
            </w:r>
          </w:p>
        </w:tc>
        <w:tc>
          <w:tcPr>
            <w:tcW w:w="1040" w:type="dxa"/>
            <w:tcBorders>
              <w:top w:val="nil"/>
              <w:left w:val="nil"/>
              <w:bottom w:val="single" w:sz="4" w:space="0" w:color="ADD6EA"/>
              <w:right w:val="nil"/>
            </w:tcBorders>
            <w:shd w:val="clear" w:color="000000" w:fill="D6E7F0"/>
            <w:vAlign w:val="bottom"/>
            <w:hideMark/>
          </w:tcPr>
          <w:p w14:paraId="3BE90205" w14:textId="77777777" w:rsidR="000672C4" w:rsidRPr="00442A3B" w:rsidRDefault="000672C4" w:rsidP="0087689B">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30.3</w:t>
            </w:r>
          </w:p>
        </w:tc>
        <w:tc>
          <w:tcPr>
            <w:tcW w:w="1040" w:type="dxa"/>
            <w:tcBorders>
              <w:top w:val="nil"/>
              <w:left w:val="nil"/>
              <w:bottom w:val="single" w:sz="4" w:space="0" w:color="ADD6EA"/>
              <w:right w:val="nil"/>
            </w:tcBorders>
            <w:shd w:val="clear" w:color="auto" w:fill="auto"/>
            <w:vAlign w:val="bottom"/>
            <w:hideMark/>
          </w:tcPr>
          <w:p w14:paraId="74FF3F46" w14:textId="77777777" w:rsidR="000672C4" w:rsidRPr="00442A3B" w:rsidRDefault="000672C4" w:rsidP="0087689B">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18,453</w:t>
            </w:r>
          </w:p>
        </w:tc>
        <w:tc>
          <w:tcPr>
            <w:tcW w:w="1040" w:type="dxa"/>
            <w:tcBorders>
              <w:top w:val="nil"/>
              <w:left w:val="nil"/>
              <w:bottom w:val="single" w:sz="4" w:space="0" w:color="ADD6EA"/>
              <w:right w:val="nil"/>
            </w:tcBorders>
            <w:shd w:val="clear" w:color="000000" w:fill="D6E7F0"/>
            <w:vAlign w:val="bottom"/>
            <w:hideMark/>
          </w:tcPr>
          <w:p w14:paraId="7F2B48E0" w14:textId="77777777" w:rsidR="000672C4" w:rsidRPr="00442A3B" w:rsidRDefault="000672C4" w:rsidP="0087689B">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20,347</w:t>
            </w:r>
          </w:p>
        </w:tc>
      </w:tr>
      <w:tr w:rsidR="000672C4" w:rsidRPr="00442A3B" w14:paraId="5F8C7F67" w14:textId="77777777" w:rsidTr="00AF089D">
        <w:trPr>
          <w:trHeight w:val="315"/>
        </w:trPr>
        <w:tc>
          <w:tcPr>
            <w:tcW w:w="2740" w:type="dxa"/>
            <w:tcBorders>
              <w:top w:val="nil"/>
              <w:left w:val="nil"/>
              <w:bottom w:val="single" w:sz="4" w:space="0" w:color="ADD6EA"/>
              <w:right w:val="nil"/>
            </w:tcBorders>
            <w:shd w:val="clear" w:color="auto" w:fill="auto"/>
            <w:vAlign w:val="bottom"/>
            <w:hideMark/>
          </w:tcPr>
          <w:p w14:paraId="6AEDA68B" w14:textId="77777777" w:rsidR="000672C4" w:rsidRPr="00442A3B" w:rsidRDefault="000672C4" w:rsidP="0087689B">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Victoria</w:t>
            </w:r>
          </w:p>
        </w:tc>
        <w:tc>
          <w:tcPr>
            <w:tcW w:w="1040" w:type="dxa"/>
            <w:tcBorders>
              <w:top w:val="nil"/>
              <w:left w:val="nil"/>
              <w:bottom w:val="single" w:sz="4" w:space="0" w:color="ADD6EA"/>
              <w:right w:val="nil"/>
            </w:tcBorders>
            <w:shd w:val="clear" w:color="auto" w:fill="auto"/>
            <w:vAlign w:val="bottom"/>
            <w:hideMark/>
          </w:tcPr>
          <w:p w14:paraId="3A1B1224" w14:textId="77777777" w:rsidR="000672C4" w:rsidRPr="00442A3B" w:rsidRDefault="000672C4" w:rsidP="0087689B">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0.95992</w:t>
            </w:r>
          </w:p>
        </w:tc>
        <w:tc>
          <w:tcPr>
            <w:tcW w:w="1040" w:type="dxa"/>
            <w:tcBorders>
              <w:top w:val="nil"/>
              <w:left w:val="nil"/>
              <w:bottom w:val="single" w:sz="4" w:space="0" w:color="ADD6EA"/>
              <w:right w:val="nil"/>
            </w:tcBorders>
            <w:shd w:val="clear" w:color="000000" w:fill="D6E7F0"/>
            <w:vAlign w:val="bottom"/>
            <w:hideMark/>
          </w:tcPr>
          <w:p w14:paraId="3B93BB6E" w14:textId="77777777" w:rsidR="000672C4" w:rsidRPr="00442A3B" w:rsidRDefault="000672C4" w:rsidP="0087689B">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0.92335</w:t>
            </w:r>
          </w:p>
        </w:tc>
        <w:tc>
          <w:tcPr>
            <w:tcW w:w="1040" w:type="dxa"/>
            <w:tcBorders>
              <w:top w:val="nil"/>
              <w:left w:val="nil"/>
              <w:bottom w:val="single" w:sz="4" w:space="0" w:color="ADD6EA"/>
              <w:right w:val="nil"/>
            </w:tcBorders>
            <w:shd w:val="clear" w:color="auto" w:fill="auto"/>
            <w:vAlign w:val="bottom"/>
            <w:hideMark/>
          </w:tcPr>
          <w:p w14:paraId="2D8A4853" w14:textId="77777777" w:rsidR="000672C4" w:rsidRPr="00442A3B" w:rsidRDefault="000672C4" w:rsidP="0087689B">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25.1</w:t>
            </w:r>
          </w:p>
        </w:tc>
        <w:tc>
          <w:tcPr>
            <w:tcW w:w="1040" w:type="dxa"/>
            <w:tcBorders>
              <w:top w:val="nil"/>
              <w:left w:val="nil"/>
              <w:bottom w:val="single" w:sz="4" w:space="0" w:color="ADD6EA"/>
              <w:right w:val="nil"/>
            </w:tcBorders>
            <w:shd w:val="clear" w:color="000000" w:fill="D6E7F0"/>
            <w:vAlign w:val="bottom"/>
            <w:hideMark/>
          </w:tcPr>
          <w:p w14:paraId="2D055811" w14:textId="77777777" w:rsidR="000672C4" w:rsidRPr="00442A3B" w:rsidRDefault="000672C4" w:rsidP="0087689B">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24.1</w:t>
            </w:r>
          </w:p>
        </w:tc>
        <w:tc>
          <w:tcPr>
            <w:tcW w:w="1040" w:type="dxa"/>
            <w:tcBorders>
              <w:top w:val="nil"/>
              <w:left w:val="nil"/>
              <w:bottom w:val="single" w:sz="4" w:space="0" w:color="ADD6EA"/>
              <w:right w:val="nil"/>
            </w:tcBorders>
            <w:shd w:val="clear" w:color="auto" w:fill="auto"/>
            <w:vAlign w:val="bottom"/>
            <w:hideMark/>
          </w:tcPr>
          <w:p w14:paraId="41105BB1" w14:textId="77777777" w:rsidR="000672C4" w:rsidRPr="00442A3B" w:rsidRDefault="000672C4" w:rsidP="0087689B">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15,876</w:t>
            </w:r>
          </w:p>
        </w:tc>
        <w:tc>
          <w:tcPr>
            <w:tcW w:w="1040" w:type="dxa"/>
            <w:tcBorders>
              <w:top w:val="nil"/>
              <w:left w:val="nil"/>
              <w:bottom w:val="single" w:sz="4" w:space="0" w:color="ADD6EA"/>
              <w:right w:val="nil"/>
            </w:tcBorders>
            <w:shd w:val="clear" w:color="000000" w:fill="D6E7F0"/>
            <w:vAlign w:val="bottom"/>
            <w:hideMark/>
          </w:tcPr>
          <w:p w14:paraId="2B9A7523" w14:textId="77777777" w:rsidR="000672C4" w:rsidRPr="00442A3B" w:rsidRDefault="000672C4" w:rsidP="0087689B">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16,220</w:t>
            </w:r>
          </w:p>
        </w:tc>
      </w:tr>
      <w:tr w:rsidR="000672C4" w:rsidRPr="00442A3B" w14:paraId="7306492D" w14:textId="77777777" w:rsidTr="00AF089D">
        <w:trPr>
          <w:trHeight w:val="315"/>
        </w:trPr>
        <w:tc>
          <w:tcPr>
            <w:tcW w:w="2740" w:type="dxa"/>
            <w:tcBorders>
              <w:top w:val="nil"/>
              <w:left w:val="nil"/>
              <w:bottom w:val="single" w:sz="4" w:space="0" w:color="ADD6EA"/>
              <w:right w:val="nil"/>
            </w:tcBorders>
            <w:shd w:val="clear" w:color="auto" w:fill="auto"/>
            <w:vAlign w:val="bottom"/>
            <w:hideMark/>
          </w:tcPr>
          <w:p w14:paraId="2C007B65" w14:textId="77777777" w:rsidR="000672C4" w:rsidRPr="00442A3B" w:rsidRDefault="000672C4" w:rsidP="0087689B">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Queensland</w:t>
            </w:r>
          </w:p>
        </w:tc>
        <w:tc>
          <w:tcPr>
            <w:tcW w:w="1040" w:type="dxa"/>
            <w:tcBorders>
              <w:top w:val="nil"/>
              <w:left w:val="nil"/>
              <w:bottom w:val="single" w:sz="4" w:space="0" w:color="ADD6EA"/>
              <w:right w:val="nil"/>
            </w:tcBorders>
            <w:shd w:val="clear" w:color="auto" w:fill="auto"/>
            <w:vAlign w:val="bottom"/>
            <w:hideMark/>
          </w:tcPr>
          <w:p w14:paraId="298A9787" w14:textId="77777777" w:rsidR="000672C4" w:rsidRPr="00442A3B" w:rsidRDefault="000672C4" w:rsidP="0087689B">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1.04907</w:t>
            </w:r>
          </w:p>
        </w:tc>
        <w:tc>
          <w:tcPr>
            <w:tcW w:w="1040" w:type="dxa"/>
            <w:tcBorders>
              <w:top w:val="nil"/>
              <w:left w:val="nil"/>
              <w:bottom w:val="single" w:sz="4" w:space="0" w:color="ADD6EA"/>
              <w:right w:val="nil"/>
            </w:tcBorders>
            <w:shd w:val="clear" w:color="000000" w:fill="D6E7F0"/>
            <w:vAlign w:val="bottom"/>
            <w:hideMark/>
          </w:tcPr>
          <w:p w14:paraId="44E3D49C" w14:textId="77777777" w:rsidR="000672C4" w:rsidRPr="00442A3B" w:rsidRDefault="000672C4" w:rsidP="0087689B">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1.05918</w:t>
            </w:r>
          </w:p>
        </w:tc>
        <w:tc>
          <w:tcPr>
            <w:tcW w:w="1040" w:type="dxa"/>
            <w:tcBorders>
              <w:top w:val="nil"/>
              <w:left w:val="nil"/>
              <w:bottom w:val="single" w:sz="4" w:space="0" w:color="ADD6EA"/>
              <w:right w:val="nil"/>
            </w:tcBorders>
            <w:shd w:val="clear" w:color="auto" w:fill="auto"/>
            <w:vAlign w:val="bottom"/>
            <w:hideMark/>
          </w:tcPr>
          <w:p w14:paraId="736031D8" w14:textId="77777777" w:rsidR="000672C4" w:rsidRPr="00442A3B" w:rsidRDefault="000672C4" w:rsidP="0087689B">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21.2</w:t>
            </w:r>
          </w:p>
        </w:tc>
        <w:tc>
          <w:tcPr>
            <w:tcW w:w="1040" w:type="dxa"/>
            <w:tcBorders>
              <w:top w:val="nil"/>
              <w:left w:val="nil"/>
              <w:bottom w:val="single" w:sz="4" w:space="0" w:color="ADD6EA"/>
              <w:right w:val="nil"/>
            </w:tcBorders>
            <w:shd w:val="clear" w:color="000000" w:fill="D6E7F0"/>
            <w:vAlign w:val="bottom"/>
            <w:hideMark/>
          </w:tcPr>
          <w:p w14:paraId="4C652F1E" w14:textId="77777777" w:rsidR="000672C4" w:rsidRPr="00442A3B" w:rsidRDefault="000672C4" w:rsidP="0087689B">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21.5</w:t>
            </w:r>
          </w:p>
        </w:tc>
        <w:tc>
          <w:tcPr>
            <w:tcW w:w="1040" w:type="dxa"/>
            <w:tcBorders>
              <w:top w:val="nil"/>
              <w:left w:val="nil"/>
              <w:bottom w:val="single" w:sz="4" w:space="0" w:color="ADD6EA"/>
              <w:right w:val="nil"/>
            </w:tcBorders>
            <w:shd w:val="clear" w:color="auto" w:fill="auto"/>
            <w:vAlign w:val="bottom"/>
            <w:hideMark/>
          </w:tcPr>
          <w:p w14:paraId="60CD7148" w14:textId="77777777" w:rsidR="000672C4" w:rsidRPr="00442A3B" w:rsidRDefault="000672C4" w:rsidP="0087689B">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13,387</w:t>
            </w:r>
          </w:p>
        </w:tc>
        <w:tc>
          <w:tcPr>
            <w:tcW w:w="1040" w:type="dxa"/>
            <w:tcBorders>
              <w:top w:val="nil"/>
              <w:left w:val="nil"/>
              <w:bottom w:val="single" w:sz="4" w:space="0" w:color="ADD6EA"/>
              <w:right w:val="nil"/>
            </w:tcBorders>
            <w:shd w:val="clear" w:color="000000" w:fill="D6E7F0"/>
            <w:vAlign w:val="bottom"/>
            <w:hideMark/>
          </w:tcPr>
          <w:p w14:paraId="447FB9C3" w14:textId="77777777" w:rsidR="000672C4" w:rsidRPr="00442A3B" w:rsidRDefault="000672C4" w:rsidP="0087689B">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14,411</w:t>
            </w:r>
          </w:p>
        </w:tc>
      </w:tr>
      <w:tr w:rsidR="000672C4" w:rsidRPr="00442A3B" w14:paraId="6FAE6D52" w14:textId="77777777" w:rsidTr="00AF089D">
        <w:trPr>
          <w:trHeight w:val="315"/>
        </w:trPr>
        <w:tc>
          <w:tcPr>
            <w:tcW w:w="2740" w:type="dxa"/>
            <w:tcBorders>
              <w:top w:val="nil"/>
              <w:left w:val="nil"/>
              <w:bottom w:val="single" w:sz="4" w:space="0" w:color="ADD6EA"/>
              <w:right w:val="nil"/>
            </w:tcBorders>
            <w:shd w:val="clear" w:color="auto" w:fill="auto"/>
            <w:vAlign w:val="bottom"/>
            <w:hideMark/>
          </w:tcPr>
          <w:p w14:paraId="53322D4C" w14:textId="77777777" w:rsidR="000672C4" w:rsidRPr="00442A3B" w:rsidRDefault="000672C4" w:rsidP="0087689B">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Western Australia</w:t>
            </w:r>
          </w:p>
        </w:tc>
        <w:tc>
          <w:tcPr>
            <w:tcW w:w="1040" w:type="dxa"/>
            <w:tcBorders>
              <w:top w:val="nil"/>
              <w:left w:val="nil"/>
              <w:bottom w:val="single" w:sz="4" w:space="0" w:color="ADD6EA"/>
              <w:right w:val="nil"/>
            </w:tcBorders>
            <w:shd w:val="clear" w:color="auto" w:fill="auto"/>
            <w:vAlign w:val="bottom"/>
            <w:hideMark/>
          </w:tcPr>
          <w:p w14:paraId="47009074" w14:textId="77777777" w:rsidR="000672C4" w:rsidRPr="00442A3B" w:rsidRDefault="000672C4" w:rsidP="0087689B">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0.44970</w:t>
            </w:r>
          </w:p>
        </w:tc>
        <w:tc>
          <w:tcPr>
            <w:tcW w:w="1040" w:type="dxa"/>
            <w:tcBorders>
              <w:top w:val="nil"/>
              <w:left w:val="nil"/>
              <w:bottom w:val="single" w:sz="4" w:space="0" w:color="ADD6EA"/>
              <w:right w:val="nil"/>
            </w:tcBorders>
            <w:shd w:val="clear" w:color="000000" w:fill="D6E7F0"/>
            <w:vAlign w:val="bottom"/>
            <w:hideMark/>
          </w:tcPr>
          <w:p w14:paraId="7BB295CB" w14:textId="77777777" w:rsidR="000672C4" w:rsidRPr="00442A3B" w:rsidRDefault="000672C4" w:rsidP="0087689B">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0.41967</w:t>
            </w:r>
          </w:p>
        </w:tc>
        <w:tc>
          <w:tcPr>
            <w:tcW w:w="1040" w:type="dxa"/>
            <w:tcBorders>
              <w:top w:val="nil"/>
              <w:left w:val="nil"/>
              <w:bottom w:val="single" w:sz="4" w:space="0" w:color="ADD6EA"/>
              <w:right w:val="nil"/>
            </w:tcBorders>
            <w:shd w:val="clear" w:color="auto" w:fill="auto"/>
            <w:vAlign w:val="bottom"/>
            <w:hideMark/>
          </w:tcPr>
          <w:p w14:paraId="0D297CEB" w14:textId="77777777" w:rsidR="000672C4" w:rsidRPr="00442A3B" w:rsidRDefault="000672C4" w:rsidP="0087689B">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4.7</w:t>
            </w:r>
          </w:p>
        </w:tc>
        <w:tc>
          <w:tcPr>
            <w:tcW w:w="1040" w:type="dxa"/>
            <w:tcBorders>
              <w:top w:val="nil"/>
              <w:left w:val="nil"/>
              <w:bottom w:val="single" w:sz="4" w:space="0" w:color="ADD6EA"/>
              <w:right w:val="nil"/>
            </w:tcBorders>
            <w:shd w:val="clear" w:color="000000" w:fill="D6E7F0"/>
            <w:vAlign w:val="bottom"/>
            <w:hideMark/>
          </w:tcPr>
          <w:p w14:paraId="0BA9F3B4" w14:textId="77777777" w:rsidR="000672C4" w:rsidRPr="00442A3B" w:rsidRDefault="000672C4" w:rsidP="0087689B">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4.3</w:t>
            </w:r>
          </w:p>
        </w:tc>
        <w:tc>
          <w:tcPr>
            <w:tcW w:w="1040" w:type="dxa"/>
            <w:tcBorders>
              <w:top w:val="nil"/>
              <w:left w:val="nil"/>
              <w:bottom w:val="single" w:sz="4" w:space="0" w:color="ADD6EA"/>
              <w:right w:val="nil"/>
            </w:tcBorders>
            <w:shd w:val="clear" w:color="auto" w:fill="auto"/>
            <w:vAlign w:val="bottom"/>
            <w:hideMark/>
          </w:tcPr>
          <w:p w14:paraId="11F6F9F0" w14:textId="77777777" w:rsidR="000672C4" w:rsidRPr="00442A3B" w:rsidRDefault="000672C4" w:rsidP="0087689B">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2,941</w:t>
            </w:r>
          </w:p>
        </w:tc>
        <w:tc>
          <w:tcPr>
            <w:tcW w:w="1040" w:type="dxa"/>
            <w:tcBorders>
              <w:top w:val="nil"/>
              <w:left w:val="nil"/>
              <w:bottom w:val="single" w:sz="4" w:space="0" w:color="ADD6EA"/>
              <w:right w:val="nil"/>
            </w:tcBorders>
            <w:shd w:val="clear" w:color="000000" w:fill="D6E7F0"/>
            <w:vAlign w:val="bottom"/>
            <w:hideMark/>
          </w:tcPr>
          <w:p w14:paraId="4ADF32D8" w14:textId="77777777" w:rsidR="000672C4" w:rsidRPr="00442A3B" w:rsidRDefault="000672C4" w:rsidP="0087689B">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2,918</w:t>
            </w:r>
          </w:p>
        </w:tc>
      </w:tr>
      <w:tr w:rsidR="000672C4" w:rsidRPr="00442A3B" w14:paraId="048CF48C" w14:textId="77777777" w:rsidTr="00AF089D">
        <w:trPr>
          <w:trHeight w:val="315"/>
        </w:trPr>
        <w:tc>
          <w:tcPr>
            <w:tcW w:w="2740" w:type="dxa"/>
            <w:tcBorders>
              <w:top w:val="nil"/>
              <w:left w:val="nil"/>
              <w:bottom w:val="single" w:sz="4" w:space="0" w:color="ADD6EA"/>
              <w:right w:val="nil"/>
            </w:tcBorders>
            <w:shd w:val="clear" w:color="auto" w:fill="auto"/>
            <w:vAlign w:val="bottom"/>
            <w:hideMark/>
          </w:tcPr>
          <w:p w14:paraId="11A4CF5D" w14:textId="77777777" w:rsidR="000672C4" w:rsidRPr="00442A3B" w:rsidRDefault="000672C4" w:rsidP="0087689B">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South Australia</w:t>
            </w:r>
          </w:p>
        </w:tc>
        <w:tc>
          <w:tcPr>
            <w:tcW w:w="1040" w:type="dxa"/>
            <w:tcBorders>
              <w:top w:val="nil"/>
              <w:left w:val="nil"/>
              <w:bottom w:val="single" w:sz="4" w:space="0" w:color="ADD6EA"/>
              <w:right w:val="nil"/>
            </w:tcBorders>
            <w:shd w:val="clear" w:color="auto" w:fill="auto"/>
            <w:vAlign w:val="bottom"/>
            <w:hideMark/>
          </w:tcPr>
          <w:p w14:paraId="7AB3DDE6" w14:textId="77777777" w:rsidR="000672C4" w:rsidRPr="00442A3B" w:rsidRDefault="000672C4" w:rsidP="0087689B">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1.35765</w:t>
            </w:r>
          </w:p>
        </w:tc>
        <w:tc>
          <w:tcPr>
            <w:tcW w:w="1040" w:type="dxa"/>
            <w:tcBorders>
              <w:top w:val="nil"/>
              <w:left w:val="nil"/>
              <w:bottom w:val="single" w:sz="4" w:space="0" w:color="ADD6EA"/>
              <w:right w:val="nil"/>
            </w:tcBorders>
            <w:shd w:val="clear" w:color="000000" w:fill="D6E7F0"/>
            <w:vAlign w:val="bottom"/>
            <w:hideMark/>
          </w:tcPr>
          <w:p w14:paraId="6154CCD2" w14:textId="77777777" w:rsidR="000672C4" w:rsidRPr="00442A3B" w:rsidRDefault="000672C4" w:rsidP="0087689B">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1.34719</w:t>
            </w:r>
          </w:p>
        </w:tc>
        <w:tc>
          <w:tcPr>
            <w:tcW w:w="1040" w:type="dxa"/>
            <w:tcBorders>
              <w:top w:val="nil"/>
              <w:left w:val="nil"/>
              <w:bottom w:val="single" w:sz="4" w:space="0" w:color="ADD6EA"/>
              <w:right w:val="nil"/>
            </w:tcBorders>
            <w:shd w:val="clear" w:color="auto" w:fill="auto"/>
            <w:vAlign w:val="bottom"/>
            <w:hideMark/>
          </w:tcPr>
          <w:p w14:paraId="0D426F55" w14:textId="77777777" w:rsidR="000672C4" w:rsidRPr="00442A3B" w:rsidRDefault="000672C4" w:rsidP="0087689B">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9.4</w:t>
            </w:r>
          </w:p>
        </w:tc>
        <w:tc>
          <w:tcPr>
            <w:tcW w:w="1040" w:type="dxa"/>
            <w:tcBorders>
              <w:top w:val="nil"/>
              <w:left w:val="nil"/>
              <w:bottom w:val="single" w:sz="4" w:space="0" w:color="ADD6EA"/>
              <w:right w:val="nil"/>
            </w:tcBorders>
            <w:shd w:val="clear" w:color="000000" w:fill="D6E7F0"/>
            <w:vAlign w:val="bottom"/>
            <w:hideMark/>
          </w:tcPr>
          <w:p w14:paraId="48B5B797" w14:textId="77777777" w:rsidR="000672C4" w:rsidRPr="00442A3B" w:rsidRDefault="000672C4" w:rsidP="0087689B">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9.2</w:t>
            </w:r>
          </w:p>
        </w:tc>
        <w:tc>
          <w:tcPr>
            <w:tcW w:w="1040" w:type="dxa"/>
            <w:tcBorders>
              <w:top w:val="nil"/>
              <w:left w:val="nil"/>
              <w:bottom w:val="single" w:sz="4" w:space="0" w:color="ADD6EA"/>
              <w:right w:val="nil"/>
            </w:tcBorders>
            <w:shd w:val="clear" w:color="auto" w:fill="auto"/>
            <w:vAlign w:val="bottom"/>
            <w:hideMark/>
          </w:tcPr>
          <w:p w14:paraId="7E510008" w14:textId="77777777" w:rsidR="000672C4" w:rsidRPr="00442A3B" w:rsidRDefault="000672C4" w:rsidP="0087689B">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5,906</w:t>
            </w:r>
          </w:p>
        </w:tc>
        <w:tc>
          <w:tcPr>
            <w:tcW w:w="1040" w:type="dxa"/>
            <w:tcBorders>
              <w:top w:val="nil"/>
              <w:left w:val="nil"/>
              <w:bottom w:val="single" w:sz="4" w:space="0" w:color="ADD6EA"/>
              <w:right w:val="nil"/>
            </w:tcBorders>
            <w:shd w:val="clear" w:color="000000" w:fill="D6E7F0"/>
            <w:vAlign w:val="bottom"/>
            <w:hideMark/>
          </w:tcPr>
          <w:p w14:paraId="047B2D7E" w14:textId="77777777" w:rsidR="000672C4" w:rsidRPr="00442A3B" w:rsidRDefault="000672C4" w:rsidP="0087689B">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6,207</w:t>
            </w:r>
          </w:p>
        </w:tc>
      </w:tr>
      <w:tr w:rsidR="000672C4" w:rsidRPr="00442A3B" w14:paraId="49BA51E5" w14:textId="77777777" w:rsidTr="00AF089D">
        <w:trPr>
          <w:trHeight w:val="315"/>
        </w:trPr>
        <w:tc>
          <w:tcPr>
            <w:tcW w:w="2740" w:type="dxa"/>
            <w:tcBorders>
              <w:top w:val="nil"/>
              <w:left w:val="nil"/>
              <w:bottom w:val="single" w:sz="4" w:space="0" w:color="ADD6EA"/>
              <w:right w:val="nil"/>
            </w:tcBorders>
            <w:shd w:val="clear" w:color="auto" w:fill="auto"/>
            <w:vAlign w:val="bottom"/>
            <w:hideMark/>
          </w:tcPr>
          <w:p w14:paraId="2E8E540F" w14:textId="77777777" w:rsidR="000672C4" w:rsidRPr="00442A3B" w:rsidRDefault="000672C4" w:rsidP="0087689B">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Tasmania</w:t>
            </w:r>
          </w:p>
        </w:tc>
        <w:tc>
          <w:tcPr>
            <w:tcW w:w="1040" w:type="dxa"/>
            <w:tcBorders>
              <w:top w:val="nil"/>
              <w:left w:val="nil"/>
              <w:bottom w:val="single" w:sz="4" w:space="0" w:color="ADD6EA"/>
              <w:right w:val="nil"/>
            </w:tcBorders>
            <w:shd w:val="clear" w:color="auto" w:fill="auto"/>
            <w:vAlign w:val="bottom"/>
            <w:hideMark/>
          </w:tcPr>
          <w:p w14:paraId="253B9BF1" w14:textId="77777777" w:rsidR="000672C4" w:rsidRPr="00442A3B" w:rsidRDefault="000672C4" w:rsidP="0087689B">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1.89742</w:t>
            </w:r>
          </w:p>
        </w:tc>
        <w:tc>
          <w:tcPr>
            <w:tcW w:w="1040" w:type="dxa"/>
            <w:tcBorders>
              <w:top w:val="nil"/>
              <w:left w:val="nil"/>
              <w:bottom w:val="single" w:sz="4" w:space="0" w:color="ADD6EA"/>
              <w:right w:val="nil"/>
            </w:tcBorders>
            <w:shd w:val="clear" w:color="000000" w:fill="D6E7F0"/>
            <w:vAlign w:val="bottom"/>
            <w:hideMark/>
          </w:tcPr>
          <w:p w14:paraId="7ADA33E1" w14:textId="77777777" w:rsidR="000672C4" w:rsidRPr="00442A3B" w:rsidRDefault="000672C4" w:rsidP="0087689B">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1.96067</w:t>
            </w:r>
          </w:p>
        </w:tc>
        <w:tc>
          <w:tcPr>
            <w:tcW w:w="1040" w:type="dxa"/>
            <w:tcBorders>
              <w:top w:val="nil"/>
              <w:left w:val="nil"/>
              <w:bottom w:val="single" w:sz="4" w:space="0" w:color="ADD6EA"/>
              <w:right w:val="nil"/>
            </w:tcBorders>
            <w:shd w:val="clear" w:color="auto" w:fill="auto"/>
            <w:vAlign w:val="bottom"/>
            <w:hideMark/>
          </w:tcPr>
          <w:p w14:paraId="20053BF2" w14:textId="77777777" w:rsidR="000672C4" w:rsidRPr="00442A3B" w:rsidRDefault="000672C4" w:rsidP="0087689B">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4.0</w:t>
            </w:r>
          </w:p>
        </w:tc>
        <w:tc>
          <w:tcPr>
            <w:tcW w:w="1040" w:type="dxa"/>
            <w:tcBorders>
              <w:top w:val="nil"/>
              <w:left w:val="nil"/>
              <w:bottom w:val="single" w:sz="4" w:space="0" w:color="ADD6EA"/>
              <w:right w:val="nil"/>
            </w:tcBorders>
            <w:shd w:val="clear" w:color="000000" w:fill="D6E7F0"/>
            <w:vAlign w:val="bottom"/>
            <w:hideMark/>
          </w:tcPr>
          <w:p w14:paraId="03D97A79" w14:textId="77777777" w:rsidR="000672C4" w:rsidRPr="00442A3B" w:rsidRDefault="000672C4" w:rsidP="0087689B">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4.1</w:t>
            </w:r>
          </w:p>
        </w:tc>
        <w:tc>
          <w:tcPr>
            <w:tcW w:w="1040" w:type="dxa"/>
            <w:tcBorders>
              <w:top w:val="nil"/>
              <w:left w:val="nil"/>
              <w:bottom w:val="single" w:sz="4" w:space="0" w:color="ADD6EA"/>
              <w:right w:val="nil"/>
            </w:tcBorders>
            <w:shd w:val="clear" w:color="auto" w:fill="auto"/>
            <w:vAlign w:val="bottom"/>
            <w:hideMark/>
          </w:tcPr>
          <w:p w14:paraId="493C3957" w14:textId="77777777" w:rsidR="000672C4" w:rsidRPr="00442A3B" w:rsidRDefault="000672C4" w:rsidP="0087689B">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2,530</w:t>
            </w:r>
          </w:p>
        </w:tc>
        <w:tc>
          <w:tcPr>
            <w:tcW w:w="1040" w:type="dxa"/>
            <w:tcBorders>
              <w:top w:val="nil"/>
              <w:left w:val="nil"/>
              <w:bottom w:val="single" w:sz="4" w:space="0" w:color="ADD6EA"/>
              <w:right w:val="nil"/>
            </w:tcBorders>
            <w:shd w:val="clear" w:color="000000" w:fill="D6E7F0"/>
            <w:vAlign w:val="bottom"/>
            <w:hideMark/>
          </w:tcPr>
          <w:p w14:paraId="2670A017" w14:textId="77777777" w:rsidR="000672C4" w:rsidRPr="00442A3B" w:rsidRDefault="000672C4" w:rsidP="0087689B">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2,783</w:t>
            </w:r>
          </w:p>
        </w:tc>
      </w:tr>
      <w:tr w:rsidR="000672C4" w:rsidRPr="00442A3B" w14:paraId="5B9BAC92" w14:textId="77777777" w:rsidTr="00AF089D">
        <w:trPr>
          <w:trHeight w:val="315"/>
        </w:trPr>
        <w:tc>
          <w:tcPr>
            <w:tcW w:w="2740" w:type="dxa"/>
            <w:tcBorders>
              <w:top w:val="nil"/>
              <w:left w:val="nil"/>
              <w:bottom w:val="single" w:sz="4" w:space="0" w:color="ADD6EA"/>
              <w:right w:val="nil"/>
            </w:tcBorders>
            <w:shd w:val="clear" w:color="auto" w:fill="auto"/>
            <w:vAlign w:val="bottom"/>
            <w:hideMark/>
          </w:tcPr>
          <w:p w14:paraId="0BE4993C" w14:textId="77777777" w:rsidR="000672C4" w:rsidRPr="00442A3B" w:rsidRDefault="000672C4" w:rsidP="0087689B">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Australian Capital Territory</w:t>
            </w:r>
          </w:p>
        </w:tc>
        <w:tc>
          <w:tcPr>
            <w:tcW w:w="1040" w:type="dxa"/>
            <w:tcBorders>
              <w:top w:val="nil"/>
              <w:left w:val="nil"/>
              <w:bottom w:val="single" w:sz="4" w:space="0" w:color="ADD6EA"/>
              <w:right w:val="nil"/>
            </w:tcBorders>
            <w:shd w:val="clear" w:color="auto" w:fill="auto"/>
            <w:vAlign w:val="bottom"/>
            <w:hideMark/>
          </w:tcPr>
          <w:p w14:paraId="5BD73A82" w14:textId="77777777" w:rsidR="000672C4" w:rsidRPr="00442A3B" w:rsidRDefault="000672C4" w:rsidP="0087689B">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1.15112</w:t>
            </w:r>
          </w:p>
        </w:tc>
        <w:tc>
          <w:tcPr>
            <w:tcW w:w="1040" w:type="dxa"/>
            <w:tcBorders>
              <w:top w:val="nil"/>
              <w:left w:val="nil"/>
              <w:bottom w:val="single" w:sz="4" w:space="0" w:color="ADD6EA"/>
              <w:right w:val="nil"/>
            </w:tcBorders>
            <w:shd w:val="clear" w:color="000000" w:fill="D6E7F0"/>
            <w:vAlign w:val="bottom"/>
            <w:hideMark/>
          </w:tcPr>
          <w:p w14:paraId="6AEC7167" w14:textId="77777777" w:rsidR="000672C4" w:rsidRPr="00442A3B" w:rsidRDefault="000672C4" w:rsidP="0087689B">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1.16266</w:t>
            </w:r>
          </w:p>
        </w:tc>
        <w:tc>
          <w:tcPr>
            <w:tcW w:w="1040" w:type="dxa"/>
            <w:tcBorders>
              <w:top w:val="nil"/>
              <w:left w:val="nil"/>
              <w:bottom w:val="single" w:sz="4" w:space="0" w:color="ADD6EA"/>
              <w:right w:val="nil"/>
            </w:tcBorders>
            <w:shd w:val="clear" w:color="auto" w:fill="auto"/>
            <w:vAlign w:val="bottom"/>
            <w:hideMark/>
          </w:tcPr>
          <w:p w14:paraId="0BC77701" w14:textId="77777777" w:rsidR="000672C4" w:rsidRPr="00442A3B" w:rsidRDefault="000672C4" w:rsidP="0087689B">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1.9</w:t>
            </w:r>
          </w:p>
        </w:tc>
        <w:tc>
          <w:tcPr>
            <w:tcW w:w="1040" w:type="dxa"/>
            <w:tcBorders>
              <w:top w:val="nil"/>
              <w:left w:val="nil"/>
              <w:bottom w:val="single" w:sz="4" w:space="0" w:color="ADD6EA"/>
              <w:right w:val="nil"/>
            </w:tcBorders>
            <w:shd w:val="clear" w:color="000000" w:fill="D6E7F0"/>
            <w:vAlign w:val="bottom"/>
            <w:hideMark/>
          </w:tcPr>
          <w:p w14:paraId="7E2D1B21" w14:textId="77777777" w:rsidR="000672C4" w:rsidRPr="00442A3B" w:rsidRDefault="000672C4" w:rsidP="0087689B">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2.0</w:t>
            </w:r>
          </w:p>
        </w:tc>
        <w:tc>
          <w:tcPr>
            <w:tcW w:w="1040" w:type="dxa"/>
            <w:tcBorders>
              <w:top w:val="nil"/>
              <w:left w:val="nil"/>
              <w:bottom w:val="single" w:sz="4" w:space="0" w:color="ADD6EA"/>
              <w:right w:val="nil"/>
            </w:tcBorders>
            <w:shd w:val="clear" w:color="auto" w:fill="auto"/>
            <w:vAlign w:val="bottom"/>
            <w:hideMark/>
          </w:tcPr>
          <w:p w14:paraId="2376C2EB" w14:textId="77777777" w:rsidR="000672C4" w:rsidRPr="00442A3B" w:rsidRDefault="000672C4" w:rsidP="0087689B">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1,222</w:t>
            </w:r>
          </w:p>
        </w:tc>
        <w:tc>
          <w:tcPr>
            <w:tcW w:w="1040" w:type="dxa"/>
            <w:tcBorders>
              <w:top w:val="nil"/>
              <w:left w:val="nil"/>
              <w:bottom w:val="single" w:sz="4" w:space="0" w:color="ADD6EA"/>
              <w:right w:val="nil"/>
            </w:tcBorders>
            <w:shd w:val="clear" w:color="000000" w:fill="D6E7F0"/>
            <w:vAlign w:val="bottom"/>
            <w:hideMark/>
          </w:tcPr>
          <w:p w14:paraId="1E2063A6" w14:textId="77777777" w:rsidR="000672C4" w:rsidRPr="00442A3B" w:rsidRDefault="000672C4" w:rsidP="0087689B">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1,310</w:t>
            </w:r>
          </w:p>
        </w:tc>
      </w:tr>
      <w:tr w:rsidR="000672C4" w:rsidRPr="00442A3B" w14:paraId="2B26A307" w14:textId="77777777" w:rsidTr="00AF089D">
        <w:trPr>
          <w:trHeight w:val="315"/>
        </w:trPr>
        <w:tc>
          <w:tcPr>
            <w:tcW w:w="2740" w:type="dxa"/>
            <w:tcBorders>
              <w:top w:val="nil"/>
              <w:left w:val="nil"/>
              <w:bottom w:val="single" w:sz="4" w:space="0" w:color="ADD6EA"/>
              <w:right w:val="nil"/>
            </w:tcBorders>
            <w:shd w:val="clear" w:color="auto" w:fill="auto"/>
            <w:vAlign w:val="bottom"/>
            <w:hideMark/>
          </w:tcPr>
          <w:p w14:paraId="7E385200" w14:textId="77777777" w:rsidR="000672C4" w:rsidRPr="00442A3B" w:rsidRDefault="000672C4" w:rsidP="0087689B">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Northern Territory</w:t>
            </w:r>
          </w:p>
        </w:tc>
        <w:tc>
          <w:tcPr>
            <w:tcW w:w="1040" w:type="dxa"/>
            <w:tcBorders>
              <w:top w:val="nil"/>
              <w:left w:val="nil"/>
              <w:bottom w:val="single" w:sz="4" w:space="0" w:color="ADD6EA"/>
              <w:right w:val="nil"/>
            </w:tcBorders>
            <w:shd w:val="clear" w:color="auto" w:fill="auto"/>
            <w:vAlign w:val="bottom"/>
            <w:hideMark/>
          </w:tcPr>
          <w:p w14:paraId="51AEB898" w14:textId="77777777" w:rsidR="000672C4" w:rsidRPr="00442A3B" w:rsidRDefault="000672C4" w:rsidP="0087689B">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4.76893</w:t>
            </w:r>
          </w:p>
        </w:tc>
        <w:tc>
          <w:tcPr>
            <w:tcW w:w="1040" w:type="dxa"/>
            <w:tcBorders>
              <w:top w:val="nil"/>
              <w:left w:val="nil"/>
              <w:bottom w:val="single" w:sz="4" w:space="0" w:color="ADD6EA"/>
              <w:right w:val="nil"/>
            </w:tcBorders>
            <w:shd w:val="clear" w:color="000000" w:fill="D6E7F0"/>
            <w:vAlign w:val="bottom"/>
            <w:hideMark/>
          </w:tcPr>
          <w:p w14:paraId="36EC7CF4" w14:textId="77777777" w:rsidR="000672C4" w:rsidRPr="00442A3B" w:rsidRDefault="000672C4" w:rsidP="0087689B">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4.79985</w:t>
            </w:r>
          </w:p>
        </w:tc>
        <w:tc>
          <w:tcPr>
            <w:tcW w:w="1040" w:type="dxa"/>
            <w:tcBorders>
              <w:top w:val="nil"/>
              <w:left w:val="nil"/>
              <w:bottom w:val="single" w:sz="4" w:space="0" w:color="ADD6EA"/>
              <w:right w:val="nil"/>
            </w:tcBorders>
            <w:shd w:val="clear" w:color="auto" w:fill="auto"/>
            <w:vAlign w:val="bottom"/>
            <w:hideMark/>
          </w:tcPr>
          <w:p w14:paraId="29827F66" w14:textId="77777777" w:rsidR="000672C4" w:rsidRPr="00442A3B" w:rsidRDefault="000672C4" w:rsidP="0087689B">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4.5</w:t>
            </w:r>
          </w:p>
        </w:tc>
        <w:tc>
          <w:tcPr>
            <w:tcW w:w="1040" w:type="dxa"/>
            <w:tcBorders>
              <w:top w:val="nil"/>
              <w:left w:val="nil"/>
              <w:bottom w:val="single" w:sz="4" w:space="0" w:color="ADD6EA"/>
              <w:right w:val="nil"/>
            </w:tcBorders>
            <w:shd w:val="clear" w:color="000000" w:fill="D6E7F0"/>
            <w:vAlign w:val="bottom"/>
            <w:hideMark/>
          </w:tcPr>
          <w:p w14:paraId="0E5E2EF8" w14:textId="77777777" w:rsidR="000672C4" w:rsidRPr="00442A3B" w:rsidRDefault="000672C4" w:rsidP="0087689B">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4.4</w:t>
            </w:r>
          </w:p>
        </w:tc>
        <w:tc>
          <w:tcPr>
            <w:tcW w:w="1040" w:type="dxa"/>
            <w:tcBorders>
              <w:top w:val="nil"/>
              <w:left w:val="nil"/>
              <w:bottom w:val="single" w:sz="4" w:space="0" w:color="ADD6EA"/>
              <w:right w:val="nil"/>
            </w:tcBorders>
            <w:shd w:val="clear" w:color="auto" w:fill="auto"/>
            <w:vAlign w:val="bottom"/>
            <w:hideMark/>
          </w:tcPr>
          <w:p w14:paraId="4E3C9B70" w14:textId="77777777" w:rsidR="000672C4" w:rsidRPr="00442A3B" w:rsidRDefault="000672C4" w:rsidP="0087689B">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2,835</w:t>
            </w:r>
          </w:p>
        </w:tc>
        <w:tc>
          <w:tcPr>
            <w:tcW w:w="1040" w:type="dxa"/>
            <w:tcBorders>
              <w:top w:val="nil"/>
              <w:left w:val="nil"/>
              <w:bottom w:val="single" w:sz="4" w:space="0" w:color="ADD6EA"/>
              <w:right w:val="nil"/>
            </w:tcBorders>
            <w:shd w:val="clear" w:color="000000" w:fill="D6E7F0"/>
            <w:vAlign w:val="bottom"/>
            <w:hideMark/>
          </w:tcPr>
          <w:p w14:paraId="0623EC23" w14:textId="77777777" w:rsidR="000672C4" w:rsidRPr="00442A3B" w:rsidRDefault="000672C4" w:rsidP="0087689B">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2,984</w:t>
            </w:r>
          </w:p>
        </w:tc>
      </w:tr>
      <w:tr w:rsidR="000672C4" w:rsidRPr="00442A3B" w14:paraId="78D5F77B" w14:textId="77777777" w:rsidTr="00AF089D">
        <w:trPr>
          <w:trHeight w:val="315"/>
        </w:trPr>
        <w:tc>
          <w:tcPr>
            <w:tcW w:w="2740" w:type="dxa"/>
            <w:tcBorders>
              <w:top w:val="nil"/>
              <w:left w:val="nil"/>
              <w:bottom w:val="single" w:sz="4" w:space="0" w:color="ADD6EA"/>
              <w:right w:val="nil"/>
            </w:tcBorders>
            <w:shd w:val="clear" w:color="auto" w:fill="auto"/>
            <w:vAlign w:val="bottom"/>
            <w:hideMark/>
          </w:tcPr>
          <w:p w14:paraId="044912BF" w14:textId="77777777" w:rsidR="000672C4" w:rsidRPr="00442A3B" w:rsidRDefault="000672C4" w:rsidP="0087689B">
            <w:pPr>
              <w:pStyle w:val="CGCTablesubhead1"/>
              <w:keepNext/>
              <w:keepLines/>
              <w:rPr>
                <w:rFonts w:eastAsia="MS Mincho" w:cs="Open Sans Semibold"/>
                <w:szCs w:val="16"/>
                <w:lang w:eastAsia="en-AU"/>
              </w:rPr>
            </w:pPr>
            <w:r w:rsidRPr="00442A3B">
              <w:rPr>
                <w:lang w:eastAsia="en-AU"/>
              </w:rPr>
              <w:t>Total</w:t>
            </w:r>
          </w:p>
        </w:tc>
        <w:tc>
          <w:tcPr>
            <w:tcW w:w="1040" w:type="dxa"/>
            <w:tcBorders>
              <w:top w:val="nil"/>
              <w:left w:val="nil"/>
              <w:bottom w:val="single" w:sz="4" w:space="0" w:color="ADD6EA"/>
              <w:right w:val="nil"/>
            </w:tcBorders>
            <w:shd w:val="clear" w:color="auto" w:fill="auto"/>
            <w:vAlign w:val="bottom"/>
            <w:hideMark/>
          </w:tcPr>
          <w:p w14:paraId="0260DCA4" w14:textId="77777777" w:rsidR="000672C4" w:rsidRPr="00442A3B" w:rsidRDefault="000672C4" w:rsidP="0087689B">
            <w:pPr>
              <w:pStyle w:val="CGCTablesubhead1"/>
              <w:keepNext/>
              <w:keepLines/>
              <w:jc w:val="right"/>
              <w:rPr>
                <w:rFonts w:eastAsia="MS Mincho" w:cs="Open Sans Semibold"/>
                <w:szCs w:val="16"/>
                <w:lang w:eastAsia="en-AU"/>
              </w:rPr>
            </w:pPr>
            <w:r w:rsidRPr="00442A3B">
              <w:rPr>
                <w:lang w:eastAsia="en-AU"/>
              </w:rPr>
              <w:t>1.00000</w:t>
            </w:r>
          </w:p>
        </w:tc>
        <w:tc>
          <w:tcPr>
            <w:tcW w:w="1040" w:type="dxa"/>
            <w:tcBorders>
              <w:top w:val="nil"/>
              <w:left w:val="nil"/>
              <w:bottom w:val="single" w:sz="4" w:space="0" w:color="ADD6EA"/>
              <w:right w:val="nil"/>
            </w:tcBorders>
            <w:shd w:val="clear" w:color="000000" w:fill="D6E7F0"/>
            <w:vAlign w:val="bottom"/>
            <w:hideMark/>
          </w:tcPr>
          <w:p w14:paraId="58FD3C58" w14:textId="77777777" w:rsidR="000672C4" w:rsidRPr="00442A3B" w:rsidRDefault="000672C4" w:rsidP="0087689B">
            <w:pPr>
              <w:pStyle w:val="CGCTablesubhead1"/>
              <w:keepNext/>
              <w:keepLines/>
              <w:jc w:val="right"/>
              <w:rPr>
                <w:rFonts w:eastAsia="MS Mincho" w:cs="Open Sans Semibold"/>
                <w:color w:val="000000"/>
                <w:szCs w:val="16"/>
                <w:lang w:eastAsia="en-AU"/>
              </w:rPr>
            </w:pPr>
            <w:r w:rsidRPr="00442A3B">
              <w:rPr>
                <w:color w:val="000000"/>
                <w:lang w:eastAsia="en-AU"/>
              </w:rPr>
              <w:t>1.00000</w:t>
            </w:r>
          </w:p>
        </w:tc>
        <w:tc>
          <w:tcPr>
            <w:tcW w:w="1040" w:type="dxa"/>
            <w:tcBorders>
              <w:top w:val="nil"/>
              <w:left w:val="nil"/>
              <w:bottom w:val="single" w:sz="4" w:space="0" w:color="ADD6EA"/>
              <w:right w:val="nil"/>
            </w:tcBorders>
            <w:shd w:val="clear" w:color="auto" w:fill="auto"/>
            <w:vAlign w:val="bottom"/>
            <w:hideMark/>
          </w:tcPr>
          <w:p w14:paraId="0600E1BA" w14:textId="77777777" w:rsidR="000672C4" w:rsidRPr="00442A3B" w:rsidRDefault="000672C4" w:rsidP="0087689B">
            <w:pPr>
              <w:pStyle w:val="CGCTablesubhead1"/>
              <w:keepNext/>
              <w:keepLines/>
              <w:jc w:val="right"/>
              <w:rPr>
                <w:rFonts w:eastAsia="MS Mincho" w:cs="Open Sans Semibold"/>
                <w:szCs w:val="16"/>
                <w:lang w:eastAsia="en-AU"/>
              </w:rPr>
            </w:pPr>
            <w:r w:rsidRPr="00442A3B">
              <w:rPr>
                <w:lang w:eastAsia="en-AU"/>
              </w:rPr>
              <w:t>100.0</w:t>
            </w:r>
          </w:p>
        </w:tc>
        <w:tc>
          <w:tcPr>
            <w:tcW w:w="1040" w:type="dxa"/>
            <w:tcBorders>
              <w:top w:val="nil"/>
              <w:left w:val="nil"/>
              <w:bottom w:val="single" w:sz="4" w:space="0" w:color="ADD6EA"/>
              <w:right w:val="nil"/>
            </w:tcBorders>
            <w:shd w:val="clear" w:color="000000" w:fill="D6E7F0"/>
            <w:vAlign w:val="bottom"/>
            <w:hideMark/>
          </w:tcPr>
          <w:p w14:paraId="6AE05A4F" w14:textId="77777777" w:rsidR="000672C4" w:rsidRPr="00442A3B" w:rsidRDefault="000672C4" w:rsidP="0087689B">
            <w:pPr>
              <w:pStyle w:val="CGCTablesubhead1"/>
              <w:keepNext/>
              <w:keepLines/>
              <w:jc w:val="right"/>
              <w:rPr>
                <w:rFonts w:eastAsia="MS Mincho" w:cs="Open Sans Semibold"/>
                <w:color w:val="000000"/>
                <w:szCs w:val="16"/>
                <w:lang w:eastAsia="en-AU"/>
              </w:rPr>
            </w:pPr>
            <w:r w:rsidRPr="00442A3B">
              <w:rPr>
                <w:color w:val="000000"/>
                <w:lang w:eastAsia="en-AU"/>
              </w:rPr>
              <w:t>100.0</w:t>
            </w:r>
          </w:p>
        </w:tc>
        <w:tc>
          <w:tcPr>
            <w:tcW w:w="1040" w:type="dxa"/>
            <w:tcBorders>
              <w:top w:val="nil"/>
              <w:left w:val="nil"/>
              <w:bottom w:val="single" w:sz="4" w:space="0" w:color="ADD6EA"/>
              <w:right w:val="nil"/>
            </w:tcBorders>
            <w:shd w:val="clear" w:color="auto" w:fill="auto"/>
            <w:vAlign w:val="bottom"/>
            <w:hideMark/>
          </w:tcPr>
          <w:p w14:paraId="3BF57C50" w14:textId="77777777" w:rsidR="000672C4" w:rsidRPr="00442A3B" w:rsidRDefault="000672C4" w:rsidP="0087689B">
            <w:pPr>
              <w:pStyle w:val="CGCTablesubhead1"/>
              <w:keepNext/>
              <w:keepLines/>
              <w:jc w:val="right"/>
              <w:rPr>
                <w:rFonts w:eastAsia="MS Mincho" w:cs="Open Sans Semibold"/>
                <w:szCs w:val="16"/>
                <w:lang w:eastAsia="en-AU"/>
              </w:rPr>
            </w:pPr>
            <w:r w:rsidRPr="00442A3B">
              <w:rPr>
                <w:lang w:eastAsia="en-AU"/>
              </w:rPr>
              <w:t>63,150</w:t>
            </w:r>
          </w:p>
        </w:tc>
        <w:tc>
          <w:tcPr>
            <w:tcW w:w="1040" w:type="dxa"/>
            <w:tcBorders>
              <w:top w:val="nil"/>
              <w:left w:val="nil"/>
              <w:bottom w:val="single" w:sz="4" w:space="0" w:color="ADD6EA"/>
              <w:right w:val="nil"/>
            </w:tcBorders>
            <w:shd w:val="clear" w:color="000000" w:fill="D6E7F0"/>
            <w:vAlign w:val="bottom"/>
            <w:hideMark/>
          </w:tcPr>
          <w:p w14:paraId="53AEED64" w14:textId="77777777" w:rsidR="000672C4" w:rsidRPr="00442A3B" w:rsidRDefault="000672C4" w:rsidP="0087689B">
            <w:pPr>
              <w:pStyle w:val="CGCTablesubhead1"/>
              <w:keepNext/>
              <w:keepLines/>
              <w:jc w:val="right"/>
              <w:rPr>
                <w:rFonts w:eastAsia="MS Mincho" w:cs="Open Sans Semibold"/>
                <w:color w:val="000000"/>
                <w:szCs w:val="16"/>
                <w:lang w:eastAsia="en-AU"/>
              </w:rPr>
            </w:pPr>
            <w:r w:rsidRPr="00442A3B">
              <w:rPr>
                <w:color w:val="000000"/>
                <w:lang w:eastAsia="en-AU"/>
              </w:rPr>
              <w:t>67,180</w:t>
            </w:r>
          </w:p>
        </w:tc>
      </w:tr>
    </w:tbl>
    <w:p w14:paraId="126826A9" w14:textId="293A91B4" w:rsidR="00165998" w:rsidRPr="00442A3B" w:rsidRDefault="00165998" w:rsidP="0087689B">
      <w:pPr>
        <w:pStyle w:val="CGCTablenote"/>
        <w:keepNext/>
        <w:keepLines/>
      </w:pPr>
      <w:r w:rsidRPr="00442A3B">
        <w:t>Note:</w:t>
      </w:r>
      <w:r w:rsidRPr="00442A3B">
        <w:tab/>
        <w:t xml:space="preserve">The </w:t>
      </w:r>
      <w:r w:rsidR="005E7EE6" w:rsidRPr="00442A3B">
        <w:t xml:space="preserve">estimated </w:t>
      </w:r>
      <w:r w:rsidRPr="00442A3B">
        <w:t xml:space="preserve">GST </w:t>
      </w:r>
      <w:r w:rsidR="00466167" w:rsidRPr="00442A3B">
        <w:t>pool</w:t>
      </w:r>
      <w:r w:rsidRPr="00442A3B">
        <w:t xml:space="preserve"> distribution for 202</w:t>
      </w:r>
      <w:r w:rsidR="00BC713A" w:rsidRPr="00442A3B">
        <w:t>1</w:t>
      </w:r>
      <w:r w:rsidRPr="00442A3B">
        <w:noBreakHyphen/>
        <w:t>2</w:t>
      </w:r>
      <w:r w:rsidR="00BC713A" w:rsidRPr="00442A3B">
        <w:t>2</w:t>
      </w:r>
      <w:r w:rsidRPr="00442A3B">
        <w:t xml:space="preserve"> was </w:t>
      </w:r>
      <w:r w:rsidR="00BC6CF4" w:rsidRPr="00442A3B">
        <w:t>calculated</w:t>
      </w:r>
      <w:r w:rsidRPr="00442A3B">
        <w:t xml:space="preserve"> by applying </w:t>
      </w:r>
      <w:r w:rsidR="005909B1" w:rsidRPr="00442A3B">
        <w:t>2021 Update</w:t>
      </w:r>
      <w:r w:rsidRPr="00442A3B">
        <w:t xml:space="preserve"> relativities to estimated State populations </w:t>
      </w:r>
      <w:r w:rsidR="00B27910" w:rsidRPr="00442A3B">
        <w:t>(</w:t>
      </w:r>
      <w:r w:rsidRPr="00442A3B">
        <w:t xml:space="preserve">as </w:t>
      </w:r>
      <w:r w:rsidR="005420ED" w:rsidRPr="00442A3B">
        <w:t>of</w:t>
      </w:r>
      <w:r w:rsidRPr="00442A3B">
        <w:t xml:space="preserve"> December 202</w:t>
      </w:r>
      <w:r w:rsidR="00C969E3" w:rsidRPr="00442A3B">
        <w:t>1</w:t>
      </w:r>
      <w:r w:rsidR="00B27910" w:rsidRPr="00442A3B">
        <w:t>)</w:t>
      </w:r>
      <w:r w:rsidRPr="00442A3B">
        <w:t xml:space="preserve"> and </w:t>
      </w:r>
      <w:r w:rsidR="00C81BD6" w:rsidRPr="00442A3B">
        <w:t xml:space="preserve">the </w:t>
      </w:r>
      <w:r w:rsidRPr="00442A3B">
        <w:t xml:space="preserve">estimated GST </w:t>
      </w:r>
      <w:r w:rsidR="00F76CDE" w:rsidRPr="00442A3B">
        <w:t>pool</w:t>
      </w:r>
      <w:r w:rsidRPr="00442A3B">
        <w:t xml:space="preserve"> for 202</w:t>
      </w:r>
      <w:r w:rsidR="00C969E3" w:rsidRPr="00442A3B">
        <w:t>1</w:t>
      </w:r>
      <w:r w:rsidRPr="00442A3B">
        <w:noBreakHyphen/>
        <w:t>2</w:t>
      </w:r>
      <w:r w:rsidR="00C969E3" w:rsidRPr="00442A3B">
        <w:t>2</w:t>
      </w:r>
      <w:r w:rsidR="00D977B6" w:rsidRPr="00442A3B">
        <w:t xml:space="preserve"> </w:t>
      </w:r>
      <w:r w:rsidR="00D4080D" w:rsidRPr="00442A3B">
        <w:t>(</w:t>
      </w:r>
      <w:r w:rsidR="00D977B6" w:rsidRPr="00442A3B">
        <w:t>which</w:t>
      </w:r>
      <w:r w:rsidR="00BB5B5B" w:rsidRPr="00442A3B">
        <w:t xml:space="preserve"> includ</w:t>
      </w:r>
      <w:r w:rsidR="00D977B6" w:rsidRPr="00442A3B">
        <w:t>e</w:t>
      </w:r>
      <w:r w:rsidR="00CC0786" w:rsidRPr="00442A3B">
        <w:t>s</w:t>
      </w:r>
      <w:r w:rsidR="00BB5B5B" w:rsidRPr="00442A3B">
        <w:t xml:space="preserve"> </w:t>
      </w:r>
      <w:r w:rsidR="00D977B6" w:rsidRPr="00442A3B">
        <w:t>the $600 million top-up</w:t>
      </w:r>
      <w:r w:rsidR="00D4080D" w:rsidRPr="00442A3B">
        <w:t>)</w:t>
      </w:r>
      <w:r w:rsidRPr="00442A3B">
        <w:t>.</w:t>
      </w:r>
    </w:p>
    <w:p w14:paraId="409FE5F4" w14:textId="77777777" w:rsidR="00165998" w:rsidRPr="00442A3B" w:rsidRDefault="00165998" w:rsidP="0087689B">
      <w:pPr>
        <w:pStyle w:val="CGCTablenote"/>
        <w:keepNext/>
        <w:keepLines/>
      </w:pPr>
      <w:r w:rsidRPr="00442A3B">
        <w:t>Source:</w:t>
      </w:r>
      <w:r w:rsidRPr="00442A3B">
        <w:tab/>
        <w:t>Commission calculation.</w:t>
      </w:r>
    </w:p>
    <w:p w14:paraId="5145A332" w14:textId="1451B614" w:rsidR="00165998" w:rsidRPr="00442A3B" w:rsidRDefault="4FD4ED1C" w:rsidP="0087689B">
      <w:pPr>
        <w:pStyle w:val="CGCParaNumber"/>
        <w:widowControl w:val="0"/>
        <w:ind w:left="567" w:hanging="567"/>
      </w:pPr>
      <w:bookmarkStart w:id="55" w:name="_Ref31355120"/>
      <w:r w:rsidRPr="00442A3B">
        <w:t>U</w:t>
      </w:r>
      <w:r w:rsidR="00165998" w:rsidRPr="00442A3B">
        <w:t xml:space="preserve">nder </w:t>
      </w:r>
      <w:r w:rsidR="009174FD" w:rsidRPr="00442A3B">
        <w:t xml:space="preserve">the </w:t>
      </w:r>
      <w:r w:rsidR="0072121E" w:rsidRPr="00442A3B">
        <w:t>new arrangements</w:t>
      </w:r>
      <w:r w:rsidR="652C7AA9" w:rsidRPr="00442A3B">
        <w:t>,</w:t>
      </w:r>
      <w:r w:rsidR="03AC7229" w:rsidRPr="00442A3B">
        <w:t xml:space="preserve"> the Commonwealth will make supplementary payments</w:t>
      </w:r>
      <w:r w:rsidR="0093604C" w:rsidRPr="00442A3B">
        <w:t xml:space="preserve"> outside the GST pool</w:t>
      </w:r>
      <w:r w:rsidR="03AC7229" w:rsidRPr="00442A3B">
        <w:t xml:space="preserve"> </w:t>
      </w:r>
      <w:r w:rsidR="00165998" w:rsidRPr="00442A3B">
        <w:t xml:space="preserve">to </w:t>
      </w:r>
      <w:r w:rsidR="5028218C" w:rsidRPr="00442A3B">
        <w:t xml:space="preserve">Western Australia to give it </w:t>
      </w:r>
      <w:r w:rsidR="00165998" w:rsidRPr="00442A3B">
        <w:t>an outcome equivalent to a relativity of 0.70</w:t>
      </w:r>
      <w:r w:rsidR="0089161B" w:rsidRPr="00442A3B">
        <w:t xml:space="preserve">. </w:t>
      </w:r>
      <w:r w:rsidR="00B410E1" w:rsidRPr="00442A3B">
        <w:t>From 2022</w:t>
      </w:r>
      <w:r w:rsidR="005B7F25" w:rsidRPr="00442A3B">
        <w:noBreakHyphen/>
        <w:t>23</w:t>
      </w:r>
      <w:r w:rsidR="00B410E1" w:rsidRPr="00442A3B">
        <w:t xml:space="preserve">, </w:t>
      </w:r>
      <w:r w:rsidR="009649F2" w:rsidRPr="00442A3B">
        <w:t>this supplementary payment</w:t>
      </w:r>
      <w:r w:rsidR="00306A1C" w:rsidRPr="00442A3B">
        <w:t xml:space="preserve"> </w:t>
      </w:r>
      <w:r w:rsidR="00AE097D" w:rsidRPr="00442A3B">
        <w:t xml:space="preserve">will be funded from </w:t>
      </w:r>
      <w:r w:rsidR="00F5468D" w:rsidRPr="00442A3B">
        <w:t xml:space="preserve">the </w:t>
      </w:r>
      <w:r w:rsidR="00B8765F" w:rsidRPr="00442A3B">
        <w:t xml:space="preserve">GST </w:t>
      </w:r>
      <w:r w:rsidR="00190686" w:rsidRPr="00442A3B">
        <w:t>pool</w:t>
      </w:r>
      <w:r w:rsidR="004C08C0" w:rsidRPr="00442A3B">
        <w:t>.</w:t>
      </w:r>
      <w:r w:rsidR="005D7491" w:rsidRPr="00442A3B">
        <w:t xml:space="preserve"> </w:t>
      </w:r>
      <w:r w:rsidR="00165998" w:rsidRPr="00442A3B">
        <w:t>No supplementary payment will be required for the Northern Territory</w:t>
      </w:r>
      <w:r w:rsidR="00C92C83" w:rsidRPr="00442A3B">
        <w:t xml:space="preserve"> in 2021-22</w:t>
      </w:r>
      <w:r w:rsidR="00165998" w:rsidRPr="00442A3B">
        <w:t xml:space="preserve"> as its recommended relativity </w:t>
      </w:r>
      <w:r w:rsidR="00C8701F" w:rsidRPr="00442A3B">
        <w:t>will be</w:t>
      </w:r>
      <w:r w:rsidR="00165998" w:rsidRPr="00442A3B">
        <w:t xml:space="preserve"> greater than its 4.66 guarantee.</w:t>
      </w:r>
      <w:bookmarkEnd w:id="55"/>
    </w:p>
    <w:p w14:paraId="7792A208" w14:textId="6F97CD77" w:rsidR="00165998" w:rsidRPr="00442A3B" w:rsidRDefault="007901EE" w:rsidP="00DF3E77">
      <w:pPr>
        <w:pStyle w:val="CGCParaNumber"/>
        <w:ind w:left="567" w:hanging="567"/>
      </w:pPr>
      <w:r w:rsidRPr="00442A3B">
        <w:t xml:space="preserve">The relative fiscal capacities </w:t>
      </w:r>
      <w:r w:rsidR="002170AB" w:rsidRPr="00442A3B">
        <w:t xml:space="preserve">for 2021-22 were derived using the </w:t>
      </w:r>
      <w:r w:rsidR="00165998" w:rsidRPr="00442A3B">
        <w:t xml:space="preserve">methods set out in Volume 2 of </w:t>
      </w:r>
      <w:r w:rsidR="0040498B" w:rsidRPr="00442A3B">
        <w:t xml:space="preserve">the </w:t>
      </w:r>
      <w:r w:rsidR="005909B1" w:rsidRPr="00442A3B">
        <w:t>2020 Review</w:t>
      </w:r>
      <w:r w:rsidR="0040498B" w:rsidRPr="00442A3B">
        <w:t xml:space="preserve"> report</w:t>
      </w:r>
      <w:r w:rsidR="00165998" w:rsidRPr="00442A3B">
        <w:t xml:space="preserve"> and </w:t>
      </w:r>
      <w:r w:rsidR="00626AEC" w:rsidRPr="00442A3B">
        <w:t>using</w:t>
      </w:r>
      <w:r w:rsidR="00165998" w:rsidRPr="00442A3B">
        <w:t xml:space="preserve"> </w:t>
      </w:r>
      <w:r w:rsidR="00BE41CB" w:rsidRPr="00442A3B">
        <w:t>data for</w:t>
      </w:r>
      <w:r w:rsidR="00165998" w:rsidRPr="00442A3B">
        <w:t xml:space="preserve"> 201</w:t>
      </w:r>
      <w:r w:rsidR="00E930EE" w:rsidRPr="00442A3B">
        <w:t>7</w:t>
      </w:r>
      <w:r w:rsidR="1B73B8E9" w:rsidRPr="00442A3B">
        <w:t>-</w:t>
      </w:r>
      <w:r w:rsidR="00165998" w:rsidRPr="00442A3B">
        <w:t>1</w:t>
      </w:r>
      <w:r w:rsidR="00E930EE" w:rsidRPr="00442A3B">
        <w:t>8</w:t>
      </w:r>
      <w:r w:rsidR="00165998" w:rsidRPr="00442A3B">
        <w:t>, 201</w:t>
      </w:r>
      <w:r w:rsidR="00E930EE" w:rsidRPr="00442A3B">
        <w:t>8</w:t>
      </w:r>
      <w:r w:rsidR="3D8DBB5A" w:rsidRPr="00442A3B">
        <w:t>-</w:t>
      </w:r>
      <w:r w:rsidR="00165998" w:rsidRPr="00442A3B">
        <w:t>1</w:t>
      </w:r>
      <w:r w:rsidR="00E930EE" w:rsidRPr="00442A3B">
        <w:t>9</w:t>
      </w:r>
      <w:r w:rsidR="00165998" w:rsidRPr="00442A3B">
        <w:t xml:space="preserve"> and 201</w:t>
      </w:r>
      <w:r w:rsidR="00E930EE" w:rsidRPr="00442A3B">
        <w:t>9</w:t>
      </w:r>
      <w:r w:rsidR="00165998" w:rsidRPr="00442A3B">
        <w:noBreakHyphen/>
      </w:r>
      <w:r w:rsidR="00E930EE" w:rsidRPr="00442A3B">
        <w:t>20</w:t>
      </w:r>
      <w:r w:rsidR="00DC41FF" w:rsidRPr="00442A3B">
        <w:t>.</w:t>
      </w:r>
      <w:r w:rsidR="00165998" w:rsidRPr="00442A3B">
        <w:t xml:space="preserve"> The </w:t>
      </w:r>
      <w:r w:rsidR="00BA0732" w:rsidRPr="00442A3B">
        <w:t xml:space="preserve">calculations </w:t>
      </w:r>
      <w:r w:rsidR="00E0460C" w:rsidRPr="00442A3B">
        <w:t xml:space="preserve">also </w:t>
      </w:r>
      <w:r w:rsidR="001C1E55" w:rsidRPr="00442A3B">
        <w:t>took</w:t>
      </w:r>
      <w:r w:rsidR="00BA0732" w:rsidRPr="00442A3B">
        <w:t xml:space="preserve"> account of </w:t>
      </w:r>
      <w:r w:rsidR="00165998" w:rsidRPr="00442A3B">
        <w:t>additional Commonwealth support States receive</w:t>
      </w:r>
      <w:r w:rsidR="001C1E55" w:rsidRPr="00442A3B">
        <w:t>d</w:t>
      </w:r>
      <w:r w:rsidR="00165998" w:rsidRPr="00442A3B">
        <w:t xml:space="preserve"> and data on State populations</w:t>
      </w:r>
      <w:r w:rsidR="00954F5F" w:rsidRPr="00442A3B">
        <w:t>.</w:t>
      </w:r>
      <w:r w:rsidR="001F6A5A" w:rsidRPr="00442A3B">
        <w:rPr>
          <w:rStyle w:val="FootnoteReference"/>
        </w:rPr>
        <w:footnoteReference w:id="8"/>
      </w:r>
      <w:r w:rsidR="00954F5F" w:rsidRPr="00442A3B">
        <w:t xml:space="preserve"> </w:t>
      </w:r>
    </w:p>
    <w:p w14:paraId="720E8824" w14:textId="5FDAACD4" w:rsidR="0018618C" w:rsidRPr="00442A3B" w:rsidRDefault="00EA73E2" w:rsidP="008832D9">
      <w:pPr>
        <w:pStyle w:val="CGCParaNumber"/>
        <w:widowControl w:val="0"/>
        <w:ind w:left="567" w:hanging="567"/>
        <w:rPr>
          <w:rFonts w:cs="Open Sans Light"/>
        </w:rPr>
      </w:pPr>
      <w:r w:rsidRPr="00442A3B">
        <w:fldChar w:fldCharType="begin"/>
      </w:r>
      <w:r w:rsidRPr="00442A3B">
        <w:instrText xml:space="preserve"> REF _Ref18058941 \h  \* MERGEFORMAT </w:instrText>
      </w:r>
      <w:r w:rsidRPr="00442A3B">
        <w:fldChar w:fldCharType="separate"/>
      </w:r>
      <w:r w:rsidR="00FC3D3D" w:rsidRPr="00442A3B">
        <w:t>Table 1-</w:t>
      </w:r>
      <w:r w:rsidR="00FC3D3D">
        <w:t>2</w:t>
      </w:r>
      <w:r w:rsidRPr="00442A3B">
        <w:fldChar w:fldCharType="end"/>
      </w:r>
      <w:r w:rsidRPr="00442A3B">
        <w:t xml:space="preserve"> shows how the </w:t>
      </w:r>
      <w:r w:rsidR="00D313F2" w:rsidRPr="00442A3B">
        <w:t>GST</w:t>
      </w:r>
      <w:r w:rsidRPr="00442A3B">
        <w:t xml:space="preserve"> relativities </w:t>
      </w:r>
      <w:r w:rsidR="00B92D33" w:rsidRPr="00442A3B">
        <w:t>were</w:t>
      </w:r>
      <w:r w:rsidRPr="00442A3B">
        <w:t xml:space="preserve"> derived from the relative fiscal capacities. </w:t>
      </w:r>
      <w:r w:rsidR="00D938BA" w:rsidRPr="00442A3B">
        <w:t xml:space="preserve">In </w:t>
      </w:r>
      <w:r w:rsidR="00BB5477" w:rsidRPr="00442A3B">
        <w:t xml:space="preserve">line with the new arrangements, </w:t>
      </w:r>
      <w:r w:rsidR="0028050F" w:rsidRPr="00442A3B">
        <w:t xml:space="preserve">an adjustment </w:t>
      </w:r>
      <w:r w:rsidR="00B92D33" w:rsidRPr="00442A3B">
        <w:t>was</w:t>
      </w:r>
      <w:r w:rsidR="0028050F" w:rsidRPr="00442A3B">
        <w:t xml:space="preserve"> made </w:t>
      </w:r>
      <w:r w:rsidRPr="00442A3B">
        <w:t xml:space="preserve">to </w:t>
      </w:r>
      <w:r w:rsidR="0002546A" w:rsidRPr="00442A3B">
        <w:t xml:space="preserve">each </w:t>
      </w:r>
      <w:r w:rsidR="00CB6680" w:rsidRPr="00442A3B">
        <w:t xml:space="preserve">State’s relative fiscal capacity </w:t>
      </w:r>
      <w:r w:rsidR="0002546A" w:rsidRPr="00442A3B">
        <w:t xml:space="preserve">to </w:t>
      </w:r>
      <w:r w:rsidRPr="00442A3B">
        <w:t xml:space="preserve">ensure that no State has a fiscal capacity </w:t>
      </w:r>
      <w:r w:rsidR="00852290" w:rsidRPr="00442A3B">
        <w:t xml:space="preserve">in </w:t>
      </w:r>
      <w:r w:rsidR="00237889" w:rsidRPr="00442A3B">
        <w:t xml:space="preserve">any </w:t>
      </w:r>
      <w:r w:rsidR="00852290" w:rsidRPr="00442A3B">
        <w:t xml:space="preserve">assessment year </w:t>
      </w:r>
      <w:r w:rsidRPr="00442A3B">
        <w:t>below that of the stronger of New South Wales or Victoria</w:t>
      </w:r>
      <w:r w:rsidR="00584744" w:rsidRPr="00442A3B">
        <w:t>.</w:t>
      </w:r>
      <w:r w:rsidR="00584744" w:rsidRPr="00442A3B" w:rsidDel="00753F63">
        <w:t xml:space="preserve"> </w:t>
      </w:r>
      <w:r w:rsidR="00EC627F" w:rsidRPr="00442A3B">
        <w:t>These are</w:t>
      </w:r>
      <w:r w:rsidRPr="00442A3B" w:rsidDel="00753F63">
        <w:t xml:space="preserve"> </w:t>
      </w:r>
      <w:r w:rsidR="009761AC" w:rsidRPr="00442A3B">
        <w:t>referred to as</w:t>
      </w:r>
      <w:r w:rsidR="009761AC" w:rsidRPr="00442A3B" w:rsidDel="00753F63">
        <w:t xml:space="preserve"> </w:t>
      </w:r>
      <w:r w:rsidRPr="00442A3B" w:rsidDel="00753F63">
        <w:t>the standard State fiscal capacities.</w:t>
      </w:r>
      <w:r w:rsidR="00565EB6" w:rsidRPr="00442A3B">
        <w:rPr>
          <w:rStyle w:val="FootnoteReference"/>
        </w:rPr>
        <w:footnoteReference w:id="9"/>
      </w:r>
      <w:r w:rsidRPr="00442A3B">
        <w:t xml:space="preserve"> </w:t>
      </w:r>
      <w:r w:rsidR="00AA794B" w:rsidRPr="00442A3B">
        <w:t xml:space="preserve">This </w:t>
      </w:r>
      <w:r w:rsidRPr="00442A3B">
        <w:t>increas</w:t>
      </w:r>
      <w:r w:rsidR="00514DD7" w:rsidRPr="00442A3B">
        <w:t>e</w:t>
      </w:r>
      <w:r w:rsidR="00B92D33" w:rsidRPr="00442A3B">
        <w:t>d</w:t>
      </w:r>
      <w:r w:rsidR="00AA794B" w:rsidRPr="00442A3B">
        <w:t xml:space="preserve"> the GST share for States whose fiscal capacity </w:t>
      </w:r>
      <w:r w:rsidR="00B92D33" w:rsidRPr="00442A3B">
        <w:t>wa</w:t>
      </w:r>
      <w:r w:rsidR="00AA794B" w:rsidRPr="00442A3B">
        <w:t>s above the standard State, and decrease</w:t>
      </w:r>
      <w:r w:rsidR="00B92D33" w:rsidRPr="00442A3B">
        <w:t>d</w:t>
      </w:r>
      <w:r w:rsidR="00BE78DB" w:rsidRPr="00442A3B">
        <w:t xml:space="preserve"> </w:t>
      </w:r>
      <w:r w:rsidR="644C7EEE" w:rsidRPr="00442A3B">
        <w:t>t</w:t>
      </w:r>
      <w:r w:rsidR="00BE78DB" w:rsidRPr="00442A3B">
        <w:t>he share</w:t>
      </w:r>
      <w:r w:rsidRPr="00442A3B">
        <w:t xml:space="preserve"> of all other States, including the standard State. </w:t>
      </w:r>
    </w:p>
    <w:p w14:paraId="00D2488E" w14:textId="741C6126" w:rsidR="00264657" w:rsidRPr="00442A3B" w:rsidRDefault="00EA73E2" w:rsidP="008832D9">
      <w:pPr>
        <w:pStyle w:val="CGCParaNumber"/>
        <w:widowControl w:val="0"/>
        <w:ind w:left="567" w:hanging="567"/>
        <w:rPr>
          <w:rFonts w:cs="Open Sans Light"/>
        </w:rPr>
      </w:pPr>
      <w:r w:rsidRPr="00442A3B">
        <w:t>The Commission then blend</w:t>
      </w:r>
      <w:r w:rsidR="00B92D33" w:rsidRPr="00442A3B">
        <w:t>ed</w:t>
      </w:r>
      <w:r w:rsidRPr="00442A3B">
        <w:t xml:space="preserve"> these two approaches as prescribed in the legislation</w:t>
      </w:r>
      <w:r w:rsidR="0018618C" w:rsidRPr="00442A3B">
        <w:t xml:space="preserve">. </w:t>
      </w:r>
      <w:r w:rsidR="00FF4895" w:rsidRPr="00442A3B">
        <w:t>F</w:t>
      </w:r>
      <w:r w:rsidRPr="00442A3B">
        <w:t>or 2021-22</w:t>
      </w:r>
      <w:r w:rsidR="00D625DF" w:rsidRPr="00442A3B">
        <w:t>,</w:t>
      </w:r>
      <w:r w:rsidRPr="00442A3B">
        <w:t xml:space="preserve"> </w:t>
      </w:r>
      <w:r w:rsidR="00CF23CA" w:rsidRPr="00442A3B">
        <w:t xml:space="preserve">this </w:t>
      </w:r>
      <w:r w:rsidR="00B92D33" w:rsidRPr="00442A3B">
        <w:t>was</w:t>
      </w:r>
      <w:r w:rsidR="00CF23CA" w:rsidRPr="00442A3B">
        <w:t xml:space="preserve"> </w:t>
      </w:r>
      <w:r w:rsidRPr="00442A3B">
        <w:t>5/6th relative fiscal capacities</w:t>
      </w:r>
      <w:r w:rsidR="004600FF" w:rsidRPr="00442A3B">
        <w:t xml:space="preserve"> (previous arrangements)</w:t>
      </w:r>
      <w:r w:rsidRPr="00442A3B">
        <w:t xml:space="preserve"> and 1/6th standard State capacities</w:t>
      </w:r>
      <w:r w:rsidR="004600FF" w:rsidRPr="00442A3B">
        <w:t xml:space="preserve"> (new arrangements)</w:t>
      </w:r>
      <w:r w:rsidRPr="00442A3B">
        <w:t>.</w:t>
      </w:r>
      <w:r w:rsidRPr="00442A3B">
        <w:rPr>
          <w:rStyle w:val="FootnoteReference"/>
        </w:rPr>
        <w:footnoteReference w:id="10"/>
      </w:r>
      <w:r w:rsidRPr="00442A3B">
        <w:t xml:space="preserve"> The </w:t>
      </w:r>
      <w:r w:rsidR="00A9509C" w:rsidRPr="00442A3B">
        <w:t>next</w:t>
      </w:r>
      <w:r w:rsidRPr="00442A3B">
        <w:t xml:space="preserve"> stage</w:t>
      </w:r>
      <w:r w:rsidR="007C7CA9" w:rsidRPr="00442A3B">
        <w:t xml:space="preserve">, which will be </w:t>
      </w:r>
      <w:r w:rsidR="4F5D5F6C" w:rsidRPr="00442A3B">
        <w:t>appli</w:t>
      </w:r>
      <w:r w:rsidR="491B0C4A" w:rsidRPr="00442A3B">
        <w:t>c</w:t>
      </w:r>
      <w:r w:rsidR="4F5D5F6C" w:rsidRPr="00442A3B">
        <w:t>able</w:t>
      </w:r>
      <w:r w:rsidR="007C7CA9" w:rsidRPr="00442A3B">
        <w:t xml:space="preserve"> fr</w:t>
      </w:r>
      <w:r w:rsidR="00FF4901" w:rsidRPr="00442A3B">
        <w:t>om 2022</w:t>
      </w:r>
      <w:r w:rsidR="1E46E262" w:rsidRPr="00442A3B">
        <w:t>-</w:t>
      </w:r>
      <w:r w:rsidR="00FF4901" w:rsidRPr="00442A3B">
        <w:t>23,</w:t>
      </w:r>
      <w:r w:rsidRPr="00442A3B">
        <w:t xml:space="preserve"> </w:t>
      </w:r>
      <w:r w:rsidR="00DA556D" w:rsidRPr="00442A3B">
        <w:t>will be</w:t>
      </w:r>
      <w:r w:rsidRPr="00442A3B">
        <w:t xml:space="preserve"> to ensure that no State is below the prescribed relativity floor, being 0.7.</w:t>
      </w:r>
      <w:r w:rsidRPr="00442A3B">
        <w:rPr>
          <w:rStyle w:val="FootnoteReference"/>
        </w:rPr>
        <w:footnoteReference w:id="11"/>
      </w:r>
      <w:r w:rsidRPr="00442A3B">
        <w:t xml:space="preserve"> In the event</w:t>
      </w:r>
      <w:r w:rsidR="00FA7D22" w:rsidRPr="00442A3B">
        <w:t xml:space="preserve"> </w:t>
      </w:r>
      <w:r w:rsidR="00A77C3A" w:rsidRPr="00442A3B">
        <w:t>that</w:t>
      </w:r>
      <w:r w:rsidRPr="00442A3B">
        <w:t xml:space="preserve"> moving </w:t>
      </w:r>
      <w:r w:rsidR="009079D6" w:rsidRPr="00442A3B">
        <w:t>a State’s</w:t>
      </w:r>
      <w:r w:rsidRPr="00442A3B">
        <w:t xml:space="preserve"> relativity to this floor is required, it would result in other State</w:t>
      </w:r>
      <w:r w:rsidR="00A245FA" w:rsidRPr="00442A3B">
        <w:t>s’</w:t>
      </w:r>
      <w:r w:rsidRPr="00442A3B">
        <w:t xml:space="preserve"> relativities falling to compensate</w:t>
      </w:r>
      <w:r w:rsidRPr="00442A3B">
        <w:rPr>
          <w:rFonts w:cs="Open Sans Light"/>
        </w:rPr>
        <w:t xml:space="preserve">. </w:t>
      </w:r>
    </w:p>
    <w:p w14:paraId="33BC4D26" w14:textId="25BB25D5" w:rsidR="00EA73E2" w:rsidRPr="00442A3B" w:rsidRDefault="00544C28" w:rsidP="00264657">
      <w:pPr>
        <w:pStyle w:val="CGCParaNumber"/>
        <w:keepNext/>
        <w:keepLines/>
        <w:ind w:left="567" w:hanging="567"/>
        <w:rPr>
          <w:rFonts w:cs="Open Sans Light"/>
        </w:rPr>
      </w:pPr>
      <w:r w:rsidRPr="00442A3B">
        <w:lastRenderedPageBreak/>
        <w:t>The</w:t>
      </w:r>
      <w:r w:rsidR="00140373" w:rsidRPr="00442A3B">
        <w:t xml:space="preserve">re is </w:t>
      </w:r>
      <w:r w:rsidR="004B3B64" w:rsidRPr="00442A3B">
        <w:t xml:space="preserve">a ‘no worse off’ guarantee to ensure that no State receives less GST than it would have received in the absence of the new arrangements. The guarantee </w:t>
      </w:r>
      <w:r w:rsidR="00140373" w:rsidRPr="00442A3B">
        <w:t xml:space="preserve">starts in 2021-22 and </w:t>
      </w:r>
      <w:r w:rsidR="004B3B64" w:rsidRPr="00442A3B">
        <w:t xml:space="preserve">runs until 2026-27. </w:t>
      </w:r>
      <w:r w:rsidR="00DD5529" w:rsidRPr="00442A3B">
        <w:t>Any</w:t>
      </w:r>
      <w:r w:rsidR="004B3B64" w:rsidRPr="00442A3B">
        <w:t xml:space="preserve"> ‘no worse off’ amount</w:t>
      </w:r>
      <w:r w:rsidR="00DD5529" w:rsidRPr="00442A3B">
        <w:t xml:space="preserve">s will be </w:t>
      </w:r>
      <w:r w:rsidR="00BA0FD2" w:rsidRPr="00442A3B">
        <w:t>calculated</w:t>
      </w:r>
      <w:r w:rsidR="004B3B64" w:rsidRPr="00442A3B">
        <w:t xml:space="preserve"> in accordance with the legislation.</w:t>
      </w:r>
    </w:p>
    <w:p w14:paraId="59E8810C" w14:textId="67D164D0" w:rsidR="00EA73E2" w:rsidRPr="00442A3B" w:rsidRDefault="00EA73E2" w:rsidP="000D3768">
      <w:pPr>
        <w:pStyle w:val="Caption"/>
      </w:pPr>
      <w:bookmarkStart w:id="56" w:name="_Ref18058941"/>
      <w:bookmarkStart w:id="57" w:name="_Toc62487270"/>
      <w:bookmarkStart w:id="58" w:name="_Toc62723801"/>
      <w:r w:rsidRPr="00442A3B">
        <w:t>Table 1-</w:t>
      </w:r>
      <w:r w:rsidRPr="00442A3B">
        <w:rPr>
          <w:noProof/>
        </w:rPr>
        <w:fldChar w:fldCharType="begin"/>
      </w:r>
      <w:r w:rsidRPr="00442A3B">
        <w:rPr>
          <w:noProof/>
        </w:rPr>
        <w:instrText xml:space="preserve"> SEQ Table \* ARABIC </w:instrText>
      </w:r>
      <w:r w:rsidRPr="00442A3B">
        <w:rPr>
          <w:noProof/>
        </w:rPr>
        <w:fldChar w:fldCharType="separate"/>
      </w:r>
      <w:r w:rsidR="00FC3D3D">
        <w:rPr>
          <w:noProof/>
        </w:rPr>
        <w:t>2</w:t>
      </w:r>
      <w:r w:rsidRPr="00442A3B">
        <w:rPr>
          <w:noProof/>
        </w:rPr>
        <w:fldChar w:fldCharType="end"/>
      </w:r>
      <w:bookmarkEnd w:id="56"/>
      <w:r w:rsidRPr="00442A3B">
        <w:tab/>
        <w:t xml:space="preserve">Fiscal capacities and </w:t>
      </w:r>
      <w:r w:rsidR="001B3133" w:rsidRPr="00442A3B">
        <w:t xml:space="preserve">GST </w:t>
      </w:r>
      <w:r w:rsidRPr="00442A3B">
        <w:t>relativities, 2021-22</w:t>
      </w:r>
      <w:bookmarkEnd w:id="57"/>
      <w:bookmarkEnd w:id="58"/>
    </w:p>
    <w:tbl>
      <w:tblPr>
        <w:tblW w:w="8902" w:type="dxa"/>
        <w:tblCellMar>
          <w:left w:w="28" w:type="dxa"/>
          <w:right w:w="28" w:type="dxa"/>
        </w:tblCellMar>
        <w:tblLook w:val="04A0" w:firstRow="1" w:lastRow="0" w:firstColumn="1" w:lastColumn="0" w:noHBand="0" w:noVBand="1"/>
      </w:tblPr>
      <w:tblGrid>
        <w:gridCol w:w="1021"/>
        <w:gridCol w:w="1121"/>
        <w:gridCol w:w="645"/>
        <w:gridCol w:w="1210"/>
        <w:gridCol w:w="308"/>
        <w:gridCol w:w="1535"/>
        <w:gridCol w:w="358"/>
        <w:gridCol w:w="1060"/>
        <w:gridCol w:w="646"/>
        <w:gridCol w:w="998"/>
      </w:tblGrid>
      <w:tr w:rsidR="00CB4146" w:rsidRPr="00442A3B" w14:paraId="65D6D323" w14:textId="77777777" w:rsidTr="00AC6F92">
        <w:trPr>
          <w:trHeight w:val="555"/>
        </w:trPr>
        <w:tc>
          <w:tcPr>
            <w:tcW w:w="1021" w:type="dxa"/>
            <w:tcBorders>
              <w:top w:val="nil"/>
              <w:left w:val="nil"/>
              <w:bottom w:val="nil"/>
              <w:right w:val="nil"/>
            </w:tcBorders>
            <w:shd w:val="clear" w:color="000000" w:fill="006991"/>
            <w:vAlign w:val="center"/>
            <w:hideMark/>
          </w:tcPr>
          <w:p w14:paraId="57AFB689" w14:textId="77777777" w:rsidR="00CB4146" w:rsidRPr="00442A3B" w:rsidRDefault="00CB4146" w:rsidP="00AA669F">
            <w:pPr>
              <w:pStyle w:val="CGCTableHeading"/>
              <w:jc w:val="right"/>
              <w:rPr>
                <w:rFonts w:ascii="Symbol" w:eastAsia="MS Mincho" w:hAnsi="Symbol" w:cs="Symbol" w:hint="eastAsia"/>
                <w:color w:val="FFFFFF"/>
                <w:szCs w:val="16"/>
                <w:lang w:eastAsia="en-AU"/>
              </w:rPr>
            </w:pPr>
            <w:bookmarkStart w:id="59" w:name="RANGE!A15:J24"/>
            <w:r w:rsidRPr="00442A3B">
              <w:rPr>
                <w:lang w:eastAsia="en-AU"/>
              </w:rPr>
              <w:t> </w:t>
            </w:r>
            <w:bookmarkEnd w:id="59"/>
          </w:p>
        </w:tc>
        <w:tc>
          <w:tcPr>
            <w:tcW w:w="1121" w:type="dxa"/>
            <w:tcBorders>
              <w:top w:val="nil"/>
              <w:left w:val="nil"/>
              <w:bottom w:val="nil"/>
              <w:right w:val="nil"/>
            </w:tcBorders>
            <w:shd w:val="clear" w:color="000000" w:fill="006991"/>
            <w:vAlign w:val="center"/>
            <w:hideMark/>
          </w:tcPr>
          <w:p w14:paraId="0AFA7D11" w14:textId="1A6FC729" w:rsidR="00CB4146" w:rsidRPr="00442A3B" w:rsidRDefault="00682717" w:rsidP="00AA669F">
            <w:pPr>
              <w:pStyle w:val="CGCTableHeading"/>
              <w:jc w:val="right"/>
              <w:rPr>
                <w:rFonts w:eastAsia="MS Mincho" w:cs="Open Sans Semibold"/>
                <w:szCs w:val="16"/>
                <w:lang w:eastAsia="en-AU"/>
              </w:rPr>
            </w:pPr>
            <w:r w:rsidRPr="00442A3B">
              <w:rPr>
                <w:rFonts w:eastAsia="MS Mincho" w:cs="Open Sans Semibold"/>
                <w:szCs w:val="16"/>
                <w:lang w:eastAsia="en-AU"/>
              </w:rPr>
              <w:t>Relative f</w:t>
            </w:r>
            <w:r w:rsidR="00CB4146" w:rsidRPr="00442A3B">
              <w:rPr>
                <w:rFonts w:eastAsia="MS Mincho" w:cs="Open Sans Semibold"/>
                <w:szCs w:val="16"/>
                <w:lang w:eastAsia="en-AU"/>
              </w:rPr>
              <w:t>iscal capacities</w:t>
            </w:r>
            <w:r w:rsidR="00CC32A1" w:rsidRPr="00442A3B">
              <w:rPr>
                <w:rFonts w:eastAsia="MS Mincho" w:cs="Open Sans Semibold"/>
                <w:szCs w:val="16"/>
                <w:lang w:eastAsia="en-AU"/>
              </w:rPr>
              <w:t xml:space="preserve"> (a)</w:t>
            </w:r>
          </w:p>
        </w:tc>
        <w:tc>
          <w:tcPr>
            <w:tcW w:w="645" w:type="dxa"/>
            <w:tcBorders>
              <w:top w:val="nil"/>
              <w:left w:val="nil"/>
              <w:bottom w:val="nil"/>
              <w:right w:val="nil"/>
            </w:tcBorders>
            <w:shd w:val="clear" w:color="000000" w:fill="006991"/>
            <w:vAlign w:val="center"/>
            <w:hideMark/>
          </w:tcPr>
          <w:p w14:paraId="469C99BE" w14:textId="77777777" w:rsidR="00CB4146" w:rsidRPr="00442A3B" w:rsidRDefault="00CB4146" w:rsidP="00AA669F">
            <w:pPr>
              <w:pStyle w:val="CGCTableHeading"/>
              <w:jc w:val="right"/>
              <w:rPr>
                <w:rFonts w:eastAsia="MS Mincho" w:cs="Open Sans Semibold"/>
                <w:szCs w:val="16"/>
                <w:lang w:eastAsia="en-AU"/>
              </w:rPr>
            </w:pPr>
            <w:r w:rsidRPr="00442A3B">
              <w:rPr>
                <w:rFonts w:eastAsia="MS Mincho" w:cs="Open Sans Semibold"/>
                <w:szCs w:val="16"/>
                <w:lang w:eastAsia="en-AU"/>
              </w:rPr>
              <w:t> </w:t>
            </w:r>
          </w:p>
        </w:tc>
        <w:tc>
          <w:tcPr>
            <w:tcW w:w="1210" w:type="dxa"/>
            <w:tcBorders>
              <w:top w:val="nil"/>
              <w:left w:val="nil"/>
              <w:bottom w:val="nil"/>
              <w:right w:val="nil"/>
            </w:tcBorders>
            <w:shd w:val="clear" w:color="000000" w:fill="006991"/>
            <w:vAlign w:val="center"/>
            <w:hideMark/>
          </w:tcPr>
          <w:p w14:paraId="00C2DA14" w14:textId="7F0D3208" w:rsidR="00CB4146" w:rsidRPr="00442A3B" w:rsidRDefault="00CB4146" w:rsidP="00AA669F">
            <w:pPr>
              <w:pStyle w:val="CGCTableHeading"/>
              <w:jc w:val="right"/>
              <w:rPr>
                <w:rFonts w:eastAsia="MS Mincho" w:cs="Open Sans Semibold"/>
                <w:szCs w:val="16"/>
                <w:lang w:eastAsia="en-AU"/>
              </w:rPr>
            </w:pPr>
            <w:r w:rsidRPr="00442A3B">
              <w:rPr>
                <w:rFonts w:eastAsia="MS Mincho" w:cs="Open Sans Semibold"/>
                <w:szCs w:val="16"/>
                <w:lang w:eastAsia="en-AU"/>
              </w:rPr>
              <w:t>Standard State</w:t>
            </w:r>
            <w:r w:rsidR="00D8550E" w:rsidRPr="00442A3B">
              <w:rPr>
                <w:rFonts w:eastAsia="MS Mincho" w:cs="Open Sans Semibold"/>
                <w:szCs w:val="16"/>
                <w:lang w:eastAsia="en-AU"/>
              </w:rPr>
              <w:t xml:space="preserve"> capacities</w:t>
            </w:r>
            <w:r w:rsidRPr="00442A3B">
              <w:rPr>
                <w:rFonts w:eastAsia="MS Mincho" w:cs="Open Sans Semibold"/>
                <w:szCs w:val="16"/>
                <w:lang w:eastAsia="en-AU"/>
              </w:rPr>
              <w:t xml:space="preserve"> (</w:t>
            </w:r>
            <w:r w:rsidR="002B30CF" w:rsidRPr="00442A3B">
              <w:rPr>
                <w:rFonts w:eastAsia="MS Mincho" w:cs="Open Sans Semibold"/>
                <w:szCs w:val="16"/>
                <w:lang w:eastAsia="en-AU"/>
              </w:rPr>
              <w:t>b</w:t>
            </w:r>
            <w:r w:rsidRPr="00442A3B">
              <w:rPr>
                <w:rFonts w:eastAsia="MS Mincho" w:cs="Open Sans Semibold"/>
                <w:szCs w:val="16"/>
                <w:lang w:eastAsia="en-AU"/>
              </w:rPr>
              <w:t>)</w:t>
            </w:r>
          </w:p>
        </w:tc>
        <w:tc>
          <w:tcPr>
            <w:tcW w:w="308" w:type="dxa"/>
            <w:tcBorders>
              <w:top w:val="nil"/>
              <w:left w:val="nil"/>
              <w:bottom w:val="nil"/>
              <w:right w:val="nil"/>
            </w:tcBorders>
            <w:shd w:val="clear" w:color="000000" w:fill="006991"/>
            <w:vAlign w:val="center"/>
            <w:hideMark/>
          </w:tcPr>
          <w:p w14:paraId="4E34F2C1" w14:textId="77777777" w:rsidR="00CB4146" w:rsidRPr="00442A3B" w:rsidRDefault="00CB4146" w:rsidP="00AA669F">
            <w:pPr>
              <w:pStyle w:val="CGCTableHeading"/>
              <w:jc w:val="right"/>
              <w:rPr>
                <w:rFonts w:eastAsia="MS Mincho" w:cs="Open Sans Semibold"/>
                <w:szCs w:val="16"/>
                <w:lang w:eastAsia="en-AU"/>
              </w:rPr>
            </w:pPr>
            <w:r w:rsidRPr="00442A3B">
              <w:rPr>
                <w:rFonts w:eastAsia="MS Mincho" w:cs="Open Sans Semibold"/>
                <w:szCs w:val="16"/>
                <w:lang w:eastAsia="en-AU"/>
              </w:rPr>
              <w:t> </w:t>
            </w:r>
          </w:p>
        </w:tc>
        <w:tc>
          <w:tcPr>
            <w:tcW w:w="1535" w:type="dxa"/>
            <w:tcBorders>
              <w:top w:val="nil"/>
              <w:left w:val="nil"/>
              <w:bottom w:val="nil"/>
              <w:right w:val="nil"/>
            </w:tcBorders>
            <w:shd w:val="clear" w:color="000000" w:fill="006991"/>
            <w:vAlign w:val="center"/>
            <w:hideMark/>
          </w:tcPr>
          <w:p w14:paraId="6051A683" w14:textId="27626F72" w:rsidR="00CB4146" w:rsidRPr="00442A3B" w:rsidRDefault="00CB4146" w:rsidP="00AA669F">
            <w:pPr>
              <w:pStyle w:val="CGCTableHeading"/>
              <w:jc w:val="right"/>
              <w:rPr>
                <w:rFonts w:eastAsia="MS Mincho" w:cs="Open Sans Semibold"/>
                <w:szCs w:val="16"/>
                <w:lang w:eastAsia="en-AU"/>
              </w:rPr>
            </w:pPr>
            <w:r w:rsidRPr="00442A3B">
              <w:rPr>
                <w:rFonts w:eastAsia="MS Mincho" w:cs="Open Sans Semibold"/>
                <w:szCs w:val="16"/>
                <w:lang w:eastAsia="en-AU"/>
              </w:rPr>
              <w:t xml:space="preserve">Blended </w:t>
            </w:r>
            <w:r w:rsidR="00AA669F" w:rsidRPr="00442A3B">
              <w:rPr>
                <w:rFonts w:eastAsia="MS Mincho" w:cs="Open Sans Semibold"/>
                <w:szCs w:val="16"/>
                <w:lang w:eastAsia="en-AU"/>
              </w:rPr>
              <w:br/>
            </w:r>
            <w:r w:rsidRPr="00442A3B">
              <w:rPr>
                <w:rFonts w:eastAsia="MS Mincho" w:cs="Open Sans Semibold"/>
                <w:szCs w:val="16"/>
                <w:lang w:eastAsia="en-AU"/>
              </w:rPr>
              <w:t>capacities (</w:t>
            </w:r>
            <w:r w:rsidR="002B30CF" w:rsidRPr="00442A3B">
              <w:rPr>
                <w:rFonts w:eastAsia="MS Mincho" w:cs="Open Sans Semibold"/>
                <w:szCs w:val="16"/>
                <w:lang w:eastAsia="en-AU"/>
              </w:rPr>
              <w:t>c</w:t>
            </w:r>
            <w:r w:rsidRPr="00442A3B">
              <w:rPr>
                <w:rFonts w:eastAsia="MS Mincho" w:cs="Open Sans Semibold"/>
                <w:szCs w:val="16"/>
                <w:lang w:eastAsia="en-AU"/>
              </w:rPr>
              <w:t>)</w:t>
            </w:r>
          </w:p>
        </w:tc>
        <w:tc>
          <w:tcPr>
            <w:tcW w:w="358" w:type="dxa"/>
            <w:tcBorders>
              <w:top w:val="nil"/>
              <w:left w:val="nil"/>
              <w:bottom w:val="nil"/>
              <w:right w:val="nil"/>
            </w:tcBorders>
            <w:shd w:val="clear" w:color="000000" w:fill="006991"/>
            <w:vAlign w:val="center"/>
            <w:hideMark/>
          </w:tcPr>
          <w:p w14:paraId="376DD113" w14:textId="77777777" w:rsidR="00CB4146" w:rsidRPr="00442A3B" w:rsidRDefault="00CB4146" w:rsidP="00AA669F">
            <w:pPr>
              <w:pStyle w:val="CGCTableHeading"/>
              <w:jc w:val="right"/>
              <w:rPr>
                <w:rFonts w:eastAsia="MS Mincho" w:cs="Open Sans Semibold"/>
                <w:szCs w:val="16"/>
                <w:lang w:eastAsia="en-AU"/>
              </w:rPr>
            </w:pPr>
            <w:r w:rsidRPr="00442A3B">
              <w:rPr>
                <w:rFonts w:eastAsia="MS Mincho" w:cs="Open Sans Semibold"/>
                <w:szCs w:val="16"/>
                <w:lang w:eastAsia="en-AU"/>
              </w:rPr>
              <w:t> </w:t>
            </w:r>
          </w:p>
        </w:tc>
        <w:tc>
          <w:tcPr>
            <w:tcW w:w="1060" w:type="dxa"/>
            <w:tcBorders>
              <w:top w:val="nil"/>
              <w:left w:val="nil"/>
              <w:bottom w:val="nil"/>
              <w:right w:val="nil"/>
            </w:tcBorders>
            <w:shd w:val="clear" w:color="000000" w:fill="006991"/>
            <w:vAlign w:val="center"/>
            <w:hideMark/>
          </w:tcPr>
          <w:p w14:paraId="0AFA8572" w14:textId="655E6482" w:rsidR="00CB4146" w:rsidRPr="00442A3B" w:rsidRDefault="00CB4146" w:rsidP="00AA669F">
            <w:pPr>
              <w:pStyle w:val="CGCTableHeading"/>
              <w:jc w:val="right"/>
              <w:rPr>
                <w:rFonts w:eastAsia="MS Mincho" w:cs="Open Sans Semibold"/>
                <w:szCs w:val="16"/>
                <w:lang w:eastAsia="en-AU"/>
              </w:rPr>
            </w:pPr>
            <w:r w:rsidRPr="00442A3B">
              <w:rPr>
                <w:rFonts w:eastAsia="MS Mincho" w:cs="Open Sans Semibold"/>
                <w:szCs w:val="16"/>
                <w:lang w:eastAsia="en-AU"/>
              </w:rPr>
              <w:t>Implement floor (</w:t>
            </w:r>
            <w:r w:rsidR="002B30CF" w:rsidRPr="00442A3B">
              <w:rPr>
                <w:rFonts w:eastAsia="MS Mincho" w:cs="Open Sans Semibold"/>
                <w:szCs w:val="16"/>
                <w:lang w:eastAsia="en-AU"/>
              </w:rPr>
              <w:t>d</w:t>
            </w:r>
            <w:r w:rsidR="001950BB" w:rsidRPr="00442A3B">
              <w:rPr>
                <w:rFonts w:eastAsia="MS Mincho" w:cs="Open Sans Semibold"/>
                <w:szCs w:val="16"/>
                <w:lang w:eastAsia="en-AU"/>
              </w:rPr>
              <w:t>)</w:t>
            </w:r>
          </w:p>
        </w:tc>
        <w:tc>
          <w:tcPr>
            <w:tcW w:w="646" w:type="dxa"/>
            <w:tcBorders>
              <w:top w:val="nil"/>
              <w:left w:val="nil"/>
              <w:bottom w:val="nil"/>
              <w:right w:val="nil"/>
            </w:tcBorders>
            <w:shd w:val="clear" w:color="000000" w:fill="006991"/>
            <w:vAlign w:val="center"/>
            <w:hideMark/>
          </w:tcPr>
          <w:p w14:paraId="47DE1B17" w14:textId="77777777" w:rsidR="00CB4146" w:rsidRPr="00442A3B" w:rsidRDefault="00CB4146" w:rsidP="00AA669F">
            <w:pPr>
              <w:pStyle w:val="CGCTableHeading"/>
              <w:jc w:val="right"/>
              <w:rPr>
                <w:rFonts w:eastAsia="MS Mincho" w:cs="Open Sans Semibold"/>
                <w:szCs w:val="16"/>
                <w:lang w:eastAsia="en-AU"/>
              </w:rPr>
            </w:pPr>
            <w:r w:rsidRPr="00442A3B">
              <w:rPr>
                <w:rFonts w:eastAsia="MS Mincho" w:cs="Open Sans Semibold"/>
                <w:szCs w:val="16"/>
                <w:lang w:eastAsia="en-AU"/>
              </w:rPr>
              <w:t> </w:t>
            </w:r>
          </w:p>
        </w:tc>
        <w:tc>
          <w:tcPr>
            <w:tcW w:w="998" w:type="dxa"/>
            <w:tcBorders>
              <w:top w:val="nil"/>
              <w:left w:val="nil"/>
              <w:bottom w:val="nil"/>
              <w:right w:val="nil"/>
            </w:tcBorders>
            <w:shd w:val="clear" w:color="000000" w:fill="006991"/>
            <w:vAlign w:val="center"/>
            <w:hideMark/>
          </w:tcPr>
          <w:p w14:paraId="2EC20F6F" w14:textId="77777777" w:rsidR="00CB4146" w:rsidRPr="00442A3B" w:rsidRDefault="00CB4146" w:rsidP="00AA669F">
            <w:pPr>
              <w:pStyle w:val="CGCTableHeading"/>
              <w:jc w:val="right"/>
              <w:rPr>
                <w:rFonts w:eastAsia="MS Mincho" w:cs="Open Sans Semibold"/>
                <w:szCs w:val="16"/>
                <w:lang w:eastAsia="en-AU"/>
              </w:rPr>
            </w:pPr>
            <w:r w:rsidRPr="00442A3B">
              <w:rPr>
                <w:rFonts w:eastAsia="MS Mincho" w:cs="Open Sans Semibold"/>
                <w:szCs w:val="16"/>
                <w:lang w:eastAsia="en-AU"/>
              </w:rPr>
              <w:t xml:space="preserve"> GST relativities</w:t>
            </w:r>
          </w:p>
        </w:tc>
      </w:tr>
      <w:tr w:rsidR="00CB4146" w:rsidRPr="00442A3B" w14:paraId="789DBE77" w14:textId="77777777" w:rsidTr="00AC6F92">
        <w:trPr>
          <w:trHeight w:val="315"/>
        </w:trPr>
        <w:tc>
          <w:tcPr>
            <w:tcW w:w="1021" w:type="dxa"/>
            <w:tcBorders>
              <w:top w:val="single" w:sz="4" w:space="0" w:color="ADD6EA"/>
              <w:left w:val="nil"/>
              <w:bottom w:val="nil"/>
              <w:right w:val="nil"/>
            </w:tcBorders>
            <w:shd w:val="clear" w:color="auto" w:fill="auto"/>
            <w:vAlign w:val="bottom"/>
            <w:hideMark/>
          </w:tcPr>
          <w:p w14:paraId="7D6EE04B" w14:textId="77777777" w:rsidR="00CB4146" w:rsidRPr="00442A3B" w:rsidRDefault="00CB4146" w:rsidP="00EA2591">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NSW</w:t>
            </w:r>
          </w:p>
        </w:tc>
        <w:tc>
          <w:tcPr>
            <w:tcW w:w="1121" w:type="dxa"/>
            <w:tcBorders>
              <w:top w:val="single" w:sz="4" w:space="0" w:color="ADD6EA"/>
              <w:left w:val="nil"/>
              <w:bottom w:val="nil"/>
              <w:right w:val="nil"/>
            </w:tcBorders>
            <w:shd w:val="clear" w:color="auto" w:fill="auto"/>
            <w:noWrap/>
            <w:vAlign w:val="bottom"/>
            <w:hideMark/>
          </w:tcPr>
          <w:p w14:paraId="219FA3BF"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0.96451</w:t>
            </w:r>
          </w:p>
        </w:tc>
        <w:tc>
          <w:tcPr>
            <w:tcW w:w="645" w:type="dxa"/>
            <w:tcBorders>
              <w:top w:val="single" w:sz="4" w:space="0" w:color="ADD6EA"/>
              <w:left w:val="nil"/>
              <w:bottom w:val="nil"/>
              <w:right w:val="nil"/>
            </w:tcBorders>
            <w:shd w:val="clear" w:color="auto" w:fill="auto"/>
            <w:noWrap/>
            <w:vAlign w:val="bottom"/>
            <w:hideMark/>
          </w:tcPr>
          <w:p w14:paraId="04598BAA"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1210" w:type="dxa"/>
            <w:tcBorders>
              <w:top w:val="single" w:sz="4" w:space="0" w:color="ADD6EA"/>
              <w:left w:val="nil"/>
              <w:bottom w:val="nil"/>
              <w:right w:val="nil"/>
            </w:tcBorders>
            <w:shd w:val="clear" w:color="auto" w:fill="auto"/>
            <w:noWrap/>
            <w:vAlign w:val="bottom"/>
            <w:hideMark/>
          </w:tcPr>
          <w:p w14:paraId="7A4FB1DA"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0.90258</w:t>
            </w:r>
          </w:p>
        </w:tc>
        <w:tc>
          <w:tcPr>
            <w:tcW w:w="308" w:type="dxa"/>
            <w:tcBorders>
              <w:top w:val="single" w:sz="4" w:space="0" w:color="ADD6EA"/>
              <w:left w:val="nil"/>
              <w:bottom w:val="nil"/>
              <w:right w:val="nil"/>
            </w:tcBorders>
            <w:shd w:val="clear" w:color="auto" w:fill="auto"/>
            <w:noWrap/>
            <w:vAlign w:val="bottom"/>
            <w:hideMark/>
          </w:tcPr>
          <w:p w14:paraId="5E66E1C5"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1535" w:type="dxa"/>
            <w:tcBorders>
              <w:top w:val="single" w:sz="4" w:space="0" w:color="ADD6EA"/>
              <w:left w:val="nil"/>
              <w:bottom w:val="nil"/>
              <w:right w:val="nil"/>
            </w:tcBorders>
            <w:shd w:val="clear" w:color="auto" w:fill="auto"/>
            <w:noWrap/>
            <w:vAlign w:val="bottom"/>
            <w:hideMark/>
          </w:tcPr>
          <w:p w14:paraId="2BF019DC"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0.95617</w:t>
            </w:r>
          </w:p>
        </w:tc>
        <w:tc>
          <w:tcPr>
            <w:tcW w:w="358" w:type="dxa"/>
            <w:tcBorders>
              <w:top w:val="single" w:sz="4" w:space="0" w:color="ADD6EA"/>
              <w:left w:val="nil"/>
              <w:bottom w:val="nil"/>
              <w:right w:val="nil"/>
            </w:tcBorders>
            <w:shd w:val="clear" w:color="auto" w:fill="auto"/>
            <w:noWrap/>
            <w:vAlign w:val="bottom"/>
            <w:hideMark/>
          </w:tcPr>
          <w:p w14:paraId="351CD7DA"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1060" w:type="dxa"/>
            <w:tcBorders>
              <w:top w:val="single" w:sz="4" w:space="0" w:color="ADD6EA"/>
              <w:left w:val="nil"/>
              <w:bottom w:val="nil"/>
              <w:right w:val="nil"/>
            </w:tcBorders>
            <w:shd w:val="clear" w:color="auto" w:fill="auto"/>
            <w:noWrap/>
            <w:vAlign w:val="bottom"/>
            <w:hideMark/>
          </w:tcPr>
          <w:p w14:paraId="2E919240"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n/a</w:t>
            </w:r>
          </w:p>
        </w:tc>
        <w:tc>
          <w:tcPr>
            <w:tcW w:w="646" w:type="dxa"/>
            <w:tcBorders>
              <w:top w:val="single" w:sz="4" w:space="0" w:color="ADD6EA"/>
              <w:left w:val="nil"/>
              <w:bottom w:val="nil"/>
              <w:right w:val="nil"/>
            </w:tcBorders>
            <w:shd w:val="clear" w:color="auto" w:fill="auto"/>
            <w:noWrap/>
            <w:vAlign w:val="bottom"/>
            <w:hideMark/>
          </w:tcPr>
          <w:p w14:paraId="21A462BD"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998" w:type="dxa"/>
            <w:tcBorders>
              <w:top w:val="single" w:sz="4" w:space="0" w:color="ADD6EA"/>
              <w:left w:val="nil"/>
              <w:bottom w:val="nil"/>
              <w:right w:val="nil"/>
            </w:tcBorders>
            <w:shd w:val="clear" w:color="auto" w:fill="auto"/>
            <w:noWrap/>
            <w:vAlign w:val="bottom"/>
            <w:hideMark/>
          </w:tcPr>
          <w:p w14:paraId="3A6CBD0F"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0.95617</w:t>
            </w:r>
          </w:p>
        </w:tc>
      </w:tr>
      <w:tr w:rsidR="00CB4146" w:rsidRPr="00442A3B" w14:paraId="14D9F931" w14:textId="77777777" w:rsidTr="00AC6F92">
        <w:trPr>
          <w:trHeight w:val="315"/>
        </w:trPr>
        <w:tc>
          <w:tcPr>
            <w:tcW w:w="1021" w:type="dxa"/>
            <w:tcBorders>
              <w:top w:val="single" w:sz="4" w:space="0" w:color="ADD6EA"/>
              <w:left w:val="nil"/>
              <w:bottom w:val="nil"/>
              <w:right w:val="nil"/>
            </w:tcBorders>
            <w:shd w:val="clear" w:color="auto" w:fill="auto"/>
            <w:vAlign w:val="bottom"/>
            <w:hideMark/>
          </w:tcPr>
          <w:p w14:paraId="56A0C926" w14:textId="77777777" w:rsidR="00CB4146" w:rsidRPr="00442A3B" w:rsidRDefault="00CB4146" w:rsidP="00EA2591">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Vic</w:t>
            </w:r>
          </w:p>
        </w:tc>
        <w:tc>
          <w:tcPr>
            <w:tcW w:w="1121" w:type="dxa"/>
            <w:tcBorders>
              <w:top w:val="single" w:sz="4" w:space="0" w:color="ADD6EA"/>
              <w:left w:val="nil"/>
              <w:bottom w:val="nil"/>
              <w:right w:val="nil"/>
            </w:tcBorders>
            <w:shd w:val="clear" w:color="auto" w:fill="auto"/>
            <w:noWrap/>
            <w:vAlign w:val="bottom"/>
            <w:hideMark/>
          </w:tcPr>
          <w:p w14:paraId="7151A2A0"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0.93169</w:t>
            </w:r>
          </w:p>
        </w:tc>
        <w:tc>
          <w:tcPr>
            <w:tcW w:w="645" w:type="dxa"/>
            <w:tcBorders>
              <w:top w:val="single" w:sz="4" w:space="0" w:color="ADD6EA"/>
              <w:left w:val="nil"/>
              <w:bottom w:val="nil"/>
              <w:right w:val="nil"/>
            </w:tcBorders>
            <w:shd w:val="clear" w:color="auto" w:fill="auto"/>
            <w:noWrap/>
            <w:vAlign w:val="bottom"/>
            <w:hideMark/>
          </w:tcPr>
          <w:p w14:paraId="63D8BC93"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1210" w:type="dxa"/>
            <w:tcBorders>
              <w:top w:val="single" w:sz="4" w:space="0" w:color="ADD6EA"/>
              <w:left w:val="nil"/>
              <w:bottom w:val="nil"/>
              <w:right w:val="nil"/>
            </w:tcBorders>
            <w:shd w:val="clear" w:color="auto" w:fill="auto"/>
            <w:noWrap/>
            <w:vAlign w:val="bottom"/>
            <w:hideMark/>
          </w:tcPr>
          <w:p w14:paraId="0CC73556"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0.86976</w:t>
            </w:r>
          </w:p>
        </w:tc>
        <w:tc>
          <w:tcPr>
            <w:tcW w:w="308" w:type="dxa"/>
            <w:tcBorders>
              <w:top w:val="single" w:sz="4" w:space="0" w:color="ADD6EA"/>
              <w:left w:val="nil"/>
              <w:bottom w:val="nil"/>
              <w:right w:val="nil"/>
            </w:tcBorders>
            <w:shd w:val="clear" w:color="auto" w:fill="auto"/>
            <w:noWrap/>
            <w:vAlign w:val="bottom"/>
            <w:hideMark/>
          </w:tcPr>
          <w:p w14:paraId="5155E73A"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1535" w:type="dxa"/>
            <w:tcBorders>
              <w:top w:val="single" w:sz="4" w:space="0" w:color="ADD6EA"/>
              <w:left w:val="nil"/>
              <w:bottom w:val="nil"/>
              <w:right w:val="nil"/>
            </w:tcBorders>
            <w:shd w:val="clear" w:color="auto" w:fill="auto"/>
            <w:noWrap/>
            <w:vAlign w:val="bottom"/>
            <w:hideMark/>
          </w:tcPr>
          <w:p w14:paraId="679484BE"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0.92335</w:t>
            </w:r>
          </w:p>
        </w:tc>
        <w:tc>
          <w:tcPr>
            <w:tcW w:w="358" w:type="dxa"/>
            <w:tcBorders>
              <w:top w:val="single" w:sz="4" w:space="0" w:color="ADD6EA"/>
              <w:left w:val="nil"/>
              <w:bottom w:val="nil"/>
              <w:right w:val="nil"/>
            </w:tcBorders>
            <w:shd w:val="clear" w:color="auto" w:fill="auto"/>
            <w:noWrap/>
            <w:vAlign w:val="bottom"/>
            <w:hideMark/>
          </w:tcPr>
          <w:p w14:paraId="47B563B6"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1060" w:type="dxa"/>
            <w:tcBorders>
              <w:top w:val="single" w:sz="4" w:space="0" w:color="ADD6EA"/>
              <w:left w:val="nil"/>
              <w:bottom w:val="nil"/>
              <w:right w:val="nil"/>
            </w:tcBorders>
            <w:shd w:val="clear" w:color="auto" w:fill="auto"/>
            <w:noWrap/>
            <w:vAlign w:val="bottom"/>
            <w:hideMark/>
          </w:tcPr>
          <w:p w14:paraId="14BF0C2B"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n/a</w:t>
            </w:r>
          </w:p>
        </w:tc>
        <w:tc>
          <w:tcPr>
            <w:tcW w:w="646" w:type="dxa"/>
            <w:tcBorders>
              <w:top w:val="single" w:sz="4" w:space="0" w:color="ADD6EA"/>
              <w:left w:val="nil"/>
              <w:bottom w:val="nil"/>
              <w:right w:val="nil"/>
            </w:tcBorders>
            <w:shd w:val="clear" w:color="auto" w:fill="auto"/>
            <w:noWrap/>
            <w:vAlign w:val="bottom"/>
            <w:hideMark/>
          </w:tcPr>
          <w:p w14:paraId="0042994E"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998" w:type="dxa"/>
            <w:tcBorders>
              <w:top w:val="single" w:sz="4" w:space="0" w:color="ADD6EA"/>
              <w:left w:val="nil"/>
              <w:bottom w:val="nil"/>
              <w:right w:val="nil"/>
            </w:tcBorders>
            <w:shd w:val="clear" w:color="auto" w:fill="auto"/>
            <w:noWrap/>
            <w:vAlign w:val="bottom"/>
            <w:hideMark/>
          </w:tcPr>
          <w:p w14:paraId="15FFE3FC"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0.92335</w:t>
            </w:r>
          </w:p>
        </w:tc>
      </w:tr>
      <w:tr w:rsidR="00CB4146" w:rsidRPr="00442A3B" w14:paraId="0FC0C703" w14:textId="77777777" w:rsidTr="00AC6F92">
        <w:trPr>
          <w:trHeight w:val="315"/>
        </w:trPr>
        <w:tc>
          <w:tcPr>
            <w:tcW w:w="1021" w:type="dxa"/>
            <w:tcBorders>
              <w:top w:val="single" w:sz="4" w:space="0" w:color="ADD6EA"/>
              <w:left w:val="nil"/>
              <w:bottom w:val="nil"/>
              <w:right w:val="nil"/>
            </w:tcBorders>
            <w:shd w:val="clear" w:color="auto" w:fill="auto"/>
            <w:vAlign w:val="bottom"/>
            <w:hideMark/>
          </w:tcPr>
          <w:p w14:paraId="093988F4" w14:textId="77777777" w:rsidR="00CB4146" w:rsidRPr="00442A3B" w:rsidRDefault="00CB4146" w:rsidP="00EA2591">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Qld</w:t>
            </w:r>
          </w:p>
        </w:tc>
        <w:tc>
          <w:tcPr>
            <w:tcW w:w="1121" w:type="dxa"/>
            <w:tcBorders>
              <w:top w:val="single" w:sz="4" w:space="0" w:color="ADD6EA"/>
              <w:left w:val="nil"/>
              <w:bottom w:val="nil"/>
              <w:right w:val="nil"/>
            </w:tcBorders>
            <w:shd w:val="clear" w:color="auto" w:fill="auto"/>
            <w:noWrap/>
            <w:vAlign w:val="bottom"/>
            <w:hideMark/>
          </w:tcPr>
          <w:p w14:paraId="7F47AE7E"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1.06753</w:t>
            </w:r>
          </w:p>
        </w:tc>
        <w:tc>
          <w:tcPr>
            <w:tcW w:w="645" w:type="dxa"/>
            <w:tcBorders>
              <w:top w:val="single" w:sz="4" w:space="0" w:color="ADD6EA"/>
              <w:left w:val="nil"/>
              <w:bottom w:val="nil"/>
              <w:right w:val="nil"/>
            </w:tcBorders>
            <w:shd w:val="clear" w:color="auto" w:fill="auto"/>
            <w:noWrap/>
            <w:vAlign w:val="bottom"/>
            <w:hideMark/>
          </w:tcPr>
          <w:p w14:paraId="7BFE1076"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1210" w:type="dxa"/>
            <w:tcBorders>
              <w:top w:val="single" w:sz="4" w:space="0" w:color="ADD6EA"/>
              <w:left w:val="nil"/>
              <w:bottom w:val="nil"/>
              <w:right w:val="nil"/>
            </w:tcBorders>
            <w:shd w:val="clear" w:color="auto" w:fill="auto"/>
            <w:noWrap/>
            <w:vAlign w:val="bottom"/>
            <w:hideMark/>
          </w:tcPr>
          <w:p w14:paraId="5CCA7879"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1.00559</w:t>
            </w:r>
          </w:p>
        </w:tc>
        <w:tc>
          <w:tcPr>
            <w:tcW w:w="308" w:type="dxa"/>
            <w:tcBorders>
              <w:top w:val="single" w:sz="4" w:space="0" w:color="ADD6EA"/>
              <w:left w:val="nil"/>
              <w:bottom w:val="nil"/>
              <w:right w:val="nil"/>
            </w:tcBorders>
            <w:shd w:val="clear" w:color="auto" w:fill="auto"/>
            <w:noWrap/>
            <w:vAlign w:val="bottom"/>
            <w:hideMark/>
          </w:tcPr>
          <w:p w14:paraId="5E7CB2AA"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1535" w:type="dxa"/>
            <w:tcBorders>
              <w:top w:val="single" w:sz="4" w:space="0" w:color="ADD6EA"/>
              <w:left w:val="nil"/>
              <w:bottom w:val="nil"/>
              <w:right w:val="nil"/>
            </w:tcBorders>
            <w:shd w:val="clear" w:color="auto" w:fill="auto"/>
            <w:noWrap/>
            <w:vAlign w:val="bottom"/>
            <w:hideMark/>
          </w:tcPr>
          <w:p w14:paraId="70DF157F"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1.05918</w:t>
            </w:r>
          </w:p>
        </w:tc>
        <w:tc>
          <w:tcPr>
            <w:tcW w:w="358" w:type="dxa"/>
            <w:tcBorders>
              <w:top w:val="single" w:sz="4" w:space="0" w:color="ADD6EA"/>
              <w:left w:val="nil"/>
              <w:bottom w:val="nil"/>
              <w:right w:val="nil"/>
            </w:tcBorders>
            <w:shd w:val="clear" w:color="auto" w:fill="auto"/>
            <w:noWrap/>
            <w:vAlign w:val="bottom"/>
            <w:hideMark/>
          </w:tcPr>
          <w:p w14:paraId="39489F00"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1060" w:type="dxa"/>
            <w:tcBorders>
              <w:top w:val="single" w:sz="4" w:space="0" w:color="ADD6EA"/>
              <w:left w:val="nil"/>
              <w:bottom w:val="nil"/>
              <w:right w:val="nil"/>
            </w:tcBorders>
            <w:shd w:val="clear" w:color="auto" w:fill="auto"/>
            <w:noWrap/>
            <w:vAlign w:val="bottom"/>
            <w:hideMark/>
          </w:tcPr>
          <w:p w14:paraId="32089233"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n/a</w:t>
            </w:r>
          </w:p>
        </w:tc>
        <w:tc>
          <w:tcPr>
            <w:tcW w:w="646" w:type="dxa"/>
            <w:tcBorders>
              <w:top w:val="single" w:sz="4" w:space="0" w:color="ADD6EA"/>
              <w:left w:val="nil"/>
              <w:bottom w:val="nil"/>
              <w:right w:val="nil"/>
            </w:tcBorders>
            <w:shd w:val="clear" w:color="auto" w:fill="auto"/>
            <w:noWrap/>
            <w:vAlign w:val="bottom"/>
            <w:hideMark/>
          </w:tcPr>
          <w:p w14:paraId="0DDD8825"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998" w:type="dxa"/>
            <w:tcBorders>
              <w:top w:val="single" w:sz="4" w:space="0" w:color="ADD6EA"/>
              <w:left w:val="nil"/>
              <w:bottom w:val="nil"/>
              <w:right w:val="nil"/>
            </w:tcBorders>
            <w:shd w:val="clear" w:color="auto" w:fill="auto"/>
            <w:noWrap/>
            <w:vAlign w:val="bottom"/>
            <w:hideMark/>
          </w:tcPr>
          <w:p w14:paraId="06BCB036"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1.05918</w:t>
            </w:r>
          </w:p>
        </w:tc>
      </w:tr>
      <w:tr w:rsidR="00CB4146" w:rsidRPr="00442A3B" w14:paraId="5CD46744" w14:textId="77777777" w:rsidTr="00AC6F92">
        <w:trPr>
          <w:trHeight w:val="315"/>
        </w:trPr>
        <w:tc>
          <w:tcPr>
            <w:tcW w:w="1021" w:type="dxa"/>
            <w:tcBorders>
              <w:top w:val="single" w:sz="4" w:space="0" w:color="ADD6EA"/>
              <w:left w:val="nil"/>
              <w:bottom w:val="nil"/>
              <w:right w:val="nil"/>
            </w:tcBorders>
            <w:shd w:val="clear" w:color="auto" w:fill="auto"/>
            <w:vAlign w:val="bottom"/>
            <w:hideMark/>
          </w:tcPr>
          <w:p w14:paraId="719F64D3" w14:textId="77777777" w:rsidR="00CB4146" w:rsidRPr="00442A3B" w:rsidRDefault="00CB4146" w:rsidP="00EA2591">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WA</w:t>
            </w:r>
          </w:p>
        </w:tc>
        <w:tc>
          <w:tcPr>
            <w:tcW w:w="1121" w:type="dxa"/>
            <w:tcBorders>
              <w:top w:val="single" w:sz="4" w:space="0" w:color="ADD6EA"/>
              <w:left w:val="nil"/>
              <w:bottom w:val="nil"/>
              <w:right w:val="nil"/>
            </w:tcBorders>
            <w:shd w:val="clear" w:color="auto" w:fill="auto"/>
            <w:noWrap/>
            <w:vAlign w:val="bottom"/>
            <w:hideMark/>
          </w:tcPr>
          <w:p w14:paraId="0AEBEF56"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0.32852</w:t>
            </w:r>
          </w:p>
        </w:tc>
        <w:tc>
          <w:tcPr>
            <w:tcW w:w="645" w:type="dxa"/>
            <w:tcBorders>
              <w:top w:val="single" w:sz="4" w:space="0" w:color="ADD6EA"/>
              <w:left w:val="nil"/>
              <w:bottom w:val="nil"/>
              <w:right w:val="nil"/>
            </w:tcBorders>
            <w:shd w:val="clear" w:color="auto" w:fill="auto"/>
            <w:noWrap/>
            <w:vAlign w:val="bottom"/>
            <w:hideMark/>
          </w:tcPr>
          <w:p w14:paraId="18497350"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1210" w:type="dxa"/>
            <w:tcBorders>
              <w:top w:val="single" w:sz="4" w:space="0" w:color="ADD6EA"/>
              <w:left w:val="nil"/>
              <w:bottom w:val="nil"/>
              <w:right w:val="nil"/>
            </w:tcBorders>
            <w:shd w:val="clear" w:color="auto" w:fill="auto"/>
            <w:noWrap/>
            <w:vAlign w:val="bottom"/>
            <w:hideMark/>
          </w:tcPr>
          <w:p w14:paraId="54D978F6"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0.86359</w:t>
            </w:r>
          </w:p>
        </w:tc>
        <w:tc>
          <w:tcPr>
            <w:tcW w:w="308" w:type="dxa"/>
            <w:tcBorders>
              <w:top w:val="single" w:sz="4" w:space="0" w:color="ADD6EA"/>
              <w:left w:val="nil"/>
              <w:bottom w:val="nil"/>
              <w:right w:val="nil"/>
            </w:tcBorders>
            <w:shd w:val="clear" w:color="auto" w:fill="auto"/>
            <w:noWrap/>
            <w:vAlign w:val="bottom"/>
            <w:hideMark/>
          </w:tcPr>
          <w:p w14:paraId="36025859"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1535" w:type="dxa"/>
            <w:tcBorders>
              <w:top w:val="single" w:sz="4" w:space="0" w:color="ADD6EA"/>
              <w:left w:val="nil"/>
              <w:bottom w:val="nil"/>
              <w:right w:val="nil"/>
            </w:tcBorders>
            <w:shd w:val="clear" w:color="auto" w:fill="auto"/>
            <w:noWrap/>
            <w:vAlign w:val="bottom"/>
            <w:hideMark/>
          </w:tcPr>
          <w:p w14:paraId="13042627"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0.41967</w:t>
            </w:r>
          </w:p>
        </w:tc>
        <w:tc>
          <w:tcPr>
            <w:tcW w:w="358" w:type="dxa"/>
            <w:tcBorders>
              <w:top w:val="single" w:sz="4" w:space="0" w:color="ADD6EA"/>
              <w:left w:val="nil"/>
              <w:bottom w:val="nil"/>
              <w:right w:val="nil"/>
            </w:tcBorders>
            <w:shd w:val="clear" w:color="auto" w:fill="auto"/>
            <w:noWrap/>
            <w:vAlign w:val="bottom"/>
            <w:hideMark/>
          </w:tcPr>
          <w:p w14:paraId="21385526"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1060" w:type="dxa"/>
            <w:tcBorders>
              <w:top w:val="single" w:sz="4" w:space="0" w:color="ADD6EA"/>
              <w:left w:val="nil"/>
              <w:bottom w:val="nil"/>
              <w:right w:val="nil"/>
            </w:tcBorders>
            <w:shd w:val="clear" w:color="auto" w:fill="auto"/>
            <w:noWrap/>
            <w:vAlign w:val="bottom"/>
            <w:hideMark/>
          </w:tcPr>
          <w:p w14:paraId="09276860"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n/a</w:t>
            </w:r>
          </w:p>
        </w:tc>
        <w:tc>
          <w:tcPr>
            <w:tcW w:w="646" w:type="dxa"/>
            <w:tcBorders>
              <w:top w:val="single" w:sz="4" w:space="0" w:color="ADD6EA"/>
              <w:left w:val="nil"/>
              <w:bottom w:val="nil"/>
              <w:right w:val="nil"/>
            </w:tcBorders>
            <w:shd w:val="clear" w:color="auto" w:fill="auto"/>
            <w:noWrap/>
            <w:vAlign w:val="bottom"/>
            <w:hideMark/>
          </w:tcPr>
          <w:p w14:paraId="47DBEEFC"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998" w:type="dxa"/>
            <w:tcBorders>
              <w:top w:val="single" w:sz="4" w:space="0" w:color="ADD6EA"/>
              <w:left w:val="nil"/>
              <w:bottom w:val="nil"/>
              <w:right w:val="nil"/>
            </w:tcBorders>
            <w:shd w:val="clear" w:color="auto" w:fill="auto"/>
            <w:noWrap/>
            <w:vAlign w:val="bottom"/>
            <w:hideMark/>
          </w:tcPr>
          <w:p w14:paraId="5B6C17A8"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0.41967</w:t>
            </w:r>
          </w:p>
        </w:tc>
      </w:tr>
      <w:tr w:rsidR="00CB4146" w:rsidRPr="00442A3B" w14:paraId="6CB1747F" w14:textId="77777777" w:rsidTr="00AC6F92">
        <w:trPr>
          <w:trHeight w:val="315"/>
        </w:trPr>
        <w:tc>
          <w:tcPr>
            <w:tcW w:w="1021" w:type="dxa"/>
            <w:tcBorders>
              <w:top w:val="single" w:sz="4" w:space="0" w:color="ADD6EA"/>
              <w:left w:val="nil"/>
              <w:bottom w:val="nil"/>
              <w:right w:val="nil"/>
            </w:tcBorders>
            <w:shd w:val="clear" w:color="auto" w:fill="auto"/>
            <w:vAlign w:val="bottom"/>
            <w:hideMark/>
          </w:tcPr>
          <w:p w14:paraId="5B8A705F" w14:textId="77777777" w:rsidR="00CB4146" w:rsidRPr="00442A3B" w:rsidRDefault="00CB4146" w:rsidP="00EA2591">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SA</w:t>
            </w:r>
          </w:p>
        </w:tc>
        <w:tc>
          <w:tcPr>
            <w:tcW w:w="1121" w:type="dxa"/>
            <w:tcBorders>
              <w:top w:val="single" w:sz="4" w:space="0" w:color="ADD6EA"/>
              <w:left w:val="nil"/>
              <w:bottom w:val="nil"/>
              <w:right w:val="nil"/>
            </w:tcBorders>
            <w:shd w:val="clear" w:color="auto" w:fill="auto"/>
            <w:noWrap/>
            <w:vAlign w:val="bottom"/>
            <w:hideMark/>
          </w:tcPr>
          <w:p w14:paraId="6905D017"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1.35554</w:t>
            </w:r>
          </w:p>
        </w:tc>
        <w:tc>
          <w:tcPr>
            <w:tcW w:w="645" w:type="dxa"/>
            <w:tcBorders>
              <w:top w:val="single" w:sz="4" w:space="0" w:color="ADD6EA"/>
              <w:left w:val="nil"/>
              <w:bottom w:val="nil"/>
              <w:right w:val="nil"/>
            </w:tcBorders>
            <w:shd w:val="clear" w:color="auto" w:fill="auto"/>
            <w:noWrap/>
            <w:vAlign w:val="bottom"/>
            <w:hideMark/>
          </w:tcPr>
          <w:p w14:paraId="1F0CEB8F"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1210" w:type="dxa"/>
            <w:tcBorders>
              <w:top w:val="single" w:sz="4" w:space="0" w:color="ADD6EA"/>
              <w:left w:val="nil"/>
              <w:bottom w:val="nil"/>
              <w:right w:val="nil"/>
            </w:tcBorders>
            <w:shd w:val="clear" w:color="auto" w:fill="auto"/>
            <w:noWrap/>
            <w:vAlign w:val="bottom"/>
            <w:hideMark/>
          </w:tcPr>
          <w:p w14:paraId="4DB58153"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1.29360</w:t>
            </w:r>
          </w:p>
        </w:tc>
        <w:tc>
          <w:tcPr>
            <w:tcW w:w="308" w:type="dxa"/>
            <w:tcBorders>
              <w:top w:val="single" w:sz="4" w:space="0" w:color="ADD6EA"/>
              <w:left w:val="nil"/>
              <w:bottom w:val="nil"/>
              <w:right w:val="nil"/>
            </w:tcBorders>
            <w:shd w:val="clear" w:color="auto" w:fill="auto"/>
            <w:noWrap/>
            <w:vAlign w:val="bottom"/>
            <w:hideMark/>
          </w:tcPr>
          <w:p w14:paraId="472F25B8"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1535" w:type="dxa"/>
            <w:tcBorders>
              <w:top w:val="single" w:sz="4" w:space="0" w:color="ADD6EA"/>
              <w:left w:val="nil"/>
              <w:bottom w:val="nil"/>
              <w:right w:val="nil"/>
            </w:tcBorders>
            <w:shd w:val="clear" w:color="auto" w:fill="auto"/>
            <w:noWrap/>
            <w:vAlign w:val="bottom"/>
            <w:hideMark/>
          </w:tcPr>
          <w:p w14:paraId="76C6D224"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1.34719</w:t>
            </w:r>
          </w:p>
        </w:tc>
        <w:tc>
          <w:tcPr>
            <w:tcW w:w="358" w:type="dxa"/>
            <w:tcBorders>
              <w:top w:val="single" w:sz="4" w:space="0" w:color="ADD6EA"/>
              <w:left w:val="nil"/>
              <w:bottom w:val="nil"/>
              <w:right w:val="nil"/>
            </w:tcBorders>
            <w:shd w:val="clear" w:color="auto" w:fill="auto"/>
            <w:noWrap/>
            <w:vAlign w:val="bottom"/>
            <w:hideMark/>
          </w:tcPr>
          <w:p w14:paraId="4478A82A"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1060" w:type="dxa"/>
            <w:tcBorders>
              <w:top w:val="single" w:sz="4" w:space="0" w:color="ADD6EA"/>
              <w:left w:val="nil"/>
              <w:bottom w:val="nil"/>
              <w:right w:val="nil"/>
            </w:tcBorders>
            <w:shd w:val="clear" w:color="auto" w:fill="auto"/>
            <w:noWrap/>
            <w:vAlign w:val="bottom"/>
            <w:hideMark/>
          </w:tcPr>
          <w:p w14:paraId="63D81B1D"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n/a</w:t>
            </w:r>
          </w:p>
        </w:tc>
        <w:tc>
          <w:tcPr>
            <w:tcW w:w="646" w:type="dxa"/>
            <w:tcBorders>
              <w:top w:val="single" w:sz="4" w:space="0" w:color="ADD6EA"/>
              <w:left w:val="nil"/>
              <w:bottom w:val="nil"/>
              <w:right w:val="nil"/>
            </w:tcBorders>
            <w:shd w:val="clear" w:color="auto" w:fill="auto"/>
            <w:noWrap/>
            <w:vAlign w:val="bottom"/>
            <w:hideMark/>
          </w:tcPr>
          <w:p w14:paraId="749508CA"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998" w:type="dxa"/>
            <w:tcBorders>
              <w:top w:val="single" w:sz="4" w:space="0" w:color="ADD6EA"/>
              <w:left w:val="nil"/>
              <w:bottom w:val="nil"/>
              <w:right w:val="nil"/>
            </w:tcBorders>
            <w:shd w:val="clear" w:color="auto" w:fill="auto"/>
            <w:noWrap/>
            <w:vAlign w:val="bottom"/>
            <w:hideMark/>
          </w:tcPr>
          <w:p w14:paraId="147F24BF"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1.34719</w:t>
            </w:r>
          </w:p>
        </w:tc>
      </w:tr>
      <w:tr w:rsidR="00CB4146" w:rsidRPr="00442A3B" w14:paraId="4345C0BD" w14:textId="77777777" w:rsidTr="00AC6F92">
        <w:trPr>
          <w:trHeight w:val="315"/>
        </w:trPr>
        <w:tc>
          <w:tcPr>
            <w:tcW w:w="1021" w:type="dxa"/>
            <w:tcBorders>
              <w:top w:val="single" w:sz="4" w:space="0" w:color="ADD6EA"/>
              <w:left w:val="nil"/>
              <w:bottom w:val="nil"/>
              <w:right w:val="nil"/>
            </w:tcBorders>
            <w:shd w:val="clear" w:color="auto" w:fill="auto"/>
            <w:vAlign w:val="bottom"/>
            <w:hideMark/>
          </w:tcPr>
          <w:p w14:paraId="6ECF266B" w14:textId="77777777" w:rsidR="00CB4146" w:rsidRPr="00442A3B" w:rsidRDefault="00CB4146" w:rsidP="00EA2591">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Tas</w:t>
            </w:r>
          </w:p>
        </w:tc>
        <w:tc>
          <w:tcPr>
            <w:tcW w:w="1121" w:type="dxa"/>
            <w:tcBorders>
              <w:top w:val="single" w:sz="4" w:space="0" w:color="ADD6EA"/>
              <w:left w:val="nil"/>
              <w:bottom w:val="nil"/>
              <w:right w:val="nil"/>
            </w:tcBorders>
            <w:shd w:val="clear" w:color="auto" w:fill="auto"/>
            <w:noWrap/>
            <w:vAlign w:val="bottom"/>
            <w:hideMark/>
          </w:tcPr>
          <w:p w14:paraId="1C01C17F"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1.96901</w:t>
            </w:r>
          </w:p>
        </w:tc>
        <w:tc>
          <w:tcPr>
            <w:tcW w:w="645" w:type="dxa"/>
            <w:tcBorders>
              <w:top w:val="single" w:sz="4" w:space="0" w:color="ADD6EA"/>
              <w:left w:val="nil"/>
              <w:bottom w:val="nil"/>
              <w:right w:val="nil"/>
            </w:tcBorders>
            <w:shd w:val="clear" w:color="auto" w:fill="auto"/>
            <w:noWrap/>
            <w:vAlign w:val="bottom"/>
            <w:hideMark/>
          </w:tcPr>
          <w:p w14:paraId="0A68EAE6"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1210" w:type="dxa"/>
            <w:tcBorders>
              <w:top w:val="single" w:sz="4" w:space="0" w:color="ADD6EA"/>
              <w:left w:val="nil"/>
              <w:bottom w:val="nil"/>
              <w:right w:val="nil"/>
            </w:tcBorders>
            <w:shd w:val="clear" w:color="auto" w:fill="auto"/>
            <w:noWrap/>
            <w:vAlign w:val="bottom"/>
            <w:hideMark/>
          </w:tcPr>
          <w:p w14:paraId="76083126"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1.90707</w:t>
            </w:r>
          </w:p>
        </w:tc>
        <w:tc>
          <w:tcPr>
            <w:tcW w:w="308" w:type="dxa"/>
            <w:tcBorders>
              <w:top w:val="single" w:sz="4" w:space="0" w:color="ADD6EA"/>
              <w:left w:val="nil"/>
              <w:bottom w:val="nil"/>
              <w:right w:val="nil"/>
            </w:tcBorders>
            <w:shd w:val="clear" w:color="auto" w:fill="auto"/>
            <w:noWrap/>
            <w:vAlign w:val="bottom"/>
            <w:hideMark/>
          </w:tcPr>
          <w:p w14:paraId="33527677"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1535" w:type="dxa"/>
            <w:tcBorders>
              <w:top w:val="single" w:sz="4" w:space="0" w:color="ADD6EA"/>
              <w:left w:val="nil"/>
              <w:bottom w:val="nil"/>
              <w:right w:val="nil"/>
            </w:tcBorders>
            <w:shd w:val="clear" w:color="auto" w:fill="auto"/>
            <w:noWrap/>
            <w:vAlign w:val="bottom"/>
            <w:hideMark/>
          </w:tcPr>
          <w:p w14:paraId="7D979037"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1.96067</w:t>
            </w:r>
          </w:p>
        </w:tc>
        <w:tc>
          <w:tcPr>
            <w:tcW w:w="358" w:type="dxa"/>
            <w:tcBorders>
              <w:top w:val="single" w:sz="4" w:space="0" w:color="ADD6EA"/>
              <w:left w:val="nil"/>
              <w:bottom w:val="nil"/>
              <w:right w:val="nil"/>
            </w:tcBorders>
            <w:shd w:val="clear" w:color="auto" w:fill="auto"/>
            <w:noWrap/>
            <w:vAlign w:val="bottom"/>
            <w:hideMark/>
          </w:tcPr>
          <w:p w14:paraId="3A8477C8"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1060" w:type="dxa"/>
            <w:tcBorders>
              <w:top w:val="single" w:sz="4" w:space="0" w:color="ADD6EA"/>
              <w:left w:val="nil"/>
              <w:bottom w:val="nil"/>
              <w:right w:val="nil"/>
            </w:tcBorders>
            <w:shd w:val="clear" w:color="auto" w:fill="auto"/>
            <w:noWrap/>
            <w:vAlign w:val="bottom"/>
            <w:hideMark/>
          </w:tcPr>
          <w:p w14:paraId="06F3F96B"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n/a</w:t>
            </w:r>
          </w:p>
        </w:tc>
        <w:tc>
          <w:tcPr>
            <w:tcW w:w="646" w:type="dxa"/>
            <w:tcBorders>
              <w:top w:val="single" w:sz="4" w:space="0" w:color="ADD6EA"/>
              <w:left w:val="nil"/>
              <w:bottom w:val="nil"/>
              <w:right w:val="nil"/>
            </w:tcBorders>
            <w:shd w:val="clear" w:color="auto" w:fill="auto"/>
            <w:noWrap/>
            <w:vAlign w:val="bottom"/>
            <w:hideMark/>
          </w:tcPr>
          <w:p w14:paraId="58B43577"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998" w:type="dxa"/>
            <w:tcBorders>
              <w:top w:val="single" w:sz="4" w:space="0" w:color="ADD6EA"/>
              <w:left w:val="nil"/>
              <w:bottom w:val="nil"/>
              <w:right w:val="nil"/>
            </w:tcBorders>
            <w:shd w:val="clear" w:color="auto" w:fill="auto"/>
            <w:noWrap/>
            <w:vAlign w:val="bottom"/>
            <w:hideMark/>
          </w:tcPr>
          <w:p w14:paraId="14740DE5"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1.96067</w:t>
            </w:r>
          </w:p>
        </w:tc>
      </w:tr>
      <w:tr w:rsidR="00CB4146" w:rsidRPr="00442A3B" w14:paraId="3ECCC05A" w14:textId="77777777" w:rsidTr="00AC6F92">
        <w:trPr>
          <w:trHeight w:val="315"/>
        </w:trPr>
        <w:tc>
          <w:tcPr>
            <w:tcW w:w="1021" w:type="dxa"/>
            <w:tcBorders>
              <w:top w:val="single" w:sz="4" w:space="0" w:color="ADD6EA"/>
              <w:left w:val="nil"/>
              <w:bottom w:val="nil"/>
              <w:right w:val="nil"/>
            </w:tcBorders>
            <w:shd w:val="clear" w:color="auto" w:fill="auto"/>
            <w:vAlign w:val="bottom"/>
            <w:hideMark/>
          </w:tcPr>
          <w:p w14:paraId="65FFF57D" w14:textId="77777777" w:rsidR="00CB4146" w:rsidRPr="00442A3B" w:rsidRDefault="00CB4146" w:rsidP="00EA2591">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ACT</w:t>
            </w:r>
          </w:p>
        </w:tc>
        <w:tc>
          <w:tcPr>
            <w:tcW w:w="1121" w:type="dxa"/>
            <w:tcBorders>
              <w:top w:val="single" w:sz="4" w:space="0" w:color="ADD6EA"/>
              <w:left w:val="nil"/>
              <w:bottom w:val="nil"/>
              <w:right w:val="nil"/>
            </w:tcBorders>
            <w:shd w:val="clear" w:color="auto" w:fill="auto"/>
            <w:noWrap/>
            <w:vAlign w:val="bottom"/>
            <w:hideMark/>
          </w:tcPr>
          <w:p w14:paraId="2779ACA8"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1.17101</w:t>
            </w:r>
          </w:p>
        </w:tc>
        <w:tc>
          <w:tcPr>
            <w:tcW w:w="645" w:type="dxa"/>
            <w:tcBorders>
              <w:top w:val="single" w:sz="4" w:space="0" w:color="ADD6EA"/>
              <w:left w:val="nil"/>
              <w:bottom w:val="nil"/>
              <w:right w:val="nil"/>
            </w:tcBorders>
            <w:shd w:val="clear" w:color="auto" w:fill="auto"/>
            <w:noWrap/>
            <w:vAlign w:val="bottom"/>
            <w:hideMark/>
          </w:tcPr>
          <w:p w14:paraId="01E16042"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1210" w:type="dxa"/>
            <w:tcBorders>
              <w:top w:val="single" w:sz="4" w:space="0" w:color="ADD6EA"/>
              <w:left w:val="nil"/>
              <w:bottom w:val="nil"/>
              <w:right w:val="nil"/>
            </w:tcBorders>
            <w:shd w:val="clear" w:color="auto" w:fill="auto"/>
            <w:noWrap/>
            <w:vAlign w:val="bottom"/>
            <w:hideMark/>
          </w:tcPr>
          <w:p w14:paraId="3E36726F"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1.10907</w:t>
            </w:r>
          </w:p>
        </w:tc>
        <w:tc>
          <w:tcPr>
            <w:tcW w:w="308" w:type="dxa"/>
            <w:tcBorders>
              <w:top w:val="single" w:sz="4" w:space="0" w:color="ADD6EA"/>
              <w:left w:val="nil"/>
              <w:bottom w:val="nil"/>
              <w:right w:val="nil"/>
            </w:tcBorders>
            <w:shd w:val="clear" w:color="auto" w:fill="auto"/>
            <w:noWrap/>
            <w:vAlign w:val="bottom"/>
            <w:hideMark/>
          </w:tcPr>
          <w:p w14:paraId="49D0D77B"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1535" w:type="dxa"/>
            <w:tcBorders>
              <w:top w:val="single" w:sz="4" w:space="0" w:color="ADD6EA"/>
              <w:left w:val="nil"/>
              <w:bottom w:val="nil"/>
              <w:right w:val="nil"/>
            </w:tcBorders>
            <w:shd w:val="clear" w:color="auto" w:fill="auto"/>
            <w:noWrap/>
            <w:vAlign w:val="bottom"/>
            <w:hideMark/>
          </w:tcPr>
          <w:p w14:paraId="6BE75B47"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1.16266</w:t>
            </w:r>
          </w:p>
        </w:tc>
        <w:tc>
          <w:tcPr>
            <w:tcW w:w="358" w:type="dxa"/>
            <w:tcBorders>
              <w:top w:val="single" w:sz="4" w:space="0" w:color="ADD6EA"/>
              <w:left w:val="nil"/>
              <w:bottom w:val="nil"/>
              <w:right w:val="nil"/>
            </w:tcBorders>
            <w:shd w:val="clear" w:color="auto" w:fill="auto"/>
            <w:noWrap/>
            <w:vAlign w:val="bottom"/>
            <w:hideMark/>
          </w:tcPr>
          <w:p w14:paraId="25A5AB94"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1060" w:type="dxa"/>
            <w:tcBorders>
              <w:top w:val="single" w:sz="4" w:space="0" w:color="ADD6EA"/>
              <w:left w:val="nil"/>
              <w:bottom w:val="nil"/>
              <w:right w:val="nil"/>
            </w:tcBorders>
            <w:shd w:val="clear" w:color="auto" w:fill="auto"/>
            <w:noWrap/>
            <w:vAlign w:val="bottom"/>
            <w:hideMark/>
          </w:tcPr>
          <w:p w14:paraId="5FB41F1C"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n/a</w:t>
            </w:r>
          </w:p>
        </w:tc>
        <w:tc>
          <w:tcPr>
            <w:tcW w:w="646" w:type="dxa"/>
            <w:tcBorders>
              <w:top w:val="single" w:sz="4" w:space="0" w:color="ADD6EA"/>
              <w:left w:val="nil"/>
              <w:bottom w:val="nil"/>
              <w:right w:val="nil"/>
            </w:tcBorders>
            <w:shd w:val="clear" w:color="auto" w:fill="auto"/>
            <w:noWrap/>
            <w:vAlign w:val="bottom"/>
            <w:hideMark/>
          </w:tcPr>
          <w:p w14:paraId="1C1A66EA"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998" w:type="dxa"/>
            <w:tcBorders>
              <w:top w:val="single" w:sz="4" w:space="0" w:color="ADD6EA"/>
              <w:left w:val="nil"/>
              <w:bottom w:val="nil"/>
              <w:right w:val="nil"/>
            </w:tcBorders>
            <w:shd w:val="clear" w:color="auto" w:fill="auto"/>
            <w:noWrap/>
            <w:vAlign w:val="bottom"/>
            <w:hideMark/>
          </w:tcPr>
          <w:p w14:paraId="3BEAEE82"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1.16266</w:t>
            </w:r>
          </w:p>
        </w:tc>
      </w:tr>
      <w:tr w:rsidR="00CB4146" w:rsidRPr="00442A3B" w14:paraId="14CF83A5" w14:textId="77777777" w:rsidTr="00AC6F92">
        <w:trPr>
          <w:trHeight w:val="315"/>
        </w:trPr>
        <w:tc>
          <w:tcPr>
            <w:tcW w:w="1021" w:type="dxa"/>
            <w:tcBorders>
              <w:top w:val="single" w:sz="4" w:space="0" w:color="ADD6EA"/>
              <w:left w:val="nil"/>
              <w:bottom w:val="nil"/>
              <w:right w:val="nil"/>
            </w:tcBorders>
            <w:shd w:val="clear" w:color="auto" w:fill="auto"/>
            <w:vAlign w:val="bottom"/>
            <w:hideMark/>
          </w:tcPr>
          <w:p w14:paraId="4FFC0F57" w14:textId="77777777" w:rsidR="00CB4146" w:rsidRPr="00442A3B" w:rsidRDefault="00CB4146" w:rsidP="00EA2591">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NT</w:t>
            </w:r>
          </w:p>
        </w:tc>
        <w:tc>
          <w:tcPr>
            <w:tcW w:w="1121" w:type="dxa"/>
            <w:tcBorders>
              <w:top w:val="single" w:sz="4" w:space="0" w:color="ADD6EA"/>
              <w:left w:val="nil"/>
              <w:bottom w:val="nil"/>
              <w:right w:val="nil"/>
            </w:tcBorders>
            <w:shd w:val="clear" w:color="auto" w:fill="auto"/>
            <w:noWrap/>
            <w:vAlign w:val="bottom"/>
            <w:hideMark/>
          </w:tcPr>
          <w:p w14:paraId="13E563DC"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4.80820</w:t>
            </w:r>
          </w:p>
        </w:tc>
        <w:tc>
          <w:tcPr>
            <w:tcW w:w="645" w:type="dxa"/>
            <w:tcBorders>
              <w:top w:val="single" w:sz="4" w:space="0" w:color="ADD6EA"/>
              <w:left w:val="nil"/>
              <w:bottom w:val="nil"/>
              <w:right w:val="nil"/>
            </w:tcBorders>
            <w:shd w:val="clear" w:color="auto" w:fill="auto"/>
            <w:noWrap/>
            <w:vAlign w:val="bottom"/>
            <w:hideMark/>
          </w:tcPr>
          <w:p w14:paraId="6234ADEF"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1210" w:type="dxa"/>
            <w:tcBorders>
              <w:top w:val="single" w:sz="4" w:space="0" w:color="ADD6EA"/>
              <w:left w:val="nil"/>
              <w:bottom w:val="nil"/>
              <w:right w:val="nil"/>
            </w:tcBorders>
            <w:shd w:val="clear" w:color="auto" w:fill="auto"/>
            <w:noWrap/>
            <w:vAlign w:val="bottom"/>
            <w:hideMark/>
          </w:tcPr>
          <w:p w14:paraId="1A01A0D0"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4.74626</w:t>
            </w:r>
          </w:p>
        </w:tc>
        <w:tc>
          <w:tcPr>
            <w:tcW w:w="308" w:type="dxa"/>
            <w:tcBorders>
              <w:top w:val="single" w:sz="4" w:space="0" w:color="ADD6EA"/>
              <w:left w:val="nil"/>
              <w:bottom w:val="nil"/>
              <w:right w:val="nil"/>
            </w:tcBorders>
            <w:shd w:val="clear" w:color="auto" w:fill="auto"/>
            <w:noWrap/>
            <w:vAlign w:val="bottom"/>
            <w:hideMark/>
          </w:tcPr>
          <w:p w14:paraId="4B83101F"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1535" w:type="dxa"/>
            <w:tcBorders>
              <w:top w:val="single" w:sz="4" w:space="0" w:color="ADD6EA"/>
              <w:left w:val="nil"/>
              <w:bottom w:val="nil"/>
              <w:right w:val="nil"/>
            </w:tcBorders>
            <w:shd w:val="clear" w:color="auto" w:fill="auto"/>
            <w:noWrap/>
            <w:vAlign w:val="bottom"/>
            <w:hideMark/>
          </w:tcPr>
          <w:p w14:paraId="7E0E56D1"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4.79985</w:t>
            </w:r>
          </w:p>
        </w:tc>
        <w:tc>
          <w:tcPr>
            <w:tcW w:w="358" w:type="dxa"/>
            <w:tcBorders>
              <w:top w:val="single" w:sz="4" w:space="0" w:color="ADD6EA"/>
              <w:left w:val="nil"/>
              <w:bottom w:val="nil"/>
              <w:right w:val="nil"/>
            </w:tcBorders>
            <w:shd w:val="clear" w:color="auto" w:fill="auto"/>
            <w:noWrap/>
            <w:vAlign w:val="bottom"/>
            <w:hideMark/>
          </w:tcPr>
          <w:p w14:paraId="07257CCD"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1060" w:type="dxa"/>
            <w:tcBorders>
              <w:top w:val="single" w:sz="4" w:space="0" w:color="ADD6EA"/>
              <w:left w:val="nil"/>
              <w:bottom w:val="nil"/>
              <w:right w:val="nil"/>
            </w:tcBorders>
            <w:shd w:val="clear" w:color="auto" w:fill="auto"/>
            <w:noWrap/>
            <w:vAlign w:val="bottom"/>
            <w:hideMark/>
          </w:tcPr>
          <w:p w14:paraId="4431751A"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n/a</w:t>
            </w:r>
          </w:p>
        </w:tc>
        <w:tc>
          <w:tcPr>
            <w:tcW w:w="646" w:type="dxa"/>
            <w:tcBorders>
              <w:top w:val="single" w:sz="4" w:space="0" w:color="ADD6EA"/>
              <w:left w:val="nil"/>
              <w:bottom w:val="nil"/>
              <w:right w:val="nil"/>
            </w:tcBorders>
            <w:shd w:val="clear" w:color="auto" w:fill="auto"/>
            <w:noWrap/>
            <w:vAlign w:val="bottom"/>
            <w:hideMark/>
          </w:tcPr>
          <w:p w14:paraId="38663BDD"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w:t>
            </w:r>
          </w:p>
        </w:tc>
        <w:tc>
          <w:tcPr>
            <w:tcW w:w="998" w:type="dxa"/>
            <w:tcBorders>
              <w:top w:val="single" w:sz="4" w:space="0" w:color="ADD6EA"/>
              <w:left w:val="nil"/>
              <w:bottom w:val="nil"/>
              <w:right w:val="nil"/>
            </w:tcBorders>
            <w:shd w:val="clear" w:color="auto" w:fill="auto"/>
            <w:noWrap/>
            <w:vAlign w:val="bottom"/>
            <w:hideMark/>
          </w:tcPr>
          <w:p w14:paraId="451369D2" w14:textId="77777777" w:rsidR="00CB4146" w:rsidRPr="00442A3B" w:rsidRDefault="00CB4146" w:rsidP="00EA259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4.79985</w:t>
            </w:r>
          </w:p>
        </w:tc>
      </w:tr>
      <w:tr w:rsidR="00CB4146" w:rsidRPr="00442A3B" w14:paraId="47BE7D03" w14:textId="77777777" w:rsidTr="00AC6F92">
        <w:trPr>
          <w:trHeight w:val="315"/>
        </w:trPr>
        <w:tc>
          <w:tcPr>
            <w:tcW w:w="1021" w:type="dxa"/>
            <w:tcBorders>
              <w:top w:val="single" w:sz="4" w:space="0" w:color="ADD6EA"/>
              <w:left w:val="nil"/>
              <w:bottom w:val="single" w:sz="4" w:space="0" w:color="ADD6EA"/>
              <w:right w:val="nil"/>
            </w:tcBorders>
            <w:shd w:val="clear" w:color="000000" w:fill="D6E7F0"/>
            <w:vAlign w:val="bottom"/>
            <w:hideMark/>
          </w:tcPr>
          <w:p w14:paraId="77FA090F" w14:textId="77777777" w:rsidR="00CB4146" w:rsidRPr="00442A3B" w:rsidRDefault="00CB4146" w:rsidP="00642F01">
            <w:pPr>
              <w:pStyle w:val="CGCTablesubhead1"/>
              <w:keepNext/>
              <w:keepLines/>
              <w:rPr>
                <w:rFonts w:eastAsia="MS Mincho" w:cs="Open Sans Semibold"/>
                <w:color w:val="000000"/>
                <w:szCs w:val="16"/>
                <w:lang w:eastAsia="en-AU"/>
              </w:rPr>
            </w:pPr>
            <w:r w:rsidRPr="00442A3B">
              <w:t>Total</w:t>
            </w:r>
          </w:p>
        </w:tc>
        <w:tc>
          <w:tcPr>
            <w:tcW w:w="1121" w:type="dxa"/>
            <w:tcBorders>
              <w:top w:val="single" w:sz="4" w:space="0" w:color="ADD6EA"/>
              <w:left w:val="nil"/>
              <w:bottom w:val="single" w:sz="4" w:space="0" w:color="ADD6EA"/>
              <w:right w:val="nil"/>
            </w:tcBorders>
            <w:shd w:val="clear" w:color="000000" w:fill="D6E7F0"/>
            <w:noWrap/>
            <w:vAlign w:val="bottom"/>
            <w:hideMark/>
          </w:tcPr>
          <w:p w14:paraId="4E3A8686" w14:textId="77777777" w:rsidR="00CB4146" w:rsidRPr="00442A3B" w:rsidRDefault="00CB4146" w:rsidP="00642F01">
            <w:pPr>
              <w:pStyle w:val="CGCTablesubhead1"/>
              <w:keepNext/>
              <w:keepLines/>
              <w:jc w:val="right"/>
              <w:rPr>
                <w:rFonts w:eastAsia="MS Mincho" w:cs="Open Sans Semibold"/>
                <w:color w:val="000000"/>
                <w:szCs w:val="16"/>
                <w:lang w:eastAsia="en-AU"/>
              </w:rPr>
            </w:pPr>
            <w:r w:rsidRPr="00442A3B">
              <w:t>1.00000</w:t>
            </w:r>
          </w:p>
        </w:tc>
        <w:tc>
          <w:tcPr>
            <w:tcW w:w="645" w:type="dxa"/>
            <w:tcBorders>
              <w:top w:val="single" w:sz="4" w:space="0" w:color="ADD6EA"/>
              <w:left w:val="nil"/>
              <w:bottom w:val="single" w:sz="4" w:space="0" w:color="ADD6EA"/>
              <w:right w:val="nil"/>
            </w:tcBorders>
            <w:shd w:val="clear" w:color="000000" w:fill="D6E7F0"/>
            <w:noWrap/>
            <w:vAlign w:val="bottom"/>
            <w:hideMark/>
          </w:tcPr>
          <w:p w14:paraId="3647A91C" w14:textId="77777777" w:rsidR="00CB4146" w:rsidRPr="00442A3B" w:rsidRDefault="00CB4146" w:rsidP="00642F01">
            <w:pPr>
              <w:pStyle w:val="CGCTablesubhead1"/>
              <w:keepNext/>
              <w:keepLines/>
              <w:jc w:val="right"/>
              <w:rPr>
                <w:rFonts w:eastAsia="MS Mincho" w:cs="Open Sans Semibold"/>
                <w:color w:val="000000"/>
                <w:szCs w:val="16"/>
                <w:lang w:eastAsia="en-AU"/>
              </w:rPr>
            </w:pPr>
            <w:r w:rsidRPr="00442A3B">
              <w:t> </w:t>
            </w:r>
          </w:p>
        </w:tc>
        <w:tc>
          <w:tcPr>
            <w:tcW w:w="1210" w:type="dxa"/>
            <w:tcBorders>
              <w:top w:val="single" w:sz="4" w:space="0" w:color="ADD6EA"/>
              <w:left w:val="nil"/>
              <w:bottom w:val="single" w:sz="4" w:space="0" w:color="ADD6EA"/>
              <w:right w:val="nil"/>
            </w:tcBorders>
            <w:shd w:val="clear" w:color="000000" w:fill="D6E7F0"/>
            <w:noWrap/>
            <w:vAlign w:val="bottom"/>
            <w:hideMark/>
          </w:tcPr>
          <w:p w14:paraId="762F5642" w14:textId="77777777" w:rsidR="00CB4146" w:rsidRPr="00442A3B" w:rsidRDefault="00CB4146" w:rsidP="00642F01">
            <w:pPr>
              <w:pStyle w:val="CGCTablesubhead1"/>
              <w:keepNext/>
              <w:keepLines/>
              <w:jc w:val="right"/>
              <w:rPr>
                <w:rFonts w:eastAsia="MS Mincho" w:cs="Open Sans Semibold"/>
                <w:color w:val="000000"/>
                <w:szCs w:val="16"/>
                <w:lang w:eastAsia="en-AU"/>
              </w:rPr>
            </w:pPr>
            <w:r w:rsidRPr="00442A3B">
              <w:t>1.00000</w:t>
            </w:r>
          </w:p>
        </w:tc>
        <w:tc>
          <w:tcPr>
            <w:tcW w:w="308" w:type="dxa"/>
            <w:tcBorders>
              <w:top w:val="single" w:sz="4" w:space="0" w:color="ADD6EA"/>
              <w:left w:val="nil"/>
              <w:bottom w:val="single" w:sz="4" w:space="0" w:color="ADD6EA"/>
              <w:right w:val="nil"/>
            </w:tcBorders>
            <w:shd w:val="clear" w:color="000000" w:fill="D6E7F0"/>
            <w:noWrap/>
            <w:vAlign w:val="bottom"/>
            <w:hideMark/>
          </w:tcPr>
          <w:p w14:paraId="110D1FEF" w14:textId="77777777" w:rsidR="00CB4146" w:rsidRPr="00442A3B" w:rsidRDefault="00CB4146" w:rsidP="00642F01">
            <w:pPr>
              <w:pStyle w:val="CGCTablesubhead1"/>
              <w:keepNext/>
              <w:keepLines/>
              <w:jc w:val="right"/>
              <w:rPr>
                <w:rFonts w:eastAsia="MS Mincho" w:cs="Open Sans Semibold"/>
                <w:color w:val="000000"/>
                <w:szCs w:val="16"/>
                <w:lang w:eastAsia="en-AU"/>
              </w:rPr>
            </w:pPr>
            <w:r w:rsidRPr="00442A3B">
              <w:t> </w:t>
            </w:r>
          </w:p>
        </w:tc>
        <w:tc>
          <w:tcPr>
            <w:tcW w:w="1535" w:type="dxa"/>
            <w:tcBorders>
              <w:top w:val="single" w:sz="4" w:space="0" w:color="ADD6EA"/>
              <w:left w:val="nil"/>
              <w:bottom w:val="single" w:sz="4" w:space="0" w:color="ADD6EA"/>
              <w:right w:val="nil"/>
            </w:tcBorders>
            <w:shd w:val="clear" w:color="000000" w:fill="D6E7F0"/>
            <w:noWrap/>
            <w:vAlign w:val="bottom"/>
            <w:hideMark/>
          </w:tcPr>
          <w:p w14:paraId="3F8ED456" w14:textId="77777777" w:rsidR="00CB4146" w:rsidRPr="00442A3B" w:rsidRDefault="00CB4146" w:rsidP="00642F01">
            <w:pPr>
              <w:pStyle w:val="CGCTablesubhead1"/>
              <w:keepNext/>
              <w:keepLines/>
              <w:jc w:val="right"/>
              <w:rPr>
                <w:rFonts w:eastAsia="MS Mincho" w:cs="Open Sans Semibold"/>
                <w:color w:val="000000"/>
                <w:szCs w:val="16"/>
                <w:lang w:eastAsia="en-AU"/>
              </w:rPr>
            </w:pPr>
            <w:r w:rsidRPr="00442A3B">
              <w:t>1.00000</w:t>
            </w:r>
          </w:p>
        </w:tc>
        <w:tc>
          <w:tcPr>
            <w:tcW w:w="358" w:type="dxa"/>
            <w:tcBorders>
              <w:top w:val="single" w:sz="4" w:space="0" w:color="ADD6EA"/>
              <w:left w:val="nil"/>
              <w:bottom w:val="single" w:sz="4" w:space="0" w:color="ADD6EA"/>
              <w:right w:val="nil"/>
            </w:tcBorders>
            <w:shd w:val="clear" w:color="000000" w:fill="D6E7F0"/>
            <w:noWrap/>
            <w:vAlign w:val="bottom"/>
            <w:hideMark/>
          </w:tcPr>
          <w:p w14:paraId="6574D024" w14:textId="77777777" w:rsidR="00CB4146" w:rsidRPr="00442A3B" w:rsidRDefault="00CB4146" w:rsidP="00642F01">
            <w:pPr>
              <w:pStyle w:val="CGCTablesubhead1"/>
              <w:keepNext/>
              <w:keepLines/>
              <w:jc w:val="right"/>
              <w:rPr>
                <w:rFonts w:eastAsia="MS Mincho" w:cs="Open Sans Semibold"/>
                <w:color w:val="000000"/>
                <w:szCs w:val="16"/>
                <w:lang w:eastAsia="en-AU"/>
              </w:rPr>
            </w:pPr>
            <w:r w:rsidRPr="00442A3B">
              <w:t> </w:t>
            </w:r>
          </w:p>
        </w:tc>
        <w:tc>
          <w:tcPr>
            <w:tcW w:w="1060" w:type="dxa"/>
            <w:tcBorders>
              <w:top w:val="single" w:sz="4" w:space="0" w:color="ADD6EA"/>
              <w:left w:val="nil"/>
              <w:bottom w:val="single" w:sz="4" w:space="0" w:color="ADD6EA"/>
              <w:right w:val="nil"/>
            </w:tcBorders>
            <w:shd w:val="clear" w:color="000000" w:fill="D6E7F0"/>
            <w:noWrap/>
            <w:vAlign w:val="bottom"/>
            <w:hideMark/>
          </w:tcPr>
          <w:p w14:paraId="4D61DA4E" w14:textId="77777777" w:rsidR="00CB4146" w:rsidRPr="00442A3B" w:rsidRDefault="00CB4146" w:rsidP="00642F01">
            <w:pPr>
              <w:pStyle w:val="CGCTablesubhead1"/>
              <w:keepNext/>
              <w:keepLines/>
              <w:jc w:val="right"/>
              <w:rPr>
                <w:rFonts w:eastAsia="MS Mincho" w:cs="Open Sans Semibold"/>
                <w:color w:val="000000"/>
                <w:szCs w:val="16"/>
                <w:lang w:eastAsia="en-AU"/>
              </w:rPr>
            </w:pPr>
            <w:r w:rsidRPr="00442A3B">
              <w:t> </w:t>
            </w:r>
          </w:p>
        </w:tc>
        <w:tc>
          <w:tcPr>
            <w:tcW w:w="646" w:type="dxa"/>
            <w:tcBorders>
              <w:top w:val="single" w:sz="4" w:space="0" w:color="ADD6EA"/>
              <w:left w:val="nil"/>
              <w:bottom w:val="single" w:sz="4" w:space="0" w:color="ADD6EA"/>
              <w:right w:val="nil"/>
            </w:tcBorders>
            <w:shd w:val="clear" w:color="000000" w:fill="D6E7F0"/>
            <w:noWrap/>
            <w:vAlign w:val="bottom"/>
            <w:hideMark/>
          </w:tcPr>
          <w:p w14:paraId="3E00CB63" w14:textId="77777777" w:rsidR="00CB4146" w:rsidRPr="00442A3B" w:rsidRDefault="00CB4146" w:rsidP="00642F01">
            <w:pPr>
              <w:pStyle w:val="CGCTablesubhead1"/>
              <w:keepNext/>
              <w:keepLines/>
              <w:jc w:val="right"/>
              <w:rPr>
                <w:rFonts w:eastAsia="MS Mincho" w:cs="Open Sans Semibold"/>
                <w:color w:val="000000"/>
                <w:szCs w:val="16"/>
                <w:lang w:eastAsia="en-AU"/>
              </w:rPr>
            </w:pPr>
            <w:r w:rsidRPr="00442A3B">
              <w:t> </w:t>
            </w:r>
          </w:p>
        </w:tc>
        <w:tc>
          <w:tcPr>
            <w:tcW w:w="998" w:type="dxa"/>
            <w:tcBorders>
              <w:top w:val="single" w:sz="4" w:space="0" w:color="ADD6EA"/>
              <w:left w:val="nil"/>
              <w:bottom w:val="single" w:sz="4" w:space="0" w:color="ADD6EA"/>
              <w:right w:val="nil"/>
            </w:tcBorders>
            <w:shd w:val="clear" w:color="000000" w:fill="D6E7F0"/>
            <w:noWrap/>
            <w:vAlign w:val="bottom"/>
            <w:hideMark/>
          </w:tcPr>
          <w:p w14:paraId="3F8761C4" w14:textId="77777777" w:rsidR="00CB4146" w:rsidRPr="00442A3B" w:rsidRDefault="00CB4146" w:rsidP="00642F01">
            <w:pPr>
              <w:pStyle w:val="CGCTablesubhead1"/>
              <w:keepNext/>
              <w:keepLines/>
              <w:jc w:val="right"/>
              <w:rPr>
                <w:rFonts w:eastAsia="MS Mincho" w:cs="Open Sans Semibold"/>
                <w:color w:val="000000"/>
                <w:szCs w:val="16"/>
                <w:lang w:eastAsia="en-AU"/>
              </w:rPr>
            </w:pPr>
            <w:r w:rsidRPr="00442A3B">
              <w:t>1.00000</w:t>
            </w:r>
          </w:p>
        </w:tc>
      </w:tr>
    </w:tbl>
    <w:p w14:paraId="1AFA3DC6" w14:textId="573005AB" w:rsidR="00CC32A1" w:rsidRPr="00442A3B" w:rsidRDefault="00291C74" w:rsidP="00142788">
      <w:pPr>
        <w:pStyle w:val="CGCTablenote"/>
        <w:keepNext/>
        <w:keepLines/>
      </w:pPr>
      <w:r w:rsidRPr="00442A3B">
        <w:t>(a)</w:t>
      </w:r>
      <w:r w:rsidRPr="00442A3B">
        <w:tab/>
      </w:r>
      <w:r w:rsidR="00D8550E" w:rsidRPr="00442A3B">
        <w:t xml:space="preserve">Relative fiscal capacities </w:t>
      </w:r>
      <w:r w:rsidR="009B381D" w:rsidRPr="00442A3B">
        <w:t xml:space="preserve">refer to </w:t>
      </w:r>
      <w:r w:rsidR="006F6AB6" w:rsidRPr="00442A3B">
        <w:t xml:space="preserve">the previous </w:t>
      </w:r>
      <w:r w:rsidR="0007726A" w:rsidRPr="00442A3B">
        <w:t>arrangeme</w:t>
      </w:r>
      <w:r w:rsidR="00B47D2F" w:rsidRPr="00442A3B">
        <w:t>nts</w:t>
      </w:r>
      <w:r w:rsidR="0007726A" w:rsidRPr="00442A3B">
        <w:t>.</w:t>
      </w:r>
    </w:p>
    <w:p w14:paraId="5A1A4375" w14:textId="5AF3A6B6" w:rsidR="00291C74" w:rsidRPr="00442A3B" w:rsidRDefault="002B30CF" w:rsidP="00142788">
      <w:pPr>
        <w:pStyle w:val="CGCTablenote"/>
        <w:keepNext/>
        <w:keepLines/>
      </w:pPr>
      <w:r w:rsidRPr="00442A3B">
        <w:t xml:space="preserve">(b) </w:t>
      </w:r>
      <w:r w:rsidRPr="00442A3B">
        <w:tab/>
      </w:r>
      <w:r w:rsidR="00D8550E" w:rsidRPr="00442A3B">
        <w:t xml:space="preserve">Standard State </w:t>
      </w:r>
      <w:r w:rsidR="00D471D1" w:rsidRPr="00442A3B">
        <w:t>c</w:t>
      </w:r>
      <w:r w:rsidR="00D8550E" w:rsidRPr="00442A3B">
        <w:t xml:space="preserve">apacities </w:t>
      </w:r>
      <w:r w:rsidR="008E27E0" w:rsidRPr="00442A3B">
        <w:t xml:space="preserve">refer to </w:t>
      </w:r>
      <w:r w:rsidR="00A5658F" w:rsidRPr="00442A3B">
        <w:t>the new arrangements</w:t>
      </w:r>
      <w:r w:rsidR="00B23B7B" w:rsidRPr="00442A3B">
        <w:t xml:space="preserve"> </w:t>
      </w:r>
      <w:r w:rsidR="00BC1A69" w:rsidRPr="00442A3B">
        <w:t>(</w:t>
      </w:r>
      <w:r w:rsidR="00A5658F" w:rsidRPr="00442A3B">
        <w:t xml:space="preserve">equalising to the stronger of </w:t>
      </w:r>
      <w:r w:rsidR="009E5166" w:rsidRPr="00442A3B">
        <w:t>New South Wales or Victoria</w:t>
      </w:r>
      <w:r w:rsidR="00BC1A69" w:rsidRPr="00442A3B">
        <w:t>)</w:t>
      </w:r>
      <w:r w:rsidR="009E5166" w:rsidRPr="00442A3B">
        <w:t xml:space="preserve">. </w:t>
      </w:r>
      <w:r w:rsidR="00291C74" w:rsidRPr="00442A3B">
        <w:t xml:space="preserve">Victoria was </w:t>
      </w:r>
      <w:r w:rsidR="005C19C4" w:rsidRPr="00442A3B">
        <w:t>fiscally stronge</w:t>
      </w:r>
      <w:r w:rsidR="00AA021E" w:rsidRPr="00442A3B">
        <w:t>r than New South Wales in two assessment years</w:t>
      </w:r>
      <w:r w:rsidR="00C72BB3" w:rsidRPr="00442A3B">
        <w:t>.</w:t>
      </w:r>
      <w:r w:rsidR="00AA021E" w:rsidRPr="00442A3B">
        <w:t xml:space="preserve"> </w:t>
      </w:r>
      <w:r w:rsidR="005C19C4" w:rsidRPr="00442A3B">
        <w:t xml:space="preserve">New South Wales </w:t>
      </w:r>
      <w:r w:rsidR="007965B5" w:rsidRPr="00442A3B">
        <w:t>was fiscally stronger than Victoria in one assessment year. For this reason</w:t>
      </w:r>
      <w:r w:rsidR="00C4485C" w:rsidRPr="00442A3B">
        <w:t>,</w:t>
      </w:r>
      <w:r w:rsidR="007965B5" w:rsidRPr="00442A3B">
        <w:t xml:space="preserve"> Western Australia’s </w:t>
      </w:r>
      <w:r w:rsidR="00E770FA" w:rsidRPr="00442A3B">
        <w:t>s</w:t>
      </w:r>
      <w:r w:rsidR="007965B5" w:rsidRPr="00442A3B">
        <w:t xml:space="preserve">tandard State capacity is not equal to </w:t>
      </w:r>
      <w:r w:rsidR="00723813" w:rsidRPr="00442A3B">
        <w:t xml:space="preserve">that of </w:t>
      </w:r>
      <w:r w:rsidR="007965B5" w:rsidRPr="00442A3B">
        <w:t xml:space="preserve">either New </w:t>
      </w:r>
      <w:r w:rsidR="00BC1A69" w:rsidRPr="00442A3B">
        <w:t xml:space="preserve">South </w:t>
      </w:r>
      <w:r w:rsidR="007965B5" w:rsidRPr="00442A3B">
        <w:t>Wales or Victoria</w:t>
      </w:r>
      <w:r w:rsidR="00641839" w:rsidRPr="00442A3B">
        <w:t>.</w:t>
      </w:r>
    </w:p>
    <w:p w14:paraId="6B89FD04" w14:textId="54F25278" w:rsidR="00EB41E7" w:rsidRPr="00442A3B" w:rsidRDefault="00142788" w:rsidP="00142788">
      <w:pPr>
        <w:pStyle w:val="CGCTablenote"/>
        <w:keepNext/>
        <w:keepLines/>
      </w:pPr>
      <w:r w:rsidRPr="00442A3B">
        <w:t>(</w:t>
      </w:r>
      <w:r w:rsidR="002B30CF" w:rsidRPr="00442A3B">
        <w:t>c</w:t>
      </w:r>
      <w:r w:rsidRPr="00442A3B">
        <w:t>)</w:t>
      </w:r>
      <w:r w:rsidRPr="00442A3B">
        <w:tab/>
      </w:r>
      <w:r w:rsidR="00C9145E" w:rsidRPr="00442A3B">
        <w:t>The blended capacities are 5/6th relative fiscal capacities and 1/6th standard State fiscal capacitie</w:t>
      </w:r>
      <w:r w:rsidR="001A0F53" w:rsidRPr="00442A3B">
        <w:t>s</w:t>
      </w:r>
      <w:r w:rsidR="00F44ACD" w:rsidRPr="00442A3B">
        <w:t>.</w:t>
      </w:r>
    </w:p>
    <w:p w14:paraId="42AEAAB2" w14:textId="7151A6F4" w:rsidR="00EA2FFF" w:rsidRPr="00442A3B" w:rsidRDefault="00E47043" w:rsidP="000D3768">
      <w:pPr>
        <w:pStyle w:val="CGCTablenote"/>
        <w:keepNext/>
        <w:keepLines/>
      </w:pPr>
      <w:r w:rsidRPr="00442A3B">
        <w:t>(</w:t>
      </w:r>
      <w:r w:rsidR="002B30CF" w:rsidRPr="00442A3B">
        <w:t>d</w:t>
      </w:r>
      <w:r w:rsidRPr="00442A3B">
        <w:t>)</w:t>
      </w:r>
      <w:r w:rsidR="00D362D6" w:rsidRPr="00442A3B">
        <w:tab/>
        <w:t xml:space="preserve">No </w:t>
      </w:r>
      <w:r w:rsidRPr="00442A3B">
        <w:t xml:space="preserve">internal </w:t>
      </w:r>
      <w:r w:rsidR="00D362D6" w:rsidRPr="00442A3B">
        <w:t>floor applies to 2021-22.</w:t>
      </w:r>
    </w:p>
    <w:p w14:paraId="350122C5" w14:textId="5569FEC5" w:rsidR="001D422D" w:rsidRPr="00442A3B" w:rsidRDefault="001D422D" w:rsidP="000D3768">
      <w:pPr>
        <w:pStyle w:val="CGCTablenote"/>
        <w:keepNext/>
        <w:keepLines/>
      </w:pPr>
      <w:r w:rsidRPr="00442A3B">
        <w:t xml:space="preserve">n/a </w:t>
      </w:r>
      <w:r w:rsidR="0018425B" w:rsidRPr="00442A3B">
        <w:tab/>
        <w:t>not applicable.</w:t>
      </w:r>
    </w:p>
    <w:p w14:paraId="42639ECD" w14:textId="75B17C79" w:rsidR="00EA73E2" w:rsidRPr="00442A3B" w:rsidRDefault="00EA73E2" w:rsidP="000D3768">
      <w:pPr>
        <w:pStyle w:val="CGCTablenote"/>
        <w:keepNext/>
        <w:keepLines/>
      </w:pPr>
      <w:r w:rsidRPr="00442A3B">
        <w:t>Source:</w:t>
      </w:r>
      <w:r w:rsidRPr="00442A3B">
        <w:tab/>
        <w:t>Commission calculation.</w:t>
      </w:r>
    </w:p>
    <w:bookmarkStart w:id="60" w:name="_Ref30604745"/>
    <w:p w14:paraId="43315FE5" w14:textId="595CD87F" w:rsidR="00212455" w:rsidRPr="00442A3B" w:rsidRDefault="0089754B" w:rsidP="00DF3E77">
      <w:pPr>
        <w:pStyle w:val="CGCParaNumber"/>
        <w:ind w:left="567" w:hanging="567"/>
      </w:pPr>
      <w:r w:rsidRPr="00442A3B">
        <w:fldChar w:fldCharType="begin"/>
      </w:r>
      <w:r w:rsidRPr="00442A3B">
        <w:instrText xml:space="preserve"> REF _Ref60646919 \h </w:instrText>
      </w:r>
      <w:r w:rsidR="00442A3B">
        <w:instrText xml:space="preserve"> \* MERGEFORMAT </w:instrText>
      </w:r>
      <w:r w:rsidRPr="00442A3B">
        <w:fldChar w:fldCharType="separate"/>
      </w:r>
      <w:r w:rsidR="00FC3D3D" w:rsidRPr="00442A3B">
        <w:t>Figure 1</w:t>
      </w:r>
      <w:r w:rsidR="00FC3D3D" w:rsidRPr="00442A3B">
        <w:noBreakHyphen/>
      </w:r>
      <w:r w:rsidR="00FC3D3D">
        <w:t>1</w:t>
      </w:r>
      <w:r w:rsidRPr="00442A3B">
        <w:fldChar w:fldCharType="end"/>
      </w:r>
      <w:r w:rsidRPr="00442A3B">
        <w:t xml:space="preserve"> </w:t>
      </w:r>
      <w:r w:rsidR="007E1516" w:rsidRPr="00442A3B">
        <w:t>outlines</w:t>
      </w:r>
      <w:r w:rsidR="00212455" w:rsidRPr="00442A3B">
        <w:t xml:space="preserve"> the outcomes of </w:t>
      </w:r>
      <w:r w:rsidR="00CE6EBF" w:rsidRPr="00442A3B">
        <w:t>the blending of the previous and new arrangements for 2021-22</w:t>
      </w:r>
      <w:r w:rsidR="00212455" w:rsidRPr="00442A3B">
        <w:t xml:space="preserve">. It shows that the per capita GST requirement for each State is the difference between the State’s total assessed expenditure (expenses and investment) and the sum of its assessed own source revenue, assessed net borrowing, Commonwealth payments and </w:t>
      </w:r>
      <w:r w:rsidR="001F18D3" w:rsidRPr="00442A3B">
        <w:t>fund</w:t>
      </w:r>
      <w:r w:rsidR="00604CAA" w:rsidRPr="00442A3B">
        <w:t>ing</w:t>
      </w:r>
      <w:r w:rsidR="001F18D3" w:rsidRPr="00442A3B">
        <w:t xml:space="preserve"> under the </w:t>
      </w:r>
      <w:r w:rsidR="00212455" w:rsidRPr="00442A3B">
        <w:t>transition arrangements.</w:t>
      </w:r>
      <w:r w:rsidR="00895F40" w:rsidRPr="00442A3B">
        <w:rPr>
          <w:rStyle w:val="FootnoteReference"/>
        </w:rPr>
        <w:footnoteReference w:id="12"/>
      </w:r>
      <w:r w:rsidR="00212455" w:rsidRPr="00442A3B">
        <w:t xml:space="preserve"> </w:t>
      </w:r>
    </w:p>
    <w:p w14:paraId="5838B632" w14:textId="25A72A99" w:rsidR="00212455" w:rsidRPr="00442A3B" w:rsidRDefault="0089754B" w:rsidP="00DF3E77">
      <w:pPr>
        <w:pStyle w:val="CGCParaNumber"/>
        <w:ind w:left="567" w:hanging="567"/>
      </w:pPr>
      <w:r w:rsidRPr="00442A3B">
        <w:fldChar w:fldCharType="begin"/>
      </w:r>
      <w:r w:rsidRPr="00442A3B">
        <w:instrText xml:space="preserve"> REF _Ref60646919 \h </w:instrText>
      </w:r>
      <w:r w:rsidR="00442A3B">
        <w:instrText xml:space="preserve"> \* MERGEFORMAT </w:instrText>
      </w:r>
      <w:r w:rsidRPr="00442A3B">
        <w:fldChar w:fldCharType="separate"/>
      </w:r>
      <w:r w:rsidR="00FC3D3D" w:rsidRPr="00442A3B">
        <w:t>Figure 1</w:t>
      </w:r>
      <w:r w:rsidR="00FC3D3D" w:rsidRPr="00442A3B">
        <w:noBreakHyphen/>
      </w:r>
      <w:r w:rsidR="00FC3D3D">
        <w:t>1</w:t>
      </w:r>
      <w:r w:rsidRPr="00442A3B">
        <w:fldChar w:fldCharType="end"/>
      </w:r>
      <w:r w:rsidRPr="00442A3B">
        <w:t xml:space="preserve"> </w:t>
      </w:r>
      <w:r w:rsidR="00212455" w:rsidRPr="00442A3B">
        <w:t xml:space="preserve">shows that increasing Western Australia’s GST relativity </w:t>
      </w:r>
      <w:r w:rsidR="0001594D" w:rsidRPr="00442A3B">
        <w:t xml:space="preserve">under the new arrangements to </w:t>
      </w:r>
      <w:r w:rsidR="00212455" w:rsidRPr="00442A3B">
        <w:t xml:space="preserve">above the Commission’s measure of its relative fiscal capacity means that, with average revenue raising effort, it would have slightly more total revenue per capita than it requires to provide </w:t>
      </w:r>
      <w:r w:rsidR="00592414" w:rsidRPr="00442A3B">
        <w:t xml:space="preserve">services </w:t>
      </w:r>
      <w:r w:rsidR="00212455" w:rsidRPr="00442A3B">
        <w:t xml:space="preserve">and investment at the average level. All other States </w:t>
      </w:r>
      <w:r w:rsidR="00975A76" w:rsidRPr="00442A3B">
        <w:t>would</w:t>
      </w:r>
      <w:r w:rsidR="00212455" w:rsidRPr="00442A3B">
        <w:t xml:space="preserve"> have </w:t>
      </w:r>
      <w:r w:rsidR="00BF6618" w:rsidRPr="00442A3B">
        <w:t>slightly</w:t>
      </w:r>
      <w:r w:rsidR="00212455" w:rsidRPr="00442A3B">
        <w:t xml:space="preserve"> less revenue than they require</w:t>
      </w:r>
      <w:r w:rsidR="00D82F76" w:rsidRPr="00442A3B">
        <w:t xml:space="preserve"> </w:t>
      </w:r>
      <w:r w:rsidR="003A0030" w:rsidRPr="00442A3B">
        <w:t>as estimated in accordance with</w:t>
      </w:r>
      <w:r w:rsidR="00D82F76" w:rsidRPr="00442A3B">
        <w:t xml:space="preserve"> the Commission’s assessments</w:t>
      </w:r>
      <w:r w:rsidR="00212455" w:rsidRPr="00442A3B">
        <w:t xml:space="preserve">. </w:t>
      </w:r>
    </w:p>
    <w:p w14:paraId="0C16A1E4" w14:textId="698126BF" w:rsidR="00165998" w:rsidRPr="00442A3B" w:rsidRDefault="00165998" w:rsidP="00F93333">
      <w:pPr>
        <w:pStyle w:val="Caption"/>
      </w:pPr>
      <w:bookmarkStart w:id="61" w:name="_Ref60646919"/>
      <w:bookmarkStart w:id="62" w:name="_Toc62487163"/>
      <w:bookmarkStart w:id="63" w:name="_Toc62487319"/>
      <w:r w:rsidRPr="00442A3B">
        <w:lastRenderedPageBreak/>
        <w:t>Figure 1</w:t>
      </w:r>
      <w:r w:rsidRPr="00442A3B">
        <w:noBreakHyphen/>
      </w:r>
      <w:r w:rsidRPr="00442A3B">
        <w:fldChar w:fldCharType="begin"/>
      </w:r>
      <w:r w:rsidRPr="00442A3B">
        <w:instrText>SEQ Figure \* ARABIC</w:instrText>
      </w:r>
      <w:r w:rsidRPr="00442A3B">
        <w:fldChar w:fldCharType="separate"/>
      </w:r>
      <w:r w:rsidR="00FC3D3D">
        <w:rPr>
          <w:noProof/>
        </w:rPr>
        <w:t>1</w:t>
      </w:r>
      <w:r w:rsidRPr="00442A3B">
        <w:fldChar w:fldCharType="end"/>
      </w:r>
      <w:bookmarkEnd w:id="60"/>
      <w:bookmarkEnd w:id="61"/>
      <w:r w:rsidRPr="00442A3B">
        <w:tab/>
      </w:r>
      <w:r w:rsidR="00FD1952" w:rsidRPr="00442A3B">
        <w:t xml:space="preserve">Estimated </w:t>
      </w:r>
      <w:r w:rsidRPr="00442A3B">
        <w:t>assessed budgets per capita, 202</w:t>
      </w:r>
      <w:r w:rsidR="0004583F" w:rsidRPr="00442A3B">
        <w:t>1</w:t>
      </w:r>
      <w:r w:rsidRPr="00442A3B">
        <w:noBreakHyphen/>
        <w:t>2</w:t>
      </w:r>
      <w:r w:rsidR="0004583F" w:rsidRPr="00442A3B">
        <w:t>2</w:t>
      </w:r>
      <w:bookmarkEnd w:id="62"/>
      <w:bookmarkEnd w:id="63"/>
    </w:p>
    <w:p w14:paraId="2039E31D" w14:textId="0D99106E" w:rsidR="00541193" w:rsidRPr="00442A3B" w:rsidRDefault="00971D36" w:rsidP="00184AB5">
      <w:r w:rsidRPr="00442A3B">
        <w:rPr>
          <w:noProof/>
        </w:rPr>
        <w:drawing>
          <wp:inline distT="0" distB="0" distL="0" distR="0" wp14:anchorId="3787D2EE" wp14:editId="1136E275">
            <wp:extent cx="5632450" cy="3569970"/>
            <wp:effectExtent l="0" t="0" r="6350" b="0"/>
            <wp:docPr id="11" name="Picture 11" descr="Bar chart showing NT has the highest estimated assessed budget per capita, at over $20,000. All others are between $10,000 and $1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r chart showing NT has the highest estimated assessed budget per capita, at over $20,000. All others are between $10,000 and $15,00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32450" cy="3569970"/>
                    </a:xfrm>
                    <a:prstGeom prst="rect">
                      <a:avLst/>
                    </a:prstGeom>
                    <a:noFill/>
                    <a:ln>
                      <a:noFill/>
                    </a:ln>
                  </pic:spPr>
                </pic:pic>
              </a:graphicData>
            </a:graphic>
          </wp:inline>
        </w:drawing>
      </w:r>
    </w:p>
    <w:p w14:paraId="42BA253D" w14:textId="77777777" w:rsidR="00165998" w:rsidRPr="00442A3B" w:rsidRDefault="00165998" w:rsidP="00F93333">
      <w:pPr>
        <w:pStyle w:val="CGCTablenote"/>
        <w:keepNext/>
        <w:keepLines/>
      </w:pPr>
      <w:r w:rsidRPr="00442A3B">
        <w:t>Note:</w:t>
      </w:r>
      <w:r w:rsidRPr="00442A3B">
        <w:tab/>
        <w:t>These are assessed expenditures, own-source revenue, net borrowing, Commonwealth payments and GST.</w:t>
      </w:r>
    </w:p>
    <w:p w14:paraId="7A33772A" w14:textId="77777777" w:rsidR="00165998" w:rsidRPr="00442A3B" w:rsidRDefault="00165998" w:rsidP="005A1BA0">
      <w:pPr>
        <w:pStyle w:val="CGCTablenote"/>
        <w:keepNext/>
        <w:keepLines/>
        <w:numPr>
          <w:ilvl w:val="0"/>
          <w:numId w:val="9"/>
        </w:numPr>
        <w:tabs>
          <w:tab w:val="clear" w:pos="680"/>
          <w:tab w:val="left" w:pos="567"/>
        </w:tabs>
        <w:ind w:hanging="689"/>
      </w:pPr>
      <w:r w:rsidRPr="00442A3B">
        <w:t>Includes expenses and investment.</w:t>
      </w:r>
    </w:p>
    <w:p w14:paraId="236F7694" w14:textId="77777777" w:rsidR="00165998" w:rsidRPr="00442A3B" w:rsidRDefault="00165998" w:rsidP="00F93333">
      <w:pPr>
        <w:pStyle w:val="CGCTablenote"/>
        <w:keepNext/>
        <w:keepLines/>
      </w:pPr>
      <w:r w:rsidRPr="00442A3B">
        <w:t>Source:</w:t>
      </w:r>
      <w:r w:rsidRPr="00442A3B">
        <w:tab/>
        <w:t>Commission calculation.</w:t>
      </w:r>
    </w:p>
    <w:p w14:paraId="0624CA09" w14:textId="7CA62635" w:rsidR="00165998" w:rsidRPr="00442A3B" w:rsidRDefault="2645D8E0" w:rsidP="00DF3E77">
      <w:pPr>
        <w:pStyle w:val="CGCParaNumber"/>
        <w:ind w:left="567" w:hanging="567"/>
      </w:pPr>
      <w:r w:rsidRPr="00442A3B">
        <w:t xml:space="preserve">The </w:t>
      </w:r>
      <w:r w:rsidR="1A5B4AA1" w:rsidRPr="00442A3B">
        <w:t>recommended</w:t>
      </w:r>
      <w:r w:rsidR="002525D6" w:rsidRPr="00442A3B">
        <w:t xml:space="preserve"> proportion of </w:t>
      </w:r>
      <w:r w:rsidR="00F76CDE" w:rsidRPr="00442A3B">
        <w:t xml:space="preserve">the </w:t>
      </w:r>
      <w:r w:rsidR="002525D6" w:rsidRPr="00442A3B">
        <w:t xml:space="preserve">GST </w:t>
      </w:r>
      <w:r w:rsidR="00F76CDE" w:rsidRPr="00442A3B">
        <w:t>pool</w:t>
      </w:r>
      <w:r w:rsidR="002525D6" w:rsidRPr="00442A3B">
        <w:t xml:space="preserve"> redistributed in </w:t>
      </w:r>
      <w:r w:rsidR="5D19D432" w:rsidRPr="00442A3B">
        <w:t xml:space="preserve">2021-22 </w:t>
      </w:r>
      <w:r w:rsidR="000E67D3" w:rsidRPr="00442A3B">
        <w:t xml:space="preserve">from the </w:t>
      </w:r>
      <w:r w:rsidR="009C4C55" w:rsidRPr="00442A3B">
        <w:t>fiscally stronge</w:t>
      </w:r>
      <w:r w:rsidR="002E3DDD" w:rsidRPr="00442A3B">
        <w:t>st</w:t>
      </w:r>
      <w:r w:rsidR="009C4C55" w:rsidRPr="00442A3B">
        <w:t xml:space="preserve"> </w:t>
      </w:r>
      <w:r w:rsidR="002E3DDD" w:rsidRPr="00442A3B">
        <w:t>S</w:t>
      </w:r>
      <w:r w:rsidR="009C4C55" w:rsidRPr="00442A3B">
        <w:t xml:space="preserve">tates </w:t>
      </w:r>
      <w:r w:rsidR="00962637" w:rsidRPr="00442A3B">
        <w:t>(</w:t>
      </w:r>
      <w:r w:rsidR="002E3DDD" w:rsidRPr="00442A3B">
        <w:t xml:space="preserve">New South Wales, Victoria and Western Australia) </w:t>
      </w:r>
      <w:r w:rsidR="009C4C55" w:rsidRPr="00442A3B">
        <w:t xml:space="preserve">to </w:t>
      </w:r>
      <w:r w:rsidR="00962637" w:rsidRPr="00442A3B">
        <w:t>the others</w:t>
      </w:r>
      <w:r w:rsidR="009C4C55" w:rsidRPr="00442A3B">
        <w:t xml:space="preserve"> </w:t>
      </w:r>
      <w:r w:rsidR="002525D6" w:rsidRPr="00442A3B">
        <w:t>is 9.</w:t>
      </w:r>
      <w:r w:rsidR="00225678" w:rsidRPr="00442A3B">
        <w:t>4</w:t>
      </w:r>
      <w:r w:rsidR="002525D6" w:rsidRPr="00442A3B">
        <w:t>% ($</w:t>
      </w:r>
      <w:r w:rsidR="00DE6C16" w:rsidRPr="00442A3B">
        <w:t>6.</w:t>
      </w:r>
      <w:r w:rsidR="0082000F" w:rsidRPr="00442A3B">
        <w:t>3</w:t>
      </w:r>
      <w:r w:rsidR="00B134A8">
        <w:t> </w:t>
      </w:r>
      <w:r w:rsidR="002525D6" w:rsidRPr="00442A3B">
        <w:t>billion), compared with 9.2% ($</w:t>
      </w:r>
      <w:r w:rsidR="00DE6C16" w:rsidRPr="00442A3B">
        <w:t>5.8</w:t>
      </w:r>
      <w:r w:rsidR="002525D6" w:rsidRPr="00442A3B">
        <w:t xml:space="preserve"> billion) in 2020-21. </w:t>
      </w:r>
      <w:r w:rsidRPr="00442A3B">
        <w:t>Th</w:t>
      </w:r>
      <w:r w:rsidR="004540A8" w:rsidRPr="00442A3B">
        <w:t>e</w:t>
      </w:r>
      <w:r w:rsidR="002525D6" w:rsidRPr="00442A3B">
        <w:t xml:space="preserve"> </w:t>
      </w:r>
      <w:r w:rsidR="0098167D" w:rsidRPr="00442A3B">
        <w:t>biggest driver</w:t>
      </w:r>
      <w:r w:rsidR="002525D6" w:rsidRPr="00442A3B">
        <w:t xml:space="preserve"> </w:t>
      </w:r>
      <w:r w:rsidR="00203825" w:rsidRPr="00442A3B">
        <w:t>of this</w:t>
      </w:r>
      <w:r w:rsidR="00C51F2A" w:rsidRPr="00442A3B">
        <w:t xml:space="preserve"> redistribution </w:t>
      </w:r>
      <w:r w:rsidR="00203825" w:rsidRPr="00442A3B">
        <w:t>was</w:t>
      </w:r>
      <w:r w:rsidR="00533372" w:rsidRPr="00442A3B">
        <w:t xml:space="preserve"> </w:t>
      </w:r>
      <w:r w:rsidR="00942D2C" w:rsidRPr="00442A3B">
        <w:t xml:space="preserve">the </w:t>
      </w:r>
      <w:r w:rsidR="00C23420" w:rsidRPr="00442A3B">
        <w:t>large increase in</w:t>
      </w:r>
      <w:r w:rsidR="00942D2C" w:rsidRPr="00442A3B">
        <w:t xml:space="preserve"> iron ore </w:t>
      </w:r>
      <w:r w:rsidR="005F018E" w:rsidRPr="00442A3B">
        <w:t>royalties</w:t>
      </w:r>
      <w:r w:rsidR="00781B51" w:rsidRPr="00442A3B">
        <w:t>.</w:t>
      </w:r>
      <w:r w:rsidR="00DD5529" w:rsidRPr="00442A3B">
        <w:t xml:space="preserve"> Other drivers were growth in taxable land values, revisions to total state spending on urban transport, and the effect of expenses growing faster than the pool.</w:t>
      </w:r>
    </w:p>
    <w:p w14:paraId="4C676C92" w14:textId="77777777" w:rsidR="00165998" w:rsidRPr="00442A3B" w:rsidRDefault="00165998" w:rsidP="00CF1706">
      <w:pPr>
        <w:pStyle w:val="Heading3"/>
        <w:keepLines/>
        <w:widowControl/>
      </w:pPr>
      <w:bookmarkStart w:id="64" w:name="_Toc65050522"/>
      <w:r w:rsidRPr="00442A3B">
        <w:t>Movements in the GST distribution</w:t>
      </w:r>
      <w:bookmarkEnd w:id="64"/>
    </w:p>
    <w:p w14:paraId="64491FA6" w14:textId="5D6388C4" w:rsidR="00F47973" w:rsidRPr="00442A3B" w:rsidRDefault="00165998" w:rsidP="00DF3E77">
      <w:pPr>
        <w:pStyle w:val="CGCParaNumber"/>
        <w:ind w:left="567" w:hanging="567"/>
      </w:pPr>
      <w:r w:rsidRPr="00442A3B">
        <w:fldChar w:fldCharType="begin"/>
      </w:r>
      <w:r w:rsidRPr="00442A3B">
        <w:instrText xml:space="preserve"> REF _Ref27749901 \h </w:instrText>
      </w:r>
      <w:r w:rsidR="00442A3B">
        <w:instrText xml:space="preserve"> \* MERGEFORMAT </w:instrText>
      </w:r>
      <w:r w:rsidRPr="00442A3B">
        <w:fldChar w:fldCharType="separate"/>
      </w:r>
      <w:r w:rsidR="00FC3D3D" w:rsidRPr="00442A3B">
        <w:t>Table 1</w:t>
      </w:r>
      <w:r w:rsidR="00FC3D3D" w:rsidRPr="00442A3B">
        <w:noBreakHyphen/>
      </w:r>
      <w:r w:rsidR="00FC3D3D">
        <w:t>3</w:t>
      </w:r>
      <w:r w:rsidRPr="00442A3B">
        <w:fldChar w:fldCharType="end"/>
      </w:r>
      <w:r w:rsidRPr="00442A3B">
        <w:t xml:space="preserve"> shows the </w:t>
      </w:r>
      <w:r w:rsidR="009F6EBD" w:rsidRPr="00442A3B">
        <w:t>change in distribution of</w:t>
      </w:r>
      <w:r w:rsidRPr="00442A3B">
        <w:t xml:space="preserve"> </w:t>
      </w:r>
      <w:r w:rsidR="00104865" w:rsidRPr="00442A3B">
        <w:t xml:space="preserve">the </w:t>
      </w:r>
      <w:r w:rsidRPr="00442A3B">
        <w:t xml:space="preserve">GST </w:t>
      </w:r>
      <w:r w:rsidR="00104865" w:rsidRPr="00442A3B">
        <w:t xml:space="preserve">pool </w:t>
      </w:r>
      <w:r w:rsidR="009F6EBD" w:rsidRPr="00442A3B">
        <w:t>from</w:t>
      </w:r>
      <w:r w:rsidRPr="00442A3B">
        <w:t xml:space="preserve"> 20</w:t>
      </w:r>
      <w:r w:rsidR="00EF61C9" w:rsidRPr="00442A3B">
        <w:t>20</w:t>
      </w:r>
      <w:r w:rsidRPr="00442A3B">
        <w:noBreakHyphen/>
        <w:t>2</w:t>
      </w:r>
      <w:r w:rsidR="00EF61C9" w:rsidRPr="00442A3B">
        <w:t>1</w:t>
      </w:r>
      <w:r w:rsidRPr="00442A3B">
        <w:t xml:space="preserve"> </w:t>
      </w:r>
      <w:r w:rsidR="00A504A2" w:rsidRPr="00442A3B">
        <w:t xml:space="preserve">to </w:t>
      </w:r>
      <w:r w:rsidRPr="00442A3B">
        <w:t>202</w:t>
      </w:r>
      <w:r w:rsidR="00EF61C9" w:rsidRPr="00442A3B">
        <w:t>1</w:t>
      </w:r>
      <w:r w:rsidRPr="00442A3B">
        <w:noBreakHyphen/>
        <w:t>2</w:t>
      </w:r>
      <w:r w:rsidR="00EF61C9" w:rsidRPr="00442A3B">
        <w:t>2</w:t>
      </w:r>
      <w:r w:rsidRPr="00442A3B">
        <w:t xml:space="preserve"> by State.</w:t>
      </w:r>
      <w:r w:rsidR="00CA5B27" w:rsidRPr="00442A3B">
        <w:t xml:space="preserve"> </w:t>
      </w:r>
      <w:r w:rsidR="00B3001F" w:rsidRPr="00442A3B">
        <w:t>The</w:t>
      </w:r>
      <w:r w:rsidR="00FA1AA2" w:rsidRPr="00442A3B">
        <w:t xml:space="preserve"> distributions </w:t>
      </w:r>
      <w:r w:rsidR="006D1009" w:rsidRPr="00442A3B">
        <w:t>appl</w:t>
      </w:r>
      <w:r w:rsidR="00975A76" w:rsidRPr="00442A3B">
        <w:t>ied</w:t>
      </w:r>
      <w:r w:rsidR="00FA1AA2" w:rsidRPr="00442A3B">
        <w:t xml:space="preserve"> </w:t>
      </w:r>
      <w:r w:rsidR="00846021" w:rsidRPr="00442A3B">
        <w:t xml:space="preserve">the </w:t>
      </w:r>
      <w:r w:rsidR="00FA1AA2" w:rsidRPr="00442A3B">
        <w:t>Commission</w:t>
      </w:r>
      <w:r w:rsidR="00846021" w:rsidRPr="00442A3B">
        <w:t>’s</w:t>
      </w:r>
      <w:r w:rsidR="00FA1AA2" w:rsidRPr="00442A3B">
        <w:t xml:space="preserve"> published </w:t>
      </w:r>
      <w:r w:rsidR="005909B1" w:rsidRPr="00442A3B">
        <w:t>2020 Review</w:t>
      </w:r>
      <w:r w:rsidR="009C5A60" w:rsidRPr="00442A3B">
        <w:t xml:space="preserve"> and </w:t>
      </w:r>
      <w:r w:rsidR="005909B1" w:rsidRPr="00442A3B">
        <w:t>2021 Update</w:t>
      </w:r>
      <w:r w:rsidR="009C5A60" w:rsidRPr="00442A3B">
        <w:t xml:space="preserve"> </w:t>
      </w:r>
      <w:r w:rsidR="00846021" w:rsidRPr="00442A3B">
        <w:t xml:space="preserve">relativities </w:t>
      </w:r>
      <w:r w:rsidR="007E00D9" w:rsidRPr="00442A3B">
        <w:t>to</w:t>
      </w:r>
      <w:r w:rsidR="00FA1AA2" w:rsidRPr="00442A3B">
        <w:t xml:space="preserve"> the latest State population </w:t>
      </w:r>
      <w:r w:rsidR="00880AEA" w:rsidRPr="00442A3B">
        <w:t xml:space="preserve">shares </w:t>
      </w:r>
      <w:r w:rsidR="00FA1AA2" w:rsidRPr="00442A3B">
        <w:t xml:space="preserve">and GST </w:t>
      </w:r>
      <w:r w:rsidR="00C81B22" w:rsidRPr="00442A3B">
        <w:t>pool</w:t>
      </w:r>
      <w:r w:rsidR="00FA1AA2" w:rsidRPr="00442A3B">
        <w:t xml:space="preserve"> estimates from the </w:t>
      </w:r>
      <w:r w:rsidR="006307FD" w:rsidRPr="00442A3B">
        <w:t>Commonwealth’s</w:t>
      </w:r>
      <w:r w:rsidR="00FA1AA2" w:rsidRPr="00442A3B">
        <w:t xml:space="preserve"> </w:t>
      </w:r>
      <w:r w:rsidR="00FA1AA2" w:rsidRPr="00442A3B">
        <w:rPr>
          <w:i/>
          <w:iCs/>
        </w:rPr>
        <w:t xml:space="preserve">Mid-Year </w:t>
      </w:r>
      <w:r w:rsidR="005D574D" w:rsidRPr="00442A3B">
        <w:rPr>
          <w:i/>
          <w:iCs/>
        </w:rPr>
        <w:t>Economic</w:t>
      </w:r>
      <w:r w:rsidR="005533C8" w:rsidRPr="00442A3B">
        <w:rPr>
          <w:i/>
          <w:iCs/>
        </w:rPr>
        <w:t xml:space="preserve"> and</w:t>
      </w:r>
      <w:r w:rsidR="005D574D" w:rsidRPr="00442A3B">
        <w:rPr>
          <w:i/>
          <w:iCs/>
        </w:rPr>
        <w:t xml:space="preserve"> </w:t>
      </w:r>
      <w:r w:rsidR="00876736" w:rsidRPr="00442A3B">
        <w:rPr>
          <w:i/>
          <w:iCs/>
        </w:rPr>
        <w:t xml:space="preserve">Fiscal </w:t>
      </w:r>
      <w:r w:rsidR="00E9298E" w:rsidRPr="00442A3B">
        <w:rPr>
          <w:i/>
          <w:iCs/>
        </w:rPr>
        <w:t>O</w:t>
      </w:r>
      <w:r w:rsidR="005D574D" w:rsidRPr="00442A3B">
        <w:rPr>
          <w:i/>
          <w:iCs/>
        </w:rPr>
        <w:t>utlook</w:t>
      </w:r>
      <w:r w:rsidR="00E9298E" w:rsidRPr="00442A3B">
        <w:rPr>
          <w:i/>
          <w:iCs/>
        </w:rPr>
        <w:t xml:space="preserve"> </w:t>
      </w:r>
      <w:r w:rsidR="00F04B57" w:rsidRPr="00442A3B">
        <w:rPr>
          <w:i/>
          <w:iCs/>
        </w:rPr>
        <w:t>2020</w:t>
      </w:r>
      <w:r w:rsidR="00F04B57" w:rsidRPr="00442A3B">
        <w:rPr>
          <w:i/>
          <w:iCs/>
        </w:rPr>
        <w:noBreakHyphen/>
        <w:t>21</w:t>
      </w:r>
      <w:r w:rsidR="005D574D" w:rsidRPr="00442A3B">
        <w:t>.</w:t>
      </w:r>
      <w:r w:rsidR="0084619D" w:rsidRPr="00442A3B">
        <w:rPr>
          <w:rStyle w:val="FootnoteReference"/>
        </w:rPr>
        <w:footnoteReference w:id="13"/>
      </w:r>
    </w:p>
    <w:p w14:paraId="0D548503" w14:textId="0D198B2C" w:rsidR="00165998" w:rsidRPr="00442A3B" w:rsidRDefault="00165998" w:rsidP="00EF018C">
      <w:pPr>
        <w:pStyle w:val="Caption"/>
      </w:pPr>
      <w:bookmarkStart w:id="65" w:name="_Ref27749901"/>
      <w:bookmarkStart w:id="66" w:name="_Toc62487271"/>
      <w:bookmarkStart w:id="67" w:name="_Toc62723802"/>
      <w:r w:rsidRPr="00442A3B">
        <w:lastRenderedPageBreak/>
        <w:t>Table 1</w:t>
      </w:r>
      <w:r w:rsidRPr="00442A3B">
        <w:noBreakHyphen/>
      </w:r>
      <w:r w:rsidRPr="00442A3B">
        <w:fldChar w:fldCharType="begin"/>
      </w:r>
      <w:r w:rsidRPr="00442A3B">
        <w:instrText>SEQ Table \* ARABIC</w:instrText>
      </w:r>
      <w:r w:rsidRPr="00442A3B">
        <w:fldChar w:fldCharType="separate"/>
      </w:r>
      <w:r w:rsidR="00FC3D3D">
        <w:rPr>
          <w:noProof/>
        </w:rPr>
        <w:t>3</w:t>
      </w:r>
      <w:r w:rsidRPr="00442A3B">
        <w:fldChar w:fldCharType="end"/>
      </w:r>
      <w:bookmarkEnd w:id="65"/>
      <w:r w:rsidRPr="00442A3B">
        <w:tab/>
      </w:r>
      <w:r w:rsidR="007501AE" w:rsidRPr="00442A3B">
        <w:t>Change in distribution</w:t>
      </w:r>
      <w:r w:rsidR="002D15E4" w:rsidRPr="00442A3B">
        <w:t xml:space="preserve"> of </w:t>
      </w:r>
      <w:r w:rsidR="00C11263" w:rsidRPr="00442A3B">
        <w:t xml:space="preserve">GST </w:t>
      </w:r>
      <w:r w:rsidR="007501AE" w:rsidRPr="00442A3B">
        <w:t>from 2020-21 to 2021-22</w:t>
      </w:r>
      <w:bookmarkEnd w:id="66"/>
      <w:bookmarkEnd w:id="67"/>
    </w:p>
    <w:tbl>
      <w:tblPr>
        <w:tblW w:w="8900" w:type="dxa"/>
        <w:tblCellMar>
          <w:left w:w="28" w:type="dxa"/>
          <w:right w:w="28" w:type="dxa"/>
        </w:tblCellMar>
        <w:tblLook w:val="04A0" w:firstRow="1" w:lastRow="0" w:firstColumn="1" w:lastColumn="0" w:noHBand="0" w:noVBand="1"/>
      </w:tblPr>
      <w:tblGrid>
        <w:gridCol w:w="2420"/>
        <w:gridCol w:w="720"/>
        <w:gridCol w:w="720"/>
        <w:gridCol w:w="720"/>
        <w:gridCol w:w="720"/>
        <w:gridCol w:w="720"/>
        <w:gridCol w:w="720"/>
        <w:gridCol w:w="720"/>
        <w:gridCol w:w="720"/>
        <w:gridCol w:w="720"/>
      </w:tblGrid>
      <w:tr w:rsidR="008C3540" w:rsidRPr="00442A3B" w14:paraId="20231440" w14:textId="77777777" w:rsidTr="00104CD5">
        <w:trPr>
          <w:trHeight w:val="375"/>
        </w:trPr>
        <w:tc>
          <w:tcPr>
            <w:tcW w:w="2420" w:type="dxa"/>
            <w:tcBorders>
              <w:top w:val="single" w:sz="4" w:space="0" w:color="ADD6EA"/>
              <w:left w:val="nil"/>
              <w:bottom w:val="single" w:sz="4" w:space="0" w:color="ADD6EA"/>
              <w:right w:val="nil"/>
            </w:tcBorders>
            <w:shd w:val="clear" w:color="000000" w:fill="006991"/>
            <w:noWrap/>
            <w:vAlign w:val="center"/>
            <w:hideMark/>
          </w:tcPr>
          <w:p w14:paraId="0B22BD57" w14:textId="77777777" w:rsidR="008C3540" w:rsidRPr="00442A3B" w:rsidRDefault="008C3540" w:rsidP="008B325E">
            <w:pPr>
              <w:pStyle w:val="CGCTableHeading"/>
              <w:rPr>
                <w:rFonts w:eastAsia="MS Mincho" w:cs="Open Sans Semibold"/>
                <w:b/>
                <w:color w:val="FFFFFF"/>
                <w:szCs w:val="16"/>
                <w:lang w:eastAsia="en-AU"/>
              </w:rPr>
            </w:pPr>
            <w:r w:rsidRPr="00442A3B">
              <w:rPr>
                <w:bCs/>
                <w:lang w:eastAsia="en-AU"/>
              </w:rPr>
              <w:t> </w:t>
            </w:r>
          </w:p>
        </w:tc>
        <w:tc>
          <w:tcPr>
            <w:tcW w:w="720" w:type="dxa"/>
            <w:tcBorders>
              <w:top w:val="single" w:sz="4" w:space="0" w:color="ADD6EA"/>
              <w:left w:val="nil"/>
              <w:bottom w:val="single" w:sz="4" w:space="0" w:color="ADD6EA"/>
              <w:right w:val="nil"/>
            </w:tcBorders>
            <w:shd w:val="clear" w:color="000000" w:fill="006991"/>
            <w:noWrap/>
            <w:vAlign w:val="center"/>
            <w:hideMark/>
          </w:tcPr>
          <w:p w14:paraId="4EC6590B" w14:textId="77777777" w:rsidR="008C3540" w:rsidRPr="00442A3B" w:rsidRDefault="008C3540" w:rsidP="00796FC6">
            <w:pPr>
              <w:keepNext/>
              <w:keepLines/>
              <w:tabs>
                <w:tab w:val="clear" w:pos="567"/>
              </w:tabs>
              <w:spacing w:before="0" w:line="240" w:lineRule="auto"/>
              <w:jc w:val="right"/>
              <w:rPr>
                <w:rFonts w:ascii="Open Sans Semibold" w:eastAsia="MS Mincho" w:hAnsi="Open Sans Semibold" w:cs="Open Sans Semibold"/>
                <w:bCs/>
                <w:color w:val="FFFFFF"/>
                <w:sz w:val="16"/>
                <w:szCs w:val="16"/>
                <w:lang w:eastAsia="en-AU"/>
              </w:rPr>
            </w:pPr>
            <w:r w:rsidRPr="00442A3B">
              <w:rPr>
                <w:rFonts w:ascii="Open Sans Semibold" w:eastAsia="MS Mincho" w:hAnsi="Open Sans Semibold" w:cs="Open Sans Semibold"/>
                <w:bCs/>
                <w:color w:val="FFFFFF"/>
                <w:sz w:val="16"/>
                <w:szCs w:val="16"/>
                <w:lang w:eastAsia="en-AU"/>
              </w:rPr>
              <w:t>NSW</w:t>
            </w:r>
          </w:p>
        </w:tc>
        <w:tc>
          <w:tcPr>
            <w:tcW w:w="720" w:type="dxa"/>
            <w:tcBorders>
              <w:top w:val="single" w:sz="4" w:space="0" w:color="ADD6EA"/>
              <w:left w:val="nil"/>
              <w:bottom w:val="single" w:sz="4" w:space="0" w:color="ADD6EA"/>
              <w:right w:val="nil"/>
            </w:tcBorders>
            <w:shd w:val="clear" w:color="000000" w:fill="006991"/>
            <w:noWrap/>
            <w:vAlign w:val="center"/>
            <w:hideMark/>
          </w:tcPr>
          <w:p w14:paraId="2A52DBCE" w14:textId="77777777" w:rsidR="008C3540" w:rsidRPr="00442A3B" w:rsidRDefault="008C3540" w:rsidP="00796FC6">
            <w:pPr>
              <w:keepNext/>
              <w:keepLines/>
              <w:tabs>
                <w:tab w:val="clear" w:pos="567"/>
              </w:tabs>
              <w:spacing w:before="0" w:line="240" w:lineRule="auto"/>
              <w:jc w:val="right"/>
              <w:rPr>
                <w:rFonts w:ascii="Open Sans Semibold" w:eastAsia="MS Mincho" w:hAnsi="Open Sans Semibold" w:cs="Open Sans Semibold"/>
                <w:bCs/>
                <w:color w:val="FFFFFF"/>
                <w:sz w:val="16"/>
                <w:szCs w:val="16"/>
                <w:lang w:eastAsia="en-AU"/>
              </w:rPr>
            </w:pPr>
            <w:r w:rsidRPr="00442A3B">
              <w:rPr>
                <w:rFonts w:ascii="Open Sans Semibold" w:eastAsia="MS Mincho" w:hAnsi="Open Sans Semibold" w:cs="Open Sans Semibold"/>
                <w:bCs/>
                <w:color w:val="FFFFFF"/>
                <w:sz w:val="16"/>
                <w:szCs w:val="16"/>
                <w:lang w:eastAsia="en-AU"/>
              </w:rPr>
              <w:t>Vic</w:t>
            </w:r>
          </w:p>
        </w:tc>
        <w:tc>
          <w:tcPr>
            <w:tcW w:w="720" w:type="dxa"/>
            <w:tcBorders>
              <w:top w:val="single" w:sz="4" w:space="0" w:color="ADD6EA"/>
              <w:left w:val="nil"/>
              <w:bottom w:val="single" w:sz="4" w:space="0" w:color="ADD6EA"/>
              <w:right w:val="nil"/>
            </w:tcBorders>
            <w:shd w:val="clear" w:color="000000" w:fill="006991"/>
            <w:noWrap/>
            <w:vAlign w:val="center"/>
            <w:hideMark/>
          </w:tcPr>
          <w:p w14:paraId="47C73B63" w14:textId="77777777" w:rsidR="008C3540" w:rsidRPr="00442A3B" w:rsidRDefault="008C3540" w:rsidP="00796FC6">
            <w:pPr>
              <w:keepNext/>
              <w:keepLines/>
              <w:tabs>
                <w:tab w:val="clear" w:pos="567"/>
              </w:tabs>
              <w:spacing w:before="0" w:line="240" w:lineRule="auto"/>
              <w:jc w:val="right"/>
              <w:rPr>
                <w:rFonts w:ascii="Open Sans Semibold" w:eastAsia="MS Mincho" w:hAnsi="Open Sans Semibold" w:cs="Open Sans Semibold"/>
                <w:bCs/>
                <w:color w:val="FFFFFF"/>
                <w:sz w:val="16"/>
                <w:szCs w:val="16"/>
                <w:lang w:eastAsia="en-AU"/>
              </w:rPr>
            </w:pPr>
            <w:r w:rsidRPr="00442A3B">
              <w:rPr>
                <w:rFonts w:ascii="Open Sans Semibold" w:eastAsia="MS Mincho" w:hAnsi="Open Sans Semibold" w:cs="Open Sans Semibold"/>
                <w:bCs/>
                <w:color w:val="FFFFFF"/>
                <w:sz w:val="16"/>
                <w:szCs w:val="16"/>
                <w:lang w:eastAsia="en-AU"/>
              </w:rPr>
              <w:t>Qld</w:t>
            </w:r>
          </w:p>
        </w:tc>
        <w:tc>
          <w:tcPr>
            <w:tcW w:w="720" w:type="dxa"/>
            <w:tcBorders>
              <w:top w:val="single" w:sz="4" w:space="0" w:color="ADD6EA"/>
              <w:left w:val="nil"/>
              <w:bottom w:val="single" w:sz="4" w:space="0" w:color="ADD6EA"/>
              <w:right w:val="nil"/>
            </w:tcBorders>
            <w:shd w:val="clear" w:color="000000" w:fill="006991"/>
            <w:noWrap/>
            <w:vAlign w:val="center"/>
            <w:hideMark/>
          </w:tcPr>
          <w:p w14:paraId="413E1EBB" w14:textId="77777777" w:rsidR="008C3540" w:rsidRPr="00442A3B" w:rsidRDefault="008C3540" w:rsidP="00796FC6">
            <w:pPr>
              <w:keepNext/>
              <w:keepLines/>
              <w:tabs>
                <w:tab w:val="clear" w:pos="567"/>
              </w:tabs>
              <w:spacing w:before="0" w:line="240" w:lineRule="auto"/>
              <w:jc w:val="right"/>
              <w:rPr>
                <w:rFonts w:ascii="Open Sans Semibold" w:eastAsia="MS Mincho" w:hAnsi="Open Sans Semibold" w:cs="Open Sans Semibold"/>
                <w:bCs/>
                <w:color w:val="FFFFFF"/>
                <w:sz w:val="16"/>
                <w:szCs w:val="16"/>
                <w:lang w:eastAsia="en-AU"/>
              </w:rPr>
            </w:pPr>
            <w:r w:rsidRPr="00442A3B">
              <w:rPr>
                <w:rFonts w:ascii="Open Sans Semibold" w:eastAsia="MS Mincho" w:hAnsi="Open Sans Semibold" w:cs="Open Sans Semibold"/>
                <w:bCs/>
                <w:color w:val="FFFFFF"/>
                <w:sz w:val="16"/>
                <w:szCs w:val="16"/>
                <w:lang w:eastAsia="en-AU"/>
              </w:rPr>
              <w:t>WA</w:t>
            </w:r>
          </w:p>
        </w:tc>
        <w:tc>
          <w:tcPr>
            <w:tcW w:w="720" w:type="dxa"/>
            <w:tcBorders>
              <w:top w:val="single" w:sz="4" w:space="0" w:color="ADD6EA"/>
              <w:left w:val="nil"/>
              <w:bottom w:val="single" w:sz="4" w:space="0" w:color="ADD6EA"/>
              <w:right w:val="nil"/>
            </w:tcBorders>
            <w:shd w:val="clear" w:color="000000" w:fill="006991"/>
            <w:noWrap/>
            <w:vAlign w:val="center"/>
            <w:hideMark/>
          </w:tcPr>
          <w:p w14:paraId="072DB6A4" w14:textId="77777777" w:rsidR="008C3540" w:rsidRPr="00442A3B" w:rsidRDefault="008C3540" w:rsidP="00796FC6">
            <w:pPr>
              <w:keepNext/>
              <w:keepLines/>
              <w:tabs>
                <w:tab w:val="clear" w:pos="567"/>
              </w:tabs>
              <w:spacing w:before="0" w:line="240" w:lineRule="auto"/>
              <w:jc w:val="right"/>
              <w:rPr>
                <w:rFonts w:ascii="Open Sans Semibold" w:eastAsia="MS Mincho" w:hAnsi="Open Sans Semibold" w:cs="Open Sans Semibold"/>
                <w:bCs/>
                <w:color w:val="FFFFFF"/>
                <w:sz w:val="16"/>
                <w:szCs w:val="16"/>
                <w:lang w:eastAsia="en-AU"/>
              </w:rPr>
            </w:pPr>
            <w:r w:rsidRPr="00442A3B">
              <w:rPr>
                <w:rFonts w:ascii="Open Sans Semibold" w:eastAsia="MS Mincho" w:hAnsi="Open Sans Semibold" w:cs="Open Sans Semibold"/>
                <w:bCs/>
                <w:color w:val="FFFFFF"/>
                <w:sz w:val="16"/>
                <w:szCs w:val="16"/>
                <w:lang w:eastAsia="en-AU"/>
              </w:rPr>
              <w:t>SA</w:t>
            </w:r>
          </w:p>
        </w:tc>
        <w:tc>
          <w:tcPr>
            <w:tcW w:w="720" w:type="dxa"/>
            <w:tcBorders>
              <w:top w:val="single" w:sz="4" w:space="0" w:color="ADD6EA"/>
              <w:left w:val="nil"/>
              <w:bottom w:val="single" w:sz="4" w:space="0" w:color="ADD6EA"/>
              <w:right w:val="nil"/>
            </w:tcBorders>
            <w:shd w:val="clear" w:color="000000" w:fill="006991"/>
            <w:noWrap/>
            <w:vAlign w:val="center"/>
            <w:hideMark/>
          </w:tcPr>
          <w:p w14:paraId="7FC468B9" w14:textId="77777777" w:rsidR="008C3540" w:rsidRPr="00442A3B" w:rsidRDefault="008C3540" w:rsidP="00796FC6">
            <w:pPr>
              <w:keepNext/>
              <w:keepLines/>
              <w:tabs>
                <w:tab w:val="clear" w:pos="567"/>
              </w:tabs>
              <w:spacing w:before="0" w:line="240" w:lineRule="auto"/>
              <w:jc w:val="right"/>
              <w:rPr>
                <w:rFonts w:ascii="Open Sans Semibold" w:eastAsia="MS Mincho" w:hAnsi="Open Sans Semibold" w:cs="Open Sans Semibold"/>
                <w:bCs/>
                <w:color w:val="FFFFFF"/>
                <w:sz w:val="16"/>
                <w:szCs w:val="16"/>
                <w:lang w:eastAsia="en-AU"/>
              </w:rPr>
            </w:pPr>
            <w:r w:rsidRPr="00442A3B">
              <w:rPr>
                <w:rFonts w:ascii="Open Sans Semibold" w:eastAsia="MS Mincho" w:hAnsi="Open Sans Semibold" w:cs="Open Sans Semibold"/>
                <w:bCs/>
                <w:color w:val="FFFFFF"/>
                <w:sz w:val="16"/>
                <w:szCs w:val="16"/>
                <w:lang w:eastAsia="en-AU"/>
              </w:rPr>
              <w:t>Tas</w:t>
            </w:r>
          </w:p>
        </w:tc>
        <w:tc>
          <w:tcPr>
            <w:tcW w:w="720" w:type="dxa"/>
            <w:tcBorders>
              <w:top w:val="single" w:sz="4" w:space="0" w:color="ADD6EA"/>
              <w:left w:val="nil"/>
              <w:bottom w:val="single" w:sz="4" w:space="0" w:color="ADD6EA"/>
              <w:right w:val="nil"/>
            </w:tcBorders>
            <w:shd w:val="clear" w:color="000000" w:fill="006991"/>
            <w:noWrap/>
            <w:vAlign w:val="center"/>
            <w:hideMark/>
          </w:tcPr>
          <w:p w14:paraId="2CF2756C" w14:textId="77777777" w:rsidR="008C3540" w:rsidRPr="00442A3B" w:rsidRDefault="008C3540" w:rsidP="00796FC6">
            <w:pPr>
              <w:keepNext/>
              <w:keepLines/>
              <w:tabs>
                <w:tab w:val="clear" w:pos="567"/>
              </w:tabs>
              <w:spacing w:before="0" w:line="240" w:lineRule="auto"/>
              <w:jc w:val="right"/>
              <w:rPr>
                <w:rFonts w:ascii="Open Sans Semibold" w:eastAsia="MS Mincho" w:hAnsi="Open Sans Semibold" w:cs="Open Sans Semibold"/>
                <w:bCs/>
                <w:color w:val="FFFFFF"/>
                <w:sz w:val="16"/>
                <w:szCs w:val="16"/>
                <w:lang w:eastAsia="en-AU"/>
              </w:rPr>
            </w:pPr>
            <w:r w:rsidRPr="00442A3B">
              <w:rPr>
                <w:rFonts w:ascii="Open Sans Semibold" w:eastAsia="MS Mincho" w:hAnsi="Open Sans Semibold" w:cs="Open Sans Semibold"/>
                <w:bCs/>
                <w:color w:val="FFFFFF"/>
                <w:sz w:val="16"/>
                <w:szCs w:val="16"/>
                <w:lang w:eastAsia="en-AU"/>
              </w:rPr>
              <w:t>ACT</w:t>
            </w:r>
          </w:p>
        </w:tc>
        <w:tc>
          <w:tcPr>
            <w:tcW w:w="720" w:type="dxa"/>
            <w:tcBorders>
              <w:top w:val="single" w:sz="4" w:space="0" w:color="ADD6EA"/>
              <w:left w:val="nil"/>
              <w:bottom w:val="single" w:sz="4" w:space="0" w:color="ADD6EA"/>
              <w:right w:val="nil"/>
            </w:tcBorders>
            <w:shd w:val="clear" w:color="000000" w:fill="006991"/>
            <w:noWrap/>
            <w:vAlign w:val="center"/>
            <w:hideMark/>
          </w:tcPr>
          <w:p w14:paraId="6C8F7F95" w14:textId="77777777" w:rsidR="008C3540" w:rsidRPr="00442A3B" w:rsidRDefault="008C3540" w:rsidP="00796FC6">
            <w:pPr>
              <w:keepNext/>
              <w:keepLines/>
              <w:tabs>
                <w:tab w:val="clear" w:pos="567"/>
              </w:tabs>
              <w:spacing w:before="0" w:line="240" w:lineRule="auto"/>
              <w:jc w:val="right"/>
              <w:rPr>
                <w:rFonts w:ascii="Open Sans Semibold" w:eastAsia="MS Mincho" w:hAnsi="Open Sans Semibold" w:cs="Open Sans Semibold"/>
                <w:bCs/>
                <w:color w:val="FFFFFF"/>
                <w:sz w:val="16"/>
                <w:szCs w:val="16"/>
                <w:lang w:eastAsia="en-AU"/>
              </w:rPr>
            </w:pPr>
            <w:r w:rsidRPr="00442A3B">
              <w:rPr>
                <w:rFonts w:ascii="Open Sans Semibold" w:eastAsia="MS Mincho" w:hAnsi="Open Sans Semibold" w:cs="Open Sans Semibold"/>
                <w:bCs/>
                <w:color w:val="FFFFFF"/>
                <w:sz w:val="16"/>
                <w:szCs w:val="16"/>
                <w:lang w:eastAsia="en-AU"/>
              </w:rPr>
              <w:t>NT</w:t>
            </w:r>
          </w:p>
        </w:tc>
        <w:tc>
          <w:tcPr>
            <w:tcW w:w="720" w:type="dxa"/>
            <w:tcBorders>
              <w:top w:val="single" w:sz="4" w:space="0" w:color="ADD6EA"/>
              <w:left w:val="nil"/>
              <w:bottom w:val="single" w:sz="4" w:space="0" w:color="ADD6EA"/>
              <w:right w:val="nil"/>
            </w:tcBorders>
            <w:shd w:val="clear" w:color="000000" w:fill="006991"/>
            <w:noWrap/>
            <w:vAlign w:val="center"/>
            <w:hideMark/>
          </w:tcPr>
          <w:p w14:paraId="581E5EAE" w14:textId="77777777" w:rsidR="008C3540" w:rsidRPr="00442A3B" w:rsidRDefault="008C3540" w:rsidP="00796FC6">
            <w:pPr>
              <w:keepNext/>
              <w:keepLines/>
              <w:tabs>
                <w:tab w:val="clear" w:pos="567"/>
              </w:tabs>
              <w:spacing w:before="0" w:line="240" w:lineRule="auto"/>
              <w:jc w:val="right"/>
              <w:rPr>
                <w:rFonts w:ascii="Open Sans Semibold" w:eastAsia="MS Mincho" w:hAnsi="Open Sans Semibold" w:cs="Open Sans Semibold"/>
                <w:bCs/>
                <w:color w:val="FFFFFF"/>
                <w:sz w:val="16"/>
                <w:szCs w:val="16"/>
                <w:lang w:eastAsia="en-AU"/>
              </w:rPr>
            </w:pPr>
            <w:r w:rsidRPr="00442A3B">
              <w:rPr>
                <w:rFonts w:ascii="Open Sans Semibold" w:eastAsia="MS Mincho" w:hAnsi="Open Sans Semibold" w:cs="Open Sans Semibold"/>
                <w:bCs/>
                <w:color w:val="FFFFFF"/>
                <w:sz w:val="16"/>
                <w:szCs w:val="16"/>
                <w:lang w:eastAsia="en-AU"/>
              </w:rPr>
              <w:t>Total</w:t>
            </w:r>
          </w:p>
        </w:tc>
      </w:tr>
      <w:tr w:rsidR="008C3540" w:rsidRPr="00442A3B" w14:paraId="6105B640" w14:textId="77777777" w:rsidTr="00104CD5">
        <w:trPr>
          <w:trHeight w:val="259"/>
        </w:trPr>
        <w:tc>
          <w:tcPr>
            <w:tcW w:w="2420" w:type="dxa"/>
            <w:tcBorders>
              <w:top w:val="nil"/>
              <w:left w:val="nil"/>
              <w:bottom w:val="single" w:sz="4" w:space="0" w:color="ADD6EA"/>
              <w:right w:val="nil"/>
            </w:tcBorders>
            <w:shd w:val="clear" w:color="000000" w:fill="B6D5E4"/>
            <w:noWrap/>
            <w:vAlign w:val="bottom"/>
            <w:hideMark/>
          </w:tcPr>
          <w:p w14:paraId="7CCCA952" w14:textId="77777777" w:rsidR="008C3540" w:rsidRPr="00442A3B" w:rsidRDefault="008C3540" w:rsidP="00796FC6">
            <w:pPr>
              <w:keepNext/>
              <w:keepLines/>
              <w:tabs>
                <w:tab w:val="clear" w:pos="567"/>
              </w:tabs>
              <w:spacing w:before="0" w:line="240" w:lineRule="auto"/>
              <w:rPr>
                <w:rFonts w:ascii="Open Sans Semibold" w:eastAsia="MS Mincho" w:hAnsi="Open Sans Semibold" w:cs="Open Sans Semibold"/>
                <w:sz w:val="22"/>
                <w:lang w:eastAsia="en-AU"/>
              </w:rPr>
            </w:pPr>
            <w:r w:rsidRPr="00442A3B">
              <w:rPr>
                <w:rFonts w:ascii="Open Sans Semibold" w:eastAsia="MS Mincho" w:hAnsi="Open Sans Semibold" w:cs="Open Sans Semibold"/>
                <w:sz w:val="22"/>
                <w:lang w:eastAsia="en-AU"/>
              </w:rPr>
              <w:t> </w:t>
            </w:r>
          </w:p>
        </w:tc>
        <w:tc>
          <w:tcPr>
            <w:tcW w:w="720" w:type="dxa"/>
            <w:tcBorders>
              <w:top w:val="nil"/>
              <w:left w:val="nil"/>
              <w:bottom w:val="single" w:sz="4" w:space="0" w:color="ADD6EA"/>
              <w:right w:val="nil"/>
            </w:tcBorders>
            <w:shd w:val="clear" w:color="000000" w:fill="B6D5E4"/>
            <w:noWrap/>
            <w:vAlign w:val="center"/>
            <w:hideMark/>
          </w:tcPr>
          <w:p w14:paraId="5288B955" w14:textId="77777777" w:rsidR="008C3540" w:rsidRPr="00442A3B" w:rsidRDefault="008C3540" w:rsidP="00A62796">
            <w:pPr>
              <w:pStyle w:val="CGCTablesubhead1"/>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720" w:type="dxa"/>
            <w:tcBorders>
              <w:top w:val="nil"/>
              <w:left w:val="nil"/>
              <w:bottom w:val="single" w:sz="4" w:space="0" w:color="ADD6EA"/>
              <w:right w:val="nil"/>
            </w:tcBorders>
            <w:shd w:val="clear" w:color="000000" w:fill="B6D5E4"/>
            <w:noWrap/>
            <w:vAlign w:val="center"/>
            <w:hideMark/>
          </w:tcPr>
          <w:p w14:paraId="623AC62C" w14:textId="77777777" w:rsidR="008C3540" w:rsidRPr="00442A3B" w:rsidRDefault="008C3540" w:rsidP="00A62796">
            <w:pPr>
              <w:pStyle w:val="CGCTablesubhead1"/>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720" w:type="dxa"/>
            <w:tcBorders>
              <w:top w:val="nil"/>
              <w:left w:val="nil"/>
              <w:bottom w:val="single" w:sz="4" w:space="0" w:color="ADD6EA"/>
              <w:right w:val="nil"/>
            </w:tcBorders>
            <w:shd w:val="clear" w:color="000000" w:fill="B6D5E4"/>
            <w:noWrap/>
            <w:vAlign w:val="center"/>
            <w:hideMark/>
          </w:tcPr>
          <w:p w14:paraId="03D16D17" w14:textId="77777777" w:rsidR="008C3540" w:rsidRPr="00442A3B" w:rsidRDefault="008C3540" w:rsidP="00A62796">
            <w:pPr>
              <w:pStyle w:val="CGCTablesubhead1"/>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720" w:type="dxa"/>
            <w:tcBorders>
              <w:top w:val="nil"/>
              <w:left w:val="nil"/>
              <w:bottom w:val="single" w:sz="4" w:space="0" w:color="ADD6EA"/>
              <w:right w:val="nil"/>
            </w:tcBorders>
            <w:shd w:val="clear" w:color="000000" w:fill="B6D5E4"/>
            <w:noWrap/>
            <w:vAlign w:val="center"/>
            <w:hideMark/>
          </w:tcPr>
          <w:p w14:paraId="1452BC70" w14:textId="77777777" w:rsidR="008C3540" w:rsidRPr="00442A3B" w:rsidRDefault="008C3540" w:rsidP="00A62796">
            <w:pPr>
              <w:pStyle w:val="CGCTablesubhead1"/>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720" w:type="dxa"/>
            <w:tcBorders>
              <w:top w:val="nil"/>
              <w:left w:val="nil"/>
              <w:bottom w:val="single" w:sz="4" w:space="0" w:color="ADD6EA"/>
              <w:right w:val="nil"/>
            </w:tcBorders>
            <w:shd w:val="clear" w:color="000000" w:fill="B6D5E4"/>
            <w:noWrap/>
            <w:vAlign w:val="center"/>
            <w:hideMark/>
          </w:tcPr>
          <w:p w14:paraId="4513C730" w14:textId="77777777" w:rsidR="008C3540" w:rsidRPr="00442A3B" w:rsidRDefault="008C3540" w:rsidP="00A62796">
            <w:pPr>
              <w:pStyle w:val="CGCTablesubhead1"/>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720" w:type="dxa"/>
            <w:tcBorders>
              <w:top w:val="nil"/>
              <w:left w:val="nil"/>
              <w:bottom w:val="single" w:sz="4" w:space="0" w:color="ADD6EA"/>
              <w:right w:val="nil"/>
            </w:tcBorders>
            <w:shd w:val="clear" w:color="000000" w:fill="B6D5E4"/>
            <w:noWrap/>
            <w:vAlign w:val="center"/>
            <w:hideMark/>
          </w:tcPr>
          <w:p w14:paraId="22CD669D" w14:textId="77777777" w:rsidR="008C3540" w:rsidRPr="00442A3B" w:rsidRDefault="008C3540" w:rsidP="00A62796">
            <w:pPr>
              <w:pStyle w:val="CGCTablesubhead1"/>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720" w:type="dxa"/>
            <w:tcBorders>
              <w:top w:val="nil"/>
              <w:left w:val="nil"/>
              <w:bottom w:val="single" w:sz="4" w:space="0" w:color="ADD6EA"/>
              <w:right w:val="nil"/>
            </w:tcBorders>
            <w:shd w:val="clear" w:color="000000" w:fill="B6D5E4"/>
            <w:noWrap/>
            <w:vAlign w:val="center"/>
            <w:hideMark/>
          </w:tcPr>
          <w:p w14:paraId="3CE65746" w14:textId="77777777" w:rsidR="008C3540" w:rsidRPr="00442A3B" w:rsidRDefault="008C3540" w:rsidP="00A62796">
            <w:pPr>
              <w:pStyle w:val="CGCTablesubhead1"/>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720" w:type="dxa"/>
            <w:tcBorders>
              <w:top w:val="nil"/>
              <w:left w:val="nil"/>
              <w:bottom w:val="single" w:sz="4" w:space="0" w:color="ADD6EA"/>
              <w:right w:val="nil"/>
            </w:tcBorders>
            <w:shd w:val="clear" w:color="000000" w:fill="B6D5E4"/>
            <w:noWrap/>
            <w:vAlign w:val="center"/>
            <w:hideMark/>
          </w:tcPr>
          <w:p w14:paraId="6BAEE1C8" w14:textId="77777777" w:rsidR="008C3540" w:rsidRPr="00442A3B" w:rsidRDefault="008C3540" w:rsidP="00A62796">
            <w:pPr>
              <w:pStyle w:val="CGCTablesubhead1"/>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720" w:type="dxa"/>
            <w:tcBorders>
              <w:top w:val="nil"/>
              <w:left w:val="nil"/>
              <w:bottom w:val="single" w:sz="4" w:space="0" w:color="ADD6EA"/>
              <w:right w:val="nil"/>
            </w:tcBorders>
            <w:shd w:val="clear" w:color="000000" w:fill="B6D5E4"/>
            <w:noWrap/>
            <w:vAlign w:val="center"/>
            <w:hideMark/>
          </w:tcPr>
          <w:p w14:paraId="2F18AF31" w14:textId="77777777" w:rsidR="008C3540" w:rsidRPr="00442A3B" w:rsidRDefault="008C3540" w:rsidP="00A62796">
            <w:pPr>
              <w:pStyle w:val="CGCTablesubhead1"/>
              <w:jc w:val="right"/>
              <w:rPr>
                <w:rFonts w:eastAsia="MS Mincho" w:cs="Open Sans Semibold"/>
                <w:color w:val="000000"/>
                <w:szCs w:val="16"/>
                <w:lang w:eastAsia="en-AU"/>
              </w:rPr>
            </w:pPr>
            <w:r w:rsidRPr="00442A3B">
              <w:rPr>
                <w:rFonts w:eastAsia="MS Mincho" w:cs="Open Sans Semibold"/>
                <w:color w:val="000000"/>
                <w:szCs w:val="16"/>
                <w:lang w:eastAsia="en-AU"/>
              </w:rPr>
              <w:t>$m</w:t>
            </w:r>
          </w:p>
        </w:tc>
      </w:tr>
      <w:tr w:rsidR="008C3540" w:rsidRPr="00442A3B" w14:paraId="19E68B53" w14:textId="77777777" w:rsidTr="00104CD5">
        <w:trPr>
          <w:trHeight w:val="315"/>
        </w:trPr>
        <w:tc>
          <w:tcPr>
            <w:tcW w:w="2420" w:type="dxa"/>
            <w:tcBorders>
              <w:top w:val="nil"/>
              <w:left w:val="nil"/>
              <w:bottom w:val="single" w:sz="4" w:space="0" w:color="ADD6EA"/>
              <w:right w:val="nil"/>
            </w:tcBorders>
            <w:shd w:val="clear" w:color="auto" w:fill="auto"/>
            <w:vAlign w:val="bottom"/>
            <w:hideMark/>
          </w:tcPr>
          <w:p w14:paraId="332DB215" w14:textId="09D1DD8E" w:rsidR="008C3540" w:rsidRPr="00442A3B" w:rsidRDefault="008C3540" w:rsidP="00796FC6">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Estimated 2020-21</w:t>
            </w:r>
            <w:r w:rsidR="00E9298E" w:rsidRPr="00442A3B">
              <w:rPr>
                <w:rFonts w:eastAsia="Times New Roman" w:cs="Open Sans Light"/>
                <w:sz w:val="16"/>
                <w:szCs w:val="16"/>
                <w:lang w:eastAsia="en-AU"/>
              </w:rPr>
              <w:t xml:space="preserve"> distribution</w:t>
            </w:r>
          </w:p>
        </w:tc>
        <w:tc>
          <w:tcPr>
            <w:tcW w:w="720" w:type="dxa"/>
            <w:tcBorders>
              <w:top w:val="nil"/>
              <w:left w:val="nil"/>
              <w:bottom w:val="single" w:sz="4" w:space="0" w:color="ADD6EA"/>
              <w:right w:val="nil"/>
            </w:tcBorders>
            <w:shd w:val="clear" w:color="auto" w:fill="auto"/>
            <w:vAlign w:val="bottom"/>
            <w:hideMark/>
          </w:tcPr>
          <w:p w14:paraId="7B159AA1"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18,453</w:t>
            </w:r>
          </w:p>
        </w:tc>
        <w:tc>
          <w:tcPr>
            <w:tcW w:w="720" w:type="dxa"/>
            <w:tcBorders>
              <w:top w:val="nil"/>
              <w:left w:val="nil"/>
              <w:bottom w:val="single" w:sz="4" w:space="0" w:color="ADD6EA"/>
              <w:right w:val="nil"/>
            </w:tcBorders>
            <w:shd w:val="clear" w:color="auto" w:fill="auto"/>
            <w:vAlign w:val="bottom"/>
            <w:hideMark/>
          </w:tcPr>
          <w:p w14:paraId="06DA0BE0"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15,876</w:t>
            </w:r>
          </w:p>
        </w:tc>
        <w:tc>
          <w:tcPr>
            <w:tcW w:w="720" w:type="dxa"/>
            <w:tcBorders>
              <w:top w:val="nil"/>
              <w:left w:val="nil"/>
              <w:bottom w:val="single" w:sz="4" w:space="0" w:color="ADD6EA"/>
              <w:right w:val="nil"/>
            </w:tcBorders>
            <w:shd w:val="clear" w:color="auto" w:fill="auto"/>
            <w:vAlign w:val="bottom"/>
            <w:hideMark/>
          </w:tcPr>
          <w:p w14:paraId="76064DBD"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13,387</w:t>
            </w:r>
          </w:p>
        </w:tc>
        <w:tc>
          <w:tcPr>
            <w:tcW w:w="720" w:type="dxa"/>
            <w:tcBorders>
              <w:top w:val="nil"/>
              <w:left w:val="nil"/>
              <w:bottom w:val="single" w:sz="4" w:space="0" w:color="ADD6EA"/>
              <w:right w:val="nil"/>
            </w:tcBorders>
            <w:shd w:val="clear" w:color="auto" w:fill="auto"/>
            <w:vAlign w:val="bottom"/>
            <w:hideMark/>
          </w:tcPr>
          <w:p w14:paraId="6AE142CB"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2,941</w:t>
            </w:r>
          </w:p>
        </w:tc>
        <w:tc>
          <w:tcPr>
            <w:tcW w:w="720" w:type="dxa"/>
            <w:tcBorders>
              <w:top w:val="nil"/>
              <w:left w:val="nil"/>
              <w:bottom w:val="single" w:sz="4" w:space="0" w:color="ADD6EA"/>
              <w:right w:val="nil"/>
            </w:tcBorders>
            <w:shd w:val="clear" w:color="auto" w:fill="auto"/>
            <w:vAlign w:val="bottom"/>
            <w:hideMark/>
          </w:tcPr>
          <w:p w14:paraId="5ECC5EC1"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5,906</w:t>
            </w:r>
          </w:p>
        </w:tc>
        <w:tc>
          <w:tcPr>
            <w:tcW w:w="720" w:type="dxa"/>
            <w:tcBorders>
              <w:top w:val="nil"/>
              <w:left w:val="nil"/>
              <w:bottom w:val="single" w:sz="4" w:space="0" w:color="ADD6EA"/>
              <w:right w:val="nil"/>
            </w:tcBorders>
            <w:shd w:val="clear" w:color="auto" w:fill="auto"/>
            <w:vAlign w:val="bottom"/>
            <w:hideMark/>
          </w:tcPr>
          <w:p w14:paraId="615BF970"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2,530</w:t>
            </w:r>
          </w:p>
        </w:tc>
        <w:tc>
          <w:tcPr>
            <w:tcW w:w="720" w:type="dxa"/>
            <w:tcBorders>
              <w:top w:val="nil"/>
              <w:left w:val="nil"/>
              <w:bottom w:val="single" w:sz="4" w:space="0" w:color="ADD6EA"/>
              <w:right w:val="nil"/>
            </w:tcBorders>
            <w:shd w:val="clear" w:color="auto" w:fill="auto"/>
            <w:vAlign w:val="bottom"/>
            <w:hideMark/>
          </w:tcPr>
          <w:p w14:paraId="207D2A09"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1,222</w:t>
            </w:r>
          </w:p>
        </w:tc>
        <w:tc>
          <w:tcPr>
            <w:tcW w:w="720" w:type="dxa"/>
            <w:tcBorders>
              <w:top w:val="nil"/>
              <w:left w:val="nil"/>
              <w:bottom w:val="single" w:sz="4" w:space="0" w:color="ADD6EA"/>
              <w:right w:val="nil"/>
            </w:tcBorders>
            <w:shd w:val="clear" w:color="auto" w:fill="auto"/>
            <w:vAlign w:val="bottom"/>
            <w:hideMark/>
          </w:tcPr>
          <w:p w14:paraId="7CC267C5"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2,835</w:t>
            </w:r>
          </w:p>
        </w:tc>
        <w:tc>
          <w:tcPr>
            <w:tcW w:w="720" w:type="dxa"/>
            <w:tcBorders>
              <w:top w:val="nil"/>
              <w:left w:val="nil"/>
              <w:bottom w:val="single" w:sz="4" w:space="0" w:color="ADD6EA"/>
              <w:right w:val="nil"/>
            </w:tcBorders>
            <w:shd w:val="clear" w:color="auto" w:fill="auto"/>
            <w:vAlign w:val="bottom"/>
            <w:hideMark/>
          </w:tcPr>
          <w:p w14:paraId="4913DBDD"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63,150</w:t>
            </w:r>
          </w:p>
        </w:tc>
      </w:tr>
      <w:tr w:rsidR="008C3540" w:rsidRPr="00442A3B" w14:paraId="0D86E1EE" w14:textId="77777777" w:rsidTr="00104CD5">
        <w:trPr>
          <w:trHeight w:val="315"/>
        </w:trPr>
        <w:tc>
          <w:tcPr>
            <w:tcW w:w="2420" w:type="dxa"/>
            <w:tcBorders>
              <w:top w:val="nil"/>
              <w:left w:val="nil"/>
              <w:bottom w:val="single" w:sz="4" w:space="0" w:color="ADD6EA"/>
              <w:right w:val="nil"/>
            </w:tcBorders>
            <w:shd w:val="clear" w:color="auto" w:fill="auto"/>
            <w:vAlign w:val="bottom"/>
            <w:hideMark/>
          </w:tcPr>
          <w:p w14:paraId="3C7BA10E" w14:textId="14781A46" w:rsidR="008C3540" w:rsidRPr="00442A3B" w:rsidRDefault="0071449C" w:rsidP="00796FC6">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Estimated</w:t>
            </w:r>
            <w:r w:rsidR="008C3540" w:rsidRPr="00442A3B">
              <w:rPr>
                <w:rFonts w:eastAsia="Times New Roman" w:cs="Open Sans Light"/>
                <w:sz w:val="16"/>
                <w:szCs w:val="16"/>
                <w:lang w:eastAsia="en-AU"/>
              </w:rPr>
              <w:t xml:space="preserve"> 2021-22 </w:t>
            </w:r>
            <w:r w:rsidR="00E9298E" w:rsidRPr="00442A3B">
              <w:rPr>
                <w:rFonts w:eastAsia="Times New Roman" w:cs="Open Sans Light"/>
                <w:sz w:val="16"/>
                <w:szCs w:val="16"/>
                <w:lang w:eastAsia="en-AU"/>
              </w:rPr>
              <w:t>distribution</w:t>
            </w:r>
          </w:p>
        </w:tc>
        <w:tc>
          <w:tcPr>
            <w:tcW w:w="720" w:type="dxa"/>
            <w:tcBorders>
              <w:top w:val="nil"/>
              <w:left w:val="nil"/>
              <w:bottom w:val="single" w:sz="4" w:space="0" w:color="ADD6EA"/>
              <w:right w:val="nil"/>
            </w:tcBorders>
            <w:shd w:val="clear" w:color="auto" w:fill="auto"/>
            <w:vAlign w:val="bottom"/>
            <w:hideMark/>
          </w:tcPr>
          <w:p w14:paraId="6DDE6EE0"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20,347</w:t>
            </w:r>
          </w:p>
        </w:tc>
        <w:tc>
          <w:tcPr>
            <w:tcW w:w="720" w:type="dxa"/>
            <w:tcBorders>
              <w:top w:val="nil"/>
              <w:left w:val="nil"/>
              <w:bottom w:val="single" w:sz="4" w:space="0" w:color="ADD6EA"/>
              <w:right w:val="nil"/>
            </w:tcBorders>
            <w:shd w:val="clear" w:color="auto" w:fill="auto"/>
            <w:vAlign w:val="bottom"/>
            <w:hideMark/>
          </w:tcPr>
          <w:p w14:paraId="09506A95"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16,220</w:t>
            </w:r>
          </w:p>
        </w:tc>
        <w:tc>
          <w:tcPr>
            <w:tcW w:w="720" w:type="dxa"/>
            <w:tcBorders>
              <w:top w:val="nil"/>
              <w:left w:val="nil"/>
              <w:bottom w:val="single" w:sz="4" w:space="0" w:color="ADD6EA"/>
              <w:right w:val="nil"/>
            </w:tcBorders>
            <w:shd w:val="clear" w:color="auto" w:fill="auto"/>
            <w:vAlign w:val="bottom"/>
            <w:hideMark/>
          </w:tcPr>
          <w:p w14:paraId="6D159C7C"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14,411</w:t>
            </w:r>
          </w:p>
        </w:tc>
        <w:tc>
          <w:tcPr>
            <w:tcW w:w="720" w:type="dxa"/>
            <w:tcBorders>
              <w:top w:val="nil"/>
              <w:left w:val="nil"/>
              <w:bottom w:val="single" w:sz="4" w:space="0" w:color="ADD6EA"/>
              <w:right w:val="nil"/>
            </w:tcBorders>
            <w:shd w:val="clear" w:color="auto" w:fill="auto"/>
            <w:vAlign w:val="bottom"/>
            <w:hideMark/>
          </w:tcPr>
          <w:p w14:paraId="71213063"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2,918</w:t>
            </w:r>
          </w:p>
        </w:tc>
        <w:tc>
          <w:tcPr>
            <w:tcW w:w="720" w:type="dxa"/>
            <w:tcBorders>
              <w:top w:val="nil"/>
              <w:left w:val="nil"/>
              <w:bottom w:val="single" w:sz="4" w:space="0" w:color="ADD6EA"/>
              <w:right w:val="nil"/>
            </w:tcBorders>
            <w:shd w:val="clear" w:color="auto" w:fill="auto"/>
            <w:vAlign w:val="bottom"/>
            <w:hideMark/>
          </w:tcPr>
          <w:p w14:paraId="214A432C"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6,207</w:t>
            </w:r>
          </w:p>
        </w:tc>
        <w:tc>
          <w:tcPr>
            <w:tcW w:w="720" w:type="dxa"/>
            <w:tcBorders>
              <w:top w:val="nil"/>
              <w:left w:val="nil"/>
              <w:bottom w:val="single" w:sz="4" w:space="0" w:color="ADD6EA"/>
              <w:right w:val="nil"/>
            </w:tcBorders>
            <w:shd w:val="clear" w:color="auto" w:fill="auto"/>
            <w:vAlign w:val="bottom"/>
            <w:hideMark/>
          </w:tcPr>
          <w:p w14:paraId="38FFB68B"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2,783</w:t>
            </w:r>
          </w:p>
        </w:tc>
        <w:tc>
          <w:tcPr>
            <w:tcW w:w="720" w:type="dxa"/>
            <w:tcBorders>
              <w:top w:val="nil"/>
              <w:left w:val="nil"/>
              <w:bottom w:val="single" w:sz="4" w:space="0" w:color="ADD6EA"/>
              <w:right w:val="nil"/>
            </w:tcBorders>
            <w:shd w:val="clear" w:color="auto" w:fill="auto"/>
            <w:vAlign w:val="bottom"/>
            <w:hideMark/>
          </w:tcPr>
          <w:p w14:paraId="450AB7E1"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1,310</w:t>
            </w:r>
          </w:p>
        </w:tc>
        <w:tc>
          <w:tcPr>
            <w:tcW w:w="720" w:type="dxa"/>
            <w:tcBorders>
              <w:top w:val="nil"/>
              <w:left w:val="nil"/>
              <w:bottom w:val="single" w:sz="4" w:space="0" w:color="ADD6EA"/>
              <w:right w:val="nil"/>
            </w:tcBorders>
            <w:shd w:val="clear" w:color="auto" w:fill="auto"/>
            <w:vAlign w:val="bottom"/>
            <w:hideMark/>
          </w:tcPr>
          <w:p w14:paraId="473D1438"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2,984</w:t>
            </w:r>
          </w:p>
        </w:tc>
        <w:tc>
          <w:tcPr>
            <w:tcW w:w="720" w:type="dxa"/>
            <w:tcBorders>
              <w:top w:val="nil"/>
              <w:left w:val="nil"/>
              <w:bottom w:val="single" w:sz="4" w:space="0" w:color="ADD6EA"/>
              <w:right w:val="nil"/>
            </w:tcBorders>
            <w:shd w:val="clear" w:color="auto" w:fill="auto"/>
            <w:vAlign w:val="bottom"/>
            <w:hideMark/>
          </w:tcPr>
          <w:p w14:paraId="0D3D8E40"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67,180</w:t>
            </w:r>
          </w:p>
        </w:tc>
      </w:tr>
      <w:tr w:rsidR="008C3540" w:rsidRPr="00442A3B" w14:paraId="3A6968AE" w14:textId="77777777" w:rsidTr="00104CD5">
        <w:trPr>
          <w:trHeight w:val="315"/>
        </w:trPr>
        <w:tc>
          <w:tcPr>
            <w:tcW w:w="2420" w:type="dxa"/>
            <w:tcBorders>
              <w:top w:val="nil"/>
              <w:left w:val="nil"/>
              <w:bottom w:val="single" w:sz="4" w:space="0" w:color="ADD6EA"/>
              <w:right w:val="nil"/>
            </w:tcBorders>
            <w:shd w:val="clear" w:color="auto" w:fill="auto"/>
            <w:vAlign w:val="bottom"/>
            <w:hideMark/>
          </w:tcPr>
          <w:p w14:paraId="0A960F2D" w14:textId="77777777" w:rsidR="008C3540" w:rsidRPr="00442A3B" w:rsidRDefault="008C3540" w:rsidP="00796FC6">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Change</w:t>
            </w:r>
          </w:p>
        </w:tc>
        <w:tc>
          <w:tcPr>
            <w:tcW w:w="720" w:type="dxa"/>
            <w:tcBorders>
              <w:top w:val="nil"/>
              <w:left w:val="nil"/>
              <w:bottom w:val="single" w:sz="4" w:space="0" w:color="ADD6EA"/>
              <w:right w:val="nil"/>
            </w:tcBorders>
            <w:shd w:val="clear" w:color="auto" w:fill="auto"/>
            <w:vAlign w:val="bottom"/>
            <w:hideMark/>
          </w:tcPr>
          <w:p w14:paraId="39D0EF2A"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1,894</w:t>
            </w:r>
          </w:p>
        </w:tc>
        <w:tc>
          <w:tcPr>
            <w:tcW w:w="720" w:type="dxa"/>
            <w:tcBorders>
              <w:top w:val="nil"/>
              <w:left w:val="nil"/>
              <w:bottom w:val="single" w:sz="4" w:space="0" w:color="ADD6EA"/>
              <w:right w:val="nil"/>
            </w:tcBorders>
            <w:shd w:val="clear" w:color="auto" w:fill="auto"/>
            <w:vAlign w:val="bottom"/>
            <w:hideMark/>
          </w:tcPr>
          <w:p w14:paraId="1F73F27B"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344</w:t>
            </w:r>
          </w:p>
        </w:tc>
        <w:tc>
          <w:tcPr>
            <w:tcW w:w="720" w:type="dxa"/>
            <w:tcBorders>
              <w:top w:val="nil"/>
              <w:left w:val="nil"/>
              <w:bottom w:val="single" w:sz="4" w:space="0" w:color="ADD6EA"/>
              <w:right w:val="nil"/>
            </w:tcBorders>
            <w:shd w:val="clear" w:color="auto" w:fill="auto"/>
            <w:vAlign w:val="bottom"/>
            <w:hideMark/>
          </w:tcPr>
          <w:p w14:paraId="3E2A1274"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1,023</w:t>
            </w:r>
          </w:p>
        </w:tc>
        <w:tc>
          <w:tcPr>
            <w:tcW w:w="720" w:type="dxa"/>
            <w:tcBorders>
              <w:top w:val="nil"/>
              <w:left w:val="nil"/>
              <w:bottom w:val="single" w:sz="4" w:space="0" w:color="ADD6EA"/>
              <w:right w:val="nil"/>
            </w:tcBorders>
            <w:shd w:val="clear" w:color="auto" w:fill="auto"/>
            <w:vAlign w:val="bottom"/>
            <w:hideMark/>
          </w:tcPr>
          <w:p w14:paraId="6F12C7B3"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-23</w:t>
            </w:r>
          </w:p>
        </w:tc>
        <w:tc>
          <w:tcPr>
            <w:tcW w:w="720" w:type="dxa"/>
            <w:tcBorders>
              <w:top w:val="nil"/>
              <w:left w:val="nil"/>
              <w:bottom w:val="single" w:sz="4" w:space="0" w:color="ADD6EA"/>
              <w:right w:val="nil"/>
            </w:tcBorders>
            <w:shd w:val="clear" w:color="auto" w:fill="auto"/>
            <w:vAlign w:val="bottom"/>
            <w:hideMark/>
          </w:tcPr>
          <w:p w14:paraId="3E841CE2"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301</w:t>
            </w:r>
          </w:p>
        </w:tc>
        <w:tc>
          <w:tcPr>
            <w:tcW w:w="720" w:type="dxa"/>
            <w:tcBorders>
              <w:top w:val="nil"/>
              <w:left w:val="nil"/>
              <w:bottom w:val="single" w:sz="4" w:space="0" w:color="ADD6EA"/>
              <w:right w:val="nil"/>
            </w:tcBorders>
            <w:shd w:val="clear" w:color="auto" w:fill="auto"/>
            <w:vAlign w:val="bottom"/>
            <w:hideMark/>
          </w:tcPr>
          <w:p w14:paraId="6D54D181"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253</w:t>
            </w:r>
          </w:p>
        </w:tc>
        <w:tc>
          <w:tcPr>
            <w:tcW w:w="720" w:type="dxa"/>
            <w:tcBorders>
              <w:top w:val="nil"/>
              <w:left w:val="nil"/>
              <w:bottom w:val="single" w:sz="4" w:space="0" w:color="ADD6EA"/>
              <w:right w:val="nil"/>
            </w:tcBorders>
            <w:shd w:val="clear" w:color="auto" w:fill="auto"/>
            <w:vAlign w:val="bottom"/>
            <w:hideMark/>
          </w:tcPr>
          <w:p w14:paraId="69F64609"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89</w:t>
            </w:r>
          </w:p>
        </w:tc>
        <w:tc>
          <w:tcPr>
            <w:tcW w:w="720" w:type="dxa"/>
            <w:tcBorders>
              <w:top w:val="nil"/>
              <w:left w:val="nil"/>
              <w:bottom w:val="single" w:sz="4" w:space="0" w:color="ADD6EA"/>
              <w:right w:val="nil"/>
            </w:tcBorders>
            <w:shd w:val="clear" w:color="auto" w:fill="auto"/>
            <w:vAlign w:val="bottom"/>
            <w:hideMark/>
          </w:tcPr>
          <w:p w14:paraId="27E9B0FF"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149</w:t>
            </w:r>
          </w:p>
        </w:tc>
        <w:tc>
          <w:tcPr>
            <w:tcW w:w="720" w:type="dxa"/>
            <w:tcBorders>
              <w:top w:val="nil"/>
              <w:left w:val="nil"/>
              <w:bottom w:val="single" w:sz="4" w:space="0" w:color="ADD6EA"/>
              <w:right w:val="nil"/>
            </w:tcBorders>
            <w:shd w:val="clear" w:color="auto" w:fill="auto"/>
            <w:vAlign w:val="bottom"/>
            <w:hideMark/>
          </w:tcPr>
          <w:p w14:paraId="4B37E56D"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4,030</w:t>
            </w:r>
          </w:p>
        </w:tc>
      </w:tr>
      <w:tr w:rsidR="008C3540" w:rsidRPr="00442A3B" w14:paraId="5074CA6A" w14:textId="77777777" w:rsidTr="00104CD5">
        <w:trPr>
          <w:trHeight w:val="315"/>
        </w:trPr>
        <w:tc>
          <w:tcPr>
            <w:tcW w:w="2420" w:type="dxa"/>
            <w:tcBorders>
              <w:top w:val="nil"/>
              <w:left w:val="nil"/>
              <w:bottom w:val="single" w:sz="4" w:space="0" w:color="ADD6EA"/>
              <w:right w:val="nil"/>
            </w:tcBorders>
            <w:shd w:val="clear" w:color="auto" w:fill="auto"/>
            <w:vAlign w:val="bottom"/>
            <w:hideMark/>
          </w:tcPr>
          <w:p w14:paraId="78E1AC21" w14:textId="77777777" w:rsidR="008C3540" w:rsidRPr="00442A3B" w:rsidRDefault="008C3540" w:rsidP="00796FC6">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Change caused by new:</w:t>
            </w:r>
          </w:p>
        </w:tc>
        <w:tc>
          <w:tcPr>
            <w:tcW w:w="720" w:type="dxa"/>
            <w:tcBorders>
              <w:top w:val="nil"/>
              <w:left w:val="nil"/>
              <w:bottom w:val="single" w:sz="4" w:space="0" w:color="ADD6EA"/>
              <w:right w:val="nil"/>
            </w:tcBorders>
            <w:shd w:val="clear" w:color="auto" w:fill="auto"/>
            <w:vAlign w:val="bottom"/>
            <w:hideMark/>
          </w:tcPr>
          <w:p w14:paraId="049574CA"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74AE142A"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55488498"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5A13A671"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3EE5141E"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75419F48"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71888BEF"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1E6D368E"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5ED29A42"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 </w:t>
            </w:r>
          </w:p>
        </w:tc>
      </w:tr>
      <w:tr w:rsidR="008C3540" w:rsidRPr="00442A3B" w14:paraId="0BFC6545" w14:textId="77777777" w:rsidTr="00104CD5">
        <w:trPr>
          <w:trHeight w:val="315"/>
        </w:trPr>
        <w:tc>
          <w:tcPr>
            <w:tcW w:w="2420" w:type="dxa"/>
            <w:tcBorders>
              <w:top w:val="nil"/>
              <w:left w:val="nil"/>
              <w:bottom w:val="single" w:sz="4" w:space="0" w:color="ADD6EA"/>
              <w:right w:val="nil"/>
            </w:tcBorders>
            <w:shd w:val="clear" w:color="auto" w:fill="auto"/>
            <w:vAlign w:val="bottom"/>
            <w:hideMark/>
          </w:tcPr>
          <w:p w14:paraId="2B8628B0" w14:textId="5E94B137" w:rsidR="008C3540" w:rsidRPr="00442A3B" w:rsidRDefault="008C3540" w:rsidP="00796FC6">
            <w:pPr>
              <w:keepNext/>
              <w:keepLines/>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Population (</w:t>
            </w:r>
            <w:r w:rsidR="0096000E" w:rsidRPr="00442A3B">
              <w:rPr>
                <w:rFonts w:eastAsia="Times New Roman" w:cs="Open Sans Light"/>
                <w:sz w:val="16"/>
                <w:szCs w:val="16"/>
                <w:lang w:eastAsia="en-AU"/>
              </w:rPr>
              <w:t>a</w:t>
            </w:r>
            <w:r w:rsidRPr="00442A3B">
              <w:rPr>
                <w:rFonts w:eastAsia="Times New Roman" w:cs="Open Sans Light"/>
                <w:sz w:val="16"/>
                <w:szCs w:val="16"/>
                <w:lang w:eastAsia="en-AU"/>
              </w:rPr>
              <w:t>)</w:t>
            </w:r>
          </w:p>
        </w:tc>
        <w:tc>
          <w:tcPr>
            <w:tcW w:w="720" w:type="dxa"/>
            <w:tcBorders>
              <w:top w:val="nil"/>
              <w:left w:val="nil"/>
              <w:bottom w:val="single" w:sz="4" w:space="0" w:color="ADD6EA"/>
              <w:right w:val="nil"/>
            </w:tcBorders>
            <w:shd w:val="clear" w:color="auto" w:fill="auto"/>
            <w:vAlign w:val="bottom"/>
            <w:hideMark/>
          </w:tcPr>
          <w:p w14:paraId="54D3BC28"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-41</w:t>
            </w:r>
          </w:p>
        </w:tc>
        <w:tc>
          <w:tcPr>
            <w:tcW w:w="720" w:type="dxa"/>
            <w:tcBorders>
              <w:top w:val="nil"/>
              <w:left w:val="nil"/>
              <w:bottom w:val="single" w:sz="4" w:space="0" w:color="ADD6EA"/>
              <w:right w:val="nil"/>
            </w:tcBorders>
            <w:shd w:val="clear" w:color="auto" w:fill="auto"/>
            <w:vAlign w:val="bottom"/>
            <w:hideMark/>
          </w:tcPr>
          <w:p w14:paraId="59E62AAA"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15</w:t>
            </w:r>
          </w:p>
        </w:tc>
        <w:tc>
          <w:tcPr>
            <w:tcW w:w="720" w:type="dxa"/>
            <w:tcBorders>
              <w:top w:val="nil"/>
              <w:left w:val="nil"/>
              <w:bottom w:val="single" w:sz="4" w:space="0" w:color="ADD6EA"/>
              <w:right w:val="nil"/>
            </w:tcBorders>
            <w:shd w:val="clear" w:color="auto" w:fill="auto"/>
            <w:vAlign w:val="bottom"/>
            <w:hideMark/>
          </w:tcPr>
          <w:p w14:paraId="6DFF9751"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64</w:t>
            </w:r>
          </w:p>
        </w:tc>
        <w:tc>
          <w:tcPr>
            <w:tcW w:w="720" w:type="dxa"/>
            <w:tcBorders>
              <w:top w:val="nil"/>
              <w:left w:val="nil"/>
              <w:bottom w:val="single" w:sz="4" w:space="0" w:color="ADD6EA"/>
              <w:right w:val="nil"/>
            </w:tcBorders>
            <w:shd w:val="clear" w:color="auto" w:fill="auto"/>
            <w:vAlign w:val="bottom"/>
            <w:hideMark/>
          </w:tcPr>
          <w:p w14:paraId="015CFD49"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w:t>
            </w:r>
          </w:p>
        </w:tc>
        <w:tc>
          <w:tcPr>
            <w:tcW w:w="720" w:type="dxa"/>
            <w:tcBorders>
              <w:top w:val="nil"/>
              <w:left w:val="nil"/>
              <w:bottom w:val="single" w:sz="4" w:space="0" w:color="ADD6EA"/>
              <w:right w:val="nil"/>
            </w:tcBorders>
            <w:shd w:val="clear" w:color="auto" w:fill="auto"/>
            <w:vAlign w:val="bottom"/>
            <w:hideMark/>
          </w:tcPr>
          <w:p w14:paraId="676D7A90"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-11</w:t>
            </w:r>
          </w:p>
        </w:tc>
        <w:tc>
          <w:tcPr>
            <w:tcW w:w="720" w:type="dxa"/>
            <w:tcBorders>
              <w:top w:val="nil"/>
              <w:left w:val="nil"/>
              <w:bottom w:val="single" w:sz="4" w:space="0" w:color="ADD6EA"/>
              <w:right w:val="nil"/>
            </w:tcBorders>
            <w:shd w:val="clear" w:color="auto" w:fill="auto"/>
            <w:vAlign w:val="bottom"/>
            <w:hideMark/>
          </w:tcPr>
          <w:p w14:paraId="6E03C41F"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8</w:t>
            </w:r>
          </w:p>
        </w:tc>
        <w:tc>
          <w:tcPr>
            <w:tcW w:w="720" w:type="dxa"/>
            <w:tcBorders>
              <w:top w:val="nil"/>
              <w:left w:val="nil"/>
              <w:bottom w:val="single" w:sz="4" w:space="0" w:color="ADD6EA"/>
              <w:right w:val="nil"/>
            </w:tcBorders>
            <w:shd w:val="clear" w:color="auto" w:fill="auto"/>
            <w:vAlign w:val="bottom"/>
            <w:hideMark/>
          </w:tcPr>
          <w:p w14:paraId="2187CE74"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w:t>
            </w:r>
          </w:p>
        </w:tc>
        <w:tc>
          <w:tcPr>
            <w:tcW w:w="720" w:type="dxa"/>
            <w:tcBorders>
              <w:top w:val="nil"/>
              <w:left w:val="nil"/>
              <w:bottom w:val="single" w:sz="4" w:space="0" w:color="ADD6EA"/>
              <w:right w:val="nil"/>
            </w:tcBorders>
            <w:shd w:val="clear" w:color="auto" w:fill="auto"/>
            <w:vAlign w:val="bottom"/>
            <w:hideMark/>
          </w:tcPr>
          <w:p w14:paraId="7207EEE9"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-41</w:t>
            </w:r>
          </w:p>
        </w:tc>
        <w:tc>
          <w:tcPr>
            <w:tcW w:w="720" w:type="dxa"/>
            <w:tcBorders>
              <w:top w:val="nil"/>
              <w:left w:val="nil"/>
              <w:bottom w:val="single" w:sz="4" w:space="0" w:color="ADD6EA"/>
              <w:right w:val="nil"/>
            </w:tcBorders>
            <w:shd w:val="clear" w:color="auto" w:fill="auto"/>
            <w:vAlign w:val="bottom"/>
            <w:hideMark/>
          </w:tcPr>
          <w:p w14:paraId="35655862"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w:t>
            </w:r>
          </w:p>
        </w:tc>
      </w:tr>
      <w:tr w:rsidR="008C3540" w:rsidRPr="00442A3B" w14:paraId="33700F78" w14:textId="77777777" w:rsidTr="00104CD5">
        <w:trPr>
          <w:trHeight w:val="315"/>
        </w:trPr>
        <w:tc>
          <w:tcPr>
            <w:tcW w:w="2420" w:type="dxa"/>
            <w:tcBorders>
              <w:top w:val="nil"/>
              <w:left w:val="nil"/>
              <w:bottom w:val="single" w:sz="4" w:space="0" w:color="ADD6EA"/>
              <w:right w:val="nil"/>
            </w:tcBorders>
            <w:shd w:val="clear" w:color="auto" w:fill="auto"/>
            <w:vAlign w:val="bottom"/>
            <w:hideMark/>
          </w:tcPr>
          <w:p w14:paraId="6CC5CE59" w14:textId="095F7741" w:rsidR="008C3540" w:rsidRPr="00442A3B" w:rsidRDefault="008C3540" w:rsidP="00796FC6">
            <w:pPr>
              <w:keepNext/>
              <w:keepLines/>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Pool (</w:t>
            </w:r>
            <w:r w:rsidR="0096000E" w:rsidRPr="00442A3B">
              <w:rPr>
                <w:rFonts w:eastAsia="Times New Roman" w:cs="Open Sans Light"/>
                <w:sz w:val="16"/>
                <w:szCs w:val="16"/>
                <w:lang w:eastAsia="en-AU"/>
              </w:rPr>
              <w:t>b</w:t>
            </w:r>
            <w:r w:rsidRPr="00442A3B">
              <w:rPr>
                <w:rFonts w:eastAsia="Times New Roman" w:cs="Open Sans Light"/>
                <w:sz w:val="16"/>
                <w:szCs w:val="16"/>
                <w:lang w:eastAsia="en-AU"/>
              </w:rPr>
              <w:t>)</w:t>
            </w:r>
          </w:p>
        </w:tc>
        <w:tc>
          <w:tcPr>
            <w:tcW w:w="720" w:type="dxa"/>
            <w:tcBorders>
              <w:top w:val="nil"/>
              <w:left w:val="nil"/>
              <w:bottom w:val="single" w:sz="4" w:space="0" w:color="ADD6EA"/>
              <w:right w:val="nil"/>
            </w:tcBorders>
            <w:shd w:val="clear" w:color="auto" w:fill="auto"/>
            <w:vAlign w:val="bottom"/>
            <w:hideMark/>
          </w:tcPr>
          <w:p w14:paraId="7B8A14B4"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1,175</w:t>
            </w:r>
          </w:p>
        </w:tc>
        <w:tc>
          <w:tcPr>
            <w:tcW w:w="720" w:type="dxa"/>
            <w:tcBorders>
              <w:top w:val="nil"/>
              <w:left w:val="nil"/>
              <w:bottom w:val="single" w:sz="4" w:space="0" w:color="ADD6EA"/>
              <w:right w:val="nil"/>
            </w:tcBorders>
            <w:shd w:val="clear" w:color="auto" w:fill="auto"/>
            <w:vAlign w:val="bottom"/>
            <w:hideMark/>
          </w:tcPr>
          <w:p w14:paraId="7B493EA3"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1,014</w:t>
            </w:r>
          </w:p>
        </w:tc>
        <w:tc>
          <w:tcPr>
            <w:tcW w:w="720" w:type="dxa"/>
            <w:tcBorders>
              <w:top w:val="nil"/>
              <w:left w:val="nil"/>
              <w:bottom w:val="single" w:sz="4" w:space="0" w:color="ADD6EA"/>
              <w:right w:val="nil"/>
            </w:tcBorders>
            <w:shd w:val="clear" w:color="auto" w:fill="auto"/>
            <w:vAlign w:val="bottom"/>
            <w:hideMark/>
          </w:tcPr>
          <w:p w14:paraId="43F50028"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858</w:t>
            </w:r>
          </w:p>
        </w:tc>
        <w:tc>
          <w:tcPr>
            <w:tcW w:w="720" w:type="dxa"/>
            <w:tcBorders>
              <w:top w:val="nil"/>
              <w:left w:val="nil"/>
              <w:bottom w:val="single" w:sz="4" w:space="0" w:color="ADD6EA"/>
              <w:right w:val="nil"/>
            </w:tcBorders>
            <w:shd w:val="clear" w:color="auto" w:fill="auto"/>
            <w:vAlign w:val="bottom"/>
            <w:hideMark/>
          </w:tcPr>
          <w:p w14:paraId="2913CBA2"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188</w:t>
            </w:r>
          </w:p>
        </w:tc>
        <w:tc>
          <w:tcPr>
            <w:tcW w:w="720" w:type="dxa"/>
            <w:tcBorders>
              <w:top w:val="nil"/>
              <w:left w:val="nil"/>
              <w:bottom w:val="single" w:sz="4" w:space="0" w:color="ADD6EA"/>
              <w:right w:val="nil"/>
            </w:tcBorders>
            <w:shd w:val="clear" w:color="auto" w:fill="auto"/>
            <w:vAlign w:val="bottom"/>
            <w:hideMark/>
          </w:tcPr>
          <w:p w14:paraId="7777DC2A"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376</w:t>
            </w:r>
          </w:p>
        </w:tc>
        <w:tc>
          <w:tcPr>
            <w:tcW w:w="720" w:type="dxa"/>
            <w:tcBorders>
              <w:top w:val="nil"/>
              <w:left w:val="nil"/>
              <w:bottom w:val="single" w:sz="4" w:space="0" w:color="ADD6EA"/>
              <w:right w:val="nil"/>
            </w:tcBorders>
            <w:shd w:val="clear" w:color="auto" w:fill="auto"/>
            <w:vAlign w:val="bottom"/>
            <w:hideMark/>
          </w:tcPr>
          <w:p w14:paraId="4C46410D"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162</w:t>
            </w:r>
          </w:p>
        </w:tc>
        <w:tc>
          <w:tcPr>
            <w:tcW w:w="720" w:type="dxa"/>
            <w:tcBorders>
              <w:top w:val="nil"/>
              <w:left w:val="nil"/>
              <w:bottom w:val="single" w:sz="4" w:space="0" w:color="ADD6EA"/>
              <w:right w:val="nil"/>
            </w:tcBorders>
            <w:shd w:val="clear" w:color="auto" w:fill="auto"/>
            <w:vAlign w:val="bottom"/>
            <w:hideMark/>
          </w:tcPr>
          <w:p w14:paraId="3E3A6B10"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78</w:t>
            </w:r>
          </w:p>
        </w:tc>
        <w:tc>
          <w:tcPr>
            <w:tcW w:w="720" w:type="dxa"/>
            <w:tcBorders>
              <w:top w:val="nil"/>
              <w:left w:val="nil"/>
              <w:bottom w:val="single" w:sz="4" w:space="0" w:color="ADD6EA"/>
              <w:right w:val="nil"/>
            </w:tcBorders>
            <w:shd w:val="clear" w:color="auto" w:fill="auto"/>
            <w:vAlign w:val="bottom"/>
            <w:hideMark/>
          </w:tcPr>
          <w:p w14:paraId="622A0865"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178</w:t>
            </w:r>
          </w:p>
        </w:tc>
        <w:tc>
          <w:tcPr>
            <w:tcW w:w="720" w:type="dxa"/>
            <w:tcBorders>
              <w:top w:val="nil"/>
              <w:left w:val="nil"/>
              <w:bottom w:val="single" w:sz="4" w:space="0" w:color="ADD6EA"/>
              <w:right w:val="nil"/>
            </w:tcBorders>
            <w:shd w:val="clear" w:color="auto" w:fill="auto"/>
            <w:vAlign w:val="bottom"/>
            <w:hideMark/>
          </w:tcPr>
          <w:p w14:paraId="019104C1"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4,030</w:t>
            </w:r>
          </w:p>
        </w:tc>
      </w:tr>
      <w:tr w:rsidR="008C3540" w:rsidRPr="00442A3B" w14:paraId="60C5C299" w14:textId="77777777" w:rsidTr="00104CD5">
        <w:trPr>
          <w:trHeight w:val="315"/>
        </w:trPr>
        <w:tc>
          <w:tcPr>
            <w:tcW w:w="2420" w:type="dxa"/>
            <w:tcBorders>
              <w:top w:val="nil"/>
              <w:left w:val="nil"/>
              <w:bottom w:val="single" w:sz="4" w:space="0" w:color="ADD6EA"/>
              <w:right w:val="nil"/>
            </w:tcBorders>
            <w:shd w:val="clear" w:color="auto" w:fill="auto"/>
            <w:vAlign w:val="bottom"/>
            <w:hideMark/>
          </w:tcPr>
          <w:p w14:paraId="6D0E40A4" w14:textId="2E6EBE26" w:rsidR="008C3540" w:rsidRPr="00442A3B" w:rsidRDefault="008C3540" w:rsidP="00796FC6">
            <w:pPr>
              <w:keepNext/>
              <w:keepLines/>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GST relativities (</w:t>
            </w:r>
            <w:r w:rsidR="0096000E" w:rsidRPr="00442A3B">
              <w:rPr>
                <w:rFonts w:eastAsia="Times New Roman" w:cs="Open Sans Light"/>
                <w:sz w:val="16"/>
                <w:szCs w:val="16"/>
                <w:lang w:eastAsia="en-AU"/>
              </w:rPr>
              <w:t>c</w:t>
            </w:r>
            <w:r w:rsidRPr="00442A3B">
              <w:rPr>
                <w:rFonts w:eastAsia="Times New Roman" w:cs="Open Sans Light"/>
                <w:sz w:val="16"/>
                <w:szCs w:val="16"/>
                <w:lang w:eastAsia="en-AU"/>
              </w:rPr>
              <w:t>)</w:t>
            </w:r>
          </w:p>
        </w:tc>
        <w:tc>
          <w:tcPr>
            <w:tcW w:w="720" w:type="dxa"/>
            <w:tcBorders>
              <w:top w:val="nil"/>
              <w:left w:val="nil"/>
              <w:bottom w:val="single" w:sz="4" w:space="0" w:color="ADD6EA"/>
              <w:right w:val="nil"/>
            </w:tcBorders>
            <w:shd w:val="clear" w:color="auto" w:fill="auto"/>
            <w:vAlign w:val="bottom"/>
            <w:hideMark/>
          </w:tcPr>
          <w:p w14:paraId="56D2B4F2"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761</w:t>
            </w:r>
          </w:p>
        </w:tc>
        <w:tc>
          <w:tcPr>
            <w:tcW w:w="720" w:type="dxa"/>
            <w:tcBorders>
              <w:top w:val="nil"/>
              <w:left w:val="nil"/>
              <w:bottom w:val="single" w:sz="4" w:space="0" w:color="ADD6EA"/>
              <w:right w:val="nil"/>
            </w:tcBorders>
            <w:shd w:val="clear" w:color="auto" w:fill="auto"/>
            <w:vAlign w:val="bottom"/>
            <w:hideMark/>
          </w:tcPr>
          <w:p w14:paraId="6C749695"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-685</w:t>
            </w:r>
          </w:p>
        </w:tc>
        <w:tc>
          <w:tcPr>
            <w:tcW w:w="720" w:type="dxa"/>
            <w:tcBorders>
              <w:top w:val="nil"/>
              <w:left w:val="nil"/>
              <w:bottom w:val="single" w:sz="4" w:space="0" w:color="ADD6EA"/>
              <w:right w:val="nil"/>
            </w:tcBorders>
            <w:shd w:val="clear" w:color="auto" w:fill="auto"/>
            <w:vAlign w:val="bottom"/>
            <w:hideMark/>
          </w:tcPr>
          <w:p w14:paraId="4FC1B6D5"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101</w:t>
            </w:r>
          </w:p>
        </w:tc>
        <w:tc>
          <w:tcPr>
            <w:tcW w:w="720" w:type="dxa"/>
            <w:tcBorders>
              <w:top w:val="nil"/>
              <w:left w:val="nil"/>
              <w:bottom w:val="single" w:sz="4" w:space="0" w:color="ADD6EA"/>
              <w:right w:val="nil"/>
            </w:tcBorders>
            <w:shd w:val="clear" w:color="auto" w:fill="auto"/>
            <w:vAlign w:val="bottom"/>
            <w:hideMark/>
          </w:tcPr>
          <w:p w14:paraId="558FE803"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-217</w:t>
            </w:r>
          </w:p>
        </w:tc>
        <w:tc>
          <w:tcPr>
            <w:tcW w:w="720" w:type="dxa"/>
            <w:tcBorders>
              <w:top w:val="nil"/>
              <w:left w:val="nil"/>
              <w:bottom w:val="single" w:sz="4" w:space="0" w:color="ADD6EA"/>
              <w:right w:val="nil"/>
            </w:tcBorders>
            <w:shd w:val="clear" w:color="auto" w:fill="auto"/>
            <w:vAlign w:val="bottom"/>
            <w:hideMark/>
          </w:tcPr>
          <w:p w14:paraId="0CC4A4BE"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-64</w:t>
            </w:r>
          </w:p>
        </w:tc>
        <w:tc>
          <w:tcPr>
            <w:tcW w:w="720" w:type="dxa"/>
            <w:tcBorders>
              <w:top w:val="nil"/>
              <w:left w:val="nil"/>
              <w:bottom w:val="single" w:sz="4" w:space="0" w:color="ADD6EA"/>
              <w:right w:val="nil"/>
            </w:tcBorders>
            <w:shd w:val="clear" w:color="auto" w:fill="auto"/>
            <w:vAlign w:val="bottom"/>
            <w:hideMark/>
          </w:tcPr>
          <w:p w14:paraId="6EF0C4D8"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83</w:t>
            </w:r>
          </w:p>
        </w:tc>
        <w:tc>
          <w:tcPr>
            <w:tcW w:w="720" w:type="dxa"/>
            <w:tcBorders>
              <w:top w:val="nil"/>
              <w:left w:val="nil"/>
              <w:bottom w:val="single" w:sz="4" w:space="0" w:color="ADD6EA"/>
              <w:right w:val="nil"/>
            </w:tcBorders>
            <w:shd w:val="clear" w:color="auto" w:fill="auto"/>
            <w:vAlign w:val="bottom"/>
            <w:hideMark/>
          </w:tcPr>
          <w:p w14:paraId="25BC78AC"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10</w:t>
            </w:r>
          </w:p>
        </w:tc>
        <w:tc>
          <w:tcPr>
            <w:tcW w:w="720" w:type="dxa"/>
            <w:tcBorders>
              <w:top w:val="nil"/>
              <w:left w:val="nil"/>
              <w:bottom w:val="single" w:sz="4" w:space="0" w:color="ADD6EA"/>
              <w:right w:val="nil"/>
            </w:tcBorders>
            <w:shd w:val="clear" w:color="auto" w:fill="auto"/>
            <w:vAlign w:val="bottom"/>
            <w:hideMark/>
          </w:tcPr>
          <w:p w14:paraId="4A6E2F08"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12</w:t>
            </w:r>
          </w:p>
        </w:tc>
        <w:tc>
          <w:tcPr>
            <w:tcW w:w="720" w:type="dxa"/>
            <w:tcBorders>
              <w:top w:val="nil"/>
              <w:left w:val="nil"/>
              <w:bottom w:val="single" w:sz="4" w:space="0" w:color="ADD6EA"/>
              <w:right w:val="nil"/>
            </w:tcBorders>
            <w:shd w:val="clear" w:color="auto" w:fill="auto"/>
            <w:vAlign w:val="bottom"/>
            <w:hideMark/>
          </w:tcPr>
          <w:p w14:paraId="000F29DD" w14:textId="77777777" w:rsidR="008C3540" w:rsidRPr="00442A3B" w:rsidRDefault="008C3540" w:rsidP="00796FC6">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w:t>
            </w:r>
          </w:p>
        </w:tc>
      </w:tr>
      <w:tr w:rsidR="008C3540" w:rsidRPr="00442A3B" w14:paraId="56698C0D" w14:textId="77777777" w:rsidTr="00104CD5">
        <w:trPr>
          <w:trHeight w:val="315"/>
        </w:trPr>
        <w:tc>
          <w:tcPr>
            <w:tcW w:w="2420" w:type="dxa"/>
            <w:tcBorders>
              <w:top w:val="nil"/>
              <w:left w:val="nil"/>
              <w:bottom w:val="single" w:sz="4" w:space="0" w:color="ADD6EA"/>
              <w:right w:val="nil"/>
            </w:tcBorders>
            <w:shd w:val="clear" w:color="000000" w:fill="D6E7F0"/>
            <w:vAlign w:val="bottom"/>
            <w:hideMark/>
          </w:tcPr>
          <w:p w14:paraId="1DC75415" w14:textId="77777777" w:rsidR="008C3540" w:rsidRPr="00442A3B" w:rsidRDefault="008C3540" w:rsidP="000818DF">
            <w:pPr>
              <w:pStyle w:val="CGCTablesubhead1"/>
              <w:rPr>
                <w:rFonts w:eastAsia="MS Mincho" w:cs="Open Sans Semibold"/>
                <w:color w:val="000000"/>
                <w:szCs w:val="16"/>
                <w:lang w:eastAsia="en-AU"/>
              </w:rPr>
            </w:pPr>
            <w:r w:rsidRPr="00442A3B">
              <w:rPr>
                <w:lang w:eastAsia="en-AU"/>
              </w:rPr>
              <w:t>Change ($m)</w:t>
            </w:r>
          </w:p>
        </w:tc>
        <w:tc>
          <w:tcPr>
            <w:tcW w:w="720" w:type="dxa"/>
            <w:tcBorders>
              <w:top w:val="nil"/>
              <w:left w:val="nil"/>
              <w:bottom w:val="single" w:sz="4" w:space="0" w:color="ADD6EA"/>
              <w:right w:val="nil"/>
            </w:tcBorders>
            <w:shd w:val="clear" w:color="000000" w:fill="D6E7F0"/>
            <w:vAlign w:val="bottom"/>
            <w:hideMark/>
          </w:tcPr>
          <w:p w14:paraId="02F16B58" w14:textId="77777777" w:rsidR="008C3540" w:rsidRPr="00442A3B" w:rsidRDefault="008C3540" w:rsidP="000818DF">
            <w:pPr>
              <w:pStyle w:val="CGCTablesubhead1"/>
              <w:jc w:val="right"/>
              <w:rPr>
                <w:rFonts w:eastAsia="MS Mincho" w:cs="Open Sans Semibold"/>
                <w:color w:val="000000"/>
                <w:szCs w:val="16"/>
                <w:lang w:eastAsia="en-AU"/>
              </w:rPr>
            </w:pPr>
            <w:r w:rsidRPr="00442A3B">
              <w:rPr>
                <w:lang w:eastAsia="en-AU"/>
              </w:rPr>
              <w:t>1,894</w:t>
            </w:r>
          </w:p>
        </w:tc>
        <w:tc>
          <w:tcPr>
            <w:tcW w:w="720" w:type="dxa"/>
            <w:tcBorders>
              <w:top w:val="nil"/>
              <w:left w:val="nil"/>
              <w:bottom w:val="single" w:sz="4" w:space="0" w:color="ADD6EA"/>
              <w:right w:val="nil"/>
            </w:tcBorders>
            <w:shd w:val="clear" w:color="000000" w:fill="D6E7F0"/>
            <w:vAlign w:val="bottom"/>
            <w:hideMark/>
          </w:tcPr>
          <w:p w14:paraId="02AFCDEA" w14:textId="77777777" w:rsidR="008C3540" w:rsidRPr="00442A3B" w:rsidRDefault="008C3540" w:rsidP="00A62796">
            <w:pPr>
              <w:pStyle w:val="CGCTablesubhead1"/>
              <w:jc w:val="right"/>
              <w:rPr>
                <w:rFonts w:eastAsia="MS Mincho" w:cs="Open Sans Semibold"/>
                <w:color w:val="000000"/>
                <w:szCs w:val="16"/>
                <w:lang w:eastAsia="en-AU"/>
              </w:rPr>
            </w:pPr>
            <w:r w:rsidRPr="00442A3B">
              <w:rPr>
                <w:lang w:eastAsia="en-AU"/>
              </w:rPr>
              <w:t>344</w:t>
            </w:r>
          </w:p>
        </w:tc>
        <w:tc>
          <w:tcPr>
            <w:tcW w:w="720" w:type="dxa"/>
            <w:tcBorders>
              <w:top w:val="nil"/>
              <w:left w:val="nil"/>
              <w:bottom w:val="single" w:sz="4" w:space="0" w:color="ADD6EA"/>
              <w:right w:val="nil"/>
            </w:tcBorders>
            <w:shd w:val="clear" w:color="000000" w:fill="D6E7F0"/>
            <w:vAlign w:val="bottom"/>
            <w:hideMark/>
          </w:tcPr>
          <w:p w14:paraId="2D7B2D4E" w14:textId="77777777" w:rsidR="008C3540" w:rsidRPr="00442A3B" w:rsidRDefault="008C3540" w:rsidP="00A62796">
            <w:pPr>
              <w:pStyle w:val="CGCTablesubhead1"/>
              <w:jc w:val="right"/>
              <w:rPr>
                <w:rFonts w:eastAsia="MS Mincho" w:cs="Open Sans Semibold"/>
                <w:color w:val="000000"/>
                <w:szCs w:val="16"/>
                <w:lang w:eastAsia="en-AU"/>
              </w:rPr>
            </w:pPr>
            <w:r w:rsidRPr="00442A3B">
              <w:rPr>
                <w:lang w:eastAsia="en-AU"/>
              </w:rPr>
              <w:t>1,023</w:t>
            </w:r>
          </w:p>
        </w:tc>
        <w:tc>
          <w:tcPr>
            <w:tcW w:w="720" w:type="dxa"/>
            <w:tcBorders>
              <w:top w:val="nil"/>
              <w:left w:val="nil"/>
              <w:bottom w:val="single" w:sz="4" w:space="0" w:color="ADD6EA"/>
              <w:right w:val="nil"/>
            </w:tcBorders>
            <w:shd w:val="clear" w:color="000000" w:fill="D6E7F0"/>
            <w:vAlign w:val="bottom"/>
            <w:hideMark/>
          </w:tcPr>
          <w:p w14:paraId="6985C2A6" w14:textId="77777777" w:rsidR="008C3540" w:rsidRPr="00442A3B" w:rsidRDefault="008C3540" w:rsidP="00A62796">
            <w:pPr>
              <w:pStyle w:val="CGCTablesubhead1"/>
              <w:jc w:val="right"/>
              <w:rPr>
                <w:rFonts w:eastAsia="MS Mincho" w:cs="Open Sans Semibold"/>
                <w:color w:val="000000"/>
                <w:szCs w:val="16"/>
                <w:lang w:eastAsia="en-AU"/>
              </w:rPr>
            </w:pPr>
            <w:r w:rsidRPr="00442A3B">
              <w:rPr>
                <w:lang w:eastAsia="en-AU"/>
              </w:rPr>
              <w:t>-23</w:t>
            </w:r>
          </w:p>
        </w:tc>
        <w:tc>
          <w:tcPr>
            <w:tcW w:w="720" w:type="dxa"/>
            <w:tcBorders>
              <w:top w:val="nil"/>
              <w:left w:val="nil"/>
              <w:bottom w:val="single" w:sz="4" w:space="0" w:color="ADD6EA"/>
              <w:right w:val="nil"/>
            </w:tcBorders>
            <w:shd w:val="clear" w:color="000000" w:fill="D6E7F0"/>
            <w:vAlign w:val="bottom"/>
            <w:hideMark/>
          </w:tcPr>
          <w:p w14:paraId="4B895124" w14:textId="77777777" w:rsidR="008C3540" w:rsidRPr="00442A3B" w:rsidRDefault="008C3540" w:rsidP="00A62796">
            <w:pPr>
              <w:pStyle w:val="CGCTablesubhead1"/>
              <w:jc w:val="right"/>
              <w:rPr>
                <w:rFonts w:eastAsia="MS Mincho" w:cs="Open Sans Semibold"/>
                <w:color w:val="000000"/>
                <w:szCs w:val="16"/>
                <w:lang w:eastAsia="en-AU"/>
              </w:rPr>
            </w:pPr>
            <w:r w:rsidRPr="00442A3B">
              <w:rPr>
                <w:lang w:eastAsia="en-AU"/>
              </w:rPr>
              <w:t>301</w:t>
            </w:r>
          </w:p>
        </w:tc>
        <w:tc>
          <w:tcPr>
            <w:tcW w:w="720" w:type="dxa"/>
            <w:tcBorders>
              <w:top w:val="nil"/>
              <w:left w:val="nil"/>
              <w:bottom w:val="single" w:sz="4" w:space="0" w:color="ADD6EA"/>
              <w:right w:val="nil"/>
            </w:tcBorders>
            <w:shd w:val="clear" w:color="000000" w:fill="D6E7F0"/>
            <w:vAlign w:val="bottom"/>
            <w:hideMark/>
          </w:tcPr>
          <w:p w14:paraId="6DFAAF10" w14:textId="77777777" w:rsidR="008C3540" w:rsidRPr="00442A3B" w:rsidRDefault="008C3540" w:rsidP="00A62796">
            <w:pPr>
              <w:pStyle w:val="CGCTablesubhead1"/>
              <w:jc w:val="right"/>
              <w:rPr>
                <w:rFonts w:eastAsia="MS Mincho" w:cs="Open Sans Semibold"/>
                <w:color w:val="000000"/>
                <w:szCs w:val="16"/>
                <w:lang w:eastAsia="en-AU"/>
              </w:rPr>
            </w:pPr>
            <w:r w:rsidRPr="00442A3B">
              <w:rPr>
                <w:lang w:eastAsia="en-AU"/>
              </w:rPr>
              <w:t>253</w:t>
            </w:r>
          </w:p>
        </w:tc>
        <w:tc>
          <w:tcPr>
            <w:tcW w:w="720" w:type="dxa"/>
            <w:tcBorders>
              <w:top w:val="nil"/>
              <w:left w:val="nil"/>
              <w:bottom w:val="single" w:sz="4" w:space="0" w:color="ADD6EA"/>
              <w:right w:val="nil"/>
            </w:tcBorders>
            <w:shd w:val="clear" w:color="000000" w:fill="D6E7F0"/>
            <w:vAlign w:val="bottom"/>
            <w:hideMark/>
          </w:tcPr>
          <w:p w14:paraId="451AE29C" w14:textId="77777777" w:rsidR="008C3540" w:rsidRPr="00442A3B" w:rsidRDefault="008C3540" w:rsidP="00A62796">
            <w:pPr>
              <w:pStyle w:val="CGCTablesubhead1"/>
              <w:jc w:val="right"/>
              <w:rPr>
                <w:rFonts w:eastAsia="MS Mincho" w:cs="Open Sans Semibold"/>
                <w:color w:val="000000"/>
                <w:szCs w:val="16"/>
                <w:lang w:eastAsia="en-AU"/>
              </w:rPr>
            </w:pPr>
            <w:r w:rsidRPr="00442A3B">
              <w:rPr>
                <w:lang w:eastAsia="en-AU"/>
              </w:rPr>
              <w:t>89</w:t>
            </w:r>
          </w:p>
        </w:tc>
        <w:tc>
          <w:tcPr>
            <w:tcW w:w="720" w:type="dxa"/>
            <w:tcBorders>
              <w:top w:val="nil"/>
              <w:left w:val="nil"/>
              <w:bottom w:val="single" w:sz="4" w:space="0" w:color="ADD6EA"/>
              <w:right w:val="nil"/>
            </w:tcBorders>
            <w:shd w:val="clear" w:color="000000" w:fill="D6E7F0"/>
            <w:vAlign w:val="bottom"/>
            <w:hideMark/>
          </w:tcPr>
          <w:p w14:paraId="337466CB" w14:textId="77777777" w:rsidR="008C3540" w:rsidRPr="00442A3B" w:rsidRDefault="008C3540" w:rsidP="00A62796">
            <w:pPr>
              <w:pStyle w:val="CGCTablesubhead1"/>
              <w:jc w:val="right"/>
              <w:rPr>
                <w:rFonts w:eastAsia="MS Mincho" w:cs="Open Sans Semibold"/>
                <w:color w:val="000000"/>
                <w:szCs w:val="16"/>
                <w:lang w:eastAsia="en-AU"/>
              </w:rPr>
            </w:pPr>
            <w:r w:rsidRPr="00442A3B">
              <w:rPr>
                <w:lang w:eastAsia="en-AU"/>
              </w:rPr>
              <w:t>149</w:t>
            </w:r>
          </w:p>
        </w:tc>
        <w:tc>
          <w:tcPr>
            <w:tcW w:w="720" w:type="dxa"/>
            <w:tcBorders>
              <w:top w:val="nil"/>
              <w:left w:val="nil"/>
              <w:bottom w:val="single" w:sz="4" w:space="0" w:color="ADD6EA"/>
              <w:right w:val="nil"/>
            </w:tcBorders>
            <w:shd w:val="clear" w:color="000000" w:fill="D6E7F0"/>
            <w:vAlign w:val="bottom"/>
            <w:hideMark/>
          </w:tcPr>
          <w:p w14:paraId="139857B6" w14:textId="77777777" w:rsidR="008C3540" w:rsidRPr="00442A3B" w:rsidRDefault="008C3540" w:rsidP="00A62796">
            <w:pPr>
              <w:pStyle w:val="CGCTablesubhead1"/>
              <w:jc w:val="right"/>
              <w:rPr>
                <w:rFonts w:eastAsia="MS Mincho" w:cs="Open Sans Semibold"/>
                <w:color w:val="000000"/>
                <w:szCs w:val="16"/>
                <w:lang w:eastAsia="en-AU"/>
              </w:rPr>
            </w:pPr>
            <w:r w:rsidRPr="00442A3B">
              <w:rPr>
                <w:lang w:eastAsia="en-AU"/>
              </w:rPr>
              <w:t>4,030</w:t>
            </w:r>
          </w:p>
        </w:tc>
      </w:tr>
      <w:tr w:rsidR="008C3540" w:rsidRPr="00442A3B" w14:paraId="40805F27" w14:textId="77777777" w:rsidTr="00104CD5">
        <w:trPr>
          <w:trHeight w:val="315"/>
        </w:trPr>
        <w:tc>
          <w:tcPr>
            <w:tcW w:w="2420" w:type="dxa"/>
            <w:tcBorders>
              <w:top w:val="nil"/>
              <w:left w:val="nil"/>
              <w:bottom w:val="single" w:sz="4" w:space="0" w:color="ADD6EA"/>
              <w:right w:val="nil"/>
            </w:tcBorders>
            <w:shd w:val="clear" w:color="000000" w:fill="D6E7F0"/>
            <w:vAlign w:val="bottom"/>
            <w:hideMark/>
          </w:tcPr>
          <w:p w14:paraId="2A2EABA3" w14:textId="77777777" w:rsidR="008C3540" w:rsidRPr="00442A3B" w:rsidRDefault="008C3540" w:rsidP="000818DF">
            <w:pPr>
              <w:pStyle w:val="CGCTablesubhead1"/>
              <w:rPr>
                <w:rFonts w:eastAsia="MS Mincho" w:cs="Open Sans Semibold"/>
                <w:color w:val="000000"/>
                <w:szCs w:val="16"/>
                <w:lang w:eastAsia="en-AU"/>
              </w:rPr>
            </w:pPr>
            <w:r w:rsidRPr="00442A3B">
              <w:rPr>
                <w:lang w:eastAsia="en-AU"/>
              </w:rPr>
              <w:t>Change ($pc)</w:t>
            </w:r>
          </w:p>
        </w:tc>
        <w:tc>
          <w:tcPr>
            <w:tcW w:w="720" w:type="dxa"/>
            <w:tcBorders>
              <w:top w:val="nil"/>
              <w:left w:val="nil"/>
              <w:bottom w:val="single" w:sz="4" w:space="0" w:color="ADD6EA"/>
              <w:right w:val="nil"/>
            </w:tcBorders>
            <w:shd w:val="clear" w:color="000000" w:fill="D6E7F0"/>
            <w:vAlign w:val="bottom"/>
            <w:hideMark/>
          </w:tcPr>
          <w:p w14:paraId="5B7B48AE" w14:textId="77777777" w:rsidR="008C3540" w:rsidRPr="00442A3B" w:rsidRDefault="008C3540" w:rsidP="00A62796">
            <w:pPr>
              <w:pStyle w:val="CGCTablesubhead1"/>
              <w:jc w:val="right"/>
              <w:rPr>
                <w:rFonts w:eastAsia="MS Mincho" w:cs="Open Sans Semibold"/>
                <w:color w:val="000000"/>
                <w:szCs w:val="16"/>
                <w:lang w:eastAsia="en-AU"/>
              </w:rPr>
            </w:pPr>
            <w:r w:rsidRPr="00442A3B">
              <w:rPr>
                <w:lang w:eastAsia="en-AU"/>
              </w:rPr>
              <w:t>232</w:t>
            </w:r>
          </w:p>
        </w:tc>
        <w:tc>
          <w:tcPr>
            <w:tcW w:w="720" w:type="dxa"/>
            <w:tcBorders>
              <w:top w:val="nil"/>
              <w:left w:val="nil"/>
              <w:bottom w:val="single" w:sz="4" w:space="0" w:color="ADD6EA"/>
              <w:right w:val="nil"/>
            </w:tcBorders>
            <w:shd w:val="clear" w:color="000000" w:fill="D6E7F0"/>
            <w:vAlign w:val="bottom"/>
            <w:hideMark/>
          </w:tcPr>
          <w:p w14:paraId="23A02B75" w14:textId="77777777" w:rsidR="008C3540" w:rsidRPr="00442A3B" w:rsidRDefault="008C3540" w:rsidP="00A62796">
            <w:pPr>
              <w:pStyle w:val="CGCTablesubhead1"/>
              <w:jc w:val="right"/>
              <w:rPr>
                <w:rFonts w:eastAsia="MS Mincho" w:cs="Open Sans Semibold"/>
                <w:color w:val="000000"/>
                <w:szCs w:val="16"/>
                <w:lang w:eastAsia="en-AU"/>
              </w:rPr>
            </w:pPr>
            <w:r w:rsidRPr="00442A3B">
              <w:rPr>
                <w:lang w:eastAsia="en-AU"/>
              </w:rPr>
              <w:t>51</w:t>
            </w:r>
          </w:p>
        </w:tc>
        <w:tc>
          <w:tcPr>
            <w:tcW w:w="720" w:type="dxa"/>
            <w:tcBorders>
              <w:top w:val="nil"/>
              <w:left w:val="nil"/>
              <w:bottom w:val="single" w:sz="4" w:space="0" w:color="ADD6EA"/>
              <w:right w:val="nil"/>
            </w:tcBorders>
            <w:shd w:val="clear" w:color="000000" w:fill="D6E7F0"/>
            <w:vAlign w:val="bottom"/>
            <w:hideMark/>
          </w:tcPr>
          <w:p w14:paraId="52AFDEBA" w14:textId="77777777" w:rsidR="008C3540" w:rsidRPr="00442A3B" w:rsidRDefault="008C3540" w:rsidP="00A62796">
            <w:pPr>
              <w:pStyle w:val="CGCTablesubhead1"/>
              <w:jc w:val="right"/>
              <w:rPr>
                <w:rFonts w:eastAsia="MS Mincho" w:cs="Open Sans Semibold"/>
                <w:color w:val="000000"/>
                <w:szCs w:val="16"/>
                <w:lang w:eastAsia="en-AU"/>
              </w:rPr>
            </w:pPr>
            <w:r w:rsidRPr="00442A3B">
              <w:rPr>
                <w:lang w:eastAsia="en-AU"/>
              </w:rPr>
              <w:t>196</w:t>
            </w:r>
          </w:p>
        </w:tc>
        <w:tc>
          <w:tcPr>
            <w:tcW w:w="720" w:type="dxa"/>
            <w:tcBorders>
              <w:top w:val="nil"/>
              <w:left w:val="nil"/>
              <w:bottom w:val="single" w:sz="4" w:space="0" w:color="ADD6EA"/>
              <w:right w:val="nil"/>
            </w:tcBorders>
            <w:shd w:val="clear" w:color="000000" w:fill="D6E7F0"/>
            <w:vAlign w:val="bottom"/>
            <w:hideMark/>
          </w:tcPr>
          <w:p w14:paraId="40005A64" w14:textId="77777777" w:rsidR="008C3540" w:rsidRPr="00442A3B" w:rsidRDefault="008C3540" w:rsidP="00A62796">
            <w:pPr>
              <w:pStyle w:val="CGCTablesubhead1"/>
              <w:jc w:val="right"/>
              <w:rPr>
                <w:rFonts w:eastAsia="MS Mincho" w:cs="Open Sans Semibold"/>
                <w:color w:val="000000"/>
                <w:szCs w:val="16"/>
                <w:lang w:eastAsia="en-AU"/>
              </w:rPr>
            </w:pPr>
            <w:r w:rsidRPr="00442A3B">
              <w:rPr>
                <w:lang w:eastAsia="en-AU"/>
              </w:rPr>
              <w:t>-9</w:t>
            </w:r>
          </w:p>
        </w:tc>
        <w:tc>
          <w:tcPr>
            <w:tcW w:w="720" w:type="dxa"/>
            <w:tcBorders>
              <w:top w:val="nil"/>
              <w:left w:val="nil"/>
              <w:bottom w:val="single" w:sz="4" w:space="0" w:color="ADD6EA"/>
              <w:right w:val="nil"/>
            </w:tcBorders>
            <w:shd w:val="clear" w:color="000000" w:fill="D6E7F0"/>
            <w:vAlign w:val="bottom"/>
            <w:hideMark/>
          </w:tcPr>
          <w:p w14:paraId="6898797B" w14:textId="77777777" w:rsidR="008C3540" w:rsidRPr="00442A3B" w:rsidRDefault="008C3540" w:rsidP="00A62796">
            <w:pPr>
              <w:pStyle w:val="CGCTablesubhead1"/>
              <w:jc w:val="right"/>
              <w:rPr>
                <w:rFonts w:eastAsia="MS Mincho" w:cs="Open Sans Semibold"/>
                <w:color w:val="000000"/>
                <w:szCs w:val="16"/>
                <w:lang w:eastAsia="en-AU"/>
              </w:rPr>
            </w:pPr>
            <w:r w:rsidRPr="00442A3B">
              <w:rPr>
                <w:lang w:eastAsia="en-AU"/>
              </w:rPr>
              <w:t>170</w:t>
            </w:r>
          </w:p>
        </w:tc>
        <w:tc>
          <w:tcPr>
            <w:tcW w:w="720" w:type="dxa"/>
            <w:tcBorders>
              <w:top w:val="nil"/>
              <w:left w:val="nil"/>
              <w:bottom w:val="single" w:sz="4" w:space="0" w:color="ADD6EA"/>
              <w:right w:val="nil"/>
            </w:tcBorders>
            <w:shd w:val="clear" w:color="000000" w:fill="D6E7F0"/>
            <w:vAlign w:val="bottom"/>
            <w:hideMark/>
          </w:tcPr>
          <w:p w14:paraId="3C7944A4" w14:textId="77777777" w:rsidR="008C3540" w:rsidRPr="00442A3B" w:rsidRDefault="008C3540" w:rsidP="00A62796">
            <w:pPr>
              <w:pStyle w:val="CGCTablesubhead1"/>
              <w:jc w:val="right"/>
              <w:rPr>
                <w:rFonts w:eastAsia="MS Mincho" w:cs="Open Sans Semibold"/>
                <w:color w:val="000000"/>
                <w:szCs w:val="16"/>
                <w:lang w:eastAsia="en-AU"/>
              </w:rPr>
            </w:pPr>
            <w:r w:rsidRPr="00442A3B">
              <w:rPr>
                <w:lang w:eastAsia="en-AU"/>
              </w:rPr>
              <w:t>464</w:t>
            </w:r>
          </w:p>
        </w:tc>
        <w:tc>
          <w:tcPr>
            <w:tcW w:w="720" w:type="dxa"/>
            <w:tcBorders>
              <w:top w:val="nil"/>
              <w:left w:val="nil"/>
              <w:bottom w:val="single" w:sz="4" w:space="0" w:color="ADD6EA"/>
              <w:right w:val="nil"/>
            </w:tcBorders>
            <w:shd w:val="clear" w:color="000000" w:fill="D6E7F0"/>
            <w:vAlign w:val="bottom"/>
            <w:hideMark/>
          </w:tcPr>
          <w:p w14:paraId="134B2312" w14:textId="77777777" w:rsidR="008C3540" w:rsidRPr="00442A3B" w:rsidRDefault="008C3540" w:rsidP="00A62796">
            <w:pPr>
              <w:pStyle w:val="CGCTablesubhead1"/>
              <w:jc w:val="right"/>
              <w:rPr>
                <w:rFonts w:eastAsia="MS Mincho" w:cs="Open Sans Semibold"/>
                <w:color w:val="000000"/>
                <w:szCs w:val="16"/>
                <w:lang w:eastAsia="en-AU"/>
              </w:rPr>
            </w:pPr>
            <w:r w:rsidRPr="00442A3B">
              <w:rPr>
                <w:lang w:eastAsia="en-AU"/>
              </w:rPr>
              <w:t>205</w:t>
            </w:r>
          </w:p>
        </w:tc>
        <w:tc>
          <w:tcPr>
            <w:tcW w:w="720" w:type="dxa"/>
            <w:tcBorders>
              <w:top w:val="nil"/>
              <w:left w:val="nil"/>
              <w:bottom w:val="single" w:sz="4" w:space="0" w:color="ADD6EA"/>
              <w:right w:val="nil"/>
            </w:tcBorders>
            <w:shd w:val="clear" w:color="000000" w:fill="D6E7F0"/>
            <w:vAlign w:val="bottom"/>
            <w:hideMark/>
          </w:tcPr>
          <w:p w14:paraId="448D14B3" w14:textId="77777777" w:rsidR="008C3540" w:rsidRPr="00442A3B" w:rsidRDefault="008C3540" w:rsidP="00A62796">
            <w:pPr>
              <w:pStyle w:val="CGCTablesubhead1"/>
              <w:jc w:val="right"/>
              <w:rPr>
                <w:rFonts w:eastAsia="MS Mincho" w:cs="Open Sans Semibold"/>
                <w:color w:val="000000"/>
                <w:szCs w:val="16"/>
                <w:lang w:eastAsia="en-AU"/>
              </w:rPr>
            </w:pPr>
            <w:r w:rsidRPr="00442A3B">
              <w:rPr>
                <w:lang w:eastAsia="en-AU"/>
              </w:rPr>
              <w:t>626</w:t>
            </w:r>
          </w:p>
        </w:tc>
        <w:tc>
          <w:tcPr>
            <w:tcW w:w="720" w:type="dxa"/>
            <w:tcBorders>
              <w:top w:val="nil"/>
              <w:left w:val="nil"/>
              <w:bottom w:val="single" w:sz="4" w:space="0" w:color="ADD6EA"/>
              <w:right w:val="nil"/>
            </w:tcBorders>
            <w:shd w:val="clear" w:color="000000" w:fill="D6E7F0"/>
            <w:vAlign w:val="bottom"/>
            <w:hideMark/>
          </w:tcPr>
          <w:p w14:paraId="735FE27A" w14:textId="77777777" w:rsidR="008C3540" w:rsidRPr="00442A3B" w:rsidRDefault="008C3540" w:rsidP="00A62796">
            <w:pPr>
              <w:pStyle w:val="CGCTablesubhead1"/>
              <w:jc w:val="right"/>
              <w:rPr>
                <w:rFonts w:eastAsia="MS Mincho" w:cs="Open Sans Semibold"/>
                <w:color w:val="000000"/>
                <w:szCs w:val="16"/>
                <w:lang w:eastAsia="en-AU"/>
              </w:rPr>
            </w:pPr>
            <w:r w:rsidRPr="00442A3B">
              <w:rPr>
                <w:lang w:eastAsia="en-AU"/>
              </w:rPr>
              <w:t>156</w:t>
            </w:r>
          </w:p>
        </w:tc>
      </w:tr>
    </w:tbl>
    <w:p w14:paraId="288D8EA0" w14:textId="612B8AA0" w:rsidR="00165998" w:rsidRPr="00442A3B" w:rsidRDefault="00165998" w:rsidP="00796FC6">
      <w:pPr>
        <w:pStyle w:val="CGCTablenote"/>
        <w:keepNext/>
        <w:keepLines/>
      </w:pPr>
      <w:r w:rsidRPr="00442A3B">
        <w:t>(</w:t>
      </w:r>
      <w:r w:rsidR="0096000E" w:rsidRPr="00442A3B">
        <w:t>a</w:t>
      </w:r>
      <w:r w:rsidRPr="00442A3B">
        <w:t xml:space="preserve">) </w:t>
      </w:r>
      <w:r w:rsidRPr="00442A3B">
        <w:tab/>
        <w:t xml:space="preserve">Effects on the distribution of </w:t>
      </w:r>
      <w:r w:rsidR="008D00BE" w:rsidRPr="00442A3B">
        <w:t>2021-22</w:t>
      </w:r>
      <w:r w:rsidRPr="00442A3B">
        <w:t xml:space="preserve"> GST </w:t>
      </w:r>
      <w:r w:rsidR="00C81B22" w:rsidRPr="00442A3B">
        <w:t xml:space="preserve">pool </w:t>
      </w:r>
      <w:r w:rsidRPr="00442A3B">
        <w:t xml:space="preserve">of using estimated State populations as </w:t>
      </w:r>
      <w:r w:rsidR="005420ED" w:rsidRPr="00442A3B">
        <w:t>of</w:t>
      </w:r>
      <w:r w:rsidRPr="00442A3B">
        <w:t xml:space="preserve"> December 202</w:t>
      </w:r>
      <w:r w:rsidR="00642C9C" w:rsidRPr="00442A3B">
        <w:t>1</w:t>
      </w:r>
      <w:r w:rsidRPr="00442A3B">
        <w:t xml:space="preserve"> instead of December 20</w:t>
      </w:r>
      <w:r w:rsidR="00642C9C" w:rsidRPr="00442A3B">
        <w:t>20</w:t>
      </w:r>
      <w:r w:rsidRPr="00442A3B">
        <w:t xml:space="preserve">, with </w:t>
      </w:r>
      <w:r w:rsidR="005909B1" w:rsidRPr="00442A3B">
        <w:t>2020 Review</w:t>
      </w:r>
      <w:r w:rsidRPr="00442A3B">
        <w:t xml:space="preserve"> relativities.</w:t>
      </w:r>
    </w:p>
    <w:p w14:paraId="59A55A61" w14:textId="12FB0155" w:rsidR="00165998" w:rsidRPr="00442A3B" w:rsidRDefault="00165998" w:rsidP="00796FC6">
      <w:pPr>
        <w:pStyle w:val="CGCTablenote"/>
        <w:keepNext/>
        <w:keepLines/>
      </w:pPr>
      <w:r w:rsidRPr="00442A3B">
        <w:t>(</w:t>
      </w:r>
      <w:r w:rsidR="0096000E" w:rsidRPr="00442A3B">
        <w:t>b</w:t>
      </w:r>
      <w:r w:rsidRPr="00442A3B">
        <w:t>)</w:t>
      </w:r>
      <w:r w:rsidRPr="00442A3B">
        <w:tab/>
        <w:t xml:space="preserve">Effects of applying the </w:t>
      </w:r>
      <w:r w:rsidR="00320BE6" w:rsidRPr="00442A3B">
        <w:t>2020</w:t>
      </w:r>
      <w:r w:rsidRPr="00442A3B">
        <w:t> </w:t>
      </w:r>
      <w:r w:rsidR="00320BE6" w:rsidRPr="00442A3B">
        <w:t>Review</w:t>
      </w:r>
      <w:r w:rsidRPr="00442A3B">
        <w:t xml:space="preserve"> relativities to the estimated </w:t>
      </w:r>
      <w:r w:rsidR="007E00D9" w:rsidRPr="00442A3B">
        <w:t xml:space="preserve">2021-22 </w:t>
      </w:r>
      <w:r w:rsidRPr="00442A3B">
        <w:t xml:space="preserve">GST </w:t>
      </w:r>
      <w:r w:rsidR="00C81B22" w:rsidRPr="00442A3B">
        <w:t>pool</w:t>
      </w:r>
      <w:r w:rsidRPr="00442A3B">
        <w:t xml:space="preserve">. </w:t>
      </w:r>
    </w:p>
    <w:p w14:paraId="3789154E" w14:textId="084E6A99" w:rsidR="00165998" w:rsidRPr="00442A3B" w:rsidRDefault="00165998" w:rsidP="00796FC6">
      <w:pPr>
        <w:pStyle w:val="CGCTablenote"/>
        <w:keepNext/>
        <w:keepLines/>
      </w:pPr>
      <w:r w:rsidRPr="00442A3B">
        <w:t>(</w:t>
      </w:r>
      <w:r w:rsidR="0096000E" w:rsidRPr="00442A3B">
        <w:t>c</w:t>
      </w:r>
      <w:r w:rsidRPr="00442A3B">
        <w:t>)</w:t>
      </w:r>
      <w:r w:rsidRPr="00442A3B">
        <w:tab/>
        <w:t>Effects on the distribution of the 202</w:t>
      </w:r>
      <w:r w:rsidR="00465F34" w:rsidRPr="00442A3B">
        <w:t>1</w:t>
      </w:r>
      <w:r w:rsidRPr="00442A3B">
        <w:noBreakHyphen/>
        <w:t>2</w:t>
      </w:r>
      <w:r w:rsidR="00465F34" w:rsidRPr="00442A3B">
        <w:t>2</w:t>
      </w:r>
      <w:r w:rsidRPr="00442A3B">
        <w:t xml:space="preserve"> GST </w:t>
      </w:r>
      <w:r w:rsidR="000B50DF" w:rsidRPr="00442A3B">
        <w:t xml:space="preserve">pool </w:t>
      </w:r>
      <w:r w:rsidRPr="00442A3B">
        <w:t xml:space="preserve">of using the </w:t>
      </w:r>
      <w:r w:rsidR="005909B1" w:rsidRPr="00442A3B">
        <w:t>2021 Update</w:t>
      </w:r>
      <w:r w:rsidRPr="00442A3B">
        <w:t xml:space="preserve"> relativities instead of 2020 Review relativities.</w:t>
      </w:r>
    </w:p>
    <w:p w14:paraId="2103118D" w14:textId="1204E297" w:rsidR="00165998" w:rsidRPr="00442A3B" w:rsidRDefault="00165998" w:rsidP="00796FC6">
      <w:pPr>
        <w:pStyle w:val="CGCTablenote"/>
        <w:keepNext/>
        <w:keepLines/>
      </w:pPr>
      <w:r w:rsidRPr="00442A3B">
        <w:t>Source</w:t>
      </w:r>
      <w:r w:rsidR="008141A9" w:rsidRPr="00442A3B">
        <w:t>s</w:t>
      </w:r>
      <w:r w:rsidRPr="00442A3B">
        <w:t>:</w:t>
      </w:r>
      <w:r w:rsidRPr="00442A3B">
        <w:tab/>
        <w:t>20</w:t>
      </w:r>
      <w:r w:rsidR="008C4C8A" w:rsidRPr="00442A3B">
        <w:t>20-21</w:t>
      </w:r>
      <w:r w:rsidRPr="00442A3B">
        <w:t xml:space="preserve"> and 202</w:t>
      </w:r>
      <w:r w:rsidR="008C4C8A" w:rsidRPr="00442A3B">
        <w:t>1</w:t>
      </w:r>
      <w:r w:rsidRPr="00442A3B">
        <w:noBreakHyphen/>
        <w:t>2</w:t>
      </w:r>
      <w:r w:rsidR="008C4C8A" w:rsidRPr="00442A3B">
        <w:t>2</w:t>
      </w:r>
      <w:r w:rsidRPr="00442A3B">
        <w:t xml:space="preserve"> GST </w:t>
      </w:r>
      <w:r w:rsidR="0044502B" w:rsidRPr="00442A3B">
        <w:t>pool</w:t>
      </w:r>
      <w:r w:rsidRPr="00442A3B">
        <w:t xml:space="preserve"> </w:t>
      </w:r>
      <w:r w:rsidR="00215FCE" w:rsidRPr="00442A3B">
        <w:t xml:space="preserve">estimates </w:t>
      </w:r>
      <w:r w:rsidR="00A200AE" w:rsidRPr="00442A3B">
        <w:t>were</w:t>
      </w:r>
      <w:r w:rsidRPr="00442A3B">
        <w:t xml:space="preserve"> taken from the </w:t>
      </w:r>
      <w:r w:rsidR="00D96AF6" w:rsidRPr="00442A3B">
        <w:t>Commonwealth</w:t>
      </w:r>
      <w:r w:rsidRPr="00442A3B">
        <w:t xml:space="preserve"> Budget, </w:t>
      </w:r>
      <w:r w:rsidRPr="00442A3B">
        <w:rPr>
          <w:i/>
          <w:iCs/>
        </w:rPr>
        <w:t>Mid</w:t>
      </w:r>
      <w:r w:rsidRPr="00442A3B">
        <w:rPr>
          <w:i/>
          <w:iCs/>
        </w:rPr>
        <w:noBreakHyphen/>
        <w:t xml:space="preserve">Year Economic and Fiscal Outlook </w:t>
      </w:r>
      <w:r w:rsidR="008C4C8A" w:rsidRPr="00442A3B">
        <w:rPr>
          <w:i/>
          <w:iCs/>
        </w:rPr>
        <w:t>2020-21</w:t>
      </w:r>
      <w:r w:rsidRPr="00442A3B">
        <w:t>. December 20</w:t>
      </w:r>
      <w:r w:rsidR="004B54C8" w:rsidRPr="00442A3B">
        <w:t>20</w:t>
      </w:r>
      <w:r w:rsidRPr="00442A3B">
        <w:t xml:space="preserve"> and 202</w:t>
      </w:r>
      <w:r w:rsidR="004B54C8" w:rsidRPr="00442A3B">
        <w:t>1</w:t>
      </w:r>
      <w:r w:rsidRPr="00442A3B">
        <w:t xml:space="preserve"> population estimates were provided by the </w:t>
      </w:r>
      <w:r w:rsidR="00405E62" w:rsidRPr="00442A3B">
        <w:t>Australian</w:t>
      </w:r>
      <w:r w:rsidRPr="00442A3B">
        <w:t xml:space="preserve"> Treasury</w:t>
      </w:r>
      <w:r w:rsidR="00142D57" w:rsidRPr="00442A3B">
        <w:t xml:space="preserve"> from the same source</w:t>
      </w:r>
      <w:r w:rsidRPr="00442A3B">
        <w:t>.</w:t>
      </w:r>
    </w:p>
    <w:p w14:paraId="0DC51B41" w14:textId="3F6882DB" w:rsidR="00165998" w:rsidRPr="00442A3B" w:rsidRDefault="00165998" w:rsidP="000361EA">
      <w:pPr>
        <w:pStyle w:val="CGCParaNumber"/>
        <w:ind w:left="567" w:hanging="567"/>
      </w:pPr>
      <w:r w:rsidRPr="00442A3B">
        <w:t xml:space="preserve">The distributions </w:t>
      </w:r>
      <w:r w:rsidR="005A7C10" w:rsidRPr="00442A3B">
        <w:t xml:space="preserve">in 2020-21 and 2021-22 </w:t>
      </w:r>
      <w:r w:rsidRPr="00442A3B">
        <w:t>differ</w:t>
      </w:r>
      <w:r w:rsidR="00A07377" w:rsidRPr="00442A3B">
        <w:t>ed</w:t>
      </w:r>
      <w:r w:rsidRPr="00442A3B">
        <w:t xml:space="preserve"> for the following reasons.</w:t>
      </w:r>
    </w:p>
    <w:p w14:paraId="5DB33599" w14:textId="54712AD8" w:rsidR="00165998" w:rsidRPr="00442A3B" w:rsidRDefault="00165998" w:rsidP="00B96ED5">
      <w:pPr>
        <w:pStyle w:val="CGCBullet1"/>
      </w:pPr>
      <w:r w:rsidRPr="00442A3B">
        <w:t xml:space="preserve">State populations </w:t>
      </w:r>
      <w:r w:rsidR="00FC3430" w:rsidRPr="00442A3B">
        <w:t>differ</w:t>
      </w:r>
      <w:r w:rsidR="005532E2" w:rsidRPr="00442A3B">
        <w:t>ed</w:t>
      </w:r>
      <w:r w:rsidR="0047098A" w:rsidRPr="00442A3B">
        <w:t>.</w:t>
      </w:r>
      <w:r w:rsidRPr="00442A3B" w:rsidDel="0047098A">
        <w:t xml:space="preserve"> </w:t>
      </w:r>
      <w:r w:rsidR="0047098A" w:rsidRPr="00442A3B">
        <w:t>T</w:t>
      </w:r>
      <w:r w:rsidRPr="00442A3B">
        <w:t xml:space="preserve">he </w:t>
      </w:r>
      <w:r w:rsidR="005E7EE6" w:rsidRPr="00442A3B">
        <w:t>estimated</w:t>
      </w:r>
      <w:r w:rsidRPr="00442A3B">
        <w:t xml:space="preserve"> 202</w:t>
      </w:r>
      <w:r w:rsidR="004145FB" w:rsidRPr="00442A3B">
        <w:t>1</w:t>
      </w:r>
      <w:r w:rsidRPr="00442A3B">
        <w:noBreakHyphen/>
        <w:t>2</w:t>
      </w:r>
      <w:r w:rsidR="004145FB" w:rsidRPr="00442A3B">
        <w:t>2</w:t>
      </w:r>
      <w:r w:rsidRPr="00442A3B">
        <w:t xml:space="preserve"> distribution </w:t>
      </w:r>
      <w:r w:rsidR="005532E2" w:rsidRPr="00442A3B">
        <w:t>was</w:t>
      </w:r>
      <w:r w:rsidRPr="00442A3B">
        <w:t xml:space="preserve"> based on estimated State populations as </w:t>
      </w:r>
      <w:r w:rsidR="005420ED" w:rsidRPr="00442A3B">
        <w:t>of</w:t>
      </w:r>
      <w:r w:rsidRPr="00442A3B">
        <w:t xml:space="preserve"> December 202</w:t>
      </w:r>
      <w:r w:rsidR="00B93B02" w:rsidRPr="00442A3B">
        <w:t>1</w:t>
      </w:r>
      <w:r w:rsidRPr="00442A3B">
        <w:t>, whereas the 20</w:t>
      </w:r>
      <w:r w:rsidR="004145FB" w:rsidRPr="00442A3B">
        <w:t>20</w:t>
      </w:r>
      <w:r w:rsidRPr="00442A3B">
        <w:noBreakHyphen/>
        <w:t>2</w:t>
      </w:r>
      <w:r w:rsidR="004145FB" w:rsidRPr="00442A3B">
        <w:t>1</w:t>
      </w:r>
      <w:r w:rsidRPr="00442A3B">
        <w:t xml:space="preserve"> distribution </w:t>
      </w:r>
      <w:r w:rsidR="005532E2" w:rsidRPr="00442A3B">
        <w:t>was</w:t>
      </w:r>
      <w:r w:rsidRPr="00442A3B">
        <w:t xml:space="preserve"> based on populations for a year earlier. State shares of the total population differ</w:t>
      </w:r>
      <w:r w:rsidR="005532E2" w:rsidRPr="00442A3B">
        <w:t>ed</w:t>
      </w:r>
      <w:r w:rsidRPr="00442A3B">
        <w:t xml:space="preserve"> slightly between these two dates and affect</w:t>
      </w:r>
      <w:r w:rsidR="005532E2" w:rsidRPr="00442A3B">
        <w:t>ed</w:t>
      </w:r>
      <w:r w:rsidRPr="00442A3B">
        <w:t xml:space="preserve"> the total GST allocation for each State.</w:t>
      </w:r>
    </w:p>
    <w:p w14:paraId="3F1C1622" w14:textId="62DC8D19" w:rsidR="00165998" w:rsidRPr="00442A3B" w:rsidRDefault="00165998" w:rsidP="00165998">
      <w:pPr>
        <w:pStyle w:val="CGCBullet1"/>
      </w:pPr>
      <w:r w:rsidRPr="00442A3B">
        <w:t xml:space="preserve">The size of the GST pool available for distribution </w:t>
      </w:r>
      <w:r w:rsidR="005532E2" w:rsidRPr="00442A3B">
        <w:t>was</w:t>
      </w:r>
      <w:r w:rsidR="000C398C" w:rsidRPr="00442A3B">
        <w:t xml:space="preserve"> different</w:t>
      </w:r>
      <w:r w:rsidRPr="00442A3B">
        <w:t xml:space="preserve">. Any growth in the pool </w:t>
      </w:r>
      <w:r w:rsidR="005532E2" w:rsidRPr="00442A3B">
        <w:t>was</w:t>
      </w:r>
      <w:r w:rsidRPr="00442A3B">
        <w:t xml:space="preserve"> distributed among States using their relativity-weighted population shares.</w:t>
      </w:r>
    </w:p>
    <w:p w14:paraId="3389F13E" w14:textId="0E5E4D26" w:rsidR="00165998" w:rsidRPr="00442A3B" w:rsidRDefault="00165998" w:rsidP="00165998">
      <w:pPr>
        <w:pStyle w:val="CGCBullet1"/>
      </w:pPr>
      <w:r w:rsidRPr="00442A3B">
        <w:t xml:space="preserve">The relativities used to distribute the GST </w:t>
      </w:r>
      <w:r w:rsidR="005A390F" w:rsidRPr="00442A3B">
        <w:t>differ</w:t>
      </w:r>
      <w:r w:rsidR="005532E2" w:rsidRPr="00442A3B">
        <w:t>ed</w:t>
      </w:r>
      <w:r w:rsidRPr="00442A3B">
        <w:t xml:space="preserve">, </w:t>
      </w:r>
      <w:r w:rsidR="000F3223" w:rsidRPr="00442A3B">
        <w:t xml:space="preserve">mainly </w:t>
      </w:r>
      <w:r w:rsidRPr="00442A3B">
        <w:t xml:space="preserve">reflecting changes in the </w:t>
      </w:r>
      <w:r w:rsidR="002F76ED" w:rsidRPr="00442A3B">
        <w:t>relative</w:t>
      </w:r>
      <w:r w:rsidRPr="00442A3B">
        <w:t xml:space="preserve"> fiscal capacities of the States. The </w:t>
      </w:r>
      <w:r w:rsidR="005E7EE6" w:rsidRPr="00442A3B">
        <w:t>estimated</w:t>
      </w:r>
      <w:r w:rsidRPr="00442A3B">
        <w:t xml:space="preserve"> 202</w:t>
      </w:r>
      <w:r w:rsidR="00816BB1" w:rsidRPr="00442A3B">
        <w:t>1</w:t>
      </w:r>
      <w:r w:rsidRPr="00442A3B">
        <w:noBreakHyphen/>
        <w:t>2</w:t>
      </w:r>
      <w:r w:rsidR="00816BB1" w:rsidRPr="00442A3B">
        <w:t>2</w:t>
      </w:r>
      <w:r w:rsidRPr="00442A3B">
        <w:t xml:space="preserve"> distribution </w:t>
      </w:r>
      <w:r w:rsidR="005532E2" w:rsidRPr="00442A3B">
        <w:t>was</w:t>
      </w:r>
      <w:r w:rsidRPr="00442A3B">
        <w:t xml:space="preserve"> based on the relativities recommended in this report whereas the 20</w:t>
      </w:r>
      <w:r w:rsidR="00044D2D" w:rsidRPr="00442A3B">
        <w:t>20</w:t>
      </w:r>
      <w:r w:rsidRPr="00442A3B">
        <w:noBreakHyphen/>
      </w:r>
      <w:r w:rsidR="00044D2D" w:rsidRPr="00442A3B">
        <w:t>21</w:t>
      </w:r>
      <w:r w:rsidRPr="00442A3B">
        <w:t xml:space="preserve"> distribution </w:t>
      </w:r>
      <w:r w:rsidR="005532E2" w:rsidRPr="00442A3B">
        <w:t>was</w:t>
      </w:r>
      <w:r w:rsidRPr="00442A3B">
        <w:t xml:space="preserve"> based on the </w:t>
      </w:r>
      <w:r w:rsidR="00586F99" w:rsidRPr="00442A3B">
        <w:t>2020 Review</w:t>
      </w:r>
      <w:r w:rsidRPr="00442A3B">
        <w:t xml:space="preserve"> relativities.</w:t>
      </w:r>
      <w:r w:rsidR="00196B1B" w:rsidRPr="00442A3B">
        <w:t xml:space="preserve"> </w:t>
      </w:r>
    </w:p>
    <w:p w14:paraId="0F526988" w14:textId="67A73CCE" w:rsidR="0082192C" w:rsidRPr="00442A3B" w:rsidRDefault="0082192C" w:rsidP="00D56C28">
      <w:pPr>
        <w:pStyle w:val="Heading4"/>
      </w:pPr>
      <w:bookmarkStart w:id="68" w:name="_Toc65050523"/>
      <w:r w:rsidRPr="00442A3B">
        <w:t>Contribution to change in distribution of GST from 2020-21 to 2021-22</w:t>
      </w:r>
      <w:bookmarkEnd w:id="68"/>
    </w:p>
    <w:p w14:paraId="614306DF" w14:textId="213A89E3" w:rsidR="00166446" w:rsidRPr="00442A3B" w:rsidRDefault="00CD51C2" w:rsidP="000361EA">
      <w:pPr>
        <w:pStyle w:val="CGCParaNumber"/>
        <w:ind w:left="567" w:hanging="567"/>
      </w:pPr>
      <w:r w:rsidRPr="00442A3B">
        <w:t xml:space="preserve">In this </w:t>
      </w:r>
      <w:r w:rsidR="002F0CB5" w:rsidRPr="00442A3B">
        <w:t>update,</w:t>
      </w:r>
      <w:r w:rsidR="002866A4" w:rsidRPr="00442A3B">
        <w:t xml:space="preserve"> the </w:t>
      </w:r>
      <w:r w:rsidR="002F0CB5" w:rsidRPr="00442A3B">
        <w:t xml:space="preserve">GST relativities </w:t>
      </w:r>
      <w:r w:rsidR="00624E99" w:rsidRPr="00442A3B">
        <w:t>we</w:t>
      </w:r>
      <w:r w:rsidR="001047BD" w:rsidRPr="00442A3B">
        <w:t xml:space="preserve">re </w:t>
      </w:r>
      <w:r w:rsidR="008928D5" w:rsidRPr="00442A3B">
        <w:t>influenced</w:t>
      </w:r>
      <w:r w:rsidR="001047BD" w:rsidRPr="00442A3B">
        <w:t xml:space="preserve"> </w:t>
      </w:r>
      <w:r w:rsidR="00166446" w:rsidRPr="00442A3B">
        <w:t>by</w:t>
      </w:r>
      <w:r w:rsidR="00DC0833" w:rsidRPr="00442A3B">
        <w:t>:</w:t>
      </w:r>
    </w:p>
    <w:p w14:paraId="13AFFA42" w14:textId="3592863A" w:rsidR="00F85539" w:rsidRPr="00442A3B" w:rsidRDefault="008928D5" w:rsidP="002F3F4A">
      <w:pPr>
        <w:pStyle w:val="CGCBullet1"/>
      </w:pPr>
      <w:r w:rsidRPr="00442A3B">
        <w:t xml:space="preserve">States’ </w:t>
      </w:r>
      <w:r w:rsidR="00C53642" w:rsidRPr="00442A3B">
        <w:t>relative</w:t>
      </w:r>
      <w:r w:rsidRPr="00442A3B">
        <w:t xml:space="preserve"> fiscal capacities</w:t>
      </w:r>
    </w:p>
    <w:p w14:paraId="7E0A569F" w14:textId="4F7514C7" w:rsidR="008928D5" w:rsidRPr="00442A3B" w:rsidRDefault="008928D5" w:rsidP="002F3F4A">
      <w:pPr>
        <w:pStyle w:val="CGCBullet1"/>
      </w:pPr>
      <w:r w:rsidRPr="00442A3B">
        <w:t xml:space="preserve">introduction of the </w:t>
      </w:r>
      <w:r w:rsidR="005245A7" w:rsidRPr="00442A3B">
        <w:t>transition</w:t>
      </w:r>
      <w:r w:rsidRPr="00442A3B">
        <w:t xml:space="preserve"> arrangements.</w:t>
      </w:r>
    </w:p>
    <w:p w14:paraId="4342FD56" w14:textId="52C26A45" w:rsidR="004B09D6" w:rsidRPr="00442A3B" w:rsidRDefault="00226579" w:rsidP="000361EA">
      <w:pPr>
        <w:pStyle w:val="CGCParaNumber"/>
        <w:ind w:left="567" w:hanging="567"/>
      </w:pPr>
      <w:r w:rsidRPr="00442A3B">
        <w:t xml:space="preserve">The States’ </w:t>
      </w:r>
      <w:r w:rsidR="00526DD2" w:rsidRPr="00442A3B">
        <w:t>relative</w:t>
      </w:r>
      <w:r w:rsidRPr="00442A3B">
        <w:t xml:space="preserve"> fiscal capacities</w:t>
      </w:r>
      <w:r w:rsidR="00ED021B" w:rsidRPr="00442A3B">
        <w:t xml:space="preserve"> </w:t>
      </w:r>
      <w:r w:rsidR="004B09D6" w:rsidRPr="00442A3B">
        <w:t>changed due to data revisions</w:t>
      </w:r>
      <w:r w:rsidR="0046103B" w:rsidRPr="00442A3B">
        <w:t xml:space="preserve"> and changes in State circumstances</w:t>
      </w:r>
      <w:r w:rsidR="0070652E" w:rsidRPr="00442A3B">
        <w:t>.</w:t>
      </w:r>
    </w:p>
    <w:p w14:paraId="2624ACD0" w14:textId="29DA9AE7" w:rsidR="00CF1172" w:rsidRPr="00442A3B" w:rsidRDefault="00CF1172" w:rsidP="000361EA">
      <w:pPr>
        <w:pStyle w:val="CGCParaNumber"/>
        <w:ind w:left="567" w:hanging="567"/>
      </w:pPr>
      <w:r w:rsidRPr="00442A3B">
        <w:fldChar w:fldCharType="begin"/>
      </w:r>
      <w:r w:rsidRPr="00442A3B">
        <w:instrText xml:space="preserve"> REF _Ref18316745 \h  \* MERGEFORMAT </w:instrText>
      </w:r>
      <w:r w:rsidRPr="00442A3B">
        <w:fldChar w:fldCharType="separate"/>
      </w:r>
      <w:r w:rsidR="00FC3D3D" w:rsidRPr="00442A3B">
        <w:t>Table 1-</w:t>
      </w:r>
      <w:r w:rsidR="00FC3D3D">
        <w:t>4</w:t>
      </w:r>
      <w:r w:rsidRPr="00442A3B">
        <w:fldChar w:fldCharType="end"/>
      </w:r>
      <w:r w:rsidRPr="00442A3B">
        <w:t xml:space="preserve"> divides the change in relativities between the change in </w:t>
      </w:r>
      <w:r w:rsidR="00D52550" w:rsidRPr="00442A3B">
        <w:t>assessed</w:t>
      </w:r>
      <w:r w:rsidRPr="00442A3B">
        <w:t xml:space="preserve"> fiscal capacities and changes due to the </w:t>
      </w:r>
      <w:r w:rsidR="005245A7" w:rsidRPr="00442A3B">
        <w:t>transition</w:t>
      </w:r>
      <w:r w:rsidRPr="00442A3B">
        <w:t xml:space="preserve"> arrangements. </w:t>
      </w:r>
      <w:r w:rsidR="00C549FF" w:rsidRPr="00442A3B">
        <w:t>Changes</w:t>
      </w:r>
      <w:r w:rsidR="00D27DDE" w:rsidRPr="00442A3B">
        <w:t xml:space="preserve"> in relative fiscal capacities account</w:t>
      </w:r>
      <w:r w:rsidR="005532E2" w:rsidRPr="00442A3B">
        <w:t>ed</w:t>
      </w:r>
      <w:r w:rsidR="00D27DDE" w:rsidRPr="00442A3B">
        <w:t xml:space="preserve"> for most of the change</w:t>
      </w:r>
      <w:r w:rsidR="00CB0CB9" w:rsidRPr="00442A3B">
        <w:t xml:space="preserve"> in relativities</w:t>
      </w:r>
      <w:r w:rsidR="00D27DDE" w:rsidRPr="00442A3B">
        <w:t xml:space="preserve">. </w:t>
      </w:r>
      <w:r w:rsidR="008559CF" w:rsidRPr="00442A3B">
        <w:t>These changes do no</w:t>
      </w:r>
      <w:r w:rsidR="001120F9" w:rsidRPr="00442A3B">
        <w:t>t</w:t>
      </w:r>
      <w:r w:rsidR="008559CF" w:rsidRPr="00442A3B">
        <w:t xml:space="preserve"> include the </w:t>
      </w:r>
      <w:r w:rsidR="00680C0D" w:rsidRPr="00442A3B">
        <w:t>‘</w:t>
      </w:r>
      <w:r w:rsidR="000824A6" w:rsidRPr="00442A3B">
        <w:t>no</w:t>
      </w:r>
      <w:r w:rsidR="004C04A0">
        <w:t> </w:t>
      </w:r>
      <w:r w:rsidR="000824A6" w:rsidRPr="00442A3B">
        <w:t>worse</w:t>
      </w:r>
      <w:r w:rsidR="004C04A0">
        <w:t> </w:t>
      </w:r>
      <w:r w:rsidR="000824A6" w:rsidRPr="00442A3B">
        <w:t>off</w:t>
      </w:r>
      <w:r w:rsidR="00680C0D" w:rsidRPr="00442A3B">
        <w:t>’</w:t>
      </w:r>
      <w:r w:rsidR="000824A6" w:rsidRPr="00442A3B">
        <w:t xml:space="preserve"> arrangements, which are </w:t>
      </w:r>
      <w:r w:rsidR="008966C4" w:rsidRPr="00442A3B">
        <w:t>presented</w:t>
      </w:r>
      <w:r w:rsidR="000824A6" w:rsidRPr="00442A3B">
        <w:t xml:space="preserve"> in A</w:t>
      </w:r>
      <w:r w:rsidR="009D1AEE" w:rsidRPr="00442A3B">
        <w:t>ttachment</w:t>
      </w:r>
      <w:r w:rsidR="000824A6" w:rsidRPr="00442A3B">
        <w:t xml:space="preserve"> A.</w:t>
      </w:r>
    </w:p>
    <w:p w14:paraId="68067B1B" w14:textId="2A34E354" w:rsidR="00CF1172" w:rsidRPr="00442A3B" w:rsidRDefault="00CF1172" w:rsidP="00796FC6">
      <w:pPr>
        <w:pStyle w:val="Caption"/>
      </w:pPr>
      <w:bookmarkStart w:id="69" w:name="_Ref18316745"/>
      <w:bookmarkStart w:id="70" w:name="_Toc62487272"/>
      <w:bookmarkStart w:id="71" w:name="_Toc62723803"/>
      <w:r w:rsidRPr="00442A3B">
        <w:lastRenderedPageBreak/>
        <w:t>Table 1-</w:t>
      </w:r>
      <w:r w:rsidRPr="00442A3B">
        <w:rPr>
          <w:noProof/>
        </w:rPr>
        <w:fldChar w:fldCharType="begin"/>
      </w:r>
      <w:r w:rsidRPr="00442A3B">
        <w:rPr>
          <w:noProof/>
        </w:rPr>
        <w:instrText xml:space="preserve"> SEQ Table \* ARABIC </w:instrText>
      </w:r>
      <w:r w:rsidRPr="00442A3B">
        <w:rPr>
          <w:noProof/>
        </w:rPr>
        <w:fldChar w:fldCharType="separate"/>
      </w:r>
      <w:r w:rsidR="00FC3D3D">
        <w:rPr>
          <w:noProof/>
        </w:rPr>
        <w:t>4</w:t>
      </w:r>
      <w:r w:rsidRPr="00442A3B">
        <w:rPr>
          <w:noProof/>
        </w:rPr>
        <w:fldChar w:fldCharType="end"/>
      </w:r>
      <w:bookmarkEnd w:id="69"/>
      <w:r w:rsidRPr="00442A3B">
        <w:tab/>
        <w:t xml:space="preserve">Contribution to change in </w:t>
      </w:r>
      <w:r w:rsidR="00CE5898" w:rsidRPr="00442A3B">
        <w:t>distribution of GST</w:t>
      </w:r>
      <w:r w:rsidRPr="00442A3B">
        <w:t xml:space="preserve"> from 202</w:t>
      </w:r>
      <w:r w:rsidR="00A92E56" w:rsidRPr="00442A3B">
        <w:t>0</w:t>
      </w:r>
      <w:r w:rsidRPr="00442A3B">
        <w:t>-2</w:t>
      </w:r>
      <w:r w:rsidR="00A92E56" w:rsidRPr="00442A3B">
        <w:t>1</w:t>
      </w:r>
      <w:r w:rsidRPr="00442A3B">
        <w:t xml:space="preserve"> to 2021-22</w:t>
      </w:r>
      <w:bookmarkEnd w:id="70"/>
      <w:bookmarkEnd w:id="71"/>
    </w:p>
    <w:tbl>
      <w:tblPr>
        <w:tblW w:w="8902" w:type="dxa"/>
        <w:tblCellMar>
          <w:left w:w="28" w:type="dxa"/>
          <w:right w:w="28" w:type="dxa"/>
        </w:tblCellMar>
        <w:tblLook w:val="04A0" w:firstRow="1" w:lastRow="0" w:firstColumn="1" w:lastColumn="0" w:noHBand="0" w:noVBand="1"/>
      </w:tblPr>
      <w:tblGrid>
        <w:gridCol w:w="3088"/>
        <w:gridCol w:w="719"/>
        <w:gridCol w:w="655"/>
        <w:gridCol w:w="655"/>
        <w:gridCol w:w="655"/>
        <w:gridCol w:w="571"/>
        <w:gridCol w:w="571"/>
        <w:gridCol w:w="613"/>
        <w:gridCol w:w="571"/>
        <w:gridCol w:w="804"/>
      </w:tblGrid>
      <w:tr w:rsidR="00104CD5" w:rsidRPr="00442A3B" w14:paraId="792A9BD9" w14:textId="77777777" w:rsidTr="1910AC51">
        <w:trPr>
          <w:trHeight w:val="375"/>
        </w:trPr>
        <w:tc>
          <w:tcPr>
            <w:tcW w:w="2920" w:type="dxa"/>
            <w:tcBorders>
              <w:top w:val="nil"/>
              <w:left w:val="nil"/>
              <w:bottom w:val="nil"/>
              <w:right w:val="nil"/>
            </w:tcBorders>
            <w:shd w:val="clear" w:color="auto" w:fill="006991"/>
            <w:vAlign w:val="bottom"/>
            <w:hideMark/>
          </w:tcPr>
          <w:p w14:paraId="1FCDE629" w14:textId="77777777" w:rsidR="006D0D11" w:rsidRPr="00442A3B" w:rsidRDefault="006D0D11" w:rsidP="00796FC6">
            <w:pPr>
              <w:keepNext/>
              <w:keepLines/>
              <w:tabs>
                <w:tab w:val="clear" w:pos="567"/>
              </w:tabs>
              <w:spacing w:before="0" w:line="240" w:lineRule="auto"/>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 </w:t>
            </w:r>
          </w:p>
        </w:tc>
        <w:tc>
          <w:tcPr>
            <w:tcW w:w="680" w:type="dxa"/>
            <w:tcBorders>
              <w:top w:val="nil"/>
              <w:left w:val="nil"/>
              <w:bottom w:val="nil"/>
              <w:right w:val="nil"/>
            </w:tcBorders>
            <w:shd w:val="clear" w:color="auto" w:fill="006991"/>
            <w:vAlign w:val="center"/>
            <w:hideMark/>
          </w:tcPr>
          <w:p w14:paraId="39036D1D" w14:textId="77777777" w:rsidR="006D0D11" w:rsidRPr="00442A3B" w:rsidRDefault="006D0D11" w:rsidP="00796FC6">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NSW</w:t>
            </w:r>
          </w:p>
        </w:tc>
        <w:tc>
          <w:tcPr>
            <w:tcW w:w="620" w:type="dxa"/>
            <w:tcBorders>
              <w:top w:val="nil"/>
              <w:left w:val="nil"/>
              <w:bottom w:val="nil"/>
              <w:right w:val="nil"/>
            </w:tcBorders>
            <w:shd w:val="clear" w:color="auto" w:fill="006991"/>
            <w:vAlign w:val="center"/>
            <w:hideMark/>
          </w:tcPr>
          <w:p w14:paraId="537DD08B" w14:textId="77777777" w:rsidR="006D0D11" w:rsidRPr="00442A3B" w:rsidRDefault="006D0D11" w:rsidP="00796FC6">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Vic</w:t>
            </w:r>
          </w:p>
        </w:tc>
        <w:tc>
          <w:tcPr>
            <w:tcW w:w="620" w:type="dxa"/>
            <w:tcBorders>
              <w:top w:val="nil"/>
              <w:left w:val="nil"/>
              <w:bottom w:val="nil"/>
              <w:right w:val="nil"/>
            </w:tcBorders>
            <w:shd w:val="clear" w:color="auto" w:fill="006991"/>
            <w:vAlign w:val="center"/>
            <w:hideMark/>
          </w:tcPr>
          <w:p w14:paraId="1CB64AA0" w14:textId="77777777" w:rsidR="006D0D11" w:rsidRPr="00442A3B" w:rsidRDefault="006D0D11" w:rsidP="00796FC6">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Qld</w:t>
            </w:r>
          </w:p>
        </w:tc>
        <w:tc>
          <w:tcPr>
            <w:tcW w:w="620" w:type="dxa"/>
            <w:tcBorders>
              <w:top w:val="nil"/>
              <w:left w:val="nil"/>
              <w:bottom w:val="nil"/>
              <w:right w:val="nil"/>
            </w:tcBorders>
            <w:shd w:val="clear" w:color="auto" w:fill="006991"/>
            <w:vAlign w:val="center"/>
            <w:hideMark/>
          </w:tcPr>
          <w:p w14:paraId="1859A5B5" w14:textId="77777777" w:rsidR="006D0D11" w:rsidRPr="00442A3B" w:rsidRDefault="006D0D11" w:rsidP="00796FC6">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WA</w:t>
            </w:r>
          </w:p>
        </w:tc>
        <w:tc>
          <w:tcPr>
            <w:tcW w:w="540" w:type="dxa"/>
            <w:tcBorders>
              <w:top w:val="nil"/>
              <w:left w:val="nil"/>
              <w:bottom w:val="nil"/>
              <w:right w:val="nil"/>
            </w:tcBorders>
            <w:shd w:val="clear" w:color="auto" w:fill="006991"/>
            <w:vAlign w:val="center"/>
            <w:hideMark/>
          </w:tcPr>
          <w:p w14:paraId="4236D277" w14:textId="77777777" w:rsidR="006D0D11" w:rsidRPr="00442A3B" w:rsidRDefault="006D0D11" w:rsidP="00796FC6">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SA</w:t>
            </w:r>
          </w:p>
        </w:tc>
        <w:tc>
          <w:tcPr>
            <w:tcW w:w="540" w:type="dxa"/>
            <w:tcBorders>
              <w:top w:val="nil"/>
              <w:left w:val="nil"/>
              <w:bottom w:val="nil"/>
              <w:right w:val="nil"/>
            </w:tcBorders>
            <w:shd w:val="clear" w:color="auto" w:fill="006991"/>
            <w:vAlign w:val="center"/>
            <w:hideMark/>
          </w:tcPr>
          <w:p w14:paraId="4C350488" w14:textId="77777777" w:rsidR="006D0D11" w:rsidRPr="00442A3B" w:rsidRDefault="006D0D11" w:rsidP="00796FC6">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Tas</w:t>
            </w:r>
          </w:p>
        </w:tc>
        <w:tc>
          <w:tcPr>
            <w:tcW w:w="580" w:type="dxa"/>
            <w:tcBorders>
              <w:top w:val="nil"/>
              <w:left w:val="nil"/>
              <w:bottom w:val="nil"/>
              <w:right w:val="nil"/>
            </w:tcBorders>
            <w:shd w:val="clear" w:color="auto" w:fill="006991"/>
            <w:vAlign w:val="center"/>
            <w:hideMark/>
          </w:tcPr>
          <w:p w14:paraId="28FBC56D" w14:textId="77777777" w:rsidR="006D0D11" w:rsidRPr="00442A3B" w:rsidRDefault="006D0D11" w:rsidP="00796FC6">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ACT</w:t>
            </w:r>
          </w:p>
        </w:tc>
        <w:tc>
          <w:tcPr>
            <w:tcW w:w="540" w:type="dxa"/>
            <w:tcBorders>
              <w:top w:val="nil"/>
              <w:left w:val="nil"/>
              <w:bottom w:val="nil"/>
              <w:right w:val="nil"/>
            </w:tcBorders>
            <w:shd w:val="clear" w:color="auto" w:fill="006991"/>
            <w:vAlign w:val="center"/>
            <w:hideMark/>
          </w:tcPr>
          <w:p w14:paraId="5DD1AF47" w14:textId="77777777" w:rsidR="006D0D11" w:rsidRPr="00442A3B" w:rsidRDefault="006D0D11" w:rsidP="00796FC6">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NT</w:t>
            </w:r>
          </w:p>
        </w:tc>
        <w:tc>
          <w:tcPr>
            <w:tcW w:w="760" w:type="dxa"/>
            <w:tcBorders>
              <w:top w:val="nil"/>
              <w:left w:val="nil"/>
              <w:bottom w:val="nil"/>
              <w:right w:val="nil"/>
            </w:tcBorders>
            <w:shd w:val="clear" w:color="auto" w:fill="006991"/>
            <w:vAlign w:val="center"/>
            <w:hideMark/>
          </w:tcPr>
          <w:p w14:paraId="503E17F9" w14:textId="77777777" w:rsidR="006D0D11" w:rsidRPr="00442A3B" w:rsidRDefault="006D0D11" w:rsidP="00796FC6">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Redist</w:t>
            </w:r>
          </w:p>
        </w:tc>
      </w:tr>
      <w:tr w:rsidR="00104CD5" w:rsidRPr="00442A3B" w14:paraId="30D9F6D9" w14:textId="77777777" w:rsidTr="1910AC51">
        <w:trPr>
          <w:trHeight w:val="259"/>
        </w:trPr>
        <w:tc>
          <w:tcPr>
            <w:tcW w:w="2920" w:type="dxa"/>
            <w:tcBorders>
              <w:top w:val="single" w:sz="4" w:space="0" w:color="ADD6EA"/>
              <w:left w:val="nil"/>
              <w:bottom w:val="nil"/>
              <w:right w:val="nil"/>
            </w:tcBorders>
            <w:shd w:val="clear" w:color="auto" w:fill="B6D5E4"/>
            <w:vAlign w:val="bottom"/>
            <w:hideMark/>
          </w:tcPr>
          <w:p w14:paraId="72A9BF5A" w14:textId="77777777" w:rsidR="006D0D11" w:rsidRPr="00442A3B" w:rsidRDefault="006D0D11" w:rsidP="00796FC6">
            <w:pPr>
              <w:keepNext/>
              <w:keepLines/>
              <w:tabs>
                <w:tab w:val="clear" w:pos="567"/>
              </w:tabs>
              <w:spacing w:before="0" w:line="240" w:lineRule="auto"/>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 </w:t>
            </w:r>
          </w:p>
        </w:tc>
        <w:tc>
          <w:tcPr>
            <w:tcW w:w="680" w:type="dxa"/>
            <w:tcBorders>
              <w:top w:val="single" w:sz="4" w:space="0" w:color="ADD6EA"/>
              <w:left w:val="nil"/>
              <w:bottom w:val="nil"/>
              <w:right w:val="nil"/>
            </w:tcBorders>
            <w:shd w:val="clear" w:color="auto" w:fill="B6D5E4"/>
            <w:noWrap/>
            <w:vAlign w:val="bottom"/>
            <w:hideMark/>
          </w:tcPr>
          <w:p w14:paraId="751ED2B5" w14:textId="77777777" w:rsidR="006D0D11" w:rsidRPr="00442A3B" w:rsidRDefault="006D0D11" w:rsidP="00A62796">
            <w:pPr>
              <w:pStyle w:val="CGCTablesubhead1"/>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620" w:type="dxa"/>
            <w:tcBorders>
              <w:top w:val="single" w:sz="4" w:space="0" w:color="ADD6EA"/>
              <w:left w:val="nil"/>
              <w:bottom w:val="nil"/>
              <w:right w:val="nil"/>
            </w:tcBorders>
            <w:shd w:val="clear" w:color="auto" w:fill="B6D5E4"/>
            <w:noWrap/>
            <w:vAlign w:val="bottom"/>
            <w:hideMark/>
          </w:tcPr>
          <w:p w14:paraId="3A866310" w14:textId="77777777" w:rsidR="006D0D11" w:rsidRPr="00442A3B" w:rsidRDefault="006D0D11" w:rsidP="00A62796">
            <w:pPr>
              <w:pStyle w:val="CGCTablesubhead1"/>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620" w:type="dxa"/>
            <w:tcBorders>
              <w:top w:val="single" w:sz="4" w:space="0" w:color="ADD6EA"/>
              <w:left w:val="nil"/>
              <w:bottom w:val="nil"/>
              <w:right w:val="nil"/>
            </w:tcBorders>
            <w:shd w:val="clear" w:color="auto" w:fill="B6D5E4"/>
            <w:noWrap/>
            <w:vAlign w:val="bottom"/>
            <w:hideMark/>
          </w:tcPr>
          <w:p w14:paraId="509339A6" w14:textId="77777777" w:rsidR="006D0D11" w:rsidRPr="00442A3B" w:rsidRDefault="006D0D11" w:rsidP="00A62796">
            <w:pPr>
              <w:pStyle w:val="CGCTablesubhead1"/>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620" w:type="dxa"/>
            <w:tcBorders>
              <w:top w:val="single" w:sz="4" w:space="0" w:color="ADD6EA"/>
              <w:left w:val="nil"/>
              <w:bottom w:val="nil"/>
              <w:right w:val="nil"/>
            </w:tcBorders>
            <w:shd w:val="clear" w:color="auto" w:fill="B6D5E4"/>
            <w:noWrap/>
            <w:vAlign w:val="bottom"/>
            <w:hideMark/>
          </w:tcPr>
          <w:p w14:paraId="3B17712B" w14:textId="77777777" w:rsidR="006D0D11" w:rsidRPr="00442A3B" w:rsidRDefault="006D0D11" w:rsidP="00A62796">
            <w:pPr>
              <w:pStyle w:val="CGCTablesubhead1"/>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540" w:type="dxa"/>
            <w:tcBorders>
              <w:top w:val="single" w:sz="4" w:space="0" w:color="ADD6EA"/>
              <w:left w:val="nil"/>
              <w:bottom w:val="nil"/>
              <w:right w:val="nil"/>
            </w:tcBorders>
            <w:shd w:val="clear" w:color="auto" w:fill="B6D5E4"/>
            <w:noWrap/>
            <w:vAlign w:val="bottom"/>
            <w:hideMark/>
          </w:tcPr>
          <w:p w14:paraId="0D5D4CA0" w14:textId="77777777" w:rsidR="006D0D11" w:rsidRPr="00442A3B" w:rsidRDefault="006D0D11" w:rsidP="00A62796">
            <w:pPr>
              <w:pStyle w:val="CGCTablesubhead1"/>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540" w:type="dxa"/>
            <w:tcBorders>
              <w:top w:val="single" w:sz="4" w:space="0" w:color="ADD6EA"/>
              <w:left w:val="nil"/>
              <w:bottom w:val="nil"/>
              <w:right w:val="nil"/>
            </w:tcBorders>
            <w:shd w:val="clear" w:color="auto" w:fill="B6D5E4"/>
            <w:noWrap/>
            <w:vAlign w:val="bottom"/>
            <w:hideMark/>
          </w:tcPr>
          <w:p w14:paraId="4F514CF9" w14:textId="77777777" w:rsidR="006D0D11" w:rsidRPr="00442A3B" w:rsidRDefault="006D0D11" w:rsidP="00A62796">
            <w:pPr>
              <w:pStyle w:val="CGCTablesubhead1"/>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580" w:type="dxa"/>
            <w:tcBorders>
              <w:top w:val="single" w:sz="4" w:space="0" w:color="ADD6EA"/>
              <w:left w:val="nil"/>
              <w:bottom w:val="nil"/>
              <w:right w:val="nil"/>
            </w:tcBorders>
            <w:shd w:val="clear" w:color="auto" w:fill="B6D5E4"/>
            <w:noWrap/>
            <w:vAlign w:val="bottom"/>
            <w:hideMark/>
          </w:tcPr>
          <w:p w14:paraId="7D02C4CB" w14:textId="77777777" w:rsidR="006D0D11" w:rsidRPr="00442A3B" w:rsidRDefault="006D0D11" w:rsidP="00A62796">
            <w:pPr>
              <w:pStyle w:val="CGCTablesubhead1"/>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540" w:type="dxa"/>
            <w:tcBorders>
              <w:top w:val="single" w:sz="4" w:space="0" w:color="ADD6EA"/>
              <w:left w:val="nil"/>
              <w:bottom w:val="nil"/>
              <w:right w:val="nil"/>
            </w:tcBorders>
            <w:shd w:val="clear" w:color="auto" w:fill="B6D5E4"/>
            <w:noWrap/>
            <w:vAlign w:val="bottom"/>
            <w:hideMark/>
          </w:tcPr>
          <w:p w14:paraId="6E44A5DE" w14:textId="77777777" w:rsidR="006D0D11" w:rsidRPr="00442A3B" w:rsidRDefault="006D0D11" w:rsidP="00A62796">
            <w:pPr>
              <w:pStyle w:val="CGCTablesubhead1"/>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760" w:type="dxa"/>
            <w:tcBorders>
              <w:top w:val="single" w:sz="4" w:space="0" w:color="ADD6EA"/>
              <w:left w:val="nil"/>
              <w:bottom w:val="nil"/>
              <w:right w:val="nil"/>
            </w:tcBorders>
            <w:shd w:val="clear" w:color="auto" w:fill="B6D5E4"/>
            <w:noWrap/>
            <w:vAlign w:val="bottom"/>
            <w:hideMark/>
          </w:tcPr>
          <w:p w14:paraId="5A9C14E2" w14:textId="77777777" w:rsidR="006D0D11" w:rsidRPr="00442A3B" w:rsidRDefault="006D0D11" w:rsidP="00A62796">
            <w:pPr>
              <w:pStyle w:val="CGCTablesubhead1"/>
              <w:jc w:val="right"/>
              <w:rPr>
                <w:rFonts w:eastAsia="MS Mincho" w:cs="Open Sans Semibold"/>
                <w:color w:val="000000"/>
                <w:szCs w:val="16"/>
                <w:lang w:eastAsia="en-AU"/>
              </w:rPr>
            </w:pPr>
            <w:r w:rsidRPr="00442A3B">
              <w:rPr>
                <w:rFonts w:eastAsia="MS Mincho" w:cs="Open Sans Semibold"/>
                <w:color w:val="000000"/>
                <w:szCs w:val="16"/>
                <w:lang w:eastAsia="en-AU"/>
              </w:rPr>
              <w:t>$m</w:t>
            </w:r>
          </w:p>
        </w:tc>
      </w:tr>
      <w:tr w:rsidR="006D0D11" w:rsidRPr="00442A3B" w14:paraId="3494137B" w14:textId="77777777" w:rsidTr="00104CD5">
        <w:trPr>
          <w:trHeight w:val="315"/>
        </w:trPr>
        <w:tc>
          <w:tcPr>
            <w:tcW w:w="2920" w:type="dxa"/>
            <w:tcBorders>
              <w:top w:val="single" w:sz="4" w:space="0" w:color="ADD6EA"/>
              <w:left w:val="nil"/>
              <w:bottom w:val="nil"/>
              <w:right w:val="nil"/>
            </w:tcBorders>
            <w:shd w:val="clear" w:color="auto" w:fill="auto"/>
            <w:vAlign w:val="bottom"/>
            <w:hideMark/>
          </w:tcPr>
          <w:p w14:paraId="34DFA705" w14:textId="376B0B36" w:rsidR="006D0D11" w:rsidRPr="00442A3B" w:rsidRDefault="00E40569" w:rsidP="00796FC6">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themeColor="text1"/>
                <w:sz w:val="16"/>
                <w:szCs w:val="16"/>
                <w:lang w:eastAsia="en-AU"/>
              </w:rPr>
              <w:t>Relative f</w:t>
            </w:r>
            <w:r w:rsidR="006D0D11" w:rsidRPr="00442A3B">
              <w:rPr>
                <w:rFonts w:eastAsia="Times New Roman" w:cs="Open Sans Light"/>
                <w:color w:val="000000" w:themeColor="text1"/>
                <w:sz w:val="16"/>
                <w:szCs w:val="16"/>
                <w:lang w:eastAsia="en-AU"/>
              </w:rPr>
              <w:t>iscal capacity (a)</w:t>
            </w:r>
          </w:p>
        </w:tc>
        <w:tc>
          <w:tcPr>
            <w:tcW w:w="680" w:type="dxa"/>
            <w:tcBorders>
              <w:top w:val="single" w:sz="4" w:space="0" w:color="ADD6EA"/>
              <w:left w:val="nil"/>
              <w:bottom w:val="nil"/>
              <w:right w:val="nil"/>
            </w:tcBorders>
            <w:shd w:val="clear" w:color="auto" w:fill="auto"/>
            <w:noWrap/>
            <w:vAlign w:val="bottom"/>
            <w:hideMark/>
          </w:tcPr>
          <w:p w14:paraId="03172989"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978</w:t>
            </w:r>
          </w:p>
        </w:tc>
        <w:tc>
          <w:tcPr>
            <w:tcW w:w="620" w:type="dxa"/>
            <w:tcBorders>
              <w:top w:val="single" w:sz="4" w:space="0" w:color="ADD6EA"/>
              <w:left w:val="nil"/>
              <w:bottom w:val="nil"/>
              <w:right w:val="nil"/>
            </w:tcBorders>
            <w:shd w:val="clear" w:color="auto" w:fill="auto"/>
            <w:noWrap/>
            <w:vAlign w:val="bottom"/>
            <w:hideMark/>
          </w:tcPr>
          <w:p w14:paraId="2AA12185"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-507</w:t>
            </w:r>
          </w:p>
        </w:tc>
        <w:tc>
          <w:tcPr>
            <w:tcW w:w="620" w:type="dxa"/>
            <w:tcBorders>
              <w:top w:val="single" w:sz="4" w:space="0" w:color="ADD6EA"/>
              <w:left w:val="nil"/>
              <w:bottom w:val="nil"/>
              <w:right w:val="nil"/>
            </w:tcBorders>
            <w:shd w:val="clear" w:color="auto" w:fill="auto"/>
            <w:noWrap/>
            <w:vAlign w:val="bottom"/>
            <w:hideMark/>
          </w:tcPr>
          <w:p w14:paraId="028FC05E"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243</w:t>
            </w:r>
          </w:p>
        </w:tc>
        <w:tc>
          <w:tcPr>
            <w:tcW w:w="620" w:type="dxa"/>
            <w:tcBorders>
              <w:top w:val="single" w:sz="4" w:space="0" w:color="ADD6EA"/>
              <w:left w:val="nil"/>
              <w:bottom w:val="nil"/>
              <w:right w:val="nil"/>
            </w:tcBorders>
            <w:shd w:val="clear" w:color="auto" w:fill="auto"/>
            <w:noWrap/>
            <w:vAlign w:val="bottom"/>
            <w:hideMark/>
          </w:tcPr>
          <w:p w14:paraId="5FD3807B"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-846</w:t>
            </w:r>
          </w:p>
        </w:tc>
        <w:tc>
          <w:tcPr>
            <w:tcW w:w="540" w:type="dxa"/>
            <w:tcBorders>
              <w:top w:val="single" w:sz="4" w:space="0" w:color="ADD6EA"/>
              <w:left w:val="nil"/>
              <w:bottom w:val="nil"/>
              <w:right w:val="nil"/>
            </w:tcBorders>
            <w:shd w:val="clear" w:color="auto" w:fill="auto"/>
            <w:noWrap/>
            <w:vAlign w:val="bottom"/>
            <w:hideMark/>
          </w:tcPr>
          <w:p w14:paraId="4FF4E094"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-13</w:t>
            </w:r>
          </w:p>
        </w:tc>
        <w:tc>
          <w:tcPr>
            <w:tcW w:w="540" w:type="dxa"/>
            <w:tcBorders>
              <w:top w:val="single" w:sz="4" w:space="0" w:color="ADD6EA"/>
              <w:left w:val="nil"/>
              <w:bottom w:val="nil"/>
              <w:right w:val="nil"/>
            </w:tcBorders>
            <w:shd w:val="clear" w:color="auto" w:fill="auto"/>
            <w:noWrap/>
            <w:vAlign w:val="bottom"/>
            <w:hideMark/>
          </w:tcPr>
          <w:p w14:paraId="00585BD8"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100</w:t>
            </w:r>
          </w:p>
        </w:tc>
        <w:tc>
          <w:tcPr>
            <w:tcW w:w="580" w:type="dxa"/>
            <w:tcBorders>
              <w:top w:val="single" w:sz="4" w:space="0" w:color="ADD6EA"/>
              <w:left w:val="nil"/>
              <w:bottom w:val="nil"/>
              <w:right w:val="nil"/>
            </w:tcBorders>
            <w:shd w:val="clear" w:color="auto" w:fill="auto"/>
            <w:noWrap/>
            <w:vAlign w:val="bottom"/>
            <w:hideMark/>
          </w:tcPr>
          <w:p w14:paraId="58C82B49"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22</w:t>
            </w:r>
          </w:p>
        </w:tc>
        <w:tc>
          <w:tcPr>
            <w:tcW w:w="540" w:type="dxa"/>
            <w:tcBorders>
              <w:top w:val="single" w:sz="4" w:space="0" w:color="ADD6EA"/>
              <w:left w:val="nil"/>
              <w:bottom w:val="nil"/>
              <w:right w:val="nil"/>
            </w:tcBorders>
            <w:shd w:val="clear" w:color="auto" w:fill="auto"/>
            <w:noWrap/>
            <w:vAlign w:val="bottom"/>
            <w:hideMark/>
          </w:tcPr>
          <w:p w14:paraId="123163BE"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23</w:t>
            </w:r>
          </w:p>
        </w:tc>
        <w:tc>
          <w:tcPr>
            <w:tcW w:w="760" w:type="dxa"/>
            <w:tcBorders>
              <w:top w:val="single" w:sz="4" w:space="0" w:color="ADD6EA"/>
              <w:left w:val="nil"/>
              <w:bottom w:val="nil"/>
              <w:right w:val="nil"/>
            </w:tcBorders>
            <w:shd w:val="clear" w:color="auto" w:fill="auto"/>
            <w:noWrap/>
            <w:vAlign w:val="bottom"/>
            <w:hideMark/>
          </w:tcPr>
          <w:p w14:paraId="0BCC382F"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1,366</w:t>
            </w:r>
          </w:p>
        </w:tc>
      </w:tr>
      <w:tr w:rsidR="006D0D11" w:rsidRPr="00442A3B" w14:paraId="550586AA" w14:textId="77777777" w:rsidTr="00104CD5">
        <w:trPr>
          <w:trHeight w:val="315"/>
        </w:trPr>
        <w:tc>
          <w:tcPr>
            <w:tcW w:w="2920" w:type="dxa"/>
            <w:tcBorders>
              <w:top w:val="single" w:sz="4" w:space="0" w:color="ADD6EA"/>
              <w:left w:val="nil"/>
              <w:bottom w:val="nil"/>
              <w:right w:val="nil"/>
            </w:tcBorders>
            <w:shd w:val="clear" w:color="auto" w:fill="auto"/>
            <w:vAlign w:val="bottom"/>
            <w:hideMark/>
          </w:tcPr>
          <w:p w14:paraId="2FBC1633" w14:textId="5340EAA0" w:rsidR="00104CD5" w:rsidRPr="00442A3B" w:rsidRDefault="006D0D11" w:rsidP="00796FC6">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Transition (b)</w:t>
            </w:r>
          </w:p>
        </w:tc>
        <w:tc>
          <w:tcPr>
            <w:tcW w:w="680" w:type="dxa"/>
            <w:tcBorders>
              <w:top w:val="single" w:sz="4" w:space="0" w:color="ADD6EA"/>
              <w:left w:val="nil"/>
              <w:bottom w:val="nil"/>
              <w:right w:val="nil"/>
            </w:tcBorders>
            <w:shd w:val="clear" w:color="auto" w:fill="auto"/>
            <w:noWrap/>
            <w:vAlign w:val="bottom"/>
            <w:hideMark/>
          </w:tcPr>
          <w:p w14:paraId="5DAC6510"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-218</w:t>
            </w:r>
          </w:p>
        </w:tc>
        <w:tc>
          <w:tcPr>
            <w:tcW w:w="620" w:type="dxa"/>
            <w:tcBorders>
              <w:top w:val="single" w:sz="4" w:space="0" w:color="ADD6EA"/>
              <w:left w:val="nil"/>
              <w:bottom w:val="nil"/>
              <w:right w:val="nil"/>
            </w:tcBorders>
            <w:shd w:val="clear" w:color="auto" w:fill="auto"/>
            <w:noWrap/>
            <w:vAlign w:val="bottom"/>
            <w:hideMark/>
          </w:tcPr>
          <w:p w14:paraId="39ADFC0B"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-179</w:t>
            </w:r>
          </w:p>
        </w:tc>
        <w:tc>
          <w:tcPr>
            <w:tcW w:w="620" w:type="dxa"/>
            <w:tcBorders>
              <w:top w:val="single" w:sz="4" w:space="0" w:color="ADD6EA"/>
              <w:left w:val="nil"/>
              <w:bottom w:val="nil"/>
              <w:right w:val="nil"/>
            </w:tcBorders>
            <w:shd w:val="clear" w:color="auto" w:fill="auto"/>
            <w:noWrap/>
            <w:vAlign w:val="bottom"/>
            <w:hideMark/>
          </w:tcPr>
          <w:p w14:paraId="62AAF4AE"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-142</w:t>
            </w:r>
          </w:p>
        </w:tc>
        <w:tc>
          <w:tcPr>
            <w:tcW w:w="620" w:type="dxa"/>
            <w:tcBorders>
              <w:top w:val="single" w:sz="4" w:space="0" w:color="ADD6EA"/>
              <w:left w:val="nil"/>
              <w:bottom w:val="nil"/>
              <w:right w:val="nil"/>
            </w:tcBorders>
            <w:shd w:val="clear" w:color="auto" w:fill="auto"/>
            <w:noWrap/>
            <w:vAlign w:val="bottom"/>
            <w:hideMark/>
          </w:tcPr>
          <w:p w14:paraId="5379AA60"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629</w:t>
            </w:r>
          </w:p>
        </w:tc>
        <w:tc>
          <w:tcPr>
            <w:tcW w:w="540" w:type="dxa"/>
            <w:tcBorders>
              <w:top w:val="single" w:sz="4" w:space="0" w:color="ADD6EA"/>
              <w:left w:val="nil"/>
              <w:bottom w:val="nil"/>
              <w:right w:val="nil"/>
            </w:tcBorders>
            <w:shd w:val="clear" w:color="auto" w:fill="auto"/>
            <w:noWrap/>
            <w:vAlign w:val="bottom"/>
            <w:hideMark/>
          </w:tcPr>
          <w:p w14:paraId="7D8A05AE"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-51</w:t>
            </w:r>
          </w:p>
        </w:tc>
        <w:tc>
          <w:tcPr>
            <w:tcW w:w="540" w:type="dxa"/>
            <w:tcBorders>
              <w:top w:val="single" w:sz="4" w:space="0" w:color="ADD6EA"/>
              <w:left w:val="nil"/>
              <w:bottom w:val="nil"/>
              <w:right w:val="nil"/>
            </w:tcBorders>
            <w:shd w:val="clear" w:color="auto" w:fill="auto"/>
            <w:noWrap/>
            <w:vAlign w:val="bottom"/>
            <w:hideMark/>
          </w:tcPr>
          <w:p w14:paraId="3308D820"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-17</w:t>
            </w:r>
          </w:p>
        </w:tc>
        <w:tc>
          <w:tcPr>
            <w:tcW w:w="580" w:type="dxa"/>
            <w:tcBorders>
              <w:top w:val="single" w:sz="4" w:space="0" w:color="ADD6EA"/>
              <w:left w:val="nil"/>
              <w:bottom w:val="nil"/>
              <w:right w:val="nil"/>
            </w:tcBorders>
            <w:shd w:val="clear" w:color="auto" w:fill="auto"/>
            <w:noWrap/>
            <w:vAlign w:val="bottom"/>
            <w:hideMark/>
          </w:tcPr>
          <w:p w14:paraId="75581D76"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-12</w:t>
            </w:r>
          </w:p>
        </w:tc>
        <w:tc>
          <w:tcPr>
            <w:tcW w:w="540" w:type="dxa"/>
            <w:tcBorders>
              <w:top w:val="single" w:sz="4" w:space="0" w:color="ADD6EA"/>
              <w:left w:val="nil"/>
              <w:bottom w:val="nil"/>
              <w:right w:val="nil"/>
            </w:tcBorders>
            <w:shd w:val="clear" w:color="auto" w:fill="auto"/>
            <w:noWrap/>
            <w:vAlign w:val="bottom"/>
            <w:hideMark/>
          </w:tcPr>
          <w:p w14:paraId="506F2FE7"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-11</w:t>
            </w:r>
          </w:p>
        </w:tc>
        <w:tc>
          <w:tcPr>
            <w:tcW w:w="760" w:type="dxa"/>
            <w:tcBorders>
              <w:top w:val="single" w:sz="4" w:space="0" w:color="ADD6EA"/>
              <w:left w:val="nil"/>
              <w:bottom w:val="nil"/>
              <w:right w:val="nil"/>
            </w:tcBorders>
            <w:shd w:val="clear" w:color="auto" w:fill="auto"/>
            <w:noWrap/>
            <w:vAlign w:val="bottom"/>
            <w:hideMark/>
          </w:tcPr>
          <w:p w14:paraId="548D8A75"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629</w:t>
            </w:r>
          </w:p>
        </w:tc>
      </w:tr>
      <w:tr w:rsidR="006D0D11" w:rsidRPr="00442A3B" w14:paraId="78E841D3" w14:textId="77777777" w:rsidTr="00104CD5">
        <w:trPr>
          <w:trHeight w:val="315"/>
        </w:trPr>
        <w:tc>
          <w:tcPr>
            <w:tcW w:w="2920" w:type="dxa"/>
            <w:tcBorders>
              <w:top w:val="single" w:sz="4" w:space="0" w:color="ADD6EA"/>
              <w:left w:val="nil"/>
              <w:bottom w:val="nil"/>
              <w:right w:val="nil"/>
            </w:tcBorders>
            <w:shd w:val="clear" w:color="auto" w:fill="auto"/>
            <w:vAlign w:val="bottom"/>
            <w:hideMark/>
          </w:tcPr>
          <w:p w14:paraId="500C11A1" w14:textId="600FCA23" w:rsidR="006D0D11" w:rsidRPr="00442A3B" w:rsidRDefault="006D0D11" w:rsidP="00796FC6">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themeColor="text1"/>
                <w:sz w:val="16"/>
                <w:szCs w:val="16"/>
                <w:lang w:eastAsia="en-AU"/>
              </w:rPr>
              <w:t>Implement floor (c)</w:t>
            </w:r>
          </w:p>
        </w:tc>
        <w:tc>
          <w:tcPr>
            <w:tcW w:w="680" w:type="dxa"/>
            <w:tcBorders>
              <w:top w:val="single" w:sz="4" w:space="0" w:color="ADD6EA"/>
              <w:left w:val="nil"/>
              <w:bottom w:val="nil"/>
              <w:right w:val="nil"/>
            </w:tcBorders>
            <w:shd w:val="clear" w:color="auto" w:fill="auto"/>
            <w:noWrap/>
            <w:vAlign w:val="bottom"/>
            <w:hideMark/>
          </w:tcPr>
          <w:p w14:paraId="7A0D4093"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n/a</w:t>
            </w:r>
          </w:p>
        </w:tc>
        <w:tc>
          <w:tcPr>
            <w:tcW w:w="620" w:type="dxa"/>
            <w:tcBorders>
              <w:top w:val="single" w:sz="4" w:space="0" w:color="ADD6EA"/>
              <w:left w:val="nil"/>
              <w:bottom w:val="nil"/>
              <w:right w:val="nil"/>
            </w:tcBorders>
            <w:shd w:val="clear" w:color="auto" w:fill="auto"/>
            <w:noWrap/>
            <w:vAlign w:val="bottom"/>
            <w:hideMark/>
          </w:tcPr>
          <w:p w14:paraId="6973479A"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n/a</w:t>
            </w:r>
          </w:p>
        </w:tc>
        <w:tc>
          <w:tcPr>
            <w:tcW w:w="620" w:type="dxa"/>
            <w:tcBorders>
              <w:top w:val="single" w:sz="4" w:space="0" w:color="ADD6EA"/>
              <w:left w:val="nil"/>
              <w:bottom w:val="nil"/>
              <w:right w:val="nil"/>
            </w:tcBorders>
            <w:shd w:val="clear" w:color="auto" w:fill="auto"/>
            <w:noWrap/>
            <w:vAlign w:val="bottom"/>
            <w:hideMark/>
          </w:tcPr>
          <w:p w14:paraId="068ED70F"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n/a</w:t>
            </w:r>
          </w:p>
        </w:tc>
        <w:tc>
          <w:tcPr>
            <w:tcW w:w="620" w:type="dxa"/>
            <w:tcBorders>
              <w:top w:val="single" w:sz="4" w:space="0" w:color="ADD6EA"/>
              <w:left w:val="nil"/>
              <w:bottom w:val="nil"/>
              <w:right w:val="nil"/>
            </w:tcBorders>
            <w:shd w:val="clear" w:color="auto" w:fill="auto"/>
            <w:noWrap/>
            <w:vAlign w:val="bottom"/>
            <w:hideMark/>
          </w:tcPr>
          <w:p w14:paraId="30DD1472"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n/a</w:t>
            </w:r>
          </w:p>
        </w:tc>
        <w:tc>
          <w:tcPr>
            <w:tcW w:w="540" w:type="dxa"/>
            <w:tcBorders>
              <w:top w:val="single" w:sz="4" w:space="0" w:color="ADD6EA"/>
              <w:left w:val="nil"/>
              <w:bottom w:val="nil"/>
              <w:right w:val="nil"/>
            </w:tcBorders>
            <w:shd w:val="clear" w:color="auto" w:fill="auto"/>
            <w:noWrap/>
            <w:vAlign w:val="bottom"/>
            <w:hideMark/>
          </w:tcPr>
          <w:p w14:paraId="2C662385"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n/a</w:t>
            </w:r>
          </w:p>
        </w:tc>
        <w:tc>
          <w:tcPr>
            <w:tcW w:w="540" w:type="dxa"/>
            <w:tcBorders>
              <w:top w:val="single" w:sz="4" w:space="0" w:color="ADD6EA"/>
              <w:left w:val="nil"/>
              <w:bottom w:val="nil"/>
              <w:right w:val="nil"/>
            </w:tcBorders>
            <w:shd w:val="clear" w:color="auto" w:fill="auto"/>
            <w:noWrap/>
            <w:vAlign w:val="bottom"/>
            <w:hideMark/>
          </w:tcPr>
          <w:p w14:paraId="656D7171"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n/a</w:t>
            </w:r>
          </w:p>
        </w:tc>
        <w:tc>
          <w:tcPr>
            <w:tcW w:w="580" w:type="dxa"/>
            <w:tcBorders>
              <w:top w:val="single" w:sz="4" w:space="0" w:color="ADD6EA"/>
              <w:left w:val="nil"/>
              <w:bottom w:val="nil"/>
              <w:right w:val="nil"/>
            </w:tcBorders>
            <w:shd w:val="clear" w:color="auto" w:fill="auto"/>
            <w:noWrap/>
            <w:vAlign w:val="bottom"/>
            <w:hideMark/>
          </w:tcPr>
          <w:p w14:paraId="32A5EADF"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n/a</w:t>
            </w:r>
          </w:p>
        </w:tc>
        <w:tc>
          <w:tcPr>
            <w:tcW w:w="540" w:type="dxa"/>
            <w:tcBorders>
              <w:top w:val="single" w:sz="4" w:space="0" w:color="ADD6EA"/>
              <w:left w:val="nil"/>
              <w:bottom w:val="nil"/>
              <w:right w:val="nil"/>
            </w:tcBorders>
            <w:shd w:val="clear" w:color="auto" w:fill="auto"/>
            <w:noWrap/>
            <w:vAlign w:val="bottom"/>
            <w:hideMark/>
          </w:tcPr>
          <w:p w14:paraId="2230394A"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n/a</w:t>
            </w:r>
          </w:p>
        </w:tc>
        <w:tc>
          <w:tcPr>
            <w:tcW w:w="760" w:type="dxa"/>
            <w:tcBorders>
              <w:top w:val="single" w:sz="4" w:space="0" w:color="ADD6EA"/>
              <w:left w:val="nil"/>
              <w:bottom w:val="nil"/>
              <w:right w:val="nil"/>
            </w:tcBorders>
            <w:shd w:val="clear" w:color="auto" w:fill="auto"/>
            <w:noWrap/>
            <w:vAlign w:val="bottom"/>
            <w:hideMark/>
          </w:tcPr>
          <w:p w14:paraId="2F12A247"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n/a</w:t>
            </w:r>
          </w:p>
        </w:tc>
      </w:tr>
      <w:tr w:rsidR="006D0D11" w:rsidRPr="00442A3B" w14:paraId="68280712" w14:textId="77777777" w:rsidTr="00104CD5">
        <w:trPr>
          <w:trHeight w:val="315"/>
        </w:trPr>
        <w:tc>
          <w:tcPr>
            <w:tcW w:w="2920" w:type="dxa"/>
            <w:tcBorders>
              <w:top w:val="single" w:sz="4" w:space="0" w:color="ADD6EA"/>
              <w:left w:val="nil"/>
              <w:bottom w:val="single" w:sz="4" w:space="0" w:color="ADD6EA"/>
              <w:right w:val="nil"/>
            </w:tcBorders>
            <w:shd w:val="clear" w:color="auto" w:fill="auto"/>
            <w:vAlign w:val="bottom"/>
            <w:hideMark/>
          </w:tcPr>
          <w:p w14:paraId="01323929" w14:textId="13BFA345" w:rsidR="006D0D11" w:rsidRPr="00442A3B" w:rsidRDefault="006D0D11" w:rsidP="00796FC6">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Total change </w:t>
            </w:r>
          </w:p>
        </w:tc>
        <w:tc>
          <w:tcPr>
            <w:tcW w:w="680" w:type="dxa"/>
            <w:tcBorders>
              <w:top w:val="single" w:sz="4" w:space="0" w:color="ADD6EA"/>
              <w:left w:val="nil"/>
              <w:bottom w:val="single" w:sz="4" w:space="0" w:color="ADD6EA"/>
              <w:right w:val="nil"/>
            </w:tcBorders>
            <w:shd w:val="clear" w:color="auto" w:fill="auto"/>
            <w:noWrap/>
            <w:vAlign w:val="bottom"/>
            <w:hideMark/>
          </w:tcPr>
          <w:p w14:paraId="7EC796F5"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761</w:t>
            </w:r>
          </w:p>
        </w:tc>
        <w:tc>
          <w:tcPr>
            <w:tcW w:w="620" w:type="dxa"/>
            <w:tcBorders>
              <w:top w:val="single" w:sz="4" w:space="0" w:color="ADD6EA"/>
              <w:left w:val="nil"/>
              <w:bottom w:val="single" w:sz="4" w:space="0" w:color="ADD6EA"/>
              <w:right w:val="nil"/>
            </w:tcBorders>
            <w:shd w:val="clear" w:color="auto" w:fill="auto"/>
            <w:noWrap/>
            <w:vAlign w:val="bottom"/>
            <w:hideMark/>
          </w:tcPr>
          <w:p w14:paraId="49F736A1"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-685</w:t>
            </w:r>
          </w:p>
        </w:tc>
        <w:tc>
          <w:tcPr>
            <w:tcW w:w="620" w:type="dxa"/>
            <w:tcBorders>
              <w:top w:val="single" w:sz="4" w:space="0" w:color="ADD6EA"/>
              <w:left w:val="nil"/>
              <w:bottom w:val="single" w:sz="4" w:space="0" w:color="ADD6EA"/>
              <w:right w:val="nil"/>
            </w:tcBorders>
            <w:shd w:val="clear" w:color="auto" w:fill="auto"/>
            <w:noWrap/>
            <w:vAlign w:val="bottom"/>
            <w:hideMark/>
          </w:tcPr>
          <w:p w14:paraId="2BF7AD02"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101</w:t>
            </w:r>
          </w:p>
        </w:tc>
        <w:tc>
          <w:tcPr>
            <w:tcW w:w="620" w:type="dxa"/>
            <w:tcBorders>
              <w:top w:val="single" w:sz="4" w:space="0" w:color="ADD6EA"/>
              <w:left w:val="nil"/>
              <w:bottom w:val="single" w:sz="4" w:space="0" w:color="ADD6EA"/>
              <w:right w:val="nil"/>
            </w:tcBorders>
            <w:shd w:val="clear" w:color="auto" w:fill="auto"/>
            <w:noWrap/>
            <w:vAlign w:val="bottom"/>
            <w:hideMark/>
          </w:tcPr>
          <w:p w14:paraId="57B4FC7E"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-217</w:t>
            </w:r>
          </w:p>
        </w:tc>
        <w:tc>
          <w:tcPr>
            <w:tcW w:w="540" w:type="dxa"/>
            <w:tcBorders>
              <w:top w:val="single" w:sz="4" w:space="0" w:color="ADD6EA"/>
              <w:left w:val="nil"/>
              <w:bottom w:val="single" w:sz="4" w:space="0" w:color="ADD6EA"/>
              <w:right w:val="nil"/>
            </w:tcBorders>
            <w:shd w:val="clear" w:color="auto" w:fill="auto"/>
            <w:noWrap/>
            <w:vAlign w:val="bottom"/>
            <w:hideMark/>
          </w:tcPr>
          <w:p w14:paraId="554754A6"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-64</w:t>
            </w:r>
          </w:p>
        </w:tc>
        <w:tc>
          <w:tcPr>
            <w:tcW w:w="540" w:type="dxa"/>
            <w:tcBorders>
              <w:top w:val="single" w:sz="4" w:space="0" w:color="ADD6EA"/>
              <w:left w:val="nil"/>
              <w:bottom w:val="single" w:sz="4" w:space="0" w:color="ADD6EA"/>
              <w:right w:val="nil"/>
            </w:tcBorders>
            <w:shd w:val="clear" w:color="auto" w:fill="auto"/>
            <w:noWrap/>
            <w:vAlign w:val="bottom"/>
            <w:hideMark/>
          </w:tcPr>
          <w:p w14:paraId="2C874D35"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83</w:t>
            </w:r>
          </w:p>
        </w:tc>
        <w:tc>
          <w:tcPr>
            <w:tcW w:w="580" w:type="dxa"/>
            <w:tcBorders>
              <w:top w:val="single" w:sz="4" w:space="0" w:color="ADD6EA"/>
              <w:left w:val="nil"/>
              <w:bottom w:val="single" w:sz="4" w:space="0" w:color="ADD6EA"/>
              <w:right w:val="nil"/>
            </w:tcBorders>
            <w:shd w:val="clear" w:color="auto" w:fill="auto"/>
            <w:noWrap/>
            <w:vAlign w:val="bottom"/>
            <w:hideMark/>
          </w:tcPr>
          <w:p w14:paraId="5DA9A91E"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10</w:t>
            </w:r>
          </w:p>
        </w:tc>
        <w:tc>
          <w:tcPr>
            <w:tcW w:w="540" w:type="dxa"/>
            <w:tcBorders>
              <w:top w:val="single" w:sz="4" w:space="0" w:color="ADD6EA"/>
              <w:left w:val="nil"/>
              <w:bottom w:val="single" w:sz="4" w:space="0" w:color="ADD6EA"/>
              <w:right w:val="nil"/>
            </w:tcBorders>
            <w:shd w:val="clear" w:color="auto" w:fill="auto"/>
            <w:noWrap/>
            <w:vAlign w:val="bottom"/>
            <w:hideMark/>
          </w:tcPr>
          <w:p w14:paraId="50C9CCF2"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12</w:t>
            </w:r>
          </w:p>
        </w:tc>
        <w:tc>
          <w:tcPr>
            <w:tcW w:w="760" w:type="dxa"/>
            <w:tcBorders>
              <w:top w:val="single" w:sz="4" w:space="0" w:color="ADD6EA"/>
              <w:left w:val="nil"/>
              <w:bottom w:val="single" w:sz="4" w:space="0" w:color="ADD6EA"/>
              <w:right w:val="nil"/>
            </w:tcBorders>
            <w:shd w:val="clear" w:color="auto" w:fill="auto"/>
            <w:noWrap/>
            <w:vAlign w:val="bottom"/>
            <w:hideMark/>
          </w:tcPr>
          <w:p w14:paraId="68C85314" w14:textId="77777777" w:rsidR="006D0D11" w:rsidRPr="00442A3B" w:rsidRDefault="006D0D11" w:rsidP="00796FC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966</w:t>
            </w:r>
          </w:p>
        </w:tc>
      </w:tr>
    </w:tbl>
    <w:p w14:paraId="76F0D695" w14:textId="58798DEC" w:rsidR="000100E9" w:rsidRPr="00442A3B" w:rsidRDefault="00945129" w:rsidP="00796FC6">
      <w:pPr>
        <w:pStyle w:val="CGCTablenote"/>
        <w:keepNext/>
        <w:keepLines/>
        <w:spacing w:before="0"/>
      </w:pPr>
      <w:r w:rsidRPr="00442A3B">
        <w:t>(a)</w:t>
      </w:r>
      <w:r w:rsidRPr="00442A3B">
        <w:tab/>
      </w:r>
      <w:r w:rsidR="000100E9" w:rsidRPr="00442A3B">
        <w:t xml:space="preserve">Effects on the distribution of the 2021-22 GST </w:t>
      </w:r>
      <w:r w:rsidR="00221426" w:rsidRPr="00442A3B">
        <w:t xml:space="preserve">pool </w:t>
      </w:r>
      <w:r w:rsidR="000100E9" w:rsidRPr="00442A3B">
        <w:t xml:space="preserve">of using the </w:t>
      </w:r>
      <w:r w:rsidR="005909B1" w:rsidRPr="00442A3B">
        <w:t>2021 Update</w:t>
      </w:r>
      <w:r w:rsidR="000100E9" w:rsidRPr="00442A3B">
        <w:t xml:space="preserve"> relative fiscal capacities instead of </w:t>
      </w:r>
      <w:r w:rsidR="005909B1" w:rsidRPr="00442A3B">
        <w:t>2020 Review</w:t>
      </w:r>
      <w:r w:rsidR="000100E9" w:rsidRPr="00442A3B">
        <w:t xml:space="preserve"> relativities.</w:t>
      </w:r>
    </w:p>
    <w:p w14:paraId="110152AE" w14:textId="3FAAF028" w:rsidR="000100E9" w:rsidRPr="00442A3B" w:rsidRDefault="0020042F" w:rsidP="00796FC6">
      <w:pPr>
        <w:pStyle w:val="CGCTablenote"/>
        <w:keepNext/>
        <w:keepLines/>
        <w:spacing w:before="0"/>
      </w:pPr>
      <w:r w:rsidRPr="00442A3B">
        <w:t>(b)</w:t>
      </w:r>
      <w:r w:rsidR="00945129" w:rsidRPr="00442A3B">
        <w:tab/>
      </w:r>
      <w:r w:rsidR="000100E9" w:rsidRPr="00442A3B">
        <w:t xml:space="preserve">Difference in the effects on the distribution of 2021-22 GST </w:t>
      </w:r>
      <w:r w:rsidR="00535AA2" w:rsidRPr="00442A3B">
        <w:t>pool</w:t>
      </w:r>
      <w:r w:rsidR="000100E9" w:rsidRPr="00442A3B">
        <w:t xml:space="preserve"> of using the </w:t>
      </w:r>
      <w:r w:rsidR="005909B1" w:rsidRPr="00442A3B">
        <w:t>2021 Update</w:t>
      </w:r>
      <w:r w:rsidR="000100E9" w:rsidRPr="00442A3B">
        <w:t xml:space="preserve"> blended capacities in place of the </w:t>
      </w:r>
      <w:r w:rsidR="005909B1" w:rsidRPr="00442A3B">
        <w:t>2021 Update</w:t>
      </w:r>
      <w:r w:rsidR="000100E9" w:rsidRPr="00442A3B">
        <w:t xml:space="preserve"> relative fiscal capacities.</w:t>
      </w:r>
    </w:p>
    <w:p w14:paraId="313D9084" w14:textId="0F6D25BF" w:rsidR="00440F06" w:rsidRPr="00442A3B" w:rsidRDefault="0020042F" w:rsidP="00796FC6">
      <w:pPr>
        <w:pStyle w:val="CGCTablenote"/>
        <w:keepNext/>
        <w:keepLines/>
        <w:spacing w:before="0"/>
      </w:pPr>
      <w:r w:rsidRPr="00442A3B">
        <w:t>(c)</w:t>
      </w:r>
      <w:r w:rsidRPr="00442A3B">
        <w:tab/>
      </w:r>
      <w:r w:rsidR="005B1371" w:rsidRPr="00442A3B">
        <w:t xml:space="preserve">In this update, the floor </w:t>
      </w:r>
      <w:r w:rsidR="095A9C16" w:rsidRPr="00442A3B">
        <w:t xml:space="preserve">of 0.7 </w:t>
      </w:r>
      <w:r w:rsidR="005B1371" w:rsidRPr="00442A3B">
        <w:t xml:space="preserve">is funded from outside the GST </w:t>
      </w:r>
      <w:r w:rsidR="00ED0301" w:rsidRPr="00442A3B">
        <w:t>pool</w:t>
      </w:r>
      <w:r w:rsidR="005B1371" w:rsidRPr="00442A3B">
        <w:t xml:space="preserve">. </w:t>
      </w:r>
      <w:r w:rsidR="00ED0301" w:rsidRPr="00442A3B">
        <w:t>It will be funded from within the GST pool from the next update.</w:t>
      </w:r>
    </w:p>
    <w:p w14:paraId="437E57C5" w14:textId="4E69EF78" w:rsidR="00260171" w:rsidRPr="00442A3B" w:rsidRDefault="005E7AB9" w:rsidP="00796FC6">
      <w:pPr>
        <w:pStyle w:val="CGCTablenote"/>
        <w:keepNext/>
        <w:keepLines/>
      </w:pPr>
      <w:r w:rsidRPr="00442A3B">
        <w:t xml:space="preserve">n/a </w:t>
      </w:r>
      <w:r w:rsidR="00945129" w:rsidRPr="00442A3B">
        <w:tab/>
      </w:r>
      <w:r w:rsidRPr="00442A3B">
        <w:t>Not applicable.</w:t>
      </w:r>
    </w:p>
    <w:p w14:paraId="50E8CBBC" w14:textId="715ACD2E" w:rsidR="00CF1172" w:rsidRPr="00442A3B" w:rsidRDefault="006054C5" w:rsidP="00796FC6">
      <w:pPr>
        <w:pStyle w:val="CGCTablenote"/>
        <w:keepNext/>
        <w:keepLines/>
        <w:spacing w:before="0"/>
      </w:pPr>
      <w:r w:rsidRPr="00442A3B">
        <w:t>Source:</w:t>
      </w:r>
      <w:r w:rsidRPr="00442A3B">
        <w:tab/>
        <w:t>Commission calculation.</w:t>
      </w:r>
    </w:p>
    <w:p w14:paraId="4623E248" w14:textId="6DD573DB" w:rsidR="001069F9" w:rsidRPr="00442A3B" w:rsidRDefault="001069F9" w:rsidP="00AD294A"/>
    <w:p w14:paraId="6583556B" w14:textId="77777777" w:rsidR="00643BAB" w:rsidRPr="00442A3B" w:rsidRDefault="00643BAB" w:rsidP="009C3174"/>
    <w:p w14:paraId="4DF897A9" w14:textId="3ADF982A" w:rsidR="00EB0EC8" w:rsidRPr="00442A3B" w:rsidRDefault="00EB0EC8" w:rsidP="009C3174">
      <w:pPr>
        <w:sectPr w:rsidR="00EB0EC8" w:rsidRPr="00442A3B" w:rsidSect="00623DD0">
          <w:headerReference w:type="default" r:id="rId48"/>
          <w:footerReference w:type="default" r:id="rId49"/>
          <w:headerReference w:type="first" r:id="rId50"/>
          <w:footerReference w:type="first" r:id="rId51"/>
          <w:footnotePr>
            <w:numRestart w:val="eachSect"/>
          </w:footnotePr>
          <w:pgSz w:w="11907" w:h="16840" w:code="9"/>
          <w:pgMar w:top="1304" w:right="1474" w:bottom="1304" w:left="1474" w:header="567" w:footer="567" w:gutter="0"/>
          <w:pgNumType w:start="1"/>
          <w:cols w:space="720"/>
          <w:titlePg/>
          <w:docGrid w:linePitch="360"/>
        </w:sectPr>
      </w:pPr>
    </w:p>
    <w:p w14:paraId="54DF1AD1" w14:textId="40BC09F5" w:rsidR="00165998" w:rsidRPr="00442A3B" w:rsidRDefault="00165998" w:rsidP="00250D03">
      <w:pPr>
        <w:pStyle w:val="Heading2"/>
        <w:numPr>
          <w:ilvl w:val="0"/>
          <w:numId w:val="31"/>
        </w:numPr>
        <w:ind w:left="573" w:hanging="573"/>
      </w:pPr>
      <w:bookmarkStart w:id="72" w:name="_Toc65050524"/>
      <w:r w:rsidRPr="00442A3B">
        <w:lastRenderedPageBreak/>
        <w:t xml:space="preserve">Changes since the </w:t>
      </w:r>
      <w:r w:rsidR="00BF731C" w:rsidRPr="00442A3B">
        <w:t>2020 </w:t>
      </w:r>
      <w:r w:rsidR="00D1280D" w:rsidRPr="00442A3B">
        <w:t>Review</w:t>
      </w:r>
      <w:bookmarkEnd w:id="72"/>
    </w:p>
    <w:p w14:paraId="27166B1C" w14:textId="3587B1B0" w:rsidR="00553C0B" w:rsidRPr="00442A3B" w:rsidRDefault="00AD7016" w:rsidP="00D92057">
      <w:pPr>
        <w:spacing w:before="0"/>
      </w:pPr>
      <w:r w:rsidRPr="00442A3B">
        <w:rPr>
          <w:rStyle w:val="PageNumber"/>
          <w:noProof/>
        </w:rPr>
        <mc:AlternateContent>
          <mc:Choice Requires="wps">
            <w:drawing>
              <wp:anchor distT="0" distB="0" distL="114300" distR="114300" simplePos="0" relativeHeight="251661312" behindDoc="1" locked="0" layoutInCell="1" allowOverlap="1" wp14:anchorId="5DBD3EC4" wp14:editId="20B13F7E">
                <wp:simplePos x="0" y="0"/>
                <wp:positionH relativeFrom="column">
                  <wp:posOffset>-14275</wp:posOffset>
                </wp:positionH>
                <wp:positionV relativeFrom="page">
                  <wp:posOffset>1623974</wp:posOffset>
                </wp:positionV>
                <wp:extent cx="5723890" cy="4250132"/>
                <wp:effectExtent l="0" t="0" r="0" b="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3890" cy="4250132"/>
                        </a:xfrm>
                        <a:prstGeom prst="rect">
                          <a:avLst/>
                        </a:prstGeom>
                        <a:solidFill>
                          <a:srgbClr val="EBF3F5"/>
                        </a:solidFill>
                        <a:ln w="25400" cap="flat" cmpd="sng" algn="ctr">
                          <a:noFill/>
                          <a:prstDash val="solid"/>
                        </a:ln>
                        <a:effectLst/>
                      </wps:spPr>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F6A87" id="Rectangle 8" o:spid="_x0000_s1026" alt="&quot;&quot;" style="position:absolute;margin-left:-1.1pt;margin-top:127.85pt;width:450.7pt;height:334.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" fillcolor="#ebf3f5" stroked="f" strokeweight="2pt">
                <v:textbox inset="1mm,,1mm"/>
                <w10:wrap anchory="page"/>
              </v:rect>
            </w:pict>
          </mc:Fallback>
        </mc:AlternateContent>
      </w:r>
    </w:p>
    <w:p w14:paraId="172818BA" w14:textId="301BCCAC" w:rsidR="00F11EC1" w:rsidRPr="00442A3B" w:rsidRDefault="00F11EC1" w:rsidP="00863CCC">
      <w:pPr>
        <w:pStyle w:val="Heading3"/>
        <w:spacing w:before="120"/>
      </w:pPr>
      <w:bookmarkStart w:id="73" w:name="_Toc65050525"/>
      <w:r w:rsidRPr="00442A3B">
        <w:t>Key points</w:t>
      </w:r>
      <w:bookmarkEnd w:id="73"/>
    </w:p>
    <w:p w14:paraId="78495F20" w14:textId="2D997F7D" w:rsidR="00F11EC1" w:rsidRPr="00442A3B" w:rsidRDefault="00F11EC1" w:rsidP="00F11EC1">
      <w:pPr>
        <w:pStyle w:val="CGCBullet1"/>
      </w:pPr>
      <w:r w:rsidRPr="00442A3B">
        <w:t>States’ fiscal capacities can change because of data revisions, or because of changes in</w:t>
      </w:r>
      <w:r w:rsidR="00AD7016" w:rsidRPr="00442A3B">
        <w:t> </w:t>
      </w:r>
      <w:r w:rsidRPr="00442A3B">
        <w:t>their circumstances affecting their revenue raising capacity or their cost of service provision.</w:t>
      </w:r>
    </w:p>
    <w:p w14:paraId="31D33A60" w14:textId="6F5AB617" w:rsidR="00F11EC1" w:rsidRPr="00442A3B" w:rsidRDefault="00F11EC1" w:rsidP="00F11EC1">
      <w:pPr>
        <w:pStyle w:val="CGCBullet1"/>
      </w:pPr>
      <w:r w:rsidRPr="00442A3B">
        <w:t>Data revisions in taxable payrolls, natural disaster relief, urban transport and wage costs</w:t>
      </w:r>
      <w:r w:rsidR="00AD7016" w:rsidRPr="00442A3B">
        <w:t> </w:t>
      </w:r>
      <w:r w:rsidRPr="00442A3B">
        <w:t>result</w:t>
      </w:r>
      <w:r w:rsidR="006D36C2" w:rsidRPr="00442A3B">
        <w:t>ed</w:t>
      </w:r>
      <w:r w:rsidRPr="00442A3B">
        <w:t xml:space="preserve"> in the redistribution of $356 million in this update. </w:t>
      </w:r>
    </w:p>
    <w:p w14:paraId="0F733026" w14:textId="7BF5F650" w:rsidR="00F11EC1" w:rsidRPr="00442A3B" w:rsidRDefault="00F11EC1" w:rsidP="00F11EC1">
      <w:pPr>
        <w:pStyle w:val="CGCBullet1"/>
      </w:pPr>
      <w:r w:rsidRPr="00442A3B">
        <w:t>Changes in State circumstances (economic and demographic) result</w:t>
      </w:r>
      <w:r w:rsidR="002376DE" w:rsidRPr="00442A3B">
        <w:t>ed</w:t>
      </w:r>
      <w:r w:rsidRPr="00442A3B">
        <w:t xml:space="preserve"> in the redistribution of $1,236 million in this update.</w:t>
      </w:r>
    </w:p>
    <w:p w14:paraId="510AC8EB" w14:textId="3E1E0439" w:rsidR="00F11EC1" w:rsidRPr="00442A3B" w:rsidRDefault="00F11EC1" w:rsidP="00F11EC1">
      <w:pPr>
        <w:pStyle w:val="CGCBullet1"/>
      </w:pPr>
      <w:r w:rsidRPr="00442A3B">
        <w:t>Key changes in revenue raising capacity include</w:t>
      </w:r>
      <w:r w:rsidR="002376DE" w:rsidRPr="00442A3B">
        <w:t>d</w:t>
      </w:r>
      <w:r w:rsidRPr="00442A3B">
        <w:t xml:space="preserve"> strong growth in iron ore royalties and</w:t>
      </w:r>
      <w:r w:rsidR="00AD7016" w:rsidRPr="00442A3B">
        <w:t> </w:t>
      </w:r>
      <w:r w:rsidRPr="00442A3B">
        <w:t xml:space="preserve">increases in the value of property sales and land values. </w:t>
      </w:r>
    </w:p>
    <w:p w14:paraId="25CAB22B" w14:textId="097EFF53" w:rsidR="00F11EC1" w:rsidRPr="00442A3B" w:rsidRDefault="00F11EC1" w:rsidP="00F11EC1">
      <w:pPr>
        <w:pStyle w:val="CGCBullet1"/>
      </w:pPr>
      <w:r w:rsidRPr="00442A3B">
        <w:t>Strong growth in iron ore royalties redistribute</w:t>
      </w:r>
      <w:r w:rsidR="002376DE" w:rsidRPr="00442A3B">
        <w:t>d</w:t>
      </w:r>
      <w:r w:rsidRPr="00442A3B">
        <w:t xml:space="preserve"> $1,061 million in GST from Western</w:t>
      </w:r>
      <w:r w:rsidR="00E74E7C" w:rsidRPr="00442A3B">
        <w:t> </w:t>
      </w:r>
      <w:r w:rsidRPr="00442A3B">
        <w:t>Australia to other States in this update. Western Australia account</w:t>
      </w:r>
      <w:r w:rsidR="002376DE" w:rsidRPr="00442A3B">
        <w:t>ed</w:t>
      </w:r>
      <w:r w:rsidRPr="00442A3B">
        <w:t xml:space="preserve"> for more than half</w:t>
      </w:r>
      <w:r w:rsidR="00AD7016" w:rsidRPr="00442A3B">
        <w:t> </w:t>
      </w:r>
      <w:r w:rsidRPr="00442A3B">
        <w:t>of</w:t>
      </w:r>
      <w:r w:rsidR="00AD7016" w:rsidRPr="00442A3B">
        <w:t> </w:t>
      </w:r>
      <w:r w:rsidRPr="00442A3B">
        <w:t>the GST pool redistribution to fiscally weaker States in 2021-22.</w:t>
      </w:r>
    </w:p>
    <w:p w14:paraId="48D69077" w14:textId="6DEF554D" w:rsidR="00732547" w:rsidRPr="00442A3B" w:rsidRDefault="00D36351" w:rsidP="00F11EC1">
      <w:pPr>
        <w:pStyle w:val="CGCBullet1"/>
      </w:pPr>
      <w:r w:rsidRPr="00442A3B">
        <w:t>New South Wales’</w:t>
      </w:r>
      <w:r w:rsidR="00F11EC1" w:rsidRPr="00442A3B">
        <w:t xml:space="preserve"> GST pool requirement per capita </w:t>
      </w:r>
      <w:r w:rsidR="002376DE" w:rsidRPr="00442A3B">
        <w:t>was</w:t>
      </w:r>
      <w:r w:rsidR="00F11EC1" w:rsidRPr="00442A3B">
        <w:t xml:space="preserve"> higher than Victoria’s for the first</w:t>
      </w:r>
      <w:r w:rsidR="00AD7016" w:rsidRPr="00442A3B">
        <w:t> </w:t>
      </w:r>
      <w:r w:rsidR="00F11EC1" w:rsidRPr="00442A3B">
        <w:t xml:space="preserve">time in 6 years. </w:t>
      </w:r>
      <w:r w:rsidRPr="00442A3B">
        <w:t>New South Wales’</w:t>
      </w:r>
      <w:r w:rsidR="00F11EC1" w:rsidRPr="00442A3B">
        <w:t xml:space="preserve"> GST pool requirement increased due to a decline</w:t>
      </w:r>
      <w:r w:rsidR="00AD7016" w:rsidRPr="00442A3B">
        <w:t> </w:t>
      </w:r>
      <w:r w:rsidR="00F11EC1" w:rsidRPr="00442A3B">
        <w:t>in its revenue capacity, influenced by its softening property market and the mining</w:t>
      </w:r>
      <w:r w:rsidR="00AD7016" w:rsidRPr="00442A3B">
        <w:t> </w:t>
      </w:r>
      <w:r w:rsidR="00F11EC1" w:rsidRPr="00442A3B">
        <w:t>boom in Western Australia. Compared to New South Wales, Victoria’s lower GST</w:t>
      </w:r>
      <w:r w:rsidR="00AD7016" w:rsidRPr="00442A3B">
        <w:t> </w:t>
      </w:r>
      <w:r w:rsidR="00F11EC1" w:rsidRPr="00442A3B">
        <w:t>pool requirement reflect</w:t>
      </w:r>
      <w:r w:rsidR="002376DE" w:rsidRPr="00442A3B">
        <w:t>ed</w:t>
      </w:r>
      <w:r w:rsidR="00F11EC1" w:rsidRPr="00442A3B">
        <w:t xml:space="preserve"> lower growth in its assessed expense requirement and</w:t>
      </w:r>
      <w:r w:rsidR="00AD7016" w:rsidRPr="00442A3B">
        <w:t> </w:t>
      </w:r>
      <w:r w:rsidR="00F11EC1" w:rsidRPr="00442A3B">
        <w:t>higher growth in its assessed revenue raising capacity.</w:t>
      </w:r>
    </w:p>
    <w:p w14:paraId="0749A1C0" w14:textId="77777777" w:rsidR="008A28EE" w:rsidRPr="00442A3B" w:rsidRDefault="008A28EE" w:rsidP="00D92057">
      <w:pPr>
        <w:spacing w:before="0"/>
      </w:pPr>
    </w:p>
    <w:p w14:paraId="0E149766" w14:textId="5EE4B6E7" w:rsidR="00165998" w:rsidRPr="00442A3B" w:rsidRDefault="00165998" w:rsidP="00165998">
      <w:pPr>
        <w:pStyle w:val="Heading3"/>
      </w:pPr>
      <w:bookmarkStart w:id="74" w:name="_Toc65050526"/>
      <w:r w:rsidRPr="00442A3B">
        <w:t>Why State fiscal capacities changed</w:t>
      </w:r>
      <w:bookmarkEnd w:id="74"/>
    </w:p>
    <w:p w14:paraId="30D9D13E" w14:textId="19C3C19E" w:rsidR="002120C8" w:rsidRPr="00442A3B" w:rsidRDefault="002120C8" w:rsidP="001C3F5D">
      <w:pPr>
        <w:pStyle w:val="CGCParaNumber"/>
        <w:numPr>
          <w:ilvl w:val="0"/>
          <w:numId w:val="13"/>
        </w:numPr>
        <w:ind w:left="567" w:hanging="567"/>
      </w:pPr>
      <w:r w:rsidRPr="00442A3B">
        <w:t xml:space="preserve">This chapter </w:t>
      </w:r>
      <w:r w:rsidR="000A3837" w:rsidRPr="00442A3B">
        <w:t xml:space="preserve">focuses </w:t>
      </w:r>
      <w:r w:rsidR="002C2C90" w:rsidRPr="00442A3B">
        <w:t xml:space="preserve">primarily </w:t>
      </w:r>
      <w:r w:rsidR="0071156A" w:rsidRPr="00442A3B">
        <w:t>on</w:t>
      </w:r>
      <w:r w:rsidR="00453533" w:rsidRPr="00442A3B">
        <w:t xml:space="preserve"> </w:t>
      </w:r>
      <w:r w:rsidR="000A3837" w:rsidRPr="00442A3B">
        <w:t>the changes in relative fiscal capacities</w:t>
      </w:r>
      <w:r w:rsidR="00D50718" w:rsidRPr="00442A3B">
        <w:t>.</w:t>
      </w:r>
      <w:r w:rsidR="00B455C4" w:rsidRPr="00442A3B">
        <w:t xml:space="preserve"> These measure </w:t>
      </w:r>
      <w:r w:rsidR="00552F82" w:rsidRPr="00442A3B">
        <w:t xml:space="preserve">each </w:t>
      </w:r>
      <w:r w:rsidR="00B455C4" w:rsidRPr="00442A3B">
        <w:t>State</w:t>
      </w:r>
      <w:r w:rsidR="00552F82" w:rsidRPr="00442A3B">
        <w:t xml:space="preserve">’s relative </w:t>
      </w:r>
      <w:r w:rsidR="00BD0CD1" w:rsidRPr="00442A3B">
        <w:t xml:space="preserve">requirement </w:t>
      </w:r>
      <w:r w:rsidR="00552F82" w:rsidRPr="00442A3B">
        <w:t>for</w:t>
      </w:r>
      <w:r w:rsidR="00166E06" w:rsidRPr="00442A3B">
        <w:t xml:space="preserve"> </w:t>
      </w:r>
      <w:r w:rsidR="00440BB9" w:rsidRPr="00442A3B">
        <w:t xml:space="preserve">revenue from the </w:t>
      </w:r>
      <w:r w:rsidR="00552F82" w:rsidRPr="00442A3B">
        <w:t xml:space="preserve">GST </w:t>
      </w:r>
      <w:r w:rsidR="00440BB9" w:rsidRPr="00442A3B">
        <w:t xml:space="preserve">pool </w:t>
      </w:r>
      <w:r w:rsidR="00AE041A" w:rsidRPr="00442A3B">
        <w:t>under full equalisation</w:t>
      </w:r>
      <w:r w:rsidR="007C627A" w:rsidRPr="00442A3B">
        <w:t xml:space="preserve"> (the previous arrangements)</w:t>
      </w:r>
      <w:r w:rsidR="00552F82" w:rsidRPr="00442A3B">
        <w:t>.</w:t>
      </w:r>
    </w:p>
    <w:p w14:paraId="0B3F13C5" w14:textId="77777777" w:rsidR="00B260D9" w:rsidRPr="00442A3B" w:rsidRDefault="00165998" w:rsidP="000361EA">
      <w:pPr>
        <w:pStyle w:val="CGCParaNumber"/>
        <w:ind w:left="567" w:hanging="567"/>
      </w:pPr>
      <w:r w:rsidRPr="00442A3B">
        <w:t>The total change in State fiscal capacities can be attributed to changes in the Commission's assessments of each State's revenue raising (and net borrowing) capacity and its expenditure requirement to provide the average level of services and infrastructure, as well as to changes in Commonwealth payments for specific purposes.</w:t>
      </w:r>
    </w:p>
    <w:p w14:paraId="3F208AB6" w14:textId="4AE31122" w:rsidR="00B33810" w:rsidRPr="00442A3B" w:rsidRDefault="00165998" w:rsidP="00B33810">
      <w:pPr>
        <w:pStyle w:val="CGCParaNumber"/>
        <w:ind w:left="567" w:hanging="567"/>
      </w:pPr>
      <w:r w:rsidRPr="00442A3B">
        <w:fldChar w:fldCharType="begin"/>
      </w:r>
      <w:r w:rsidRPr="00442A3B">
        <w:instrText xml:space="preserve"> REF _Ref32933409 \h </w:instrText>
      </w:r>
      <w:r w:rsidR="001C3F5D" w:rsidRPr="00442A3B">
        <w:instrText xml:space="preserve"> \* MERGEFORMAT </w:instrText>
      </w:r>
      <w:r w:rsidRPr="00442A3B">
        <w:fldChar w:fldCharType="separate"/>
      </w:r>
      <w:r w:rsidR="00FC3D3D" w:rsidRPr="00442A3B">
        <w:t>Table 2</w:t>
      </w:r>
      <w:r w:rsidR="00FC3D3D" w:rsidRPr="00442A3B">
        <w:noBreakHyphen/>
      </w:r>
      <w:r w:rsidR="00FC3D3D">
        <w:t>1</w:t>
      </w:r>
      <w:r w:rsidRPr="00442A3B">
        <w:fldChar w:fldCharType="end"/>
      </w:r>
      <w:r w:rsidRPr="00442A3B">
        <w:t xml:space="preserve"> shows that changes in States’ estimated </w:t>
      </w:r>
      <w:r w:rsidR="7CABEF86" w:rsidRPr="00442A3B">
        <w:t>revenue raising capacities</w:t>
      </w:r>
      <w:r w:rsidRPr="00442A3B">
        <w:t xml:space="preserve"> </w:t>
      </w:r>
      <w:r w:rsidR="6426FC2E" w:rsidRPr="00442A3B">
        <w:t>had the greatest effect</w:t>
      </w:r>
      <w:r w:rsidRPr="00442A3B">
        <w:t xml:space="preserve"> in this </w:t>
      </w:r>
      <w:r w:rsidR="00494CD3" w:rsidRPr="00442A3B">
        <w:t>update</w:t>
      </w:r>
      <w:r w:rsidRPr="00442A3B">
        <w:t>.</w:t>
      </w:r>
      <w:r w:rsidR="00B33810" w:rsidRPr="00442A3B">
        <w:t xml:space="preserve"> </w:t>
      </w:r>
    </w:p>
    <w:p w14:paraId="4EF049A2" w14:textId="2759E7DB" w:rsidR="00B260D9" w:rsidRPr="00442A3B" w:rsidRDefault="00B260D9" w:rsidP="00B33810">
      <w:pPr>
        <w:pStyle w:val="CGCParaNumber"/>
        <w:ind w:left="567" w:hanging="567"/>
      </w:pPr>
      <w:r w:rsidRPr="00442A3B">
        <w:t>Detailed tables on the changes resulting from each of the Commission’s assessments can be found in the supporting</w:t>
      </w:r>
      <w:r w:rsidR="003C7FE9" w:rsidRPr="00442A3B">
        <w:t xml:space="preserve"> data </w:t>
      </w:r>
      <w:r w:rsidRPr="00442A3B">
        <w:t xml:space="preserve">for this update, which is available on the </w:t>
      </w:r>
      <w:hyperlink r:id="rId52">
        <w:r w:rsidRPr="00442A3B">
          <w:rPr>
            <w:rStyle w:val="Hyperlink"/>
          </w:rPr>
          <w:t>Commission's website</w:t>
        </w:r>
      </w:hyperlink>
      <w:r w:rsidRPr="00442A3B">
        <w:t xml:space="preserve"> (https://www.cgc.gov.au).</w:t>
      </w:r>
    </w:p>
    <w:p w14:paraId="0858F710" w14:textId="6C109483" w:rsidR="00165998" w:rsidRPr="00442A3B" w:rsidRDefault="00165998" w:rsidP="005E563D">
      <w:pPr>
        <w:pStyle w:val="Caption"/>
      </w:pPr>
      <w:bookmarkStart w:id="75" w:name="_Ref30485511"/>
      <w:bookmarkStart w:id="76" w:name="_Ref32933409"/>
      <w:bookmarkStart w:id="77" w:name="_Toc62487273"/>
      <w:bookmarkStart w:id="78" w:name="_Toc62723804"/>
      <w:r w:rsidRPr="00442A3B">
        <w:lastRenderedPageBreak/>
        <w:t>Table 2</w:t>
      </w:r>
      <w:r w:rsidRPr="00442A3B">
        <w:noBreakHyphen/>
      </w:r>
      <w:bookmarkEnd w:id="75"/>
      <w:r w:rsidRPr="00442A3B">
        <w:fldChar w:fldCharType="begin"/>
      </w:r>
      <w:r w:rsidRPr="00442A3B">
        <w:instrText xml:space="preserve"> SEQ Table \* ARABIC \r 1 </w:instrText>
      </w:r>
      <w:r w:rsidRPr="00442A3B">
        <w:fldChar w:fldCharType="separate"/>
      </w:r>
      <w:r w:rsidR="00FC3D3D">
        <w:rPr>
          <w:noProof/>
        </w:rPr>
        <w:t>1</w:t>
      </w:r>
      <w:r w:rsidRPr="00442A3B">
        <w:fldChar w:fldCharType="end"/>
      </w:r>
      <w:bookmarkEnd w:id="76"/>
      <w:r w:rsidRPr="00442A3B">
        <w:tab/>
        <w:t xml:space="preserve">Composition of </w:t>
      </w:r>
      <w:r w:rsidR="00776FBF" w:rsidRPr="00442A3B">
        <w:t>estimated</w:t>
      </w:r>
      <w:r w:rsidRPr="00442A3B">
        <w:t xml:space="preserve"> changes in GST distribution, 20</w:t>
      </w:r>
      <w:r w:rsidR="00025E63" w:rsidRPr="00442A3B">
        <w:t>20</w:t>
      </w:r>
      <w:r w:rsidRPr="00442A3B">
        <w:t>-2</w:t>
      </w:r>
      <w:r w:rsidR="00025E63" w:rsidRPr="00442A3B">
        <w:t>1</w:t>
      </w:r>
      <w:r w:rsidRPr="00442A3B">
        <w:t xml:space="preserve"> to 202</w:t>
      </w:r>
      <w:r w:rsidR="00025E63" w:rsidRPr="00442A3B">
        <w:t>1</w:t>
      </w:r>
      <w:r w:rsidRPr="00442A3B">
        <w:t>-2</w:t>
      </w:r>
      <w:r w:rsidR="00025E63" w:rsidRPr="00442A3B">
        <w:t>2</w:t>
      </w:r>
      <w:bookmarkEnd w:id="77"/>
      <w:bookmarkEnd w:id="78"/>
    </w:p>
    <w:tbl>
      <w:tblPr>
        <w:tblW w:w="8902" w:type="dxa"/>
        <w:tblCellMar>
          <w:left w:w="28" w:type="dxa"/>
          <w:right w:w="28" w:type="dxa"/>
        </w:tblCellMar>
        <w:tblLook w:val="04A0" w:firstRow="1" w:lastRow="0" w:firstColumn="1" w:lastColumn="0" w:noHBand="0" w:noVBand="1"/>
      </w:tblPr>
      <w:tblGrid>
        <w:gridCol w:w="2565"/>
        <w:gridCol w:w="761"/>
        <w:gridCol w:w="722"/>
        <w:gridCol w:w="722"/>
        <w:gridCol w:w="682"/>
        <w:gridCol w:w="642"/>
        <w:gridCol w:w="642"/>
        <w:gridCol w:w="702"/>
        <w:gridCol w:w="642"/>
        <w:gridCol w:w="822"/>
      </w:tblGrid>
      <w:tr w:rsidR="008D39E6" w:rsidRPr="00442A3B" w14:paraId="4C0BA182" w14:textId="77777777" w:rsidTr="003063D4">
        <w:trPr>
          <w:trHeight w:val="379"/>
        </w:trPr>
        <w:tc>
          <w:tcPr>
            <w:tcW w:w="2560" w:type="dxa"/>
            <w:tcBorders>
              <w:top w:val="nil"/>
              <w:left w:val="nil"/>
              <w:bottom w:val="nil"/>
              <w:right w:val="nil"/>
            </w:tcBorders>
            <w:shd w:val="clear" w:color="000000" w:fill="006991"/>
            <w:vAlign w:val="bottom"/>
            <w:hideMark/>
          </w:tcPr>
          <w:p w14:paraId="189CE168" w14:textId="77777777" w:rsidR="008D39E6" w:rsidRPr="00442A3B" w:rsidRDefault="008D39E6" w:rsidP="005E563D">
            <w:pPr>
              <w:keepNext/>
              <w:keepLines/>
              <w:tabs>
                <w:tab w:val="clear" w:pos="567"/>
              </w:tabs>
              <w:spacing w:before="0" w:line="240" w:lineRule="auto"/>
              <w:rPr>
                <w:rFonts w:ascii="Open Sans Semibold" w:eastAsia="MS Mincho" w:hAnsi="Open Sans Semibold" w:cs="Open Sans Semibold"/>
                <w:color w:val="FFFFFF"/>
                <w:sz w:val="16"/>
                <w:szCs w:val="16"/>
                <w:lang w:eastAsia="en-AU"/>
              </w:rPr>
            </w:pPr>
            <w:bookmarkStart w:id="79" w:name="RANGE!A4:J11"/>
            <w:r w:rsidRPr="00442A3B">
              <w:rPr>
                <w:rFonts w:ascii="Open Sans Semibold" w:eastAsia="MS Mincho" w:hAnsi="Open Sans Semibold" w:cs="Open Sans Semibold"/>
                <w:color w:val="FFFFFF"/>
                <w:sz w:val="16"/>
                <w:szCs w:val="16"/>
                <w:lang w:eastAsia="en-AU"/>
              </w:rPr>
              <w:t> </w:t>
            </w:r>
            <w:bookmarkEnd w:id="79"/>
          </w:p>
        </w:tc>
        <w:tc>
          <w:tcPr>
            <w:tcW w:w="760" w:type="dxa"/>
            <w:tcBorders>
              <w:top w:val="nil"/>
              <w:left w:val="nil"/>
              <w:bottom w:val="nil"/>
              <w:right w:val="nil"/>
            </w:tcBorders>
            <w:shd w:val="clear" w:color="000000" w:fill="006991"/>
            <w:vAlign w:val="center"/>
            <w:hideMark/>
          </w:tcPr>
          <w:p w14:paraId="558002E2" w14:textId="77777777" w:rsidR="008D39E6" w:rsidRPr="00442A3B" w:rsidRDefault="008D39E6" w:rsidP="005E563D">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NSW</w:t>
            </w:r>
          </w:p>
        </w:tc>
        <w:tc>
          <w:tcPr>
            <w:tcW w:w="720" w:type="dxa"/>
            <w:tcBorders>
              <w:top w:val="nil"/>
              <w:left w:val="nil"/>
              <w:bottom w:val="nil"/>
              <w:right w:val="nil"/>
            </w:tcBorders>
            <w:shd w:val="clear" w:color="000000" w:fill="006991"/>
            <w:vAlign w:val="center"/>
            <w:hideMark/>
          </w:tcPr>
          <w:p w14:paraId="2AFB8978" w14:textId="77777777" w:rsidR="008D39E6" w:rsidRPr="00442A3B" w:rsidRDefault="008D39E6" w:rsidP="005E563D">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Vic</w:t>
            </w:r>
          </w:p>
        </w:tc>
        <w:tc>
          <w:tcPr>
            <w:tcW w:w="720" w:type="dxa"/>
            <w:tcBorders>
              <w:top w:val="nil"/>
              <w:left w:val="nil"/>
              <w:bottom w:val="nil"/>
              <w:right w:val="nil"/>
            </w:tcBorders>
            <w:shd w:val="clear" w:color="000000" w:fill="006991"/>
            <w:vAlign w:val="center"/>
            <w:hideMark/>
          </w:tcPr>
          <w:p w14:paraId="0ED5939E" w14:textId="77777777" w:rsidR="008D39E6" w:rsidRPr="00442A3B" w:rsidRDefault="008D39E6" w:rsidP="005E563D">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Qld</w:t>
            </w:r>
          </w:p>
        </w:tc>
        <w:tc>
          <w:tcPr>
            <w:tcW w:w="680" w:type="dxa"/>
            <w:tcBorders>
              <w:top w:val="nil"/>
              <w:left w:val="nil"/>
              <w:bottom w:val="nil"/>
              <w:right w:val="nil"/>
            </w:tcBorders>
            <w:shd w:val="clear" w:color="000000" w:fill="006991"/>
            <w:vAlign w:val="center"/>
            <w:hideMark/>
          </w:tcPr>
          <w:p w14:paraId="328CD1C4" w14:textId="77777777" w:rsidR="008D39E6" w:rsidRPr="00442A3B" w:rsidRDefault="008D39E6" w:rsidP="005E563D">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WA</w:t>
            </w:r>
          </w:p>
        </w:tc>
        <w:tc>
          <w:tcPr>
            <w:tcW w:w="640" w:type="dxa"/>
            <w:tcBorders>
              <w:top w:val="nil"/>
              <w:left w:val="nil"/>
              <w:bottom w:val="nil"/>
              <w:right w:val="nil"/>
            </w:tcBorders>
            <w:shd w:val="clear" w:color="000000" w:fill="006991"/>
            <w:vAlign w:val="center"/>
            <w:hideMark/>
          </w:tcPr>
          <w:p w14:paraId="5F581CF9" w14:textId="77777777" w:rsidR="008D39E6" w:rsidRPr="00442A3B" w:rsidRDefault="008D39E6" w:rsidP="005E563D">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SA</w:t>
            </w:r>
          </w:p>
        </w:tc>
        <w:tc>
          <w:tcPr>
            <w:tcW w:w="640" w:type="dxa"/>
            <w:tcBorders>
              <w:top w:val="nil"/>
              <w:left w:val="nil"/>
              <w:bottom w:val="nil"/>
              <w:right w:val="nil"/>
            </w:tcBorders>
            <w:shd w:val="clear" w:color="000000" w:fill="006991"/>
            <w:vAlign w:val="center"/>
            <w:hideMark/>
          </w:tcPr>
          <w:p w14:paraId="525C7551" w14:textId="77777777" w:rsidR="008D39E6" w:rsidRPr="00442A3B" w:rsidRDefault="008D39E6" w:rsidP="005E563D">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Tas</w:t>
            </w:r>
          </w:p>
        </w:tc>
        <w:tc>
          <w:tcPr>
            <w:tcW w:w="700" w:type="dxa"/>
            <w:tcBorders>
              <w:top w:val="nil"/>
              <w:left w:val="nil"/>
              <w:bottom w:val="nil"/>
              <w:right w:val="nil"/>
            </w:tcBorders>
            <w:shd w:val="clear" w:color="000000" w:fill="006991"/>
            <w:vAlign w:val="center"/>
            <w:hideMark/>
          </w:tcPr>
          <w:p w14:paraId="400D7DBE" w14:textId="77777777" w:rsidR="008D39E6" w:rsidRPr="00442A3B" w:rsidRDefault="008D39E6" w:rsidP="005E563D">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ACT</w:t>
            </w:r>
          </w:p>
        </w:tc>
        <w:tc>
          <w:tcPr>
            <w:tcW w:w="640" w:type="dxa"/>
            <w:tcBorders>
              <w:top w:val="nil"/>
              <w:left w:val="nil"/>
              <w:bottom w:val="nil"/>
              <w:right w:val="nil"/>
            </w:tcBorders>
            <w:shd w:val="clear" w:color="000000" w:fill="006991"/>
            <w:vAlign w:val="center"/>
            <w:hideMark/>
          </w:tcPr>
          <w:p w14:paraId="609DA947" w14:textId="77777777" w:rsidR="008D39E6" w:rsidRPr="00442A3B" w:rsidRDefault="008D39E6" w:rsidP="005E563D">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NT</w:t>
            </w:r>
          </w:p>
        </w:tc>
        <w:tc>
          <w:tcPr>
            <w:tcW w:w="820" w:type="dxa"/>
            <w:tcBorders>
              <w:top w:val="nil"/>
              <w:left w:val="nil"/>
              <w:bottom w:val="nil"/>
              <w:right w:val="nil"/>
            </w:tcBorders>
            <w:shd w:val="clear" w:color="000000" w:fill="006991"/>
            <w:vAlign w:val="center"/>
            <w:hideMark/>
          </w:tcPr>
          <w:p w14:paraId="1B73FF08" w14:textId="77777777" w:rsidR="008D39E6" w:rsidRPr="00442A3B" w:rsidRDefault="008D39E6" w:rsidP="005E563D">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Redist</w:t>
            </w:r>
          </w:p>
        </w:tc>
      </w:tr>
      <w:tr w:rsidR="008D39E6" w:rsidRPr="00442A3B" w14:paraId="75805641" w14:textId="77777777" w:rsidTr="003063D4">
        <w:trPr>
          <w:trHeight w:val="259"/>
        </w:trPr>
        <w:tc>
          <w:tcPr>
            <w:tcW w:w="2560" w:type="dxa"/>
            <w:tcBorders>
              <w:top w:val="single" w:sz="4" w:space="0" w:color="ADD6EA"/>
              <w:left w:val="nil"/>
              <w:bottom w:val="nil"/>
              <w:right w:val="nil"/>
            </w:tcBorders>
            <w:shd w:val="clear" w:color="000000" w:fill="B6D5E4"/>
            <w:vAlign w:val="bottom"/>
            <w:hideMark/>
          </w:tcPr>
          <w:p w14:paraId="753FDCA1" w14:textId="77777777" w:rsidR="008D39E6" w:rsidRPr="00442A3B" w:rsidRDefault="008D39E6" w:rsidP="005E563D">
            <w:pPr>
              <w:keepNext/>
              <w:keepLines/>
              <w:tabs>
                <w:tab w:val="clear" w:pos="567"/>
              </w:tabs>
              <w:spacing w:before="0" w:line="240" w:lineRule="auto"/>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 </w:t>
            </w:r>
          </w:p>
        </w:tc>
        <w:tc>
          <w:tcPr>
            <w:tcW w:w="760" w:type="dxa"/>
            <w:tcBorders>
              <w:top w:val="single" w:sz="4" w:space="0" w:color="ADD6EA"/>
              <w:left w:val="nil"/>
              <w:bottom w:val="nil"/>
              <w:right w:val="nil"/>
            </w:tcBorders>
            <w:shd w:val="clear" w:color="000000" w:fill="B6D5E4"/>
            <w:noWrap/>
            <w:vAlign w:val="bottom"/>
            <w:hideMark/>
          </w:tcPr>
          <w:p w14:paraId="2DFFF59D" w14:textId="77777777" w:rsidR="008D39E6" w:rsidRPr="00442A3B" w:rsidRDefault="008D39E6" w:rsidP="005E563D">
            <w:pPr>
              <w:pStyle w:val="CGCTablesubhead1"/>
              <w:keepNext/>
              <w:keepLines/>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720" w:type="dxa"/>
            <w:tcBorders>
              <w:top w:val="single" w:sz="4" w:space="0" w:color="ADD6EA"/>
              <w:left w:val="nil"/>
              <w:bottom w:val="nil"/>
              <w:right w:val="nil"/>
            </w:tcBorders>
            <w:shd w:val="clear" w:color="000000" w:fill="B6D5E4"/>
            <w:noWrap/>
            <w:vAlign w:val="bottom"/>
            <w:hideMark/>
          </w:tcPr>
          <w:p w14:paraId="4F7E5BE1" w14:textId="77777777" w:rsidR="008D39E6" w:rsidRPr="00442A3B" w:rsidRDefault="008D39E6" w:rsidP="005E563D">
            <w:pPr>
              <w:pStyle w:val="CGCTablesubhead1"/>
              <w:keepNext/>
              <w:keepLines/>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720" w:type="dxa"/>
            <w:tcBorders>
              <w:top w:val="single" w:sz="4" w:space="0" w:color="ADD6EA"/>
              <w:left w:val="nil"/>
              <w:bottom w:val="nil"/>
              <w:right w:val="nil"/>
            </w:tcBorders>
            <w:shd w:val="clear" w:color="000000" w:fill="B6D5E4"/>
            <w:noWrap/>
            <w:vAlign w:val="bottom"/>
            <w:hideMark/>
          </w:tcPr>
          <w:p w14:paraId="3D97AA65" w14:textId="77777777" w:rsidR="008D39E6" w:rsidRPr="00442A3B" w:rsidRDefault="008D39E6" w:rsidP="005E563D">
            <w:pPr>
              <w:pStyle w:val="CGCTablesubhead1"/>
              <w:keepNext/>
              <w:keepLines/>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680" w:type="dxa"/>
            <w:tcBorders>
              <w:top w:val="single" w:sz="4" w:space="0" w:color="ADD6EA"/>
              <w:left w:val="nil"/>
              <w:bottom w:val="nil"/>
              <w:right w:val="nil"/>
            </w:tcBorders>
            <w:shd w:val="clear" w:color="000000" w:fill="B6D5E4"/>
            <w:noWrap/>
            <w:vAlign w:val="bottom"/>
            <w:hideMark/>
          </w:tcPr>
          <w:p w14:paraId="7E70AE7E" w14:textId="77777777" w:rsidR="008D39E6" w:rsidRPr="00442A3B" w:rsidRDefault="008D39E6" w:rsidP="005E563D">
            <w:pPr>
              <w:pStyle w:val="CGCTablesubhead1"/>
              <w:keepNext/>
              <w:keepLines/>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640" w:type="dxa"/>
            <w:tcBorders>
              <w:top w:val="single" w:sz="4" w:space="0" w:color="ADD6EA"/>
              <w:left w:val="nil"/>
              <w:bottom w:val="nil"/>
              <w:right w:val="nil"/>
            </w:tcBorders>
            <w:shd w:val="clear" w:color="000000" w:fill="B6D5E4"/>
            <w:noWrap/>
            <w:vAlign w:val="bottom"/>
            <w:hideMark/>
          </w:tcPr>
          <w:p w14:paraId="43E314C1" w14:textId="77777777" w:rsidR="008D39E6" w:rsidRPr="00442A3B" w:rsidRDefault="008D39E6" w:rsidP="005E563D">
            <w:pPr>
              <w:pStyle w:val="CGCTablesubhead1"/>
              <w:keepNext/>
              <w:keepLines/>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640" w:type="dxa"/>
            <w:tcBorders>
              <w:top w:val="single" w:sz="4" w:space="0" w:color="ADD6EA"/>
              <w:left w:val="nil"/>
              <w:bottom w:val="nil"/>
              <w:right w:val="nil"/>
            </w:tcBorders>
            <w:shd w:val="clear" w:color="000000" w:fill="B6D5E4"/>
            <w:noWrap/>
            <w:vAlign w:val="bottom"/>
            <w:hideMark/>
          </w:tcPr>
          <w:p w14:paraId="79A0090D" w14:textId="77777777" w:rsidR="008D39E6" w:rsidRPr="00442A3B" w:rsidRDefault="008D39E6" w:rsidP="005E563D">
            <w:pPr>
              <w:pStyle w:val="CGCTablesubhead1"/>
              <w:keepNext/>
              <w:keepLines/>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0B8828DE" w14:textId="77777777" w:rsidR="008D39E6" w:rsidRPr="00442A3B" w:rsidRDefault="008D39E6" w:rsidP="005E563D">
            <w:pPr>
              <w:pStyle w:val="CGCTablesubhead1"/>
              <w:keepNext/>
              <w:keepLines/>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640" w:type="dxa"/>
            <w:tcBorders>
              <w:top w:val="single" w:sz="4" w:space="0" w:color="ADD6EA"/>
              <w:left w:val="nil"/>
              <w:bottom w:val="nil"/>
              <w:right w:val="nil"/>
            </w:tcBorders>
            <w:shd w:val="clear" w:color="000000" w:fill="B6D5E4"/>
            <w:noWrap/>
            <w:vAlign w:val="bottom"/>
            <w:hideMark/>
          </w:tcPr>
          <w:p w14:paraId="01948AEB" w14:textId="77777777" w:rsidR="008D39E6" w:rsidRPr="00442A3B" w:rsidRDefault="008D39E6" w:rsidP="005E563D">
            <w:pPr>
              <w:pStyle w:val="CGCTablesubhead1"/>
              <w:keepNext/>
              <w:keepLines/>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820" w:type="dxa"/>
            <w:tcBorders>
              <w:top w:val="single" w:sz="4" w:space="0" w:color="ADD6EA"/>
              <w:left w:val="nil"/>
              <w:bottom w:val="nil"/>
              <w:right w:val="nil"/>
            </w:tcBorders>
            <w:shd w:val="clear" w:color="000000" w:fill="B6D5E4"/>
            <w:noWrap/>
            <w:vAlign w:val="bottom"/>
            <w:hideMark/>
          </w:tcPr>
          <w:p w14:paraId="3AA20AAD" w14:textId="77777777" w:rsidR="008D39E6" w:rsidRPr="00442A3B" w:rsidRDefault="008D39E6" w:rsidP="005E563D">
            <w:pPr>
              <w:pStyle w:val="CGCTablesubhead1"/>
              <w:keepNext/>
              <w:keepLines/>
              <w:jc w:val="right"/>
              <w:rPr>
                <w:rFonts w:eastAsia="MS Mincho" w:cs="Open Sans Semibold"/>
                <w:color w:val="000000"/>
                <w:szCs w:val="16"/>
                <w:lang w:eastAsia="en-AU"/>
              </w:rPr>
            </w:pPr>
            <w:r w:rsidRPr="00442A3B">
              <w:rPr>
                <w:rFonts w:eastAsia="MS Mincho" w:cs="Open Sans Semibold"/>
                <w:color w:val="000000"/>
                <w:szCs w:val="16"/>
                <w:lang w:eastAsia="en-AU"/>
              </w:rPr>
              <w:t>$m</w:t>
            </w:r>
          </w:p>
        </w:tc>
      </w:tr>
      <w:tr w:rsidR="008D39E6" w:rsidRPr="00442A3B" w14:paraId="3B465F28" w14:textId="77777777" w:rsidTr="003063D4">
        <w:trPr>
          <w:trHeight w:val="315"/>
        </w:trPr>
        <w:tc>
          <w:tcPr>
            <w:tcW w:w="2560" w:type="dxa"/>
            <w:tcBorders>
              <w:top w:val="single" w:sz="4" w:space="0" w:color="ADD6EA"/>
              <w:left w:val="nil"/>
              <w:bottom w:val="nil"/>
              <w:right w:val="nil"/>
            </w:tcBorders>
            <w:shd w:val="clear" w:color="auto" w:fill="auto"/>
            <w:vAlign w:val="bottom"/>
            <w:hideMark/>
          </w:tcPr>
          <w:p w14:paraId="5779E4E3" w14:textId="77777777" w:rsidR="008D39E6" w:rsidRPr="00442A3B" w:rsidRDefault="008D39E6" w:rsidP="005E563D">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Expense requirement</w:t>
            </w:r>
          </w:p>
        </w:tc>
        <w:tc>
          <w:tcPr>
            <w:tcW w:w="760" w:type="dxa"/>
            <w:tcBorders>
              <w:top w:val="single" w:sz="4" w:space="0" w:color="ADD6EA"/>
              <w:left w:val="nil"/>
              <w:bottom w:val="nil"/>
              <w:right w:val="nil"/>
            </w:tcBorders>
            <w:shd w:val="clear" w:color="auto" w:fill="auto"/>
            <w:noWrap/>
            <w:vAlign w:val="bottom"/>
            <w:hideMark/>
          </w:tcPr>
          <w:p w14:paraId="7A4EBA3E"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68</w:t>
            </w:r>
          </w:p>
        </w:tc>
        <w:tc>
          <w:tcPr>
            <w:tcW w:w="720" w:type="dxa"/>
            <w:tcBorders>
              <w:top w:val="single" w:sz="4" w:space="0" w:color="ADD6EA"/>
              <w:left w:val="nil"/>
              <w:bottom w:val="nil"/>
              <w:right w:val="nil"/>
            </w:tcBorders>
            <w:shd w:val="clear" w:color="auto" w:fill="auto"/>
            <w:noWrap/>
            <w:vAlign w:val="bottom"/>
            <w:hideMark/>
          </w:tcPr>
          <w:p w14:paraId="394BDE4D"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-199</w:t>
            </w:r>
          </w:p>
        </w:tc>
        <w:tc>
          <w:tcPr>
            <w:tcW w:w="720" w:type="dxa"/>
            <w:tcBorders>
              <w:top w:val="single" w:sz="4" w:space="0" w:color="ADD6EA"/>
              <w:left w:val="nil"/>
              <w:bottom w:val="nil"/>
              <w:right w:val="nil"/>
            </w:tcBorders>
            <w:shd w:val="clear" w:color="auto" w:fill="auto"/>
            <w:noWrap/>
            <w:vAlign w:val="bottom"/>
            <w:hideMark/>
          </w:tcPr>
          <w:p w14:paraId="2E9BFA87"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9</w:t>
            </w:r>
          </w:p>
        </w:tc>
        <w:tc>
          <w:tcPr>
            <w:tcW w:w="680" w:type="dxa"/>
            <w:tcBorders>
              <w:top w:val="single" w:sz="4" w:space="0" w:color="ADD6EA"/>
              <w:left w:val="nil"/>
              <w:bottom w:val="nil"/>
              <w:right w:val="nil"/>
            </w:tcBorders>
            <w:shd w:val="clear" w:color="auto" w:fill="auto"/>
            <w:noWrap/>
            <w:vAlign w:val="bottom"/>
            <w:hideMark/>
          </w:tcPr>
          <w:p w14:paraId="30E6DC9E"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45</w:t>
            </w:r>
          </w:p>
        </w:tc>
        <w:tc>
          <w:tcPr>
            <w:tcW w:w="640" w:type="dxa"/>
            <w:tcBorders>
              <w:top w:val="single" w:sz="4" w:space="0" w:color="ADD6EA"/>
              <w:left w:val="nil"/>
              <w:bottom w:val="nil"/>
              <w:right w:val="nil"/>
            </w:tcBorders>
            <w:shd w:val="clear" w:color="auto" w:fill="auto"/>
            <w:noWrap/>
            <w:vAlign w:val="bottom"/>
            <w:hideMark/>
          </w:tcPr>
          <w:p w14:paraId="23AA6F7E"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-21</w:t>
            </w:r>
          </w:p>
        </w:tc>
        <w:tc>
          <w:tcPr>
            <w:tcW w:w="640" w:type="dxa"/>
            <w:tcBorders>
              <w:top w:val="single" w:sz="4" w:space="0" w:color="ADD6EA"/>
              <w:left w:val="nil"/>
              <w:bottom w:val="nil"/>
              <w:right w:val="nil"/>
            </w:tcBorders>
            <w:shd w:val="clear" w:color="auto" w:fill="auto"/>
            <w:noWrap/>
            <w:vAlign w:val="bottom"/>
            <w:hideMark/>
          </w:tcPr>
          <w:p w14:paraId="5C84034C"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106</w:t>
            </w:r>
          </w:p>
        </w:tc>
        <w:tc>
          <w:tcPr>
            <w:tcW w:w="700" w:type="dxa"/>
            <w:tcBorders>
              <w:top w:val="single" w:sz="4" w:space="0" w:color="ADD6EA"/>
              <w:left w:val="nil"/>
              <w:bottom w:val="nil"/>
              <w:right w:val="nil"/>
            </w:tcBorders>
            <w:shd w:val="clear" w:color="auto" w:fill="auto"/>
            <w:noWrap/>
            <w:vAlign w:val="bottom"/>
            <w:hideMark/>
          </w:tcPr>
          <w:p w14:paraId="4F7F623C"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w:t>
            </w:r>
          </w:p>
        </w:tc>
        <w:tc>
          <w:tcPr>
            <w:tcW w:w="640" w:type="dxa"/>
            <w:tcBorders>
              <w:top w:val="single" w:sz="4" w:space="0" w:color="ADD6EA"/>
              <w:left w:val="nil"/>
              <w:bottom w:val="nil"/>
              <w:right w:val="nil"/>
            </w:tcBorders>
            <w:shd w:val="clear" w:color="auto" w:fill="auto"/>
            <w:noWrap/>
            <w:vAlign w:val="bottom"/>
            <w:hideMark/>
          </w:tcPr>
          <w:p w14:paraId="64E879A7"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-10</w:t>
            </w:r>
          </w:p>
        </w:tc>
        <w:tc>
          <w:tcPr>
            <w:tcW w:w="820" w:type="dxa"/>
            <w:tcBorders>
              <w:top w:val="single" w:sz="4" w:space="0" w:color="ADD6EA"/>
              <w:left w:val="nil"/>
              <w:bottom w:val="nil"/>
              <w:right w:val="nil"/>
            </w:tcBorders>
            <w:shd w:val="clear" w:color="auto" w:fill="auto"/>
            <w:noWrap/>
            <w:vAlign w:val="bottom"/>
            <w:hideMark/>
          </w:tcPr>
          <w:p w14:paraId="458FDE0C"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230</w:t>
            </w:r>
          </w:p>
        </w:tc>
      </w:tr>
      <w:tr w:rsidR="008D39E6" w:rsidRPr="00442A3B" w14:paraId="7B435D31" w14:textId="77777777" w:rsidTr="003063D4">
        <w:trPr>
          <w:trHeight w:val="315"/>
        </w:trPr>
        <w:tc>
          <w:tcPr>
            <w:tcW w:w="2560" w:type="dxa"/>
            <w:tcBorders>
              <w:top w:val="single" w:sz="4" w:space="0" w:color="ADD6EA"/>
              <w:left w:val="nil"/>
              <w:bottom w:val="nil"/>
              <w:right w:val="nil"/>
            </w:tcBorders>
            <w:shd w:val="clear" w:color="auto" w:fill="auto"/>
            <w:vAlign w:val="bottom"/>
            <w:hideMark/>
          </w:tcPr>
          <w:p w14:paraId="15BD517C" w14:textId="77777777" w:rsidR="008D39E6" w:rsidRPr="00442A3B" w:rsidRDefault="008D39E6" w:rsidP="005E563D">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Investment requirement</w:t>
            </w:r>
          </w:p>
        </w:tc>
        <w:tc>
          <w:tcPr>
            <w:tcW w:w="760" w:type="dxa"/>
            <w:tcBorders>
              <w:top w:val="single" w:sz="4" w:space="0" w:color="ADD6EA"/>
              <w:left w:val="nil"/>
              <w:bottom w:val="nil"/>
              <w:right w:val="nil"/>
            </w:tcBorders>
            <w:shd w:val="clear" w:color="auto" w:fill="auto"/>
            <w:noWrap/>
            <w:vAlign w:val="bottom"/>
            <w:hideMark/>
          </w:tcPr>
          <w:p w14:paraId="1AEBAE42"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-152</w:t>
            </w:r>
          </w:p>
        </w:tc>
        <w:tc>
          <w:tcPr>
            <w:tcW w:w="720" w:type="dxa"/>
            <w:tcBorders>
              <w:top w:val="single" w:sz="4" w:space="0" w:color="ADD6EA"/>
              <w:left w:val="nil"/>
              <w:bottom w:val="nil"/>
              <w:right w:val="nil"/>
            </w:tcBorders>
            <w:shd w:val="clear" w:color="auto" w:fill="auto"/>
            <w:noWrap/>
            <w:vAlign w:val="bottom"/>
            <w:hideMark/>
          </w:tcPr>
          <w:p w14:paraId="5E88D3E5"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-191</w:t>
            </w:r>
          </w:p>
        </w:tc>
        <w:tc>
          <w:tcPr>
            <w:tcW w:w="720" w:type="dxa"/>
            <w:tcBorders>
              <w:top w:val="single" w:sz="4" w:space="0" w:color="ADD6EA"/>
              <w:left w:val="nil"/>
              <w:bottom w:val="nil"/>
              <w:right w:val="nil"/>
            </w:tcBorders>
            <w:shd w:val="clear" w:color="auto" w:fill="auto"/>
            <w:noWrap/>
            <w:vAlign w:val="bottom"/>
            <w:hideMark/>
          </w:tcPr>
          <w:p w14:paraId="4235E1B1"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87</w:t>
            </w:r>
          </w:p>
        </w:tc>
        <w:tc>
          <w:tcPr>
            <w:tcW w:w="680" w:type="dxa"/>
            <w:tcBorders>
              <w:top w:val="single" w:sz="4" w:space="0" w:color="ADD6EA"/>
              <w:left w:val="nil"/>
              <w:bottom w:val="nil"/>
              <w:right w:val="nil"/>
            </w:tcBorders>
            <w:shd w:val="clear" w:color="auto" w:fill="auto"/>
            <w:noWrap/>
            <w:vAlign w:val="bottom"/>
            <w:hideMark/>
          </w:tcPr>
          <w:p w14:paraId="2820138D"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299</w:t>
            </w:r>
          </w:p>
        </w:tc>
        <w:tc>
          <w:tcPr>
            <w:tcW w:w="640" w:type="dxa"/>
            <w:tcBorders>
              <w:top w:val="single" w:sz="4" w:space="0" w:color="ADD6EA"/>
              <w:left w:val="nil"/>
              <w:bottom w:val="nil"/>
              <w:right w:val="nil"/>
            </w:tcBorders>
            <w:shd w:val="clear" w:color="auto" w:fill="auto"/>
            <w:noWrap/>
            <w:vAlign w:val="bottom"/>
            <w:hideMark/>
          </w:tcPr>
          <w:p w14:paraId="719AD04D"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-6</w:t>
            </w:r>
          </w:p>
        </w:tc>
        <w:tc>
          <w:tcPr>
            <w:tcW w:w="640" w:type="dxa"/>
            <w:tcBorders>
              <w:top w:val="single" w:sz="4" w:space="0" w:color="ADD6EA"/>
              <w:left w:val="nil"/>
              <w:bottom w:val="nil"/>
              <w:right w:val="nil"/>
            </w:tcBorders>
            <w:shd w:val="clear" w:color="auto" w:fill="auto"/>
            <w:noWrap/>
            <w:vAlign w:val="bottom"/>
            <w:hideMark/>
          </w:tcPr>
          <w:p w14:paraId="5B361022"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w:t>
            </w:r>
          </w:p>
        </w:tc>
        <w:tc>
          <w:tcPr>
            <w:tcW w:w="700" w:type="dxa"/>
            <w:tcBorders>
              <w:top w:val="single" w:sz="4" w:space="0" w:color="ADD6EA"/>
              <w:left w:val="nil"/>
              <w:bottom w:val="nil"/>
              <w:right w:val="nil"/>
            </w:tcBorders>
            <w:shd w:val="clear" w:color="auto" w:fill="auto"/>
            <w:noWrap/>
            <w:vAlign w:val="bottom"/>
            <w:hideMark/>
          </w:tcPr>
          <w:p w14:paraId="4415D36D"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-54</w:t>
            </w:r>
          </w:p>
        </w:tc>
        <w:tc>
          <w:tcPr>
            <w:tcW w:w="640" w:type="dxa"/>
            <w:tcBorders>
              <w:top w:val="single" w:sz="4" w:space="0" w:color="ADD6EA"/>
              <w:left w:val="nil"/>
              <w:bottom w:val="nil"/>
              <w:right w:val="nil"/>
            </w:tcBorders>
            <w:shd w:val="clear" w:color="auto" w:fill="auto"/>
            <w:noWrap/>
            <w:vAlign w:val="bottom"/>
            <w:hideMark/>
          </w:tcPr>
          <w:p w14:paraId="145CC5BB"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19</w:t>
            </w:r>
          </w:p>
        </w:tc>
        <w:tc>
          <w:tcPr>
            <w:tcW w:w="820" w:type="dxa"/>
            <w:tcBorders>
              <w:top w:val="single" w:sz="4" w:space="0" w:color="ADD6EA"/>
              <w:left w:val="nil"/>
              <w:bottom w:val="nil"/>
              <w:right w:val="nil"/>
            </w:tcBorders>
            <w:shd w:val="clear" w:color="auto" w:fill="auto"/>
            <w:noWrap/>
            <w:vAlign w:val="bottom"/>
            <w:hideMark/>
          </w:tcPr>
          <w:p w14:paraId="461A5533"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405</w:t>
            </w:r>
          </w:p>
        </w:tc>
      </w:tr>
      <w:tr w:rsidR="008D39E6" w:rsidRPr="00442A3B" w14:paraId="172DB999" w14:textId="77777777" w:rsidTr="003063D4">
        <w:trPr>
          <w:trHeight w:val="315"/>
        </w:trPr>
        <w:tc>
          <w:tcPr>
            <w:tcW w:w="2560" w:type="dxa"/>
            <w:tcBorders>
              <w:top w:val="single" w:sz="4" w:space="0" w:color="ADD6EA"/>
              <w:left w:val="nil"/>
              <w:bottom w:val="nil"/>
              <w:right w:val="nil"/>
            </w:tcBorders>
            <w:shd w:val="clear" w:color="auto" w:fill="auto"/>
            <w:vAlign w:val="bottom"/>
            <w:hideMark/>
          </w:tcPr>
          <w:p w14:paraId="625B0E92" w14:textId="77777777" w:rsidR="008D39E6" w:rsidRPr="00442A3B" w:rsidRDefault="008D39E6" w:rsidP="005E563D">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Net borrowing</w:t>
            </w:r>
          </w:p>
        </w:tc>
        <w:tc>
          <w:tcPr>
            <w:tcW w:w="760" w:type="dxa"/>
            <w:tcBorders>
              <w:top w:val="single" w:sz="4" w:space="0" w:color="ADD6EA"/>
              <w:left w:val="nil"/>
              <w:bottom w:val="nil"/>
              <w:right w:val="nil"/>
            </w:tcBorders>
            <w:shd w:val="clear" w:color="auto" w:fill="auto"/>
            <w:noWrap/>
            <w:vAlign w:val="bottom"/>
            <w:hideMark/>
          </w:tcPr>
          <w:p w14:paraId="5A4AD4EC"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93</w:t>
            </w:r>
          </w:p>
        </w:tc>
        <w:tc>
          <w:tcPr>
            <w:tcW w:w="720" w:type="dxa"/>
            <w:tcBorders>
              <w:top w:val="single" w:sz="4" w:space="0" w:color="ADD6EA"/>
              <w:left w:val="nil"/>
              <w:bottom w:val="nil"/>
              <w:right w:val="nil"/>
            </w:tcBorders>
            <w:shd w:val="clear" w:color="auto" w:fill="auto"/>
            <w:noWrap/>
            <w:vAlign w:val="bottom"/>
            <w:hideMark/>
          </w:tcPr>
          <w:p w14:paraId="03D7526E"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-72</w:t>
            </w:r>
          </w:p>
        </w:tc>
        <w:tc>
          <w:tcPr>
            <w:tcW w:w="720" w:type="dxa"/>
            <w:tcBorders>
              <w:top w:val="single" w:sz="4" w:space="0" w:color="ADD6EA"/>
              <w:left w:val="nil"/>
              <w:bottom w:val="nil"/>
              <w:right w:val="nil"/>
            </w:tcBorders>
            <w:shd w:val="clear" w:color="auto" w:fill="auto"/>
            <w:noWrap/>
            <w:vAlign w:val="bottom"/>
            <w:hideMark/>
          </w:tcPr>
          <w:p w14:paraId="768200A0"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-35</w:t>
            </w:r>
          </w:p>
        </w:tc>
        <w:tc>
          <w:tcPr>
            <w:tcW w:w="680" w:type="dxa"/>
            <w:tcBorders>
              <w:top w:val="single" w:sz="4" w:space="0" w:color="ADD6EA"/>
              <w:left w:val="nil"/>
              <w:bottom w:val="nil"/>
              <w:right w:val="nil"/>
            </w:tcBorders>
            <w:shd w:val="clear" w:color="auto" w:fill="auto"/>
            <w:noWrap/>
            <w:vAlign w:val="bottom"/>
            <w:hideMark/>
          </w:tcPr>
          <w:p w14:paraId="745F02F1"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-25</w:t>
            </w:r>
          </w:p>
        </w:tc>
        <w:tc>
          <w:tcPr>
            <w:tcW w:w="640" w:type="dxa"/>
            <w:tcBorders>
              <w:top w:val="single" w:sz="4" w:space="0" w:color="ADD6EA"/>
              <w:left w:val="nil"/>
              <w:bottom w:val="nil"/>
              <w:right w:val="nil"/>
            </w:tcBorders>
            <w:shd w:val="clear" w:color="auto" w:fill="auto"/>
            <w:noWrap/>
            <w:vAlign w:val="bottom"/>
            <w:hideMark/>
          </w:tcPr>
          <w:p w14:paraId="7C00CB76"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16</w:t>
            </w:r>
          </w:p>
        </w:tc>
        <w:tc>
          <w:tcPr>
            <w:tcW w:w="640" w:type="dxa"/>
            <w:tcBorders>
              <w:top w:val="single" w:sz="4" w:space="0" w:color="ADD6EA"/>
              <w:left w:val="nil"/>
              <w:bottom w:val="nil"/>
              <w:right w:val="nil"/>
            </w:tcBorders>
            <w:shd w:val="clear" w:color="auto" w:fill="auto"/>
            <w:noWrap/>
            <w:vAlign w:val="bottom"/>
            <w:hideMark/>
          </w:tcPr>
          <w:p w14:paraId="458A6E12"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w:t>
            </w:r>
          </w:p>
        </w:tc>
        <w:tc>
          <w:tcPr>
            <w:tcW w:w="700" w:type="dxa"/>
            <w:tcBorders>
              <w:top w:val="single" w:sz="4" w:space="0" w:color="ADD6EA"/>
              <w:left w:val="nil"/>
              <w:bottom w:val="nil"/>
              <w:right w:val="nil"/>
            </w:tcBorders>
            <w:shd w:val="clear" w:color="auto" w:fill="auto"/>
            <w:noWrap/>
            <w:vAlign w:val="bottom"/>
            <w:hideMark/>
          </w:tcPr>
          <w:p w14:paraId="6AAD7A49"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8</w:t>
            </w:r>
          </w:p>
        </w:tc>
        <w:tc>
          <w:tcPr>
            <w:tcW w:w="640" w:type="dxa"/>
            <w:tcBorders>
              <w:top w:val="single" w:sz="4" w:space="0" w:color="ADD6EA"/>
              <w:left w:val="nil"/>
              <w:bottom w:val="nil"/>
              <w:right w:val="nil"/>
            </w:tcBorders>
            <w:shd w:val="clear" w:color="auto" w:fill="auto"/>
            <w:noWrap/>
            <w:vAlign w:val="bottom"/>
            <w:hideMark/>
          </w:tcPr>
          <w:p w14:paraId="1C3922E1"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14</w:t>
            </w:r>
          </w:p>
        </w:tc>
        <w:tc>
          <w:tcPr>
            <w:tcW w:w="820" w:type="dxa"/>
            <w:tcBorders>
              <w:top w:val="single" w:sz="4" w:space="0" w:color="ADD6EA"/>
              <w:left w:val="nil"/>
              <w:bottom w:val="nil"/>
              <w:right w:val="nil"/>
            </w:tcBorders>
            <w:shd w:val="clear" w:color="auto" w:fill="auto"/>
            <w:noWrap/>
            <w:vAlign w:val="bottom"/>
            <w:hideMark/>
          </w:tcPr>
          <w:p w14:paraId="56FBDBD7"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132</w:t>
            </w:r>
          </w:p>
        </w:tc>
      </w:tr>
      <w:tr w:rsidR="008D39E6" w:rsidRPr="00442A3B" w14:paraId="0EF9ADB6" w14:textId="77777777" w:rsidTr="003063D4">
        <w:trPr>
          <w:trHeight w:val="315"/>
        </w:trPr>
        <w:tc>
          <w:tcPr>
            <w:tcW w:w="2560" w:type="dxa"/>
            <w:tcBorders>
              <w:top w:val="single" w:sz="4" w:space="0" w:color="ADD6EA"/>
              <w:left w:val="nil"/>
              <w:bottom w:val="nil"/>
              <w:right w:val="nil"/>
            </w:tcBorders>
            <w:shd w:val="clear" w:color="auto" w:fill="auto"/>
            <w:vAlign w:val="bottom"/>
            <w:hideMark/>
          </w:tcPr>
          <w:p w14:paraId="5035EB09" w14:textId="77777777" w:rsidR="008D39E6" w:rsidRPr="00442A3B" w:rsidRDefault="008D39E6" w:rsidP="005E563D">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Revenue raising capacity</w:t>
            </w:r>
          </w:p>
        </w:tc>
        <w:tc>
          <w:tcPr>
            <w:tcW w:w="760" w:type="dxa"/>
            <w:tcBorders>
              <w:top w:val="single" w:sz="4" w:space="0" w:color="ADD6EA"/>
              <w:left w:val="nil"/>
              <w:bottom w:val="nil"/>
              <w:right w:val="nil"/>
            </w:tcBorders>
            <w:shd w:val="clear" w:color="auto" w:fill="auto"/>
            <w:vAlign w:val="bottom"/>
            <w:hideMark/>
          </w:tcPr>
          <w:p w14:paraId="3F86AAE9"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894</w:t>
            </w:r>
          </w:p>
        </w:tc>
        <w:tc>
          <w:tcPr>
            <w:tcW w:w="720" w:type="dxa"/>
            <w:tcBorders>
              <w:top w:val="single" w:sz="4" w:space="0" w:color="ADD6EA"/>
              <w:left w:val="nil"/>
              <w:bottom w:val="nil"/>
              <w:right w:val="nil"/>
            </w:tcBorders>
            <w:shd w:val="clear" w:color="auto" w:fill="auto"/>
            <w:vAlign w:val="bottom"/>
            <w:hideMark/>
          </w:tcPr>
          <w:p w14:paraId="2C57830A"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-103</w:t>
            </w:r>
          </w:p>
        </w:tc>
        <w:tc>
          <w:tcPr>
            <w:tcW w:w="720" w:type="dxa"/>
            <w:tcBorders>
              <w:top w:val="single" w:sz="4" w:space="0" w:color="ADD6EA"/>
              <w:left w:val="nil"/>
              <w:bottom w:val="nil"/>
              <w:right w:val="nil"/>
            </w:tcBorders>
            <w:shd w:val="clear" w:color="auto" w:fill="auto"/>
            <w:vAlign w:val="bottom"/>
            <w:hideMark/>
          </w:tcPr>
          <w:p w14:paraId="344ADAAB"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275</w:t>
            </w:r>
          </w:p>
        </w:tc>
        <w:tc>
          <w:tcPr>
            <w:tcW w:w="680" w:type="dxa"/>
            <w:tcBorders>
              <w:top w:val="single" w:sz="4" w:space="0" w:color="ADD6EA"/>
              <w:left w:val="nil"/>
              <w:bottom w:val="nil"/>
              <w:right w:val="nil"/>
            </w:tcBorders>
            <w:shd w:val="clear" w:color="auto" w:fill="auto"/>
            <w:vAlign w:val="bottom"/>
            <w:hideMark/>
          </w:tcPr>
          <w:p w14:paraId="36B3A943"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-1,094</w:t>
            </w:r>
          </w:p>
        </w:tc>
        <w:tc>
          <w:tcPr>
            <w:tcW w:w="640" w:type="dxa"/>
            <w:tcBorders>
              <w:top w:val="single" w:sz="4" w:space="0" w:color="ADD6EA"/>
              <w:left w:val="nil"/>
              <w:bottom w:val="nil"/>
              <w:right w:val="nil"/>
            </w:tcBorders>
            <w:shd w:val="clear" w:color="auto" w:fill="auto"/>
            <w:vAlign w:val="bottom"/>
            <w:hideMark/>
          </w:tcPr>
          <w:p w14:paraId="257152B2"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-34</w:t>
            </w:r>
          </w:p>
        </w:tc>
        <w:tc>
          <w:tcPr>
            <w:tcW w:w="640" w:type="dxa"/>
            <w:tcBorders>
              <w:top w:val="single" w:sz="4" w:space="0" w:color="ADD6EA"/>
              <w:left w:val="nil"/>
              <w:bottom w:val="nil"/>
              <w:right w:val="nil"/>
            </w:tcBorders>
            <w:shd w:val="clear" w:color="auto" w:fill="auto"/>
            <w:vAlign w:val="bottom"/>
            <w:hideMark/>
          </w:tcPr>
          <w:p w14:paraId="077E4AF6"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-7</w:t>
            </w:r>
          </w:p>
        </w:tc>
        <w:tc>
          <w:tcPr>
            <w:tcW w:w="700" w:type="dxa"/>
            <w:tcBorders>
              <w:top w:val="single" w:sz="4" w:space="0" w:color="ADD6EA"/>
              <w:left w:val="nil"/>
              <w:bottom w:val="nil"/>
              <w:right w:val="nil"/>
            </w:tcBorders>
            <w:shd w:val="clear" w:color="auto" w:fill="auto"/>
            <w:vAlign w:val="bottom"/>
            <w:hideMark/>
          </w:tcPr>
          <w:p w14:paraId="130E801C"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75</w:t>
            </w:r>
          </w:p>
        </w:tc>
        <w:tc>
          <w:tcPr>
            <w:tcW w:w="640" w:type="dxa"/>
            <w:tcBorders>
              <w:top w:val="single" w:sz="4" w:space="0" w:color="ADD6EA"/>
              <w:left w:val="nil"/>
              <w:bottom w:val="nil"/>
              <w:right w:val="nil"/>
            </w:tcBorders>
            <w:shd w:val="clear" w:color="auto" w:fill="auto"/>
            <w:vAlign w:val="bottom"/>
            <w:hideMark/>
          </w:tcPr>
          <w:p w14:paraId="2E556340"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-7</w:t>
            </w:r>
          </w:p>
        </w:tc>
        <w:tc>
          <w:tcPr>
            <w:tcW w:w="820" w:type="dxa"/>
            <w:tcBorders>
              <w:top w:val="single" w:sz="4" w:space="0" w:color="ADD6EA"/>
              <w:left w:val="nil"/>
              <w:bottom w:val="nil"/>
              <w:right w:val="nil"/>
            </w:tcBorders>
            <w:shd w:val="clear" w:color="auto" w:fill="auto"/>
            <w:vAlign w:val="bottom"/>
            <w:hideMark/>
          </w:tcPr>
          <w:p w14:paraId="1CCD671E"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1,244</w:t>
            </w:r>
          </w:p>
        </w:tc>
      </w:tr>
      <w:tr w:rsidR="008D39E6" w:rsidRPr="00442A3B" w14:paraId="57D47164" w14:textId="77777777" w:rsidTr="003063D4">
        <w:trPr>
          <w:trHeight w:val="315"/>
        </w:trPr>
        <w:tc>
          <w:tcPr>
            <w:tcW w:w="2560" w:type="dxa"/>
            <w:tcBorders>
              <w:top w:val="single" w:sz="4" w:space="0" w:color="ADD6EA"/>
              <w:left w:val="nil"/>
              <w:bottom w:val="nil"/>
              <w:right w:val="nil"/>
            </w:tcBorders>
            <w:shd w:val="clear" w:color="auto" w:fill="auto"/>
            <w:vAlign w:val="bottom"/>
            <w:hideMark/>
          </w:tcPr>
          <w:p w14:paraId="1B89E15B" w14:textId="77777777" w:rsidR="008D39E6" w:rsidRPr="00442A3B" w:rsidRDefault="008D39E6" w:rsidP="005E563D">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Commonwealth payments</w:t>
            </w:r>
          </w:p>
        </w:tc>
        <w:tc>
          <w:tcPr>
            <w:tcW w:w="760" w:type="dxa"/>
            <w:tcBorders>
              <w:top w:val="single" w:sz="4" w:space="0" w:color="ADD6EA"/>
              <w:left w:val="nil"/>
              <w:bottom w:val="nil"/>
              <w:right w:val="nil"/>
            </w:tcBorders>
            <w:shd w:val="clear" w:color="auto" w:fill="auto"/>
            <w:noWrap/>
            <w:vAlign w:val="bottom"/>
            <w:hideMark/>
          </w:tcPr>
          <w:p w14:paraId="1397296B"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76</w:t>
            </w:r>
          </w:p>
        </w:tc>
        <w:tc>
          <w:tcPr>
            <w:tcW w:w="720" w:type="dxa"/>
            <w:tcBorders>
              <w:top w:val="single" w:sz="4" w:space="0" w:color="ADD6EA"/>
              <w:left w:val="nil"/>
              <w:bottom w:val="nil"/>
              <w:right w:val="nil"/>
            </w:tcBorders>
            <w:shd w:val="clear" w:color="auto" w:fill="auto"/>
            <w:noWrap/>
            <w:vAlign w:val="bottom"/>
            <w:hideMark/>
          </w:tcPr>
          <w:p w14:paraId="291C9AAE"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58</w:t>
            </w:r>
          </w:p>
        </w:tc>
        <w:tc>
          <w:tcPr>
            <w:tcW w:w="720" w:type="dxa"/>
            <w:tcBorders>
              <w:top w:val="single" w:sz="4" w:space="0" w:color="ADD6EA"/>
              <w:left w:val="nil"/>
              <w:bottom w:val="nil"/>
              <w:right w:val="nil"/>
            </w:tcBorders>
            <w:shd w:val="clear" w:color="auto" w:fill="auto"/>
            <w:noWrap/>
            <w:vAlign w:val="bottom"/>
            <w:hideMark/>
          </w:tcPr>
          <w:p w14:paraId="4966D083"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-93</w:t>
            </w:r>
          </w:p>
        </w:tc>
        <w:tc>
          <w:tcPr>
            <w:tcW w:w="680" w:type="dxa"/>
            <w:tcBorders>
              <w:top w:val="single" w:sz="4" w:space="0" w:color="ADD6EA"/>
              <w:left w:val="nil"/>
              <w:bottom w:val="nil"/>
              <w:right w:val="nil"/>
            </w:tcBorders>
            <w:shd w:val="clear" w:color="auto" w:fill="auto"/>
            <w:noWrap/>
            <w:vAlign w:val="bottom"/>
            <w:hideMark/>
          </w:tcPr>
          <w:p w14:paraId="085A207D"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-72</w:t>
            </w:r>
          </w:p>
        </w:tc>
        <w:tc>
          <w:tcPr>
            <w:tcW w:w="640" w:type="dxa"/>
            <w:tcBorders>
              <w:top w:val="single" w:sz="4" w:space="0" w:color="ADD6EA"/>
              <w:left w:val="nil"/>
              <w:bottom w:val="nil"/>
              <w:right w:val="nil"/>
            </w:tcBorders>
            <w:shd w:val="clear" w:color="auto" w:fill="auto"/>
            <w:noWrap/>
            <w:vAlign w:val="bottom"/>
            <w:hideMark/>
          </w:tcPr>
          <w:p w14:paraId="049D084C"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31</w:t>
            </w:r>
          </w:p>
        </w:tc>
        <w:tc>
          <w:tcPr>
            <w:tcW w:w="640" w:type="dxa"/>
            <w:tcBorders>
              <w:top w:val="single" w:sz="4" w:space="0" w:color="ADD6EA"/>
              <w:left w:val="nil"/>
              <w:bottom w:val="nil"/>
              <w:right w:val="nil"/>
            </w:tcBorders>
            <w:shd w:val="clear" w:color="auto" w:fill="auto"/>
            <w:noWrap/>
            <w:vAlign w:val="bottom"/>
            <w:hideMark/>
          </w:tcPr>
          <w:p w14:paraId="1753F785"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w:t>
            </w:r>
          </w:p>
        </w:tc>
        <w:tc>
          <w:tcPr>
            <w:tcW w:w="700" w:type="dxa"/>
            <w:tcBorders>
              <w:top w:val="single" w:sz="4" w:space="0" w:color="ADD6EA"/>
              <w:left w:val="nil"/>
              <w:bottom w:val="nil"/>
              <w:right w:val="nil"/>
            </w:tcBorders>
            <w:shd w:val="clear" w:color="auto" w:fill="auto"/>
            <w:noWrap/>
            <w:vAlign w:val="bottom"/>
            <w:hideMark/>
          </w:tcPr>
          <w:p w14:paraId="0B4B6DBB"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-8</w:t>
            </w:r>
          </w:p>
        </w:tc>
        <w:tc>
          <w:tcPr>
            <w:tcW w:w="640" w:type="dxa"/>
            <w:tcBorders>
              <w:top w:val="single" w:sz="4" w:space="0" w:color="ADD6EA"/>
              <w:left w:val="nil"/>
              <w:bottom w:val="nil"/>
              <w:right w:val="nil"/>
            </w:tcBorders>
            <w:shd w:val="clear" w:color="auto" w:fill="auto"/>
            <w:noWrap/>
            <w:vAlign w:val="bottom"/>
            <w:hideMark/>
          </w:tcPr>
          <w:p w14:paraId="67BD4C30"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6</w:t>
            </w:r>
          </w:p>
        </w:tc>
        <w:tc>
          <w:tcPr>
            <w:tcW w:w="820" w:type="dxa"/>
            <w:tcBorders>
              <w:top w:val="single" w:sz="4" w:space="0" w:color="ADD6EA"/>
              <w:left w:val="nil"/>
              <w:bottom w:val="nil"/>
              <w:right w:val="nil"/>
            </w:tcBorders>
            <w:shd w:val="clear" w:color="auto" w:fill="auto"/>
            <w:noWrap/>
            <w:vAlign w:val="bottom"/>
            <w:hideMark/>
          </w:tcPr>
          <w:p w14:paraId="6420C28C" w14:textId="77777777" w:rsidR="008D39E6" w:rsidRPr="00442A3B" w:rsidRDefault="008D39E6" w:rsidP="005E563D">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173</w:t>
            </w:r>
          </w:p>
        </w:tc>
      </w:tr>
      <w:tr w:rsidR="008D39E6" w:rsidRPr="00442A3B" w14:paraId="2D461E1E" w14:textId="77777777" w:rsidTr="003063D4">
        <w:trPr>
          <w:trHeight w:val="315"/>
        </w:trPr>
        <w:tc>
          <w:tcPr>
            <w:tcW w:w="2560" w:type="dxa"/>
            <w:tcBorders>
              <w:top w:val="single" w:sz="4" w:space="0" w:color="ADD6EA"/>
              <w:left w:val="nil"/>
              <w:bottom w:val="single" w:sz="4" w:space="0" w:color="ADD6EA"/>
              <w:right w:val="nil"/>
            </w:tcBorders>
            <w:shd w:val="clear" w:color="000000" w:fill="D6E7F0"/>
            <w:vAlign w:val="bottom"/>
            <w:hideMark/>
          </w:tcPr>
          <w:p w14:paraId="0C0EDED3" w14:textId="77777777" w:rsidR="008D39E6" w:rsidRPr="00442A3B" w:rsidRDefault="008D39E6" w:rsidP="005E563D">
            <w:pPr>
              <w:keepNext/>
              <w:keepLines/>
              <w:tabs>
                <w:tab w:val="clear" w:pos="567"/>
              </w:tabs>
              <w:spacing w:before="0" w:line="240" w:lineRule="auto"/>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Total</w:t>
            </w:r>
          </w:p>
        </w:tc>
        <w:tc>
          <w:tcPr>
            <w:tcW w:w="760" w:type="dxa"/>
            <w:tcBorders>
              <w:top w:val="single" w:sz="4" w:space="0" w:color="ADD6EA"/>
              <w:left w:val="nil"/>
              <w:bottom w:val="single" w:sz="4" w:space="0" w:color="ADD6EA"/>
              <w:right w:val="nil"/>
            </w:tcBorders>
            <w:shd w:val="clear" w:color="000000" w:fill="D6E7F0"/>
            <w:noWrap/>
            <w:vAlign w:val="bottom"/>
            <w:hideMark/>
          </w:tcPr>
          <w:p w14:paraId="318701CC" w14:textId="77777777" w:rsidR="008D39E6" w:rsidRPr="00442A3B" w:rsidRDefault="008D39E6" w:rsidP="005E563D">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978</w:t>
            </w:r>
          </w:p>
        </w:tc>
        <w:tc>
          <w:tcPr>
            <w:tcW w:w="720" w:type="dxa"/>
            <w:tcBorders>
              <w:top w:val="single" w:sz="4" w:space="0" w:color="ADD6EA"/>
              <w:left w:val="nil"/>
              <w:bottom w:val="single" w:sz="4" w:space="0" w:color="ADD6EA"/>
              <w:right w:val="nil"/>
            </w:tcBorders>
            <w:shd w:val="clear" w:color="000000" w:fill="D6E7F0"/>
            <w:noWrap/>
            <w:vAlign w:val="bottom"/>
            <w:hideMark/>
          </w:tcPr>
          <w:p w14:paraId="235CAAFB" w14:textId="77777777" w:rsidR="008D39E6" w:rsidRPr="00442A3B" w:rsidRDefault="008D39E6" w:rsidP="005E563D">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-507</w:t>
            </w:r>
          </w:p>
        </w:tc>
        <w:tc>
          <w:tcPr>
            <w:tcW w:w="720" w:type="dxa"/>
            <w:tcBorders>
              <w:top w:val="single" w:sz="4" w:space="0" w:color="ADD6EA"/>
              <w:left w:val="nil"/>
              <w:bottom w:val="single" w:sz="4" w:space="0" w:color="ADD6EA"/>
              <w:right w:val="nil"/>
            </w:tcBorders>
            <w:shd w:val="clear" w:color="000000" w:fill="D6E7F0"/>
            <w:noWrap/>
            <w:vAlign w:val="bottom"/>
            <w:hideMark/>
          </w:tcPr>
          <w:p w14:paraId="351817AE" w14:textId="77777777" w:rsidR="008D39E6" w:rsidRPr="00442A3B" w:rsidRDefault="008D39E6" w:rsidP="005E563D">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243</w:t>
            </w:r>
          </w:p>
        </w:tc>
        <w:tc>
          <w:tcPr>
            <w:tcW w:w="680" w:type="dxa"/>
            <w:tcBorders>
              <w:top w:val="single" w:sz="4" w:space="0" w:color="ADD6EA"/>
              <w:left w:val="nil"/>
              <w:bottom w:val="single" w:sz="4" w:space="0" w:color="ADD6EA"/>
              <w:right w:val="nil"/>
            </w:tcBorders>
            <w:shd w:val="clear" w:color="000000" w:fill="D6E7F0"/>
            <w:noWrap/>
            <w:vAlign w:val="bottom"/>
            <w:hideMark/>
          </w:tcPr>
          <w:p w14:paraId="78514666" w14:textId="77777777" w:rsidR="008D39E6" w:rsidRPr="00442A3B" w:rsidRDefault="008D39E6" w:rsidP="005E563D">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-846</w:t>
            </w:r>
          </w:p>
        </w:tc>
        <w:tc>
          <w:tcPr>
            <w:tcW w:w="640" w:type="dxa"/>
            <w:tcBorders>
              <w:top w:val="single" w:sz="4" w:space="0" w:color="ADD6EA"/>
              <w:left w:val="nil"/>
              <w:bottom w:val="single" w:sz="4" w:space="0" w:color="ADD6EA"/>
              <w:right w:val="nil"/>
            </w:tcBorders>
            <w:shd w:val="clear" w:color="000000" w:fill="D6E7F0"/>
            <w:noWrap/>
            <w:vAlign w:val="bottom"/>
            <w:hideMark/>
          </w:tcPr>
          <w:p w14:paraId="6106AF3D" w14:textId="77777777" w:rsidR="008D39E6" w:rsidRPr="00442A3B" w:rsidRDefault="008D39E6" w:rsidP="005E563D">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-13</w:t>
            </w:r>
          </w:p>
        </w:tc>
        <w:tc>
          <w:tcPr>
            <w:tcW w:w="640" w:type="dxa"/>
            <w:tcBorders>
              <w:top w:val="single" w:sz="4" w:space="0" w:color="ADD6EA"/>
              <w:left w:val="nil"/>
              <w:bottom w:val="single" w:sz="4" w:space="0" w:color="ADD6EA"/>
              <w:right w:val="nil"/>
            </w:tcBorders>
            <w:shd w:val="clear" w:color="000000" w:fill="D6E7F0"/>
            <w:noWrap/>
            <w:vAlign w:val="bottom"/>
            <w:hideMark/>
          </w:tcPr>
          <w:p w14:paraId="587D9E7C" w14:textId="77777777" w:rsidR="008D39E6" w:rsidRPr="00442A3B" w:rsidRDefault="008D39E6" w:rsidP="005E563D">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100</w:t>
            </w:r>
          </w:p>
        </w:tc>
        <w:tc>
          <w:tcPr>
            <w:tcW w:w="700" w:type="dxa"/>
            <w:tcBorders>
              <w:top w:val="single" w:sz="4" w:space="0" w:color="ADD6EA"/>
              <w:left w:val="nil"/>
              <w:bottom w:val="single" w:sz="4" w:space="0" w:color="ADD6EA"/>
              <w:right w:val="nil"/>
            </w:tcBorders>
            <w:shd w:val="clear" w:color="000000" w:fill="D6E7F0"/>
            <w:noWrap/>
            <w:vAlign w:val="bottom"/>
            <w:hideMark/>
          </w:tcPr>
          <w:p w14:paraId="6635E764" w14:textId="77777777" w:rsidR="008D39E6" w:rsidRPr="00442A3B" w:rsidRDefault="008D39E6" w:rsidP="005E563D">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22</w:t>
            </w:r>
          </w:p>
        </w:tc>
        <w:tc>
          <w:tcPr>
            <w:tcW w:w="640" w:type="dxa"/>
            <w:tcBorders>
              <w:top w:val="single" w:sz="4" w:space="0" w:color="ADD6EA"/>
              <w:left w:val="nil"/>
              <w:bottom w:val="single" w:sz="4" w:space="0" w:color="ADD6EA"/>
              <w:right w:val="nil"/>
            </w:tcBorders>
            <w:shd w:val="clear" w:color="000000" w:fill="D6E7F0"/>
            <w:noWrap/>
            <w:vAlign w:val="bottom"/>
            <w:hideMark/>
          </w:tcPr>
          <w:p w14:paraId="3CFADA32" w14:textId="77777777" w:rsidR="008D39E6" w:rsidRPr="00442A3B" w:rsidRDefault="008D39E6" w:rsidP="005E563D">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23</w:t>
            </w:r>
          </w:p>
        </w:tc>
        <w:tc>
          <w:tcPr>
            <w:tcW w:w="820" w:type="dxa"/>
            <w:tcBorders>
              <w:top w:val="single" w:sz="4" w:space="0" w:color="ADD6EA"/>
              <w:left w:val="nil"/>
              <w:bottom w:val="single" w:sz="4" w:space="0" w:color="ADD6EA"/>
              <w:right w:val="nil"/>
            </w:tcBorders>
            <w:shd w:val="clear" w:color="000000" w:fill="D6E7F0"/>
            <w:noWrap/>
            <w:vAlign w:val="bottom"/>
            <w:hideMark/>
          </w:tcPr>
          <w:p w14:paraId="7E917518" w14:textId="77777777" w:rsidR="008D39E6" w:rsidRPr="00442A3B" w:rsidRDefault="008D39E6" w:rsidP="005E563D">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1,366</w:t>
            </w:r>
          </w:p>
        </w:tc>
      </w:tr>
    </w:tbl>
    <w:p w14:paraId="5F37F6FF" w14:textId="090C8B56" w:rsidR="00165998" w:rsidRPr="00442A3B" w:rsidRDefault="00165998" w:rsidP="005E563D">
      <w:pPr>
        <w:pStyle w:val="CGCTablenote"/>
        <w:keepNext/>
        <w:keepLines/>
        <w:spacing w:before="0"/>
      </w:pPr>
      <w:r w:rsidRPr="00442A3B">
        <w:t>Notes:</w:t>
      </w:r>
      <w:r w:rsidRPr="00442A3B">
        <w:tab/>
        <w:t xml:space="preserve">The total change from </w:t>
      </w:r>
      <w:r w:rsidR="007B6FDB" w:rsidRPr="00442A3B">
        <w:t>2020-21</w:t>
      </w:r>
      <w:r w:rsidRPr="00442A3B">
        <w:t xml:space="preserve"> to 202</w:t>
      </w:r>
      <w:r w:rsidR="007B6FDB" w:rsidRPr="00442A3B">
        <w:t>1</w:t>
      </w:r>
      <w:r w:rsidRPr="00442A3B">
        <w:noBreakHyphen/>
        <w:t>2</w:t>
      </w:r>
      <w:r w:rsidR="007B6FDB" w:rsidRPr="00442A3B">
        <w:t>2</w:t>
      </w:r>
      <w:r w:rsidRPr="00442A3B">
        <w:t xml:space="preserve"> is equivalent to the change caused by new </w:t>
      </w:r>
      <w:r w:rsidR="00EA6FAD" w:rsidRPr="00442A3B">
        <w:t xml:space="preserve">relative </w:t>
      </w:r>
      <w:r w:rsidRPr="00442A3B">
        <w:t>fiscal capacities shown in</w:t>
      </w:r>
      <w:r w:rsidR="00E25089" w:rsidRPr="00442A3B">
        <w:t xml:space="preserve"> </w:t>
      </w:r>
      <w:r w:rsidR="00E25089" w:rsidRPr="00442A3B">
        <w:fldChar w:fldCharType="begin"/>
      </w:r>
      <w:r w:rsidR="00E25089" w:rsidRPr="00442A3B">
        <w:instrText xml:space="preserve"> REF _Ref18316745 \h </w:instrText>
      </w:r>
      <w:r w:rsidR="00442A3B">
        <w:instrText xml:space="preserve"> \* MERGEFORMAT </w:instrText>
      </w:r>
      <w:r w:rsidR="00E25089" w:rsidRPr="00442A3B">
        <w:fldChar w:fldCharType="separate"/>
      </w:r>
      <w:r w:rsidR="00FC3D3D" w:rsidRPr="00442A3B">
        <w:t>Table 1-</w:t>
      </w:r>
      <w:r w:rsidR="00FC3D3D">
        <w:t>4</w:t>
      </w:r>
      <w:r w:rsidR="00E25089" w:rsidRPr="00442A3B">
        <w:fldChar w:fldCharType="end"/>
      </w:r>
      <w:r w:rsidRPr="00442A3B">
        <w:t>.</w:t>
      </w:r>
    </w:p>
    <w:p w14:paraId="010B7706" w14:textId="77777777" w:rsidR="00165998" w:rsidRPr="00442A3B" w:rsidRDefault="00165998" w:rsidP="005E563D">
      <w:pPr>
        <w:pStyle w:val="CGCTablenote"/>
        <w:keepNext/>
        <w:keepLines/>
        <w:spacing w:before="0"/>
      </w:pPr>
      <w:r w:rsidRPr="00442A3B">
        <w:tab/>
        <w:t>The redistribution is calculated as the sum of all the positive numbers in the row.</w:t>
      </w:r>
    </w:p>
    <w:p w14:paraId="2FE1C140" w14:textId="77777777" w:rsidR="00165998" w:rsidRPr="00442A3B" w:rsidRDefault="00165998" w:rsidP="005E563D">
      <w:pPr>
        <w:pStyle w:val="CGCTablenote"/>
        <w:keepNext/>
        <w:keepLines/>
        <w:spacing w:before="0"/>
      </w:pPr>
      <w:r w:rsidRPr="00442A3B">
        <w:t>Source:</w:t>
      </w:r>
      <w:r w:rsidRPr="00442A3B">
        <w:tab/>
        <w:t>Commission calculation.</w:t>
      </w:r>
    </w:p>
    <w:p w14:paraId="083F769B" w14:textId="4EA9F084" w:rsidR="00165998" w:rsidRPr="00442A3B" w:rsidRDefault="00165998" w:rsidP="000361EA">
      <w:pPr>
        <w:pStyle w:val="CGCParaNumber"/>
        <w:ind w:left="567" w:hanging="567"/>
      </w:pPr>
      <w:r w:rsidRPr="00442A3B">
        <w:t>Changes in States’ assessed fiscal capacities occur</w:t>
      </w:r>
      <w:r w:rsidR="006A1C47" w:rsidRPr="00442A3B">
        <w:t>red</w:t>
      </w:r>
      <w:r w:rsidRPr="00442A3B">
        <w:t xml:space="preserve"> for the following reasons.</w:t>
      </w:r>
    </w:p>
    <w:p w14:paraId="27C1347F" w14:textId="33EDF9FF" w:rsidR="00165998" w:rsidRPr="00442A3B" w:rsidRDefault="00165998" w:rsidP="00165998">
      <w:pPr>
        <w:pStyle w:val="CGCBullet1"/>
      </w:pPr>
      <w:r w:rsidRPr="00442A3B">
        <w:t xml:space="preserve">Some data used in the assessments in the </w:t>
      </w:r>
      <w:r w:rsidR="005909B1" w:rsidRPr="00442A3B">
        <w:t>2020 Review</w:t>
      </w:r>
      <w:r w:rsidRPr="00442A3B">
        <w:t xml:space="preserve"> </w:t>
      </w:r>
      <w:r w:rsidR="00D039E2" w:rsidRPr="00442A3B">
        <w:t>w</w:t>
      </w:r>
      <w:r w:rsidR="00B925C3" w:rsidRPr="00442A3B">
        <w:t>ere</w:t>
      </w:r>
      <w:r w:rsidRPr="00442A3B">
        <w:t xml:space="preserve"> revised. Revisions occur because new data become available.</w:t>
      </w:r>
      <w:r w:rsidRPr="00442A3B">
        <w:rPr>
          <w:rStyle w:val="FootnoteReference"/>
        </w:rPr>
        <w:footnoteReference w:id="14"/>
      </w:r>
    </w:p>
    <w:p w14:paraId="3A07B735" w14:textId="4CA882CA" w:rsidR="00165998" w:rsidRPr="00442A3B" w:rsidRDefault="00165998" w:rsidP="00165998">
      <w:pPr>
        <w:pStyle w:val="CGCBullet1"/>
      </w:pPr>
      <w:r w:rsidRPr="00442A3B">
        <w:t>States’ economic and demographic circumstances change</w:t>
      </w:r>
      <w:r w:rsidR="00DA52AE" w:rsidRPr="00442A3B">
        <w:t>d</w:t>
      </w:r>
      <w:r w:rsidRPr="00442A3B">
        <w:t xml:space="preserve">. The </w:t>
      </w:r>
      <w:r w:rsidR="005909B1" w:rsidRPr="00442A3B">
        <w:t>2021 Update</w:t>
      </w:r>
      <w:r w:rsidR="00283F9D" w:rsidRPr="00442A3B">
        <w:t xml:space="preserve"> fiscal capacities</w:t>
      </w:r>
      <w:r w:rsidRPr="00442A3B">
        <w:t xml:space="preserve"> </w:t>
      </w:r>
      <w:r w:rsidR="00DA52AE" w:rsidRPr="00442A3B">
        <w:t>we</w:t>
      </w:r>
      <w:r w:rsidRPr="00442A3B">
        <w:t>re based on an average of data for 201</w:t>
      </w:r>
      <w:r w:rsidR="00175889" w:rsidRPr="00442A3B">
        <w:t>7</w:t>
      </w:r>
      <w:r w:rsidRPr="00442A3B">
        <w:noBreakHyphen/>
        <w:t>1</w:t>
      </w:r>
      <w:r w:rsidR="00175889" w:rsidRPr="00442A3B">
        <w:t>8</w:t>
      </w:r>
      <w:r w:rsidRPr="00442A3B">
        <w:t xml:space="preserve"> to 201</w:t>
      </w:r>
      <w:r w:rsidR="00175889" w:rsidRPr="00442A3B">
        <w:t>9</w:t>
      </w:r>
      <w:r w:rsidRPr="00442A3B">
        <w:noBreakHyphen/>
      </w:r>
      <w:r w:rsidR="00175889" w:rsidRPr="00442A3B">
        <w:t>20</w:t>
      </w:r>
      <w:r w:rsidRPr="00442A3B">
        <w:t xml:space="preserve">, whereas the </w:t>
      </w:r>
      <w:r w:rsidR="005909B1" w:rsidRPr="00442A3B">
        <w:t>2020 Review</w:t>
      </w:r>
      <w:r w:rsidR="00CC3E3C" w:rsidRPr="00442A3B">
        <w:t xml:space="preserve"> fiscal capacities</w:t>
      </w:r>
      <w:r w:rsidRPr="00442A3B">
        <w:t xml:space="preserve"> were based on data for 20</w:t>
      </w:r>
      <w:r w:rsidR="002365BC" w:rsidRPr="00442A3B">
        <w:t>16</w:t>
      </w:r>
      <w:r w:rsidRPr="00442A3B">
        <w:noBreakHyphen/>
        <w:t>1</w:t>
      </w:r>
      <w:r w:rsidR="002365BC" w:rsidRPr="00442A3B">
        <w:t>7</w:t>
      </w:r>
      <w:r w:rsidRPr="00442A3B">
        <w:t xml:space="preserve"> to 201</w:t>
      </w:r>
      <w:r w:rsidR="002365BC" w:rsidRPr="00442A3B">
        <w:t>8</w:t>
      </w:r>
      <w:r w:rsidRPr="00442A3B">
        <w:noBreakHyphen/>
        <w:t>1</w:t>
      </w:r>
      <w:r w:rsidR="002365BC" w:rsidRPr="00442A3B">
        <w:t>9</w:t>
      </w:r>
      <w:r w:rsidRPr="00442A3B">
        <w:t xml:space="preserve">. Differences between the year brought into the </w:t>
      </w:r>
      <w:r w:rsidR="005E563D" w:rsidRPr="00442A3B">
        <w:t>3</w:t>
      </w:r>
      <w:r w:rsidR="008E4032" w:rsidRPr="00442A3B">
        <w:t>-year</w:t>
      </w:r>
      <w:r w:rsidRPr="00442A3B">
        <w:t xml:space="preserve"> average (201</w:t>
      </w:r>
      <w:r w:rsidR="007B0FF5" w:rsidRPr="00442A3B">
        <w:t>9</w:t>
      </w:r>
      <w:r w:rsidRPr="00442A3B">
        <w:noBreakHyphen/>
      </w:r>
      <w:r w:rsidR="007B0FF5" w:rsidRPr="00442A3B">
        <w:t>20</w:t>
      </w:r>
      <w:r w:rsidRPr="00442A3B">
        <w:t xml:space="preserve"> for this </w:t>
      </w:r>
      <w:r w:rsidR="00F0289C" w:rsidRPr="00442A3B">
        <w:t>update</w:t>
      </w:r>
      <w:r w:rsidRPr="00442A3B">
        <w:t>) and the year removed (201</w:t>
      </w:r>
      <w:r w:rsidR="007B0FF5" w:rsidRPr="00442A3B">
        <w:t>6</w:t>
      </w:r>
      <w:r w:rsidRPr="00442A3B">
        <w:noBreakHyphen/>
        <w:t>1</w:t>
      </w:r>
      <w:r w:rsidR="007B0FF5" w:rsidRPr="00442A3B">
        <w:t>7</w:t>
      </w:r>
      <w:r w:rsidRPr="00442A3B">
        <w:t>) change</w:t>
      </w:r>
      <w:r w:rsidR="00DA52AE" w:rsidRPr="00442A3B">
        <w:t>d</w:t>
      </w:r>
      <w:r w:rsidRPr="00442A3B">
        <w:t xml:space="preserve"> the </w:t>
      </w:r>
      <w:r w:rsidR="008C5CE3" w:rsidRPr="00442A3B">
        <w:t xml:space="preserve">assessment of </w:t>
      </w:r>
      <w:r w:rsidR="004F29AF" w:rsidRPr="00442A3B">
        <w:t xml:space="preserve">fiscal </w:t>
      </w:r>
      <w:r w:rsidR="00670AED" w:rsidRPr="00442A3B">
        <w:t>capacities</w:t>
      </w:r>
      <w:r w:rsidRPr="00442A3B">
        <w:t xml:space="preserve">. However, the </w:t>
      </w:r>
      <w:r w:rsidR="005E563D" w:rsidRPr="00442A3B">
        <w:t>3</w:t>
      </w:r>
      <w:r w:rsidR="008E4032" w:rsidRPr="00442A3B">
        <w:t>-year</w:t>
      </w:r>
      <w:r w:rsidRPr="00442A3B">
        <w:t xml:space="preserve"> averaging process means changes in circumstances have a gradual effect</w:t>
      </w:r>
      <w:r w:rsidR="009D2676" w:rsidRPr="00442A3B">
        <w:t xml:space="preserve"> on GST distributions</w:t>
      </w:r>
      <w:r w:rsidRPr="00442A3B">
        <w:t>.</w:t>
      </w:r>
    </w:p>
    <w:p w14:paraId="550C36FE" w14:textId="77348C13" w:rsidR="00165998" w:rsidRPr="00442A3B" w:rsidRDefault="00165998" w:rsidP="000361EA">
      <w:pPr>
        <w:pStyle w:val="CGCParaNumber"/>
        <w:ind w:left="567" w:hanging="567"/>
      </w:pPr>
      <w:r w:rsidRPr="00442A3B">
        <w:fldChar w:fldCharType="begin"/>
      </w:r>
      <w:r w:rsidRPr="00442A3B">
        <w:instrText xml:space="preserve"> REF _Ref30429109 \h </w:instrText>
      </w:r>
      <w:r w:rsidR="00442A3B">
        <w:instrText xml:space="preserve"> \* MERGEFORMAT </w:instrText>
      </w:r>
      <w:r w:rsidRPr="00442A3B">
        <w:fldChar w:fldCharType="separate"/>
      </w:r>
      <w:r w:rsidR="00FC3D3D" w:rsidRPr="00442A3B">
        <w:t>Table 2</w:t>
      </w:r>
      <w:r w:rsidR="00FC3D3D" w:rsidRPr="00442A3B">
        <w:noBreakHyphen/>
      </w:r>
      <w:r w:rsidR="00FC3D3D">
        <w:t>2</w:t>
      </w:r>
      <w:r w:rsidRPr="00442A3B">
        <w:fldChar w:fldCharType="end"/>
      </w:r>
      <w:r w:rsidRPr="00442A3B">
        <w:t xml:space="preserve"> shows </w:t>
      </w:r>
      <w:r w:rsidR="009679E1" w:rsidRPr="00442A3B">
        <w:t xml:space="preserve">the GST redistribution due to </w:t>
      </w:r>
      <w:r w:rsidR="00003C49" w:rsidRPr="00442A3B">
        <w:t xml:space="preserve">data revisions and </w:t>
      </w:r>
      <w:r w:rsidR="002D7BC9" w:rsidRPr="00442A3B">
        <w:t>changes in circumstances</w:t>
      </w:r>
      <w:r w:rsidR="00003C49" w:rsidRPr="00442A3B">
        <w:t>.</w:t>
      </w:r>
      <w:r w:rsidRPr="00442A3B">
        <w:t xml:space="preserve"> The </w:t>
      </w:r>
      <w:r w:rsidR="00003C49" w:rsidRPr="00442A3B">
        <w:t xml:space="preserve">main </w:t>
      </w:r>
      <w:r w:rsidRPr="00442A3B">
        <w:t>data revisions and changes in circumstances are discussed below.</w:t>
      </w:r>
    </w:p>
    <w:p w14:paraId="50A6A269" w14:textId="75A27EE7" w:rsidR="00165998" w:rsidRPr="00442A3B" w:rsidRDefault="00165998" w:rsidP="008B781C">
      <w:pPr>
        <w:pStyle w:val="Caption"/>
        <w:keepNext w:val="0"/>
        <w:keepLines w:val="0"/>
        <w:widowControl w:val="0"/>
      </w:pPr>
      <w:bookmarkStart w:id="80" w:name="_Ref30429109"/>
      <w:bookmarkStart w:id="81" w:name="_Toc62487274"/>
      <w:bookmarkStart w:id="82" w:name="_Toc62723805"/>
      <w:bookmarkStart w:id="83" w:name="_Hlk33450462"/>
      <w:r w:rsidRPr="00442A3B">
        <w:t>Table 2</w:t>
      </w:r>
      <w:r w:rsidRPr="00442A3B">
        <w:noBreakHyphen/>
      </w:r>
      <w:r w:rsidRPr="00442A3B">
        <w:fldChar w:fldCharType="begin"/>
      </w:r>
      <w:r w:rsidRPr="00442A3B">
        <w:instrText>SEQ Table \* ARABIC</w:instrText>
      </w:r>
      <w:r w:rsidRPr="00442A3B">
        <w:fldChar w:fldCharType="separate"/>
      </w:r>
      <w:r w:rsidR="00FC3D3D">
        <w:rPr>
          <w:noProof/>
        </w:rPr>
        <w:t>2</w:t>
      </w:r>
      <w:r w:rsidRPr="00442A3B">
        <w:fldChar w:fldCharType="end"/>
      </w:r>
      <w:bookmarkEnd w:id="80"/>
      <w:r w:rsidRPr="00442A3B">
        <w:tab/>
        <w:t xml:space="preserve">Change in the </w:t>
      </w:r>
      <w:r w:rsidR="00776FBF" w:rsidRPr="00442A3B">
        <w:t>estimated</w:t>
      </w:r>
      <w:r w:rsidRPr="00442A3B">
        <w:t xml:space="preserve"> GST distribution by source of change, </w:t>
      </w:r>
      <w:r w:rsidR="003774A0" w:rsidRPr="00442A3B">
        <w:t>2021-22</w:t>
      </w:r>
      <w:bookmarkEnd w:id="81"/>
      <w:bookmarkEnd w:id="82"/>
    </w:p>
    <w:tbl>
      <w:tblPr>
        <w:tblW w:w="8902" w:type="dxa"/>
        <w:tblCellMar>
          <w:left w:w="28" w:type="dxa"/>
          <w:right w:w="28" w:type="dxa"/>
        </w:tblCellMar>
        <w:tblLook w:val="04A0" w:firstRow="1" w:lastRow="0" w:firstColumn="1" w:lastColumn="0" w:noHBand="0" w:noVBand="1"/>
      </w:tblPr>
      <w:tblGrid>
        <w:gridCol w:w="2565"/>
        <w:gridCol w:w="761"/>
        <w:gridCol w:w="722"/>
        <w:gridCol w:w="722"/>
        <w:gridCol w:w="682"/>
        <w:gridCol w:w="642"/>
        <w:gridCol w:w="642"/>
        <w:gridCol w:w="702"/>
        <w:gridCol w:w="642"/>
        <w:gridCol w:w="822"/>
      </w:tblGrid>
      <w:tr w:rsidR="007F17EE" w:rsidRPr="00442A3B" w14:paraId="23C709E4" w14:textId="77777777" w:rsidTr="003063D4">
        <w:trPr>
          <w:trHeight w:val="375"/>
        </w:trPr>
        <w:tc>
          <w:tcPr>
            <w:tcW w:w="2560" w:type="dxa"/>
            <w:tcBorders>
              <w:top w:val="nil"/>
              <w:left w:val="nil"/>
              <w:bottom w:val="nil"/>
              <w:right w:val="nil"/>
            </w:tcBorders>
            <w:shd w:val="clear" w:color="000000" w:fill="006991"/>
            <w:vAlign w:val="bottom"/>
            <w:hideMark/>
          </w:tcPr>
          <w:p w14:paraId="6672F338" w14:textId="77777777" w:rsidR="007F17EE" w:rsidRPr="00442A3B" w:rsidRDefault="007F17EE" w:rsidP="008B781C">
            <w:pPr>
              <w:widowControl w:val="0"/>
              <w:tabs>
                <w:tab w:val="clear" w:pos="567"/>
              </w:tabs>
              <w:spacing w:before="0" w:line="240" w:lineRule="auto"/>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 </w:t>
            </w:r>
          </w:p>
        </w:tc>
        <w:tc>
          <w:tcPr>
            <w:tcW w:w="760" w:type="dxa"/>
            <w:tcBorders>
              <w:top w:val="nil"/>
              <w:left w:val="nil"/>
              <w:bottom w:val="nil"/>
              <w:right w:val="nil"/>
            </w:tcBorders>
            <w:shd w:val="clear" w:color="000000" w:fill="006991"/>
            <w:vAlign w:val="center"/>
            <w:hideMark/>
          </w:tcPr>
          <w:p w14:paraId="62E98B53" w14:textId="77777777" w:rsidR="007F17EE" w:rsidRPr="00442A3B" w:rsidRDefault="007F17EE" w:rsidP="008B781C">
            <w:pPr>
              <w:widowControl w:val="0"/>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NSW</w:t>
            </w:r>
          </w:p>
        </w:tc>
        <w:tc>
          <w:tcPr>
            <w:tcW w:w="720" w:type="dxa"/>
            <w:tcBorders>
              <w:top w:val="nil"/>
              <w:left w:val="nil"/>
              <w:bottom w:val="nil"/>
              <w:right w:val="nil"/>
            </w:tcBorders>
            <w:shd w:val="clear" w:color="000000" w:fill="006991"/>
            <w:vAlign w:val="center"/>
            <w:hideMark/>
          </w:tcPr>
          <w:p w14:paraId="3492E324" w14:textId="77777777" w:rsidR="007F17EE" w:rsidRPr="00442A3B" w:rsidRDefault="007F17EE" w:rsidP="008B781C">
            <w:pPr>
              <w:widowControl w:val="0"/>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Vic</w:t>
            </w:r>
          </w:p>
        </w:tc>
        <w:tc>
          <w:tcPr>
            <w:tcW w:w="720" w:type="dxa"/>
            <w:tcBorders>
              <w:top w:val="nil"/>
              <w:left w:val="nil"/>
              <w:bottom w:val="nil"/>
              <w:right w:val="nil"/>
            </w:tcBorders>
            <w:shd w:val="clear" w:color="000000" w:fill="006991"/>
            <w:vAlign w:val="center"/>
            <w:hideMark/>
          </w:tcPr>
          <w:p w14:paraId="0220BCD1" w14:textId="77777777" w:rsidR="007F17EE" w:rsidRPr="00442A3B" w:rsidRDefault="007F17EE" w:rsidP="008B781C">
            <w:pPr>
              <w:widowControl w:val="0"/>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Qld</w:t>
            </w:r>
          </w:p>
        </w:tc>
        <w:tc>
          <w:tcPr>
            <w:tcW w:w="680" w:type="dxa"/>
            <w:tcBorders>
              <w:top w:val="nil"/>
              <w:left w:val="nil"/>
              <w:bottom w:val="nil"/>
              <w:right w:val="nil"/>
            </w:tcBorders>
            <w:shd w:val="clear" w:color="000000" w:fill="006991"/>
            <w:vAlign w:val="center"/>
            <w:hideMark/>
          </w:tcPr>
          <w:p w14:paraId="3CF83E25" w14:textId="77777777" w:rsidR="007F17EE" w:rsidRPr="00442A3B" w:rsidRDefault="007F17EE" w:rsidP="008B781C">
            <w:pPr>
              <w:widowControl w:val="0"/>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WA</w:t>
            </w:r>
          </w:p>
        </w:tc>
        <w:tc>
          <w:tcPr>
            <w:tcW w:w="640" w:type="dxa"/>
            <w:tcBorders>
              <w:top w:val="nil"/>
              <w:left w:val="nil"/>
              <w:bottom w:val="nil"/>
              <w:right w:val="nil"/>
            </w:tcBorders>
            <w:shd w:val="clear" w:color="000000" w:fill="006991"/>
            <w:vAlign w:val="center"/>
            <w:hideMark/>
          </w:tcPr>
          <w:p w14:paraId="1A74EF55" w14:textId="77777777" w:rsidR="007F17EE" w:rsidRPr="00442A3B" w:rsidRDefault="007F17EE" w:rsidP="008B781C">
            <w:pPr>
              <w:widowControl w:val="0"/>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SA</w:t>
            </w:r>
          </w:p>
        </w:tc>
        <w:tc>
          <w:tcPr>
            <w:tcW w:w="640" w:type="dxa"/>
            <w:tcBorders>
              <w:top w:val="nil"/>
              <w:left w:val="nil"/>
              <w:bottom w:val="nil"/>
              <w:right w:val="nil"/>
            </w:tcBorders>
            <w:shd w:val="clear" w:color="000000" w:fill="006991"/>
            <w:vAlign w:val="center"/>
            <w:hideMark/>
          </w:tcPr>
          <w:p w14:paraId="130E4ADA" w14:textId="77777777" w:rsidR="007F17EE" w:rsidRPr="00442A3B" w:rsidRDefault="007F17EE" w:rsidP="008B781C">
            <w:pPr>
              <w:widowControl w:val="0"/>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Tas</w:t>
            </w:r>
          </w:p>
        </w:tc>
        <w:tc>
          <w:tcPr>
            <w:tcW w:w="700" w:type="dxa"/>
            <w:tcBorders>
              <w:top w:val="nil"/>
              <w:left w:val="nil"/>
              <w:bottom w:val="nil"/>
              <w:right w:val="nil"/>
            </w:tcBorders>
            <w:shd w:val="clear" w:color="000000" w:fill="006991"/>
            <w:vAlign w:val="center"/>
            <w:hideMark/>
          </w:tcPr>
          <w:p w14:paraId="265A3ECD" w14:textId="77777777" w:rsidR="007F17EE" w:rsidRPr="00442A3B" w:rsidRDefault="007F17EE" w:rsidP="008B781C">
            <w:pPr>
              <w:widowControl w:val="0"/>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ACT</w:t>
            </w:r>
          </w:p>
        </w:tc>
        <w:tc>
          <w:tcPr>
            <w:tcW w:w="640" w:type="dxa"/>
            <w:tcBorders>
              <w:top w:val="nil"/>
              <w:left w:val="nil"/>
              <w:bottom w:val="nil"/>
              <w:right w:val="nil"/>
            </w:tcBorders>
            <w:shd w:val="clear" w:color="000000" w:fill="006991"/>
            <w:vAlign w:val="center"/>
            <w:hideMark/>
          </w:tcPr>
          <w:p w14:paraId="6F27FB63" w14:textId="77777777" w:rsidR="007F17EE" w:rsidRPr="00442A3B" w:rsidRDefault="007F17EE" w:rsidP="008B781C">
            <w:pPr>
              <w:widowControl w:val="0"/>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NT</w:t>
            </w:r>
          </w:p>
        </w:tc>
        <w:tc>
          <w:tcPr>
            <w:tcW w:w="820" w:type="dxa"/>
            <w:tcBorders>
              <w:top w:val="nil"/>
              <w:left w:val="nil"/>
              <w:bottom w:val="nil"/>
              <w:right w:val="nil"/>
            </w:tcBorders>
            <w:shd w:val="clear" w:color="000000" w:fill="006991"/>
            <w:vAlign w:val="center"/>
            <w:hideMark/>
          </w:tcPr>
          <w:p w14:paraId="6BE3F8A7" w14:textId="77777777" w:rsidR="007F17EE" w:rsidRPr="00442A3B" w:rsidRDefault="007F17EE" w:rsidP="008B781C">
            <w:pPr>
              <w:widowControl w:val="0"/>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Redist</w:t>
            </w:r>
          </w:p>
        </w:tc>
      </w:tr>
      <w:tr w:rsidR="007F17EE" w:rsidRPr="00442A3B" w14:paraId="66894EC0" w14:textId="77777777" w:rsidTr="003063D4">
        <w:trPr>
          <w:trHeight w:val="259"/>
        </w:trPr>
        <w:tc>
          <w:tcPr>
            <w:tcW w:w="2560" w:type="dxa"/>
            <w:tcBorders>
              <w:top w:val="single" w:sz="4" w:space="0" w:color="ADD6EA"/>
              <w:left w:val="nil"/>
              <w:bottom w:val="nil"/>
              <w:right w:val="nil"/>
            </w:tcBorders>
            <w:shd w:val="clear" w:color="000000" w:fill="B6D5E4"/>
            <w:vAlign w:val="bottom"/>
            <w:hideMark/>
          </w:tcPr>
          <w:p w14:paraId="25D346F9" w14:textId="77777777" w:rsidR="007F17EE" w:rsidRPr="00442A3B" w:rsidRDefault="007F17EE" w:rsidP="008B781C">
            <w:pPr>
              <w:widowControl w:val="0"/>
              <w:tabs>
                <w:tab w:val="clear" w:pos="567"/>
              </w:tabs>
              <w:spacing w:before="0" w:line="240" w:lineRule="auto"/>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 </w:t>
            </w:r>
          </w:p>
        </w:tc>
        <w:tc>
          <w:tcPr>
            <w:tcW w:w="760" w:type="dxa"/>
            <w:tcBorders>
              <w:top w:val="single" w:sz="4" w:space="0" w:color="ADD6EA"/>
              <w:left w:val="nil"/>
              <w:bottom w:val="nil"/>
              <w:right w:val="nil"/>
            </w:tcBorders>
            <w:shd w:val="clear" w:color="000000" w:fill="B6D5E4"/>
            <w:noWrap/>
            <w:vAlign w:val="bottom"/>
            <w:hideMark/>
          </w:tcPr>
          <w:p w14:paraId="35567B73" w14:textId="77777777" w:rsidR="007F17EE" w:rsidRPr="00442A3B" w:rsidRDefault="007F17EE" w:rsidP="008B781C">
            <w:pPr>
              <w:pStyle w:val="CGCTablesubhead1"/>
              <w:widowControl w:val="0"/>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720" w:type="dxa"/>
            <w:tcBorders>
              <w:top w:val="single" w:sz="4" w:space="0" w:color="ADD6EA"/>
              <w:left w:val="nil"/>
              <w:bottom w:val="nil"/>
              <w:right w:val="nil"/>
            </w:tcBorders>
            <w:shd w:val="clear" w:color="000000" w:fill="B6D5E4"/>
            <w:noWrap/>
            <w:vAlign w:val="bottom"/>
            <w:hideMark/>
          </w:tcPr>
          <w:p w14:paraId="51CABF12" w14:textId="77777777" w:rsidR="007F17EE" w:rsidRPr="00442A3B" w:rsidRDefault="007F17EE" w:rsidP="008B781C">
            <w:pPr>
              <w:pStyle w:val="CGCTablesubhead1"/>
              <w:widowControl w:val="0"/>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720" w:type="dxa"/>
            <w:tcBorders>
              <w:top w:val="single" w:sz="4" w:space="0" w:color="ADD6EA"/>
              <w:left w:val="nil"/>
              <w:bottom w:val="nil"/>
              <w:right w:val="nil"/>
            </w:tcBorders>
            <w:shd w:val="clear" w:color="000000" w:fill="B6D5E4"/>
            <w:noWrap/>
            <w:vAlign w:val="bottom"/>
            <w:hideMark/>
          </w:tcPr>
          <w:p w14:paraId="6A10FCA3" w14:textId="77777777" w:rsidR="007F17EE" w:rsidRPr="00442A3B" w:rsidRDefault="007F17EE" w:rsidP="008B781C">
            <w:pPr>
              <w:pStyle w:val="CGCTablesubhead1"/>
              <w:widowControl w:val="0"/>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680" w:type="dxa"/>
            <w:tcBorders>
              <w:top w:val="single" w:sz="4" w:space="0" w:color="ADD6EA"/>
              <w:left w:val="nil"/>
              <w:bottom w:val="nil"/>
              <w:right w:val="nil"/>
            </w:tcBorders>
            <w:shd w:val="clear" w:color="000000" w:fill="B6D5E4"/>
            <w:noWrap/>
            <w:vAlign w:val="bottom"/>
            <w:hideMark/>
          </w:tcPr>
          <w:p w14:paraId="28B8F705" w14:textId="77777777" w:rsidR="007F17EE" w:rsidRPr="00442A3B" w:rsidRDefault="007F17EE" w:rsidP="008B781C">
            <w:pPr>
              <w:pStyle w:val="CGCTablesubhead1"/>
              <w:widowControl w:val="0"/>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640" w:type="dxa"/>
            <w:tcBorders>
              <w:top w:val="single" w:sz="4" w:space="0" w:color="ADD6EA"/>
              <w:left w:val="nil"/>
              <w:bottom w:val="nil"/>
              <w:right w:val="nil"/>
            </w:tcBorders>
            <w:shd w:val="clear" w:color="000000" w:fill="B6D5E4"/>
            <w:noWrap/>
            <w:vAlign w:val="bottom"/>
            <w:hideMark/>
          </w:tcPr>
          <w:p w14:paraId="5AE953AE" w14:textId="77777777" w:rsidR="007F17EE" w:rsidRPr="00442A3B" w:rsidRDefault="007F17EE" w:rsidP="008B781C">
            <w:pPr>
              <w:pStyle w:val="CGCTablesubhead1"/>
              <w:widowControl w:val="0"/>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640" w:type="dxa"/>
            <w:tcBorders>
              <w:top w:val="single" w:sz="4" w:space="0" w:color="ADD6EA"/>
              <w:left w:val="nil"/>
              <w:bottom w:val="nil"/>
              <w:right w:val="nil"/>
            </w:tcBorders>
            <w:shd w:val="clear" w:color="000000" w:fill="B6D5E4"/>
            <w:noWrap/>
            <w:vAlign w:val="bottom"/>
            <w:hideMark/>
          </w:tcPr>
          <w:p w14:paraId="443C2462" w14:textId="77777777" w:rsidR="007F17EE" w:rsidRPr="00442A3B" w:rsidRDefault="007F17EE" w:rsidP="008B781C">
            <w:pPr>
              <w:pStyle w:val="CGCTablesubhead1"/>
              <w:widowControl w:val="0"/>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524CAC33" w14:textId="77777777" w:rsidR="007F17EE" w:rsidRPr="00442A3B" w:rsidRDefault="007F17EE" w:rsidP="008B781C">
            <w:pPr>
              <w:pStyle w:val="CGCTablesubhead1"/>
              <w:widowControl w:val="0"/>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640" w:type="dxa"/>
            <w:tcBorders>
              <w:top w:val="single" w:sz="4" w:space="0" w:color="ADD6EA"/>
              <w:left w:val="nil"/>
              <w:bottom w:val="nil"/>
              <w:right w:val="nil"/>
            </w:tcBorders>
            <w:shd w:val="clear" w:color="000000" w:fill="B6D5E4"/>
            <w:noWrap/>
            <w:vAlign w:val="bottom"/>
            <w:hideMark/>
          </w:tcPr>
          <w:p w14:paraId="6277103E" w14:textId="77777777" w:rsidR="007F17EE" w:rsidRPr="00442A3B" w:rsidRDefault="007F17EE" w:rsidP="008B781C">
            <w:pPr>
              <w:pStyle w:val="CGCTablesubhead1"/>
              <w:widowControl w:val="0"/>
              <w:jc w:val="right"/>
              <w:rPr>
                <w:rFonts w:eastAsia="MS Mincho" w:cs="Open Sans Semibold"/>
                <w:color w:val="000000"/>
                <w:szCs w:val="16"/>
                <w:lang w:eastAsia="en-AU"/>
              </w:rPr>
            </w:pPr>
            <w:r w:rsidRPr="00442A3B">
              <w:rPr>
                <w:rFonts w:eastAsia="MS Mincho" w:cs="Open Sans Semibold"/>
                <w:color w:val="000000"/>
                <w:szCs w:val="16"/>
                <w:lang w:eastAsia="en-AU"/>
              </w:rPr>
              <w:t>$m</w:t>
            </w:r>
          </w:p>
        </w:tc>
        <w:tc>
          <w:tcPr>
            <w:tcW w:w="820" w:type="dxa"/>
            <w:tcBorders>
              <w:top w:val="single" w:sz="4" w:space="0" w:color="ADD6EA"/>
              <w:left w:val="nil"/>
              <w:bottom w:val="nil"/>
              <w:right w:val="nil"/>
            </w:tcBorders>
            <w:shd w:val="clear" w:color="000000" w:fill="B6D5E4"/>
            <w:noWrap/>
            <w:vAlign w:val="bottom"/>
            <w:hideMark/>
          </w:tcPr>
          <w:p w14:paraId="0CB71410" w14:textId="77777777" w:rsidR="007F17EE" w:rsidRPr="00442A3B" w:rsidRDefault="007F17EE" w:rsidP="008B781C">
            <w:pPr>
              <w:pStyle w:val="CGCTablesubhead1"/>
              <w:widowControl w:val="0"/>
              <w:jc w:val="right"/>
              <w:rPr>
                <w:rFonts w:eastAsia="MS Mincho" w:cs="Open Sans Semibold"/>
                <w:color w:val="000000"/>
                <w:szCs w:val="16"/>
                <w:lang w:eastAsia="en-AU"/>
              </w:rPr>
            </w:pPr>
            <w:r w:rsidRPr="00442A3B">
              <w:rPr>
                <w:rFonts w:eastAsia="MS Mincho" w:cs="Open Sans Semibold"/>
                <w:color w:val="000000"/>
                <w:szCs w:val="16"/>
                <w:lang w:eastAsia="en-AU"/>
              </w:rPr>
              <w:t>$m</w:t>
            </w:r>
          </w:p>
        </w:tc>
      </w:tr>
      <w:tr w:rsidR="007F17EE" w:rsidRPr="00442A3B" w14:paraId="70E63511" w14:textId="77777777" w:rsidTr="003063D4">
        <w:trPr>
          <w:trHeight w:val="315"/>
        </w:trPr>
        <w:tc>
          <w:tcPr>
            <w:tcW w:w="2560" w:type="dxa"/>
            <w:tcBorders>
              <w:top w:val="single" w:sz="4" w:space="0" w:color="ADD6EA"/>
              <w:left w:val="nil"/>
              <w:bottom w:val="nil"/>
              <w:right w:val="nil"/>
            </w:tcBorders>
            <w:shd w:val="clear" w:color="auto" w:fill="auto"/>
            <w:vAlign w:val="bottom"/>
            <w:hideMark/>
          </w:tcPr>
          <w:p w14:paraId="3C9F0AA5" w14:textId="77777777" w:rsidR="007F17EE" w:rsidRPr="00442A3B" w:rsidRDefault="007F17EE" w:rsidP="008B781C">
            <w:pPr>
              <w:widowControl w:val="0"/>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Data revisions</w:t>
            </w:r>
          </w:p>
        </w:tc>
        <w:tc>
          <w:tcPr>
            <w:tcW w:w="760" w:type="dxa"/>
            <w:tcBorders>
              <w:top w:val="single" w:sz="4" w:space="0" w:color="ADD6EA"/>
              <w:left w:val="nil"/>
              <w:bottom w:val="nil"/>
              <w:right w:val="nil"/>
            </w:tcBorders>
            <w:shd w:val="clear" w:color="auto" w:fill="auto"/>
            <w:noWrap/>
            <w:vAlign w:val="bottom"/>
            <w:hideMark/>
          </w:tcPr>
          <w:p w14:paraId="3C682F30" w14:textId="77777777" w:rsidR="007F17EE" w:rsidRPr="00442A3B" w:rsidRDefault="007F17EE" w:rsidP="008B781C">
            <w:pPr>
              <w:widowControl w:val="0"/>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269</w:t>
            </w:r>
          </w:p>
        </w:tc>
        <w:tc>
          <w:tcPr>
            <w:tcW w:w="720" w:type="dxa"/>
            <w:tcBorders>
              <w:top w:val="single" w:sz="4" w:space="0" w:color="ADD6EA"/>
              <w:left w:val="nil"/>
              <w:bottom w:val="nil"/>
              <w:right w:val="nil"/>
            </w:tcBorders>
            <w:shd w:val="clear" w:color="auto" w:fill="auto"/>
            <w:noWrap/>
            <w:vAlign w:val="bottom"/>
            <w:hideMark/>
          </w:tcPr>
          <w:p w14:paraId="03E716B6" w14:textId="77777777" w:rsidR="007F17EE" w:rsidRPr="00442A3B" w:rsidRDefault="007F17EE" w:rsidP="008B781C">
            <w:pPr>
              <w:widowControl w:val="0"/>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-184</w:t>
            </w:r>
          </w:p>
        </w:tc>
        <w:tc>
          <w:tcPr>
            <w:tcW w:w="720" w:type="dxa"/>
            <w:tcBorders>
              <w:top w:val="single" w:sz="4" w:space="0" w:color="ADD6EA"/>
              <w:left w:val="nil"/>
              <w:bottom w:val="nil"/>
              <w:right w:val="nil"/>
            </w:tcBorders>
            <w:shd w:val="clear" w:color="auto" w:fill="auto"/>
            <w:noWrap/>
            <w:vAlign w:val="bottom"/>
            <w:hideMark/>
          </w:tcPr>
          <w:p w14:paraId="535F0887" w14:textId="77777777" w:rsidR="007F17EE" w:rsidRPr="00442A3B" w:rsidRDefault="007F17EE" w:rsidP="008B781C">
            <w:pPr>
              <w:widowControl w:val="0"/>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-129</w:t>
            </w:r>
          </w:p>
        </w:tc>
        <w:tc>
          <w:tcPr>
            <w:tcW w:w="680" w:type="dxa"/>
            <w:tcBorders>
              <w:top w:val="single" w:sz="4" w:space="0" w:color="ADD6EA"/>
              <w:left w:val="nil"/>
              <w:bottom w:val="nil"/>
              <w:right w:val="nil"/>
            </w:tcBorders>
            <w:shd w:val="clear" w:color="auto" w:fill="auto"/>
            <w:noWrap/>
            <w:vAlign w:val="bottom"/>
            <w:hideMark/>
          </w:tcPr>
          <w:p w14:paraId="7FD6F6A9" w14:textId="77777777" w:rsidR="007F17EE" w:rsidRPr="00442A3B" w:rsidRDefault="007F17EE" w:rsidP="008B781C">
            <w:pPr>
              <w:widowControl w:val="0"/>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11</w:t>
            </w:r>
          </w:p>
        </w:tc>
        <w:tc>
          <w:tcPr>
            <w:tcW w:w="640" w:type="dxa"/>
            <w:tcBorders>
              <w:top w:val="single" w:sz="4" w:space="0" w:color="ADD6EA"/>
              <w:left w:val="nil"/>
              <w:bottom w:val="nil"/>
              <w:right w:val="nil"/>
            </w:tcBorders>
            <w:shd w:val="clear" w:color="auto" w:fill="auto"/>
            <w:noWrap/>
            <w:vAlign w:val="bottom"/>
            <w:hideMark/>
          </w:tcPr>
          <w:p w14:paraId="74C1A681" w14:textId="77777777" w:rsidR="007F17EE" w:rsidRPr="00442A3B" w:rsidRDefault="007F17EE" w:rsidP="008B781C">
            <w:pPr>
              <w:widowControl w:val="0"/>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25</w:t>
            </w:r>
          </w:p>
        </w:tc>
        <w:tc>
          <w:tcPr>
            <w:tcW w:w="640" w:type="dxa"/>
            <w:tcBorders>
              <w:top w:val="single" w:sz="4" w:space="0" w:color="ADD6EA"/>
              <w:left w:val="nil"/>
              <w:bottom w:val="nil"/>
              <w:right w:val="nil"/>
            </w:tcBorders>
            <w:shd w:val="clear" w:color="auto" w:fill="auto"/>
            <w:noWrap/>
            <w:vAlign w:val="bottom"/>
            <w:hideMark/>
          </w:tcPr>
          <w:p w14:paraId="441D9F78" w14:textId="77777777" w:rsidR="007F17EE" w:rsidRPr="00442A3B" w:rsidRDefault="007F17EE" w:rsidP="008B781C">
            <w:pPr>
              <w:widowControl w:val="0"/>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11</w:t>
            </w:r>
          </w:p>
        </w:tc>
        <w:tc>
          <w:tcPr>
            <w:tcW w:w="700" w:type="dxa"/>
            <w:tcBorders>
              <w:top w:val="single" w:sz="4" w:space="0" w:color="ADD6EA"/>
              <w:left w:val="nil"/>
              <w:bottom w:val="nil"/>
              <w:right w:val="nil"/>
            </w:tcBorders>
            <w:shd w:val="clear" w:color="auto" w:fill="auto"/>
            <w:noWrap/>
            <w:vAlign w:val="bottom"/>
            <w:hideMark/>
          </w:tcPr>
          <w:p w14:paraId="3F7B9B21" w14:textId="77777777" w:rsidR="007F17EE" w:rsidRPr="00442A3B" w:rsidRDefault="007F17EE" w:rsidP="008B781C">
            <w:pPr>
              <w:widowControl w:val="0"/>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40</w:t>
            </w:r>
          </w:p>
        </w:tc>
        <w:tc>
          <w:tcPr>
            <w:tcW w:w="640" w:type="dxa"/>
            <w:tcBorders>
              <w:top w:val="single" w:sz="4" w:space="0" w:color="ADD6EA"/>
              <w:left w:val="nil"/>
              <w:bottom w:val="nil"/>
              <w:right w:val="nil"/>
            </w:tcBorders>
            <w:shd w:val="clear" w:color="auto" w:fill="auto"/>
            <w:noWrap/>
            <w:vAlign w:val="bottom"/>
            <w:hideMark/>
          </w:tcPr>
          <w:p w14:paraId="03FB2758" w14:textId="77777777" w:rsidR="007F17EE" w:rsidRPr="00442A3B" w:rsidRDefault="007F17EE" w:rsidP="008B781C">
            <w:pPr>
              <w:widowControl w:val="0"/>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-43</w:t>
            </w:r>
          </w:p>
        </w:tc>
        <w:tc>
          <w:tcPr>
            <w:tcW w:w="820" w:type="dxa"/>
            <w:tcBorders>
              <w:top w:val="single" w:sz="4" w:space="0" w:color="ADD6EA"/>
              <w:left w:val="nil"/>
              <w:bottom w:val="nil"/>
              <w:right w:val="nil"/>
            </w:tcBorders>
            <w:shd w:val="clear" w:color="auto" w:fill="auto"/>
            <w:noWrap/>
            <w:vAlign w:val="bottom"/>
            <w:hideMark/>
          </w:tcPr>
          <w:p w14:paraId="55211317" w14:textId="77777777" w:rsidR="007F17EE" w:rsidRPr="00442A3B" w:rsidRDefault="007F17EE" w:rsidP="008B781C">
            <w:pPr>
              <w:widowControl w:val="0"/>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356</w:t>
            </w:r>
          </w:p>
        </w:tc>
      </w:tr>
      <w:tr w:rsidR="007F17EE" w:rsidRPr="00442A3B" w14:paraId="3D9CCCFD" w14:textId="77777777" w:rsidTr="003063D4">
        <w:trPr>
          <w:trHeight w:val="315"/>
        </w:trPr>
        <w:tc>
          <w:tcPr>
            <w:tcW w:w="2560" w:type="dxa"/>
            <w:tcBorders>
              <w:top w:val="single" w:sz="4" w:space="0" w:color="ADD6EA"/>
              <w:left w:val="nil"/>
              <w:bottom w:val="nil"/>
              <w:right w:val="nil"/>
            </w:tcBorders>
            <w:shd w:val="clear" w:color="auto" w:fill="auto"/>
            <w:vAlign w:val="bottom"/>
            <w:hideMark/>
          </w:tcPr>
          <w:p w14:paraId="4A8EB39A" w14:textId="77777777" w:rsidR="007F17EE" w:rsidRPr="00442A3B" w:rsidRDefault="007F17EE" w:rsidP="008B781C">
            <w:pPr>
              <w:widowControl w:val="0"/>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Changes in State circumstances</w:t>
            </w:r>
          </w:p>
        </w:tc>
        <w:tc>
          <w:tcPr>
            <w:tcW w:w="760" w:type="dxa"/>
            <w:tcBorders>
              <w:top w:val="single" w:sz="4" w:space="0" w:color="ADD6EA"/>
              <w:left w:val="nil"/>
              <w:bottom w:val="nil"/>
              <w:right w:val="nil"/>
            </w:tcBorders>
            <w:shd w:val="clear" w:color="auto" w:fill="auto"/>
            <w:vAlign w:val="bottom"/>
            <w:hideMark/>
          </w:tcPr>
          <w:p w14:paraId="5F8D0079" w14:textId="77777777" w:rsidR="007F17EE" w:rsidRPr="00442A3B" w:rsidRDefault="007F17EE" w:rsidP="008B781C">
            <w:pPr>
              <w:widowControl w:val="0"/>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709</w:t>
            </w:r>
          </w:p>
        </w:tc>
        <w:tc>
          <w:tcPr>
            <w:tcW w:w="720" w:type="dxa"/>
            <w:tcBorders>
              <w:top w:val="single" w:sz="4" w:space="0" w:color="ADD6EA"/>
              <w:left w:val="nil"/>
              <w:bottom w:val="nil"/>
              <w:right w:val="nil"/>
            </w:tcBorders>
            <w:shd w:val="clear" w:color="auto" w:fill="auto"/>
            <w:vAlign w:val="bottom"/>
            <w:hideMark/>
          </w:tcPr>
          <w:p w14:paraId="3F580084" w14:textId="77777777" w:rsidR="007F17EE" w:rsidRPr="00442A3B" w:rsidRDefault="007F17EE" w:rsidP="008B781C">
            <w:pPr>
              <w:widowControl w:val="0"/>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-323</w:t>
            </w:r>
          </w:p>
        </w:tc>
        <w:tc>
          <w:tcPr>
            <w:tcW w:w="720" w:type="dxa"/>
            <w:tcBorders>
              <w:top w:val="single" w:sz="4" w:space="0" w:color="ADD6EA"/>
              <w:left w:val="nil"/>
              <w:bottom w:val="nil"/>
              <w:right w:val="nil"/>
            </w:tcBorders>
            <w:shd w:val="clear" w:color="auto" w:fill="auto"/>
            <w:vAlign w:val="bottom"/>
            <w:hideMark/>
          </w:tcPr>
          <w:p w14:paraId="2E18AAA3" w14:textId="77777777" w:rsidR="007F17EE" w:rsidRPr="00442A3B" w:rsidRDefault="007F17EE" w:rsidP="008B781C">
            <w:pPr>
              <w:widowControl w:val="0"/>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372</w:t>
            </w:r>
          </w:p>
        </w:tc>
        <w:tc>
          <w:tcPr>
            <w:tcW w:w="680" w:type="dxa"/>
            <w:tcBorders>
              <w:top w:val="single" w:sz="4" w:space="0" w:color="ADD6EA"/>
              <w:left w:val="nil"/>
              <w:bottom w:val="nil"/>
              <w:right w:val="nil"/>
            </w:tcBorders>
            <w:shd w:val="clear" w:color="auto" w:fill="auto"/>
            <w:vAlign w:val="bottom"/>
            <w:hideMark/>
          </w:tcPr>
          <w:p w14:paraId="0356EB29" w14:textId="77777777" w:rsidR="007F17EE" w:rsidRPr="00442A3B" w:rsidRDefault="007F17EE" w:rsidP="008B781C">
            <w:pPr>
              <w:widowControl w:val="0"/>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-857</w:t>
            </w:r>
          </w:p>
        </w:tc>
        <w:tc>
          <w:tcPr>
            <w:tcW w:w="640" w:type="dxa"/>
            <w:tcBorders>
              <w:top w:val="single" w:sz="4" w:space="0" w:color="ADD6EA"/>
              <w:left w:val="nil"/>
              <w:bottom w:val="nil"/>
              <w:right w:val="nil"/>
            </w:tcBorders>
            <w:shd w:val="clear" w:color="auto" w:fill="auto"/>
            <w:vAlign w:val="bottom"/>
            <w:hideMark/>
          </w:tcPr>
          <w:p w14:paraId="3888435C" w14:textId="77777777" w:rsidR="007F17EE" w:rsidRPr="00442A3B" w:rsidRDefault="007F17EE" w:rsidP="008B781C">
            <w:pPr>
              <w:widowControl w:val="0"/>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-39</w:t>
            </w:r>
          </w:p>
        </w:tc>
        <w:tc>
          <w:tcPr>
            <w:tcW w:w="640" w:type="dxa"/>
            <w:tcBorders>
              <w:top w:val="single" w:sz="4" w:space="0" w:color="ADD6EA"/>
              <w:left w:val="nil"/>
              <w:bottom w:val="nil"/>
              <w:right w:val="nil"/>
            </w:tcBorders>
            <w:shd w:val="clear" w:color="auto" w:fill="auto"/>
            <w:vAlign w:val="bottom"/>
            <w:hideMark/>
          </w:tcPr>
          <w:p w14:paraId="5E8CF47D" w14:textId="77777777" w:rsidR="007F17EE" w:rsidRPr="00442A3B" w:rsidRDefault="007F17EE" w:rsidP="008B781C">
            <w:pPr>
              <w:widowControl w:val="0"/>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89</w:t>
            </w:r>
          </w:p>
        </w:tc>
        <w:tc>
          <w:tcPr>
            <w:tcW w:w="700" w:type="dxa"/>
            <w:tcBorders>
              <w:top w:val="single" w:sz="4" w:space="0" w:color="ADD6EA"/>
              <w:left w:val="nil"/>
              <w:bottom w:val="nil"/>
              <w:right w:val="nil"/>
            </w:tcBorders>
            <w:shd w:val="clear" w:color="auto" w:fill="auto"/>
            <w:vAlign w:val="bottom"/>
            <w:hideMark/>
          </w:tcPr>
          <w:p w14:paraId="608C57F8" w14:textId="77777777" w:rsidR="007F17EE" w:rsidRPr="00442A3B" w:rsidRDefault="007F17EE" w:rsidP="008B781C">
            <w:pPr>
              <w:widowControl w:val="0"/>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-19</w:t>
            </w:r>
          </w:p>
        </w:tc>
        <w:tc>
          <w:tcPr>
            <w:tcW w:w="640" w:type="dxa"/>
            <w:tcBorders>
              <w:top w:val="single" w:sz="4" w:space="0" w:color="ADD6EA"/>
              <w:left w:val="nil"/>
              <w:bottom w:val="nil"/>
              <w:right w:val="nil"/>
            </w:tcBorders>
            <w:shd w:val="clear" w:color="auto" w:fill="auto"/>
            <w:vAlign w:val="bottom"/>
            <w:hideMark/>
          </w:tcPr>
          <w:p w14:paraId="0317A8E7" w14:textId="77777777" w:rsidR="007F17EE" w:rsidRPr="00442A3B" w:rsidRDefault="007F17EE" w:rsidP="008B781C">
            <w:pPr>
              <w:widowControl w:val="0"/>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66</w:t>
            </w:r>
          </w:p>
        </w:tc>
        <w:tc>
          <w:tcPr>
            <w:tcW w:w="820" w:type="dxa"/>
            <w:tcBorders>
              <w:top w:val="single" w:sz="4" w:space="0" w:color="ADD6EA"/>
              <w:left w:val="nil"/>
              <w:bottom w:val="nil"/>
              <w:right w:val="nil"/>
            </w:tcBorders>
            <w:shd w:val="clear" w:color="auto" w:fill="auto"/>
            <w:vAlign w:val="bottom"/>
            <w:hideMark/>
          </w:tcPr>
          <w:p w14:paraId="3DB7574C" w14:textId="77777777" w:rsidR="007F17EE" w:rsidRPr="00442A3B" w:rsidRDefault="007F17EE" w:rsidP="008B781C">
            <w:pPr>
              <w:widowControl w:val="0"/>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1,236</w:t>
            </w:r>
          </w:p>
        </w:tc>
      </w:tr>
      <w:tr w:rsidR="007F17EE" w:rsidRPr="00442A3B" w14:paraId="1865F8CC" w14:textId="77777777" w:rsidTr="003063D4">
        <w:trPr>
          <w:trHeight w:val="315"/>
        </w:trPr>
        <w:tc>
          <w:tcPr>
            <w:tcW w:w="2560" w:type="dxa"/>
            <w:tcBorders>
              <w:top w:val="single" w:sz="4" w:space="0" w:color="ADD6EA"/>
              <w:left w:val="nil"/>
              <w:bottom w:val="single" w:sz="4" w:space="0" w:color="ADD6EA"/>
              <w:right w:val="nil"/>
            </w:tcBorders>
            <w:shd w:val="clear" w:color="000000" w:fill="D6E7F0"/>
            <w:vAlign w:val="bottom"/>
            <w:hideMark/>
          </w:tcPr>
          <w:p w14:paraId="4370D03D" w14:textId="77777777" w:rsidR="007F17EE" w:rsidRPr="00442A3B" w:rsidRDefault="007F17EE" w:rsidP="008B781C">
            <w:pPr>
              <w:widowControl w:val="0"/>
              <w:tabs>
                <w:tab w:val="clear" w:pos="567"/>
              </w:tabs>
              <w:spacing w:before="0" w:line="240" w:lineRule="auto"/>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Total</w:t>
            </w:r>
          </w:p>
        </w:tc>
        <w:tc>
          <w:tcPr>
            <w:tcW w:w="760" w:type="dxa"/>
            <w:tcBorders>
              <w:top w:val="single" w:sz="4" w:space="0" w:color="ADD6EA"/>
              <w:left w:val="nil"/>
              <w:bottom w:val="single" w:sz="4" w:space="0" w:color="ADD6EA"/>
              <w:right w:val="nil"/>
            </w:tcBorders>
            <w:shd w:val="clear" w:color="000000" w:fill="D6E7F0"/>
            <w:noWrap/>
            <w:vAlign w:val="bottom"/>
            <w:hideMark/>
          </w:tcPr>
          <w:p w14:paraId="59F19531" w14:textId="77777777" w:rsidR="007F17EE" w:rsidRPr="00442A3B" w:rsidRDefault="007F17EE" w:rsidP="008B781C">
            <w:pPr>
              <w:pStyle w:val="CGCTablesubhead1"/>
              <w:widowControl w:val="0"/>
              <w:jc w:val="right"/>
              <w:rPr>
                <w:rFonts w:eastAsia="MS Mincho" w:cs="Open Sans Semibold"/>
                <w:color w:val="000000"/>
                <w:szCs w:val="16"/>
                <w:lang w:eastAsia="en-AU"/>
              </w:rPr>
            </w:pPr>
            <w:r w:rsidRPr="00442A3B">
              <w:rPr>
                <w:rFonts w:eastAsia="MS Mincho" w:cs="Open Sans Semibold"/>
                <w:color w:val="000000"/>
                <w:szCs w:val="16"/>
                <w:lang w:eastAsia="en-AU"/>
              </w:rPr>
              <w:t>978</w:t>
            </w:r>
          </w:p>
        </w:tc>
        <w:tc>
          <w:tcPr>
            <w:tcW w:w="720" w:type="dxa"/>
            <w:tcBorders>
              <w:top w:val="single" w:sz="4" w:space="0" w:color="ADD6EA"/>
              <w:left w:val="nil"/>
              <w:bottom w:val="single" w:sz="4" w:space="0" w:color="ADD6EA"/>
              <w:right w:val="nil"/>
            </w:tcBorders>
            <w:shd w:val="clear" w:color="000000" w:fill="D6E7F0"/>
            <w:noWrap/>
            <w:vAlign w:val="bottom"/>
            <w:hideMark/>
          </w:tcPr>
          <w:p w14:paraId="23F55B42" w14:textId="77777777" w:rsidR="007F17EE" w:rsidRPr="00442A3B" w:rsidRDefault="007F17EE" w:rsidP="008B781C">
            <w:pPr>
              <w:pStyle w:val="CGCTablesubhead1"/>
              <w:widowControl w:val="0"/>
              <w:jc w:val="right"/>
              <w:rPr>
                <w:rFonts w:eastAsia="MS Mincho" w:cs="Open Sans Semibold"/>
                <w:color w:val="000000"/>
                <w:szCs w:val="16"/>
                <w:lang w:eastAsia="en-AU"/>
              </w:rPr>
            </w:pPr>
            <w:r w:rsidRPr="00442A3B">
              <w:rPr>
                <w:rFonts w:eastAsia="MS Mincho" w:cs="Open Sans Semibold"/>
                <w:color w:val="000000"/>
                <w:szCs w:val="16"/>
                <w:lang w:eastAsia="en-AU"/>
              </w:rPr>
              <w:t>-507</w:t>
            </w:r>
          </w:p>
        </w:tc>
        <w:tc>
          <w:tcPr>
            <w:tcW w:w="720" w:type="dxa"/>
            <w:tcBorders>
              <w:top w:val="single" w:sz="4" w:space="0" w:color="ADD6EA"/>
              <w:left w:val="nil"/>
              <w:bottom w:val="single" w:sz="4" w:space="0" w:color="ADD6EA"/>
              <w:right w:val="nil"/>
            </w:tcBorders>
            <w:shd w:val="clear" w:color="000000" w:fill="D6E7F0"/>
            <w:noWrap/>
            <w:vAlign w:val="bottom"/>
            <w:hideMark/>
          </w:tcPr>
          <w:p w14:paraId="16BAC061" w14:textId="77777777" w:rsidR="007F17EE" w:rsidRPr="00442A3B" w:rsidRDefault="007F17EE" w:rsidP="008B781C">
            <w:pPr>
              <w:pStyle w:val="CGCTablesubhead1"/>
              <w:widowControl w:val="0"/>
              <w:jc w:val="right"/>
              <w:rPr>
                <w:rFonts w:eastAsia="MS Mincho" w:cs="Open Sans Semibold"/>
                <w:color w:val="000000"/>
                <w:szCs w:val="16"/>
                <w:lang w:eastAsia="en-AU"/>
              </w:rPr>
            </w:pPr>
            <w:r w:rsidRPr="00442A3B">
              <w:rPr>
                <w:rFonts w:eastAsia="MS Mincho" w:cs="Open Sans Semibold"/>
                <w:color w:val="000000"/>
                <w:szCs w:val="16"/>
                <w:lang w:eastAsia="en-AU"/>
              </w:rPr>
              <w:t>243</w:t>
            </w:r>
          </w:p>
        </w:tc>
        <w:tc>
          <w:tcPr>
            <w:tcW w:w="680" w:type="dxa"/>
            <w:tcBorders>
              <w:top w:val="single" w:sz="4" w:space="0" w:color="ADD6EA"/>
              <w:left w:val="nil"/>
              <w:bottom w:val="single" w:sz="4" w:space="0" w:color="ADD6EA"/>
              <w:right w:val="nil"/>
            </w:tcBorders>
            <w:shd w:val="clear" w:color="000000" w:fill="D6E7F0"/>
            <w:noWrap/>
            <w:vAlign w:val="bottom"/>
            <w:hideMark/>
          </w:tcPr>
          <w:p w14:paraId="15731512" w14:textId="77777777" w:rsidR="007F17EE" w:rsidRPr="00442A3B" w:rsidRDefault="007F17EE" w:rsidP="008B781C">
            <w:pPr>
              <w:pStyle w:val="CGCTablesubhead1"/>
              <w:widowControl w:val="0"/>
              <w:jc w:val="right"/>
              <w:rPr>
                <w:rFonts w:eastAsia="MS Mincho" w:cs="Open Sans Semibold"/>
                <w:color w:val="000000"/>
                <w:szCs w:val="16"/>
                <w:lang w:eastAsia="en-AU"/>
              </w:rPr>
            </w:pPr>
            <w:r w:rsidRPr="00442A3B">
              <w:rPr>
                <w:rFonts w:eastAsia="MS Mincho" w:cs="Open Sans Semibold"/>
                <w:color w:val="000000"/>
                <w:szCs w:val="16"/>
                <w:lang w:eastAsia="en-AU"/>
              </w:rPr>
              <w:t>-846</w:t>
            </w:r>
          </w:p>
        </w:tc>
        <w:tc>
          <w:tcPr>
            <w:tcW w:w="640" w:type="dxa"/>
            <w:tcBorders>
              <w:top w:val="single" w:sz="4" w:space="0" w:color="ADD6EA"/>
              <w:left w:val="nil"/>
              <w:bottom w:val="single" w:sz="4" w:space="0" w:color="ADD6EA"/>
              <w:right w:val="nil"/>
            </w:tcBorders>
            <w:shd w:val="clear" w:color="000000" w:fill="D6E7F0"/>
            <w:noWrap/>
            <w:vAlign w:val="bottom"/>
            <w:hideMark/>
          </w:tcPr>
          <w:p w14:paraId="7AFC001E" w14:textId="77777777" w:rsidR="007F17EE" w:rsidRPr="00442A3B" w:rsidRDefault="007F17EE" w:rsidP="008B781C">
            <w:pPr>
              <w:pStyle w:val="CGCTablesubhead1"/>
              <w:widowControl w:val="0"/>
              <w:jc w:val="right"/>
              <w:rPr>
                <w:rFonts w:eastAsia="MS Mincho" w:cs="Open Sans Semibold"/>
                <w:color w:val="000000"/>
                <w:szCs w:val="16"/>
                <w:lang w:eastAsia="en-AU"/>
              </w:rPr>
            </w:pPr>
            <w:r w:rsidRPr="00442A3B">
              <w:rPr>
                <w:rFonts w:eastAsia="MS Mincho" w:cs="Open Sans Semibold"/>
                <w:color w:val="000000"/>
                <w:szCs w:val="16"/>
                <w:lang w:eastAsia="en-AU"/>
              </w:rPr>
              <w:t>-13</w:t>
            </w:r>
          </w:p>
        </w:tc>
        <w:tc>
          <w:tcPr>
            <w:tcW w:w="640" w:type="dxa"/>
            <w:tcBorders>
              <w:top w:val="single" w:sz="4" w:space="0" w:color="ADD6EA"/>
              <w:left w:val="nil"/>
              <w:bottom w:val="single" w:sz="4" w:space="0" w:color="ADD6EA"/>
              <w:right w:val="nil"/>
            </w:tcBorders>
            <w:shd w:val="clear" w:color="000000" w:fill="D6E7F0"/>
            <w:noWrap/>
            <w:vAlign w:val="bottom"/>
            <w:hideMark/>
          </w:tcPr>
          <w:p w14:paraId="309D8206" w14:textId="77777777" w:rsidR="007F17EE" w:rsidRPr="00442A3B" w:rsidRDefault="007F17EE" w:rsidP="008B781C">
            <w:pPr>
              <w:pStyle w:val="CGCTablesubhead1"/>
              <w:widowControl w:val="0"/>
              <w:jc w:val="right"/>
              <w:rPr>
                <w:rFonts w:eastAsia="MS Mincho" w:cs="Open Sans Semibold"/>
                <w:color w:val="000000"/>
                <w:szCs w:val="16"/>
                <w:lang w:eastAsia="en-AU"/>
              </w:rPr>
            </w:pPr>
            <w:r w:rsidRPr="00442A3B">
              <w:rPr>
                <w:rFonts w:eastAsia="MS Mincho" w:cs="Open Sans Semibold"/>
                <w:color w:val="000000"/>
                <w:szCs w:val="16"/>
                <w:lang w:eastAsia="en-AU"/>
              </w:rPr>
              <w:t>100</w:t>
            </w:r>
          </w:p>
        </w:tc>
        <w:tc>
          <w:tcPr>
            <w:tcW w:w="700" w:type="dxa"/>
            <w:tcBorders>
              <w:top w:val="single" w:sz="4" w:space="0" w:color="ADD6EA"/>
              <w:left w:val="nil"/>
              <w:bottom w:val="single" w:sz="4" w:space="0" w:color="ADD6EA"/>
              <w:right w:val="nil"/>
            </w:tcBorders>
            <w:shd w:val="clear" w:color="000000" w:fill="D6E7F0"/>
            <w:noWrap/>
            <w:vAlign w:val="bottom"/>
            <w:hideMark/>
          </w:tcPr>
          <w:p w14:paraId="2591F53A" w14:textId="77777777" w:rsidR="007F17EE" w:rsidRPr="00442A3B" w:rsidRDefault="007F17EE" w:rsidP="008B781C">
            <w:pPr>
              <w:pStyle w:val="CGCTablesubhead1"/>
              <w:widowControl w:val="0"/>
              <w:jc w:val="right"/>
              <w:rPr>
                <w:rFonts w:eastAsia="MS Mincho" w:cs="Open Sans Semibold"/>
                <w:color w:val="000000"/>
                <w:szCs w:val="16"/>
                <w:lang w:eastAsia="en-AU"/>
              </w:rPr>
            </w:pPr>
            <w:r w:rsidRPr="00442A3B">
              <w:rPr>
                <w:rFonts w:eastAsia="MS Mincho" w:cs="Open Sans Semibold"/>
                <w:color w:val="000000"/>
                <w:szCs w:val="16"/>
                <w:lang w:eastAsia="en-AU"/>
              </w:rPr>
              <w:t>22</w:t>
            </w:r>
          </w:p>
        </w:tc>
        <w:tc>
          <w:tcPr>
            <w:tcW w:w="640" w:type="dxa"/>
            <w:tcBorders>
              <w:top w:val="single" w:sz="4" w:space="0" w:color="ADD6EA"/>
              <w:left w:val="nil"/>
              <w:bottom w:val="single" w:sz="4" w:space="0" w:color="ADD6EA"/>
              <w:right w:val="nil"/>
            </w:tcBorders>
            <w:shd w:val="clear" w:color="000000" w:fill="D6E7F0"/>
            <w:noWrap/>
            <w:vAlign w:val="bottom"/>
            <w:hideMark/>
          </w:tcPr>
          <w:p w14:paraId="6B796BC3" w14:textId="77777777" w:rsidR="007F17EE" w:rsidRPr="00442A3B" w:rsidRDefault="007F17EE" w:rsidP="008B781C">
            <w:pPr>
              <w:pStyle w:val="CGCTablesubhead1"/>
              <w:widowControl w:val="0"/>
              <w:jc w:val="right"/>
              <w:rPr>
                <w:rFonts w:eastAsia="MS Mincho" w:cs="Open Sans Semibold"/>
                <w:color w:val="000000"/>
                <w:szCs w:val="16"/>
                <w:lang w:eastAsia="en-AU"/>
              </w:rPr>
            </w:pPr>
            <w:r w:rsidRPr="00442A3B">
              <w:rPr>
                <w:rFonts w:eastAsia="MS Mincho" w:cs="Open Sans Semibold"/>
                <w:color w:val="000000"/>
                <w:szCs w:val="16"/>
                <w:lang w:eastAsia="en-AU"/>
              </w:rPr>
              <w:t>23</w:t>
            </w:r>
          </w:p>
        </w:tc>
        <w:tc>
          <w:tcPr>
            <w:tcW w:w="820" w:type="dxa"/>
            <w:tcBorders>
              <w:top w:val="single" w:sz="4" w:space="0" w:color="ADD6EA"/>
              <w:left w:val="nil"/>
              <w:bottom w:val="single" w:sz="4" w:space="0" w:color="ADD6EA"/>
              <w:right w:val="nil"/>
            </w:tcBorders>
            <w:shd w:val="clear" w:color="000000" w:fill="D6E7F0"/>
            <w:noWrap/>
            <w:vAlign w:val="bottom"/>
            <w:hideMark/>
          </w:tcPr>
          <w:p w14:paraId="2C2812CC" w14:textId="77777777" w:rsidR="007F17EE" w:rsidRPr="00442A3B" w:rsidRDefault="007F17EE" w:rsidP="008B781C">
            <w:pPr>
              <w:pStyle w:val="CGCTablesubhead1"/>
              <w:widowControl w:val="0"/>
              <w:jc w:val="right"/>
              <w:rPr>
                <w:rFonts w:eastAsia="MS Mincho" w:cs="Open Sans Semibold"/>
                <w:color w:val="000000"/>
                <w:szCs w:val="16"/>
                <w:lang w:eastAsia="en-AU"/>
              </w:rPr>
            </w:pPr>
            <w:r w:rsidRPr="00442A3B">
              <w:rPr>
                <w:rFonts w:eastAsia="MS Mincho" w:cs="Open Sans Semibold"/>
                <w:color w:val="000000"/>
                <w:szCs w:val="16"/>
                <w:lang w:eastAsia="en-AU"/>
              </w:rPr>
              <w:t>1,366</w:t>
            </w:r>
          </w:p>
        </w:tc>
      </w:tr>
    </w:tbl>
    <w:p w14:paraId="17354402" w14:textId="29AA5AC8" w:rsidR="00165998" w:rsidRPr="00442A3B" w:rsidRDefault="00165998" w:rsidP="008B781C">
      <w:pPr>
        <w:pStyle w:val="CGCTablenote"/>
        <w:widowControl w:val="0"/>
        <w:spacing w:before="0"/>
      </w:pPr>
      <w:r w:rsidRPr="00442A3B">
        <w:t>Note:</w:t>
      </w:r>
      <w:r w:rsidRPr="00442A3B">
        <w:tab/>
        <w:t>The redistribution is calculated as the sum of all the positive numbers in the row. Totals may not add due to rounding.</w:t>
      </w:r>
    </w:p>
    <w:p w14:paraId="717EC3B6" w14:textId="0184ACB2" w:rsidR="00165998" w:rsidRPr="00442A3B" w:rsidRDefault="00165998" w:rsidP="008B781C">
      <w:pPr>
        <w:pStyle w:val="CGCTablenote"/>
        <w:widowControl w:val="0"/>
        <w:spacing w:before="0"/>
      </w:pPr>
      <w:r w:rsidRPr="00442A3B">
        <w:t>Source:</w:t>
      </w:r>
      <w:r w:rsidRPr="00442A3B">
        <w:tab/>
        <w:t>Commission calculation.</w:t>
      </w:r>
    </w:p>
    <w:p w14:paraId="421A431E" w14:textId="77777777" w:rsidR="00165998" w:rsidRPr="00442A3B" w:rsidRDefault="00165998" w:rsidP="00B33810">
      <w:pPr>
        <w:pStyle w:val="Heading4"/>
        <w:keepNext w:val="0"/>
      </w:pPr>
      <w:bookmarkStart w:id="84" w:name="_Toc65050527"/>
      <w:bookmarkEnd w:id="83"/>
      <w:r w:rsidRPr="00442A3B">
        <w:t>Data revisions</w:t>
      </w:r>
      <w:bookmarkEnd w:id="84"/>
    </w:p>
    <w:p w14:paraId="048DB3DD" w14:textId="1A4A1263" w:rsidR="00165998" w:rsidRPr="00442A3B" w:rsidRDefault="00165998" w:rsidP="00B33810">
      <w:pPr>
        <w:pStyle w:val="CGCParaNumber"/>
        <w:widowControl w:val="0"/>
        <w:ind w:left="567" w:hanging="567"/>
      </w:pPr>
      <w:r w:rsidRPr="00442A3B">
        <w:t xml:space="preserve">Data revisions for the assessment years </w:t>
      </w:r>
      <w:r w:rsidR="007D01DC" w:rsidRPr="00442A3B">
        <w:t>used in</w:t>
      </w:r>
      <w:r w:rsidRPr="00442A3B">
        <w:t xml:space="preserve"> the </w:t>
      </w:r>
      <w:r w:rsidR="005909B1" w:rsidRPr="00442A3B">
        <w:t>2020 Review</w:t>
      </w:r>
      <w:r w:rsidRPr="00442A3B">
        <w:t xml:space="preserve"> changed the redistribution by $</w:t>
      </w:r>
      <w:r w:rsidR="00C0066F" w:rsidRPr="00442A3B">
        <w:t>35</w:t>
      </w:r>
      <w:r w:rsidR="00F84BB1" w:rsidRPr="00442A3B">
        <w:t>6</w:t>
      </w:r>
      <w:r w:rsidRPr="00442A3B">
        <w:t xml:space="preserve"> million in this </w:t>
      </w:r>
      <w:r w:rsidR="00286635" w:rsidRPr="00442A3B">
        <w:t>update</w:t>
      </w:r>
      <w:r w:rsidRPr="00442A3B">
        <w:t xml:space="preserve">. The largest revisions are shown in </w:t>
      </w:r>
      <w:r w:rsidRPr="00442A3B">
        <w:fldChar w:fldCharType="begin"/>
      </w:r>
      <w:r w:rsidRPr="00442A3B">
        <w:instrText xml:space="preserve"> REF _Ref30523737 \h </w:instrText>
      </w:r>
      <w:r w:rsidR="00442A3B">
        <w:instrText xml:space="preserve"> \* MERGEFORMAT </w:instrText>
      </w:r>
      <w:r w:rsidRPr="00442A3B">
        <w:fldChar w:fldCharType="separate"/>
      </w:r>
      <w:r w:rsidR="00FC3D3D" w:rsidRPr="00442A3B">
        <w:t>Table 2</w:t>
      </w:r>
      <w:r w:rsidR="00FC3D3D" w:rsidRPr="00442A3B">
        <w:noBreakHyphen/>
      </w:r>
      <w:r w:rsidR="00FC3D3D">
        <w:t>3</w:t>
      </w:r>
      <w:r w:rsidRPr="00442A3B">
        <w:fldChar w:fldCharType="end"/>
      </w:r>
      <w:r w:rsidRPr="00442A3B">
        <w:t>.</w:t>
      </w:r>
    </w:p>
    <w:p w14:paraId="4B39D038" w14:textId="4BC289B2" w:rsidR="00165998" w:rsidRPr="00442A3B" w:rsidRDefault="00165998" w:rsidP="008B781C">
      <w:pPr>
        <w:pStyle w:val="Caption"/>
      </w:pPr>
      <w:bookmarkStart w:id="85" w:name="_Ref30523737"/>
      <w:bookmarkStart w:id="86" w:name="_Toc62487275"/>
      <w:bookmarkStart w:id="87" w:name="_Toc62723806"/>
      <w:r w:rsidRPr="00442A3B">
        <w:lastRenderedPageBreak/>
        <w:t>Table 2</w:t>
      </w:r>
      <w:r w:rsidRPr="00442A3B">
        <w:noBreakHyphen/>
      </w:r>
      <w:r w:rsidRPr="00442A3B">
        <w:fldChar w:fldCharType="begin"/>
      </w:r>
      <w:r w:rsidRPr="00442A3B">
        <w:instrText>SEQ Table \* ARABIC</w:instrText>
      </w:r>
      <w:r w:rsidRPr="00442A3B">
        <w:fldChar w:fldCharType="separate"/>
      </w:r>
      <w:r w:rsidR="00FC3D3D">
        <w:rPr>
          <w:noProof/>
        </w:rPr>
        <w:t>3</w:t>
      </w:r>
      <w:r w:rsidRPr="00442A3B">
        <w:fldChar w:fldCharType="end"/>
      </w:r>
      <w:bookmarkEnd w:id="85"/>
      <w:r w:rsidRPr="00442A3B">
        <w:tab/>
        <w:t>Major effects of data revisions, 202</w:t>
      </w:r>
      <w:r w:rsidR="003B3EFA" w:rsidRPr="00442A3B">
        <w:t>1-22</w:t>
      </w:r>
      <w:bookmarkEnd w:id="86"/>
      <w:bookmarkEnd w:id="87"/>
    </w:p>
    <w:tbl>
      <w:tblPr>
        <w:tblW w:w="8900" w:type="dxa"/>
        <w:tblCellMar>
          <w:left w:w="28" w:type="dxa"/>
          <w:right w:w="28" w:type="dxa"/>
        </w:tblCellMar>
        <w:tblLook w:val="04A0" w:firstRow="1" w:lastRow="0" w:firstColumn="1" w:lastColumn="0" w:noHBand="0" w:noVBand="1"/>
      </w:tblPr>
      <w:tblGrid>
        <w:gridCol w:w="2700"/>
        <w:gridCol w:w="680"/>
        <w:gridCol w:w="680"/>
        <w:gridCol w:w="680"/>
        <w:gridCol w:w="680"/>
        <w:gridCol w:w="680"/>
        <w:gridCol w:w="680"/>
        <w:gridCol w:w="680"/>
        <w:gridCol w:w="680"/>
        <w:gridCol w:w="760"/>
      </w:tblGrid>
      <w:tr w:rsidR="000C0BBF" w:rsidRPr="00442A3B" w14:paraId="3E8FB541" w14:textId="77777777" w:rsidTr="003063D4">
        <w:trPr>
          <w:trHeight w:val="375"/>
        </w:trPr>
        <w:tc>
          <w:tcPr>
            <w:tcW w:w="2700" w:type="dxa"/>
            <w:tcBorders>
              <w:top w:val="single" w:sz="4" w:space="0" w:color="ADD6EA"/>
              <w:left w:val="nil"/>
              <w:bottom w:val="single" w:sz="4" w:space="0" w:color="ADD6EA"/>
              <w:right w:val="nil"/>
            </w:tcBorders>
            <w:shd w:val="clear" w:color="000000" w:fill="006991"/>
            <w:vAlign w:val="center"/>
            <w:hideMark/>
          </w:tcPr>
          <w:p w14:paraId="692090FE" w14:textId="77777777" w:rsidR="000C0BBF" w:rsidRPr="00442A3B" w:rsidRDefault="000C0BBF" w:rsidP="00B07615">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 </w:t>
            </w:r>
          </w:p>
        </w:tc>
        <w:tc>
          <w:tcPr>
            <w:tcW w:w="680" w:type="dxa"/>
            <w:tcBorders>
              <w:top w:val="single" w:sz="4" w:space="0" w:color="ADD6EA"/>
              <w:left w:val="nil"/>
              <w:bottom w:val="single" w:sz="4" w:space="0" w:color="ADD6EA"/>
              <w:right w:val="nil"/>
            </w:tcBorders>
            <w:shd w:val="clear" w:color="000000" w:fill="006991"/>
            <w:vAlign w:val="center"/>
            <w:hideMark/>
          </w:tcPr>
          <w:p w14:paraId="216747C0" w14:textId="77777777" w:rsidR="000C0BBF" w:rsidRPr="00442A3B" w:rsidRDefault="000C0BBF" w:rsidP="00B07615">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NSW</w:t>
            </w:r>
          </w:p>
        </w:tc>
        <w:tc>
          <w:tcPr>
            <w:tcW w:w="680" w:type="dxa"/>
            <w:tcBorders>
              <w:top w:val="single" w:sz="4" w:space="0" w:color="ADD6EA"/>
              <w:left w:val="nil"/>
              <w:bottom w:val="single" w:sz="4" w:space="0" w:color="ADD6EA"/>
              <w:right w:val="nil"/>
            </w:tcBorders>
            <w:shd w:val="clear" w:color="000000" w:fill="006991"/>
            <w:vAlign w:val="center"/>
            <w:hideMark/>
          </w:tcPr>
          <w:p w14:paraId="123864AC" w14:textId="77777777" w:rsidR="000C0BBF" w:rsidRPr="00442A3B" w:rsidRDefault="000C0BBF" w:rsidP="00B07615">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Vic</w:t>
            </w:r>
          </w:p>
        </w:tc>
        <w:tc>
          <w:tcPr>
            <w:tcW w:w="680" w:type="dxa"/>
            <w:tcBorders>
              <w:top w:val="single" w:sz="4" w:space="0" w:color="ADD6EA"/>
              <w:left w:val="nil"/>
              <w:bottom w:val="single" w:sz="4" w:space="0" w:color="ADD6EA"/>
              <w:right w:val="nil"/>
            </w:tcBorders>
            <w:shd w:val="clear" w:color="000000" w:fill="006991"/>
            <w:vAlign w:val="center"/>
            <w:hideMark/>
          </w:tcPr>
          <w:p w14:paraId="187ADEBF" w14:textId="77777777" w:rsidR="000C0BBF" w:rsidRPr="00442A3B" w:rsidRDefault="000C0BBF" w:rsidP="00B07615">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Qld</w:t>
            </w:r>
          </w:p>
        </w:tc>
        <w:tc>
          <w:tcPr>
            <w:tcW w:w="680" w:type="dxa"/>
            <w:tcBorders>
              <w:top w:val="single" w:sz="4" w:space="0" w:color="ADD6EA"/>
              <w:left w:val="nil"/>
              <w:bottom w:val="single" w:sz="4" w:space="0" w:color="ADD6EA"/>
              <w:right w:val="nil"/>
            </w:tcBorders>
            <w:shd w:val="clear" w:color="000000" w:fill="006991"/>
            <w:vAlign w:val="center"/>
            <w:hideMark/>
          </w:tcPr>
          <w:p w14:paraId="3CC00B12" w14:textId="77777777" w:rsidR="000C0BBF" w:rsidRPr="00442A3B" w:rsidRDefault="000C0BBF" w:rsidP="00B07615">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WA</w:t>
            </w:r>
          </w:p>
        </w:tc>
        <w:tc>
          <w:tcPr>
            <w:tcW w:w="680" w:type="dxa"/>
            <w:tcBorders>
              <w:top w:val="single" w:sz="4" w:space="0" w:color="ADD6EA"/>
              <w:left w:val="nil"/>
              <w:bottom w:val="single" w:sz="4" w:space="0" w:color="ADD6EA"/>
              <w:right w:val="nil"/>
            </w:tcBorders>
            <w:shd w:val="clear" w:color="000000" w:fill="006991"/>
            <w:vAlign w:val="center"/>
            <w:hideMark/>
          </w:tcPr>
          <w:p w14:paraId="2E758888" w14:textId="77777777" w:rsidR="000C0BBF" w:rsidRPr="00442A3B" w:rsidRDefault="000C0BBF" w:rsidP="00B07615">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SA</w:t>
            </w:r>
          </w:p>
        </w:tc>
        <w:tc>
          <w:tcPr>
            <w:tcW w:w="680" w:type="dxa"/>
            <w:tcBorders>
              <w:top w:val="single" w:sz="4" w:space="0" w:color="ADD6EA"/>
              <w:left w:val="nil"/>
              <w:bottom w:val="single" w:sz="4" w:space="0" w:color="ADD6EA"/>
              <w:right w:val="nil"/>
            </w:tcBorders>
            <w:shd w:val="clear" w:color="000000" w:fill="006991"/>
            <w:vAlign w:val="center"/>
            <w:hideMark/>
          </w:tcPr>
          <w:p w14:paraId="6E039ED2" w14:textId="77777777" w:rsidR="000C0BBF" w:rsidRPr="00442A3B" w:rsidRDefault="000C0BBF" w:rsidP="00B07615">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Tas</w:t>
            </w:r>
          </w:p>
        </w:tc>
        <w:tc>
          <w:tcPr>
            <w:tcW w:w="680" w:type="dxa"/>
            <w:tcBorders>
              <w:top w:val="single" w:sz="4" w:space="0" w:color="ADD6EA"/>
              <w:left w:val="nil"/>
              <w:bottom w:val="single" w:sz="4" w:space="0" w:color="ADD6EA"/>
              <w:right w:val="nil"/>
            </w:tcBorders>
            <w:shd w:val="clear" w:color="000000" w:fill="006991"/>
            <w:vAlign w:val="center"/>
            <w:hideMark/>
          </w:tcPr>
          <w:p w14:paraId="1BF0E131" w14:textId="77777777" w:rsidR="000C0BBF" w:rsidRPr="00442A3B" w:rsidRDefault="000C0BBF" w:rsidP="00B07615">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ACT</w:t>
            </w:r>
          </w:p>
        </w:tc>
        <w:tc>
          <w:tcPr>
            <w:tcW w:w="680" w:type="dxa"/>
            <w:tcBorders>
              <w:top w:val="single" w:sz="4" w:space="0" w:color="ADD6EA"/>
              <w:left w:val="nil"/>
              <w:bottom w:val="single" w:sz="4" w:space="0" w:color="ADD6EA"/>
              <w:right w:val="nil"/>
            </w:tcBorders>
            <w:shd w:val="clear" w:color="000000" w:fill="006991"/>
            <w:vAlign w:val="center"/>
            <w:hideMark/>
          </w:tcPr>
          <w:p w14:paraId="02FBD4DE" w14:textId="77777777" w:rsidR="000C0BBF" w:rsidRPr="00442A3B" w:rsidRDefault="000C0BBF" w:rsidP="00B07615">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NT</w:t>
            </w:r>
          </w:p>
        </w:tc>
        <w:tc>
          <w:tcPr>
            <w:tcW w:w="760" w:type="dxa"/>
            <w:tcBorders>
              <w:top w:val="single" w:sz="4" w:space="0" w:color="ADD6EA"/>
              <w:left w:val="nil"/>
              <w:bottom w:val="single" w:sz="4" w:space="0" w:color="ADD6EA"/>
              <w:right w:val="nil"/>
            </w:tcBorders>
            <w:shd w:val="clear" w:color="000000" w:fill="006991"/>
            <w:vAlign w:val="center"/>
            <w:hideMark/>
          </w:tcPr>
          <w:p w14:paraId="122207BE" w14:textId="77777777" w:rsidR="000C0BBF" w:rsidRPr="00442A3B" w:rsidRDefault="000C0BBF" w:rsidP="00B07615">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Redist</w:t>
            </w:r>
          </w:p>
        </w:tc>
      </w:tr>
      <w:tr w:rsidR="000C0BBF" w:rsidRPr="00442A3B" w14:paraId="658D7C35" w14:textId="77777777" w:rsidTr="003063D4">
        <w:trPr>
          <w:trHeight w:val="259"/>
        </w:trPr>
        <w:tc>
          <w:tcPr>
            <w:tcW w:w="2700" w:type="dxa"/>
            <w:tcBorders>
              <w:top w:val="nil"/>
              <w:left w:val="nil"/>
              <w:bottom w:val="single" w:sz="4" w:space="0" w:color="ADD6EA"/>
              <w:right w:val="nil"/>
            </w:tcBorders>
            <w:shd w:val="clear" w:color="000000" w:fill="B6D5E4"/>
            <w:vAlign w:val="bottom"/>
            <w:hideMark/>
          </w:tcPr>
          <w:p w14:paraId="2A29560E" w14:textId="77777777" w:rsidR="000C0BBF" w:rsidRPr="00442A3B" w:rsidRDefault="000C0BBF" w:rsidP="00B07615">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442A3B">
              <w:rPr>
                <w:rFonts w:ascii="Open Sans Semibold" w:eastAsia="Times New Roman" w:hAnsi="Open Sans Semibold" w:cs="Open Sans Semibold"/>
                <w:sz w:val="16"/>
                <w:szCs w:val="16"/>
                <w:lang w:eastAsia="en-AU"/>
              </w:rPr>
              <w:t> </w:t>
            </w:r>
          </w:p>
        </w:tc>
        <w:tc>
          <w:tcPr>
            <w:tcW w:w="680" w:type="dxa"/>
            <w:tcBorders>
              <w:top w:val="nil"/>
              <w:left w:val="nil"/>
              <w:bottom w:val="single" w:sz="4" w:space="0" w:color="ADD6EA"/>
              <w:right w:val="nil"/>
            </w:tcBorders>
            <w:shd w:val="clear" w:color="000000" w:fill="B6D5E4"/>
            <w:vAlign w:val="bottom"/>
            <w:hideMark/>
          </w:tcPr>
          <w:p w14:paraId="0ED72FF4" w14:textId="77777777" w:rsidR="000C0BBF" w:rsidRPr="00442A3B" w:rsidRDefault="000C0BBF" w:rsidP="00B07615">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680" w:type="dxa"/>
            <w:tcBorders>
              <w:top w:val="nil"/>
              <w:left w:val="nil"/>
              <w:bottom w:val="single" w:sz="4" w:space="0" w:color="ADD6EA"/>
              <w:right w:val="nil"/>
            </w:tcBorders>
            <w:shd w:val="clear" w:color="000000" w:fill="B6D5E4"/>
            <w:vAlign w:val="bottom"/>
            <w:hideMark/>
          </w:tcPr>
          <w:p w14:paraId="70576773" w14:textId="77777777" w:rsidR="000C0BBF" w:rsidRPr="00442A3B" w:rsidRDefault="000C0BBF" w:rsidP="00B07615">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680" w:type="dxa"/>
            <w:tcBorders>
              <w:top w:val="nil"/>
              <w:left w:val="nil"/>
              <w:bottom w:val="single" w:sz="4" w:space="0" w:color="ADD6EA"/>
              <w:right w:val="nil"/>
            </w:tcBorders>
            <w:shd w:val="clear" w:color="000000" w:fill="B6D5E4"/>
            <w:vAlign w:val="bottom"/>
            <w:hideMark/>
          </w:tcPr>
          <w:p w14:paraId="64288F60" w14:textId="77777777" w:rsidR="000C0BBF" w:rsidRPr="00442A3B" w:rsidRDefault="000C0BBF" w:rsidP="00B07615">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680" w:type="dxa"/>
            <w:tcBorders>
              <w:top w:val="nil"/>
              <w:left w:val="nil"/>
              <w:bottom w:val="single" w:sz="4" w:space="0" w:color="ADD6EA"/>
              <w:right w:val="nil"/>
            </w:tcBorders>
            <w:shd w:val="clear" w:color="000000" w:fill="B6D5E4"/>
            <w:vAlign w:val="bottom"/>
            <w:hideMark/>
          </w:tcPr>
          <w:p w14:paraId="03114599" w14:textId="77777777" w:rsidR="000C0BBF" w:rsidRPr="00442A3B" w:rsidRDefault="000C0BBF" w:rsidP="00B07615">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680" w:type="dxa"/>
            <w:tcBorders>
              <w:top w:val="nil"/>
              <w:left w:val="nil"/>
              <w:bottom w:val="single" w:sz="4" w:space="0" w:color="ADD6EA"/>
              <w:right w:val="nil"/>
            </w:tcBorders>
            <w:shd w:val="clear" w:color="000000" w:fill="B6D5E4"/>
            <w:vAlign w:val="bottom"/>
            <w:hideMark/>
          </w:tcPr>
          <w:p w14:paraId="48A7AB64" w14:textId="77777777" w:rsidR="000C0BBF" w:rsidRPr="00442A3B" w:rsidRDefault="000C0BBF" w:rsidP="00B07615">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680" w:type="dxa"/>
            <w:tcBorders>
              <w:top w:val="nil"/>
              <w:left w:val="nil"/>
              <w:bottom w:val="single" w:sz="4" w:space="0" w:color="ADD6EA"/>
              <w:right w:val="nil"/>
            </w:tcBorders>
            <w:shd w:val="clear" w:color="000000" w:fill="B6D5E4"/>
            <w:vAlign w:val="bottom"/>
            <w:hideMark/>
          </w:tcPr>
          <w:p w14:paraId="6366E6A2" w14:textId="77777777" w:rsidR="000C0BBF" w:rsidRPr="00442A3B" w:rsidRDefault="000C0BBF" w:rsidP="00B07615">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680" w:type="dxa"/>
            <w:tcBorders>
              <w:top w:val="nil"/>
              <w:left w:val="nil"/>
              <w:bottom w:val="single" w:sz="4" w:space="0" w:color="ADD6EA"/>
              <w:right w:val="nil"/>
            </w:tcBorders>
            <w:shd w:val="clear" w:color="000000" w:fill="B6D5E4"/>
            <w:vAlign w:val="bottom"/>
            <w:hideMark/>
          </w:tcPr>
          <w:p w14:paraId="7DAAB462" w14:textId="77777777" w:rsidR="000C0BBF" w:rsidRPr="00442A3B" w:rsidRDefault="000C0BBF" w:rsidP="00B07615">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680" w:type="dxa"/>
            <w:tcBorders>
              <w:top w:val="nil"/>
              <w:left w:val="nil"/>
              <w:bottom w:val="single" w:sz="4" w:space="0" w:color="ADD6EA"/>
              <w:right w:val="nil"/>
            </w:tcBorders>
            <w:shd w:val="clear" w:color="000000" w:fill="B6D5E4"/>
            <w:vAlign w:val="bottom"/>
            <w:hideMark/>
          </w:tcPr>
          <w:p w14:paraId="18D70426" w14:textId="77777777" w:rsidR="000C0BBF" w:rsidRPr="00442A3B" w:rsidRDefault="000C0BBF" w:rsidP="00B07615">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vAlign w:val="bottom"/>
            <w:hideMark/>
          </w:tcPr>
          <w:p w14:paraId="0BC6D2B1" w14:textId="77777777" w:rsidR="000C0BBF" w:rsidRPr="00442A3B" w:rsidRDefault="000C0BBF" w:rsidP="00B07615">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r>
      <w:tr w:rsidR="000C0BBF" w:rsidRPr="00442A3B" w14:paraId="78FD92CB" w14:textId="77777777" w:rsidTr="003063D4">
        <w:trPr>
          <w:trHeight w:val="315"/>
        </w:trPr>
        <w:tc>
          <w:tcPr>
            <w:tcW w:w="2700" w:type="dxa"/>
            <w:tcBorders>
              <w:top w:val="nil"/>
              <w:left w:val="nil"/>
              <w:bottom w:val="single" w:sz="4" w:space="0" w:color="ADD6EA"/>
              <w:right w:val="nil"/>
            </w:tcBorders>
            <w:shd w:val="clear" w:color="auto" w:fill="auto"/>
            <w:vAlign w:val="bottom"/>
            <w:hideMark/>
          </w:tcPr>
          <w:p w14:paraId="7FE2E806" w14:textId="77777777" w:rsidR="000C0BBF" w:rsidRPr="00442A3B" w:rsidRDefault="000C0BBF" w:rsidP="00B07615">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Taxable payrolls</w:t>
            </w:r>
          </w:p>
        </w:tc>
        <w:tc>
          <w:tcPr>
            <w:tcW w:w="680" w:type="dxa"/>
            <w:tcBorders>
              <w:top w:val="nil"/>
              <w:left w:val="nil"/>
              <w:bottom w:val="single" w:sz="4" w:space="0" w:color="ADD6EA"/>
              <w:right w:val="nil"/>
            </w:tcBorders>
            <w:shd w:val="clear" w:color="auto" w:fill="auto"/>
            <w:vAlign w:val="bottom"/>
            <w:hideMark/>
          </w:tcPr>
          <w:p w14:paraId="3EEC282A"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211</w:t>
            </w:r>
          </w:p>
        </w:tc>
        <w:tc>
          <w:tcPr>
            <w:tcW w:w="680" w:type="dxa"/>
            <w:tcBorders>
              <w:top w:val="nil"/>
              <w:left w:val="nil"/>
              <w:bottom w:val="single" w:sz="4" w:space="0" w:color="ADD6EA"/>
              <w:right w:val="nil"/>
            </w:tcBorders>
            <w:shd w:val="clear" w:color="auto" w:fill="auto"/>
            <w:vAlign w:val="bottom"/>
            <w:hideMark/>
          </w:tcPr>
          <w:p w14:paraId="04CDA203"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-189</w:t>
            </w:r>
          </w:p>
        </w:tc>
        <w:tc>
          <w:tcPr>
            <w:tcW w:w="680" w:type="dxa"/>
            <w:tcBorders>
              <w:top w:val="nil"/>
              <w:left w:val="nil"/>
              <w:bottom w:val="single" w:sz="4" w:space="0" w:color="ADD6EA"/>
              <w:right w:val="nil"/>
            </w:tcBorders>
            <w:shd w:val="clear" w:color="auto" w:fill="auto"/>
            <w:vAlign w:val="bottom"/>
            <w:hideMark/>
          </w:tcPr>
          <w:p w14:paraId="5FCCFCE4"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-10</w:t>
            </w:r>
          </w:p>
        </w:tc>
        <w:tc>
          <w:tcPr>
            <w:tcW w:w="680" w:type="dxa"/>
            <w:tcBorders>
              <w:top w:val="nil"/>
              <w:left w:val="nil"/>
              <w:bottom w:val="single" w:sz="4" w:space="0" w:color="ADD6EA"/>
              <w:right w:val="nil"/>
            </w:tcBorders>
            <w:shd w:val="clear" w:color="auto" w:fill="auto"/>
            <w:vAlign w:val="bottom"/>
            <w:hideMark/>
          </w:tcPr>
          <w:p w14:paraId="560EB2AF"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-46</w:t>
            </w:r>
          </w:p>
        </w:tc>
        <w:tc>
          <w:tcPr>
            <w:tcW w:w="680" w:type="dxa"/>
            <w:tcBorders>
              <w:top w:val="nil"/>
              <w:left w:val="nil"/>
              <w:bottom w:val="single" w:sz="4" w:space="0" w:color="ADD6EA"/>
              <w:right w:val="nil"/>
            </w:tcBorders>
            <w:shd w:val="clear" w:color="auto" w:fill="auto"/>
            <w:vAlign w:val="bottom"/>
            <w:hideMark/>
          </w:tcPr>
          <w:p w14:paraId="0CE9C715"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28</w:t>
            </w:r>
          </w:p>
        </w:tc>
        <w:tc>
          <w:tcPr>
            <w:tcW w:w="680" w:type="dxa"/>
            <w:tcBorders>
              <w:top w:val="nil"/>
              <w:left w:val="nil"/>
              <w:bottom w:val="single" w:sz="4" w:space="0" w:color="ADD6EA"/>
              <w:right w:val="nil"/>
            </w:tcBorders>
            <w:shd w:val="clear" w:color="auto" w:fill="auto"/>
            <w:vAlign w:val="bottom"/>
            <w:hideMark/>
          </w:tcPr>
          <w:p w14:paraId="7F872C7E"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w:t>
            </w:r>
          </w:p>
        </w:tc>
        <w:tc>
          <w:tcPr>
            <w:tcW w:w="680" w:type="dxa"/>
            <w:tcBorders>
              <w:top w:val="nil"/>
              <w:left w:val="nil"/>
              <w:bottom w:val="single" w:sz="4" w:space="0" w:color="ADD6EA"/>
              <w:right w:val="nil"/>
            </w:tcBorders>
            <w:shd w:val="clear" w:color="auto" w:fill="auto"/>
            <w:vAlign w:val="bottom"/>
            <w:hideMark/>
          </w:tcPr>
          <w:p w14:paraId="7FC2E2FE"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20</w:t>
            </w:r>
          </w:p>
        </w:tc>
        <w:tc>
          <w:tcPr>
            <w:tcW w:w="680" w:type="dxa"/>
            <w:tcBorders>
              <w:top w:val="nil"/>
              <w:left w:val="nil"/>
              <w:bottom w:val="single" w:sz="4" w:space="0" w:color="ADD6EA"/>
              <w:right w:val="nil"/>
            </w:tcBorders>
            <w:shd w:val="clear" w:color="auto" w:fill="auto"/>
            <w:vAlign w:val="bottom"/>
            <w:hideMark/>
          </w:tcPr>
          <w:p w14:paraId="728B28F9"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-9</w:t>
            </w:r>
          </w:p>
        </w:tc>
        <w:tc>
          <w:tcPr>
            <w:tcW w:w="760" w:type="dxa"/>
            <w:tcBorders>
              <w:top w:val="nil"/>
              <w:left w:val="nil"/>
              <w:bottom w:val="single" w:sz="4" w:space="0" w:color="ADD6EA"/>
              <w:right w:val="nil"/>
            </w:tcBorders>
            <w:shd w:val="clear" w:color="auto" w:fill="auto"/>
            <w:vAlign w:val="bottom"/>
            <w:hideMark/>
          </w:tcPr>
          <w:p w14:paraId="5FAFDEA7"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259</w:t>
            </w:r>
          </w:p>
        </w:tc>
      </w:tr>
      <w:tr w:rsidR="000C0BBF" w:rsidRPr="00442A3B" w14:paraId="0CBF9221" w14:textId="77777777" w:rsidTr="003063D4">
        <w:trPr>
          <w:trHeight w:val="315"/>
        </w:trPr>
        <w:tc>
          <w:tcPr>
            <w:tcW w:w="2700" w:type="dxa"/>
            <w:tcBorders>
              <w:top w:val="nil"/>
              <w:left w:val="nil"/>
              <w:bottom w:val="single" w:sz="4" w:space="0" w:color="ADD6EA"/>
              <w:right w:val="nil"/>
            </w:tcBorders>
            <w:shd w:val="clear" w:color="auto" w:fill="auto"/>
            <w:vAlign w:val="bottom"/>
            <w:hideMark/>
          </w:tcPr>
          <w:p w14:paraId="32F565B1" w14:textId="77777777" w:rsidR="000C0BBF" w:rsidRPr="00442A3B" w:rsidRDefault="000C0BBF" w:rsidP="00B07615">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Natural disaster relief</w:t>
            </w:r>
          </w:p>
        </w:tc>
        <w:tc>
          <w:tcPr>
            <w:tcW w:w="680" w:type="dxa"/>
            <w:tcBorders>
              <w:top w:val="nil"/>
              <w:left w:val="nil"/>
              <w:bottom w:val="single" w:sz="4" w:space="0" w:color="ADD6EA"/>
              <w:right w:val="nil"/>
            </w:tcBorders>
            <w:shd w:val="clear" w:color="auto" w:fill="auto"/>
            <w:vAlign w:val="bottom"/>
            <w:hideMark/>
          </w:tcPr>
          <w:p w14:paraId="0B4AF92B"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81</w:t>
            </w:r>
          </w:p>
        </w:tc>
        <w:tc>
          <w:tcPr>
            <w:tcW w:w="680" w:type="dxa"/>
            <w:tcBorders>
              <w:top w:val="nil"/>
              <w:left w:val="nil"/>
              <w:bottom w:val="single" w:sz="4" w:space="0" w:color="ADD6EA"/>
              <w:right w:val="nil"/>
            </w:tcBorders>
            <w:shd w:val="clear" w:color="auto" w:fill="auto"/>
            <w:vAlign w:val="bottom"/>
            <w:hideMark/>
          </w:tcPr>
          <w:p w14:paraId="56458D22"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102</w:t>
            </w:r>
          </w:p>
        </w:tc>
        <w:tc>
          <w:tcPr>
            <w:tcW w:w="680" w:type="dxa"/>
            <w:tcBorders>
              <w:top w:val="nil"/>
              <w:left w:val="nil"/>
              <w:bottom w:val="single" w:sz="4" w:space="0" w:color="ADD6EA"/>
              <w:right w:val="nil"/>
            </w:tcBorders>
            <w:shd w:val="clear" w:color="auto" w:fill="auto"/>
            <w:vAlign w:val="bottom"/>
            <w:hideMark/>
          </w:tcPr>
          <w:p w14:paraId="45443921"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-174</w:t>
            </w:r>
          </w:p>
        </w:tc>
        <w:tc>
          <w:tcPr>
            <w:tcW w:w="680" w:type="dxa"/>
            <w:tcBorders>
              <w:top w:val="nil"/>
              <w:left w:val="nil"/>
              <w:bottom w:val="single" w:sz="4" w:space="0" w:color="ADD6EA"/>
              <w:right w:val="nil"/>
            </w:tcBorders>
            <w:shd w:val="clear" w:color="auto" w:fill="auto"/>
            <w:vAlign w:val="bottom"/>
            <w:hideMark/>
          </w:tcPr>
          <w:p w14:paraId="6550706B"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-46</w:t>
            </w:r>
          </w:p>
        </w:tc>
        <w:tc>
          <w:tcPr>
            <w:tcW w:w="680" w:type="dxa"/>
            <w:tcBorders>
              <w:top w:val="nil"/>
              <w:left w:val="nil"/>
              <w:bottom w:val="single" w:sz="4" w:space="0" w:color="ADD6EA"/>
              <w:right w:val="nil"/>
            </w:tcBorders>
            <w:shd w:val="clear" w:color="auto" w:fill="auto"/>
            <w:vAlign w:val="bottom"/>
            <w:hideMark/>
          </w:tcPr>
          <w:p w14:paraId="59F59302"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35</w:t>
            </w:r>
          </w:p>
        </w:tc>
        <w:tc>
          <w:tcPr>
            <w:tcW w:w="680" w:type="dxa"/>
            <w:tcBorders>
              <w:top w:val="nil"/>
              <w:left w:val="nil"/>
              <w:bottom w:val="single" w:sz="4" w:space="0" w:color="ADD6EA"/>
              <w:right w:val="nil"/>
            </w:tcBorders>
            <w:shd w:val="clear" w:color="auto" w:fill="auto"/>
            <w:vAlign w:val="bottom"/>
            <w:hideMark/>
          </w:tcPr>
          <w:p w14:paraId="3D15A146"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w:t>
            </w:r>
          </w:p>
        </w:tc>
        <w:tc>
          <w:tcPr>
            <w:tcW w:w="680" w:type="dxa"/>
            <w:tcBorders>
              <w:top w:val="nil"/>
              <w:left w:val="nil"/>
              <w:bottom w:val="single" w:sz="4" w:space="0" w:color="ADD6EA"/>
              <w:right w:val="nil"/>
            </w:tcBorders>
            <w:shd w:val="clear" w:color="auto" w:fill="auto"/>
            <w:vAlign w:val="bottom"/>
            <w:hideMark/>
          </w:tcPr>
          <w:p w14:paraId="01D8C357"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10</w:t>
            </w:r>
          </w:p>
        </w:tc>
        <w:tc>
          <w:tcPr>
            <w:tcW w:w="680" w:type="dxa"/>
            <w:tcBorders>
              <w:top w:val="nil"/>
              <w:left w:val="nil"/>
              <w:bottom w:val="single" w:sz="4" w:space="0" w:color="ADD6EA"/>
              <w:right w:val="nil"/>
            </w:tcBorders>
            <w:shd w:val="clear" w:color="auto" w:fill="auto"/>
            <w:vAlign w:val="bottom"/>
            <w:hideMark/>
          </w:tcPr>
          <w:p w14:paraId="73CA89F7"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-9</w:t>
            </w:r>
          </w:p>
        </w:tc>
        <w:tc>
          <w:tcPr>
            <w:tcW w:w="760" w:type="dxa"/>
            <w:tcBorders>
              <w:top w:val="nil"/>
              <w:left w:val="nil"/>
              <w:bottom w:val="single" w:sz="4" w:space="0" w:color="ADD6EA"/>
              <w:right w:val="nil"/>
            </w:tcBorders>
            <w:shd w:val="clear" w:color="auto" w:fill="auto"/>
            <w:vAlign w:val="bottom"/>
            <w:hideMark/>
          </w:tcPr>
          <w:p w14:paraId="3C1BACC3"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229</w:t>
            </w:r>
          </w:p>
        </w:tc>
      </w:tr>
      <w:tr w:rsidR="000C0BBF" w:rsidRPr="00442A3B" w14:paraId="59462130" w14:textId="77777777" w:rsidTr="003063D4">
        <w:trPr>
          <w:trHeight w:val="315"/>
        </w:trPr>
        <w:tc>
          <w:tcPr>
            <w:tcW w:w="2700" w:type="dxa"/>
            <w:tcBorders>
              <w:top w:val="nil"/>
              <w:left w:val="nil"/>
              <w:bottom w:val="single" w:sz="4" w:space="0" w:color="ADD6EA"/>
              <w:right w:val="nil"/>
            </w:tcBorders>
            <w:shd w:val="clear" w:color="auto" w:fill="auto"/>
            <w:vAlign w:val="bottom"/>
            <w:hideMark/>
          </w:tcPr>
          <w:p w14:paraId="2C55B4EF" w14:textId="3D48F41B" w:rsidR="000C0BBF" w:rsidRPr="00442A3B" w:rsidRDefault="000C0BBF" w:rsidP="00B07615">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 xml:space="preserve">Urban </w:t>
            </w:r>
            <w:r w:rsidR="001F19B5" w:rsidRPr="00442A3B">
              <w:rPr>
                <w:rFonts w:eastAsia="Times New Roman" w:cs="Open Sans Light"/>
                <w:sz w:val="16"/>
                <w:szCs w:val="16"/>
                <w:lang w:eastAsia="en-AU"/>
              </w:rPr>
              <w:t>transport</w:t>
            </w:r>
          </w:p>
        </w:tc>
        <w:tc>
          <w:tcPr>
            <w:tcW w:w="680" w:type="dxa"/>
            <w:tcBorders>
              <w:top w:val="nil"/>
              <w:left w:val="nil"/>
              <w:bottom w:val="single" w:sz="4" w:space="0" w:color="ADD6EA"/>
              <w:right w:val="nil"/>
            </w:tcBorders>
            <w:shd w:val="clear" w:color="auto" w:fill="auto"/>
            <w:vAlign w:val="bottom"/>
            <w:hideMark/>
          </w:tcPr>
          <w:p w14:paraId="6F0B1075"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-144</w:t>
            </w:r>
          </w:p>
        </w:tc>
        <w:tc>
          <w:tcPr>
            <w:tcW w:w="680" w:type="dxa"/>
            <w:tcBorders>
              <w:top w:val="nil"/>
              <w:left w:val="nil"/>
              <w:bottom w:val="single" w:sz="4" w:space="0" w:color="ADD6EA"/>
              <w:right w:val="nil"/>
            </w:tcBorders>
            <w:shd w:val="clear" w:color="auto" w:fill="auto"/>
            <w:vAlign w:val="bottom"/>
            <w:hideMark/>
          </w:tcPr>
          <w:p w14:paraId="16835E54"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-25</w:t>
            </w:r>
          </w:p>
        </w:tc>
        <w:tc>
          <w:tcPr>
            <w:tcW w:w="680" w:type="dxa"/>
            <w:tcBorders>
              <w:top w:val="nil"/>
              <w:left w:val="nil"/>
              <w:bottom w:val="single" w:sz="4" w:space="0" w:color="ADD6EA"/>
              <w:right w:val="nil"/>
            </w:tcBorders>
            <w:shd w:val="clear" w:color="auto" w:fill="auto"/>
            <w:vAlign w:val="bottom"/>
            <w:hideMark/>
          </w:tcPr>
          <w:p w14:paraId="48C67FE0"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77</w:t>
            </w:r>
          </w:p>
        </w:tc>
        <w:tc>
          <w:tcPr>
            <w:tcW w:w="680" w:type="dxa"/>
            <w:tcBorders>
              <w:top w:val="nil"/>
              <w:left w:val="nil"/>
              <w:bottom w:val="single" w:sz="4" w:space="0" w:color="ADD6EA"/>
              <w:right w:val="nil"/>
            </w:tcBorders>
            <w:shd w:val="clear" w:color="auto" w:fill="auto"/>
            <w:vAlign w:val="bottom"/>
            <w:hideMark/>
          </w:tcPr>
          <w:p w14:paraId="02249988"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27</w:t>
            </w:r>
          </w:p>
        </w:tc>
        <w:tc>
          <w:tcPr>
            <w:tcW w:w="680" w:type="dxa"/>
            <w:tcBorders>
              <w:top w:val="nil"/>
              <w:left w:val="nil"/>
              <w:bottom w:val="single" w:sz="4" w:space="0" w:color="ADD6EA"/>
              <w:right w:val="nil"/>
            </w:tcBorders>
            <w:shd w:val="clear" w:color="auto" w:fill="auto"/>
            <w:vAlign w:val="bottom"/>
            <w:hideMark/>
          </w:tcPr>
          <w:p w14:paraId="5122B220"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27</w:t>
            </w:r>
          </w:p>
        </w:tc>
        <w:tc>
          <w:tcPr>
            <w:tcW w:w="680" w:type="dxa"/>
            <w:tcBorders>
              <w:top w:val="nil"/>
              <w:left w:val="nil"/>
              <w:bottom w:val="single" w:sz="4" w:space="0" w:color="ADD6EA"/>
              <w:right w:val="nil"/>
            </w:tcBorders>
            <w:shd w:val="clear" w:color="auto" w:fill="auto"/>
            <w:vAlign w:val="bottom"/>
            <w:hideMark/>
          </w:tcPr>
          <w:p w14:paraId="3B18468D"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22</w:t>
            </w:r>
          </w:p>
        </w:tc>
        <w:tc>
          <w:tcPr>
            <w:tcW w:w="680" w:type="dxa"/>
            <w:tcBorders>
              <w:top w:val="nil"/>
              <w:left w:val="nil"/>
              <w:bottom w:val="single" w:sz="4" w:space="0" w:color="ADD6EA"/>
              <w:right w:val="nil"/>
            </w:tcBorders>
            <w:shd w:val="clear" w:color="auto" w:fill="auto"/>
            <w:vAlign w:val="bottom"/>
            <w:hideMark/>
          </w:tcPr>
          <w:p w14:paraId="2D57604C"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7</w:t>
            </w:r>
          </w:p>
        </w:tc>
        <w:tc>
          <w:tcPr>
            <w:tcW w:w="680" w:type="dxa"/>
            <w:tcBorders>
              <w:top w:val="nil"/>
              <w:left w:val="nil"/>
              <w:bottom w:val="single" w:sz="4" w:space="0" w:color="ADD6EA"/>
              <w:right w:val="nil"/>
            </w:tcBorders>
            <w:shd w:val="clear" w:color="auto" w:fill="auto"/>
            <w:vAlign w:val="bottom"/>
            <w:hideMark/>
          </w:tcPr>
          <w:p w14:paraId="0C160B9E"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9</w:t>
            </w:r>
          </w:p>
        </w:tc>
        <w:tc>
          <w:tcPr>
            <w:tcW w:w="760" w:type="dxa"/>
            <w:tcBorders>
              <w:top w:val="nil"/>
              <w:left w:val="nil"/>
              <w:bottom w:val="single" w:sz="4" w:space="0" w:color="ADD6EA"/>
              <w:right w:val="nil"/>
            </w:tcBorders>
            <w:shd w:val="clear" w:color="auto" w:fill="auto"/>
            <w:vAlign w:val="bottom"/>
            <w:hideMark/>
          </w:tcPr>
          <w:p w14:paraId="44C8753B"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169</w:t>
            </w:r>
          </w:p>
        </w:tc>
      </w:tr>
      <w:tr w:rsidR="000C0BBF" w:rsidRPr="00442A3B" w14:paraId="022C11AC" w14:textId="77777777" w:rsidTr="003063D4">
        <w:trPr>
          <w:trHeight w:val="315"/>
        </w:trPr>
        <w:tc>
          <w:tcPr>
            <w:tcW w:w="2700" w:type="dxa"/>
            <w:tcBorders>
              <w:top w:val="nil"/>
              <w:left w:val="nil"/>
              <w:bottom w:val="single" w:sz="4" w:space="0" w:color="ADD6EA"/>
              <w:right w:val="nil"/>
            </w:tcBorders>
            <w:shd w:val="clear" w:color="auto" w:fill="auto"/>
            <w:vAlign w:val="bottom"/>
            <w:hideMark/>
          </w:tcPr>
          <w:p w14:paraId="72741696" w14:textId="77777777" w:rsidR="000C0BBF" w:rsidRPr="00442A3B" w:rsidRDefault="000C0BBF" w:rsidP="00B07615">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Wage costs</w:t>
            </w:r>
          </w:p>
        </w:tc>
        <w:tc>
          <w:tcPr>
            <w:tcW w:w="680" w:type="dxa"/>
            <w:tcBorders>
              <w:top w:val="nil"/>
              <w:left w:val="nil"/>
              <w:bottom w:val="single" w:sz="4" w:space="0" w:color="ADD6EA"/>
              <w:right w:val="nil"/>
            </w:tcBorders>
            <w:shd w:val="clear" w:color="auto" w:fill="auto"/>
            <w:vAlign w:val="bottom"/>
            <w:hideMark/>
          </w:tcPr>
          <w:p w14:paraId="6A9364C3"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109</w:t>
            </w:r>
          </w:p>
        </w:tc>
        <w:tc>
          <w:tcPr>
            <w:tcW w:w="680" w:type="dxa"/>
            <w:tcBorders>
              <w:top w:val="nil"/>
              <w:left w:val="nil"/>
              <w:bottom w:val="single" w:sz="4" w:space="0" w:color="ADD6EA"/>
              <w:right w:val="nil"/>
            </w:tcBorders>
            <w:shd w:val="clear" w:color="auto" w:fill="auto"/>
            <w:vAlign w:val="bottom"/>
            <w:hideMark/>
          </w:tcPr>
          <w:p w14:paraId="338D78D0"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-47</w:t>
            </w:r>
          </w:p>
        </w:tc>
        <w:tc>
          <w:tcPr>
            <w:tcW w:w="680" w:type="dxa"/>
            <w:tcBorders>
              <w:top w:val="nil"/>
              <w:left w:val="nil"/>
              <w:bottom w:val="single" w:sz="4" w:space="0" w:color="ADD6EA"/>
              <w:right w:val="nil"/>
            </w:tcBorders>
            <w:shd w:val="clear" w:color="auto" w:fill="auto"/>
            <w:vAlign w:val="bottom"/>
            <w:hideMark/>
          </w:tcPr>
          <w:p w14:paraId="55609396"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-33</w:t>
            </w:r>
          </w:p>
        </w:tc>
        <w:tc>
          <w:tcPr>
            <w:tcW w:w="680" w:type="dxa"/>
            <w:tcBorders>
              <w:top w:val="nil"/>
              <w:left w:val="nil"/>
              <w:bottom w:val="single" w:sz="4" w:space="0" w:color="ADD6EA"/>
              <w:right w:val="nil"/>
            </w:tcBorders>
            <w:shd w:val="clear" w:color="auto" w:fill="auto"/>
            <w:vAlign w:val="bottom"/>
            <w:hideMark/>
          </w:tcPr>
          <w:p w14:paraId="750ABB07"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52</w:t>
            </w:r>
          </w:p>
        </w:tc>
        <w:tc>
          <w:tcPr>
            <w:tcW w:w="680" w:type="dxa"/>
            <w:tcBorders>
              <w:top w:val="nil"/>
              <w:left w:val="nil"/>
              <w:bottom w:val="single" w:sz="4" w:space="0" w:color="ADD6EA"/>
              <w:right w:val="nil"/>
            </w:tcBorders>
            <w:shd w:val="clear" w:color="auto" w:fill="auto"/>
            <w:vAlign w:val="bottom"/>
            <w:hideMark/>
          </w:tcPr>
          <w:p w14:paraId="37B5FE12"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-62</w:t>
            </w:r>
          </w:p>
        </w:tc>
        <w:tc>
          <w:tcPr>
            <w:tcW w:w="680" w:type="dxa"/>
            <w:tcBorders>
              <w:top w:val="nil"/>
              <w:left w:val="nil"/>
              <w:bottom w:val="single" w:sz="4" w:space="0" w:color="ADD6EA"/>
              <w:right w:val="nil"/>
            </w:tcBorders>
            <w:shd w:val="clear" w:color="auto" w:fill="auto"/>
            <w:vAlign w:val="bottom"/>
            <w:hideMark/>
          </w:tcPr>
          <w:p w14:paraId="5BE0BC33"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-18</w:t>
            </w:r>
          </w:p>
        </w:tc>
        <w:tc>
          <w:tcPr>
            <w:tcW w:w="680" w:type="dxa"/>
            <w:tcBorders>
              <w:top w:val="nil"/>
              <w:left w:val="nil"/>
              <w:bottom w:val="single" w:sz="4" w:space="0" w:color="ADD6EA"/>
              <w:right w:val="nil"/>
            </w:tcBorders>
            <w:shd w:val="clear" w:color="auto" w:fill="auto"/>
            <w:vAlign w:val="bottom"/>
            <w:hideMark/>
          </w:tcPr>
          <w:p w14:paraId="57A0CB31"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w:t>
            </w:r>
          </w:p>
        </w:tc>
        <w:tc>
          <w:tcPr>
            <w:tcW w:w="680" w:type="dxa"/>
            <w:tcBorders>
              <w:top w:val="nil"/>
              <w:left w:val="nil"/>
              <w:bottom w:val="single" w:sz="4" w:space="0" w:color="ADD6EA"/>
              <w:right w:val="nil"/>
            </w:tcBorders>
            <w:shd w:val="clear" w:color="auto" w:fill="auto"/>
            <w:vAlign w:val="bottom"/>
            <w:hideMark/>
          </w:tcPr>
          <w:p w14:paraId="4E9FE866"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67A36379"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161</w:t>
            </w:r>
          </w:p>
        </w:tc>
      </w:tr>
      <w:tr w:rsidR="000C0BBF" w:rsidRPr="00442A3B" w14:paraId="1982C17C" w14:textId="77777777" w:rsidTr="003063D4">
        <w:trPr>
          <w:trHeight w:val="315"/>
        </w:trPr>
        <w:tc>
          <w:tcPr>
            <w:tcW w:w="2700" w:type="dxa"/>
            <w:tcBorders>
              <w:top w:val="nil"/>
              <w:left w:val="nil"/>
              <w:bottom w:val="single" w:sz="4" w:space="0" w:color="ADD6EA"/>
              <w:right w:val="nil"/>
            </w:tcBorders>
            <w:shd w:val="clear" w:color="auto" w:fill="auto"/>
            <w:vAlign w:val="bottom"/>
            <w:hideMark/>
          </w:tcPr>
          <w:p w14:paraId="6FAE987F" w14:textId="77777777" w:rsidR="000C0BBF" w:rsidRPr="00442A3B" w:rsidRDefault="000C0BBF" w:rsidP="00B07615">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Other revisions</w:t>
            </w:r>
          </w:p>
        </w:tc>
        <w:tc>
          <w:tcPr>
            <w:tcW w:w="680" w:type="dxa"/>
            <w:tcBorders>
              <w:top w:val="nil"/>
              <w:left w:val="nil"/>
              <w:bottom w:val="single" w:sz="4" w:space="0" w:color="ADD6EA"/>
              <w:right w:val="nil"/>
            </w:tcBorders>
            <w:shd w:val="clear" w:color="auto" w:fill="auto"/>
            <w:vAlign w:val="bottom"/>
            <w:hideMark/>
          </w:tcPr>
          <w:p w14:paraId="181D3601"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13</w:t>
            </w:r>
          </w:p>
        </w:tc>
        <w:tc>
          <w:tcPr>
            <w:tcW w:w="680" w:type="dxa"/>
            <w:tcBorders>
              <w:top w:val="nil"/>
              <w:left w:val="nil"/>
              <w:bottom w:val="single" w:sz="4" w:space="0" w:color="ADD6EA"/>
              <w:right w:val="nil"/>
            </w:tcBorders>
            <w:shd w:val="clear" w:color="auto" w:fill="auto"/>
            <w:vAlign w:val="bottom"/>
            <w:hideMark/>
          </w:tcPr>
          <w:p w14:paraId="33AD8421"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-25</w:t>
            </w:r>
          </w:p>
        </w:tc>
        <w:tc>
          <w:tcPr>
            <w:tcW w:w="680" w:type="dxa"/>
            <w:tcBorders>
              <w:top w:val="nil"/>
              <w:left w:val="nil"/>
              <w:bottom w:val="single" w:sz="4" w:space="0" w:color="ADD6EA"/>
              <w:right w:val="nil"/>
            </w:tcBorders>
            <w:shd w:val="clear" w:color="auto" w:fill="auto"/>
            <w:vAlign w:val="bottom"/>
            <w:hideMark/>
          </w:tcPr>
          <w:p w14:paraId="22B2AF92"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11</w:t>
            </w:r>
          </w:p>
        </w:tc>
        <w:tc>
          <w:tcPr>
            <w:tcW w:w="680" w:type="dxa"/>
            <w:tcBorders>
              <w:top w:val="nil"/>
              <w:left w:val="nil"/>
              <w:bottom w:val="single" w:sz="4" w:space="0" w:color="ADD6EA"/>
              <w:right w:val="nil"/>
            </w:tcBorders>
            <w:shd w:val="clear" w:color="auto" w:fill="auto"/>
            <w:vAlign w:val="bottom"/>
            <w:hideMark/>
          </w:tcPr>
          <w:p w14:paraId="3C0635C0"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24</w:t>
            </w:r>
          </w:p>
        </w:tc>
        <w:tc>
          <w:tcPr>
            <w:tcW w:w="680" w:type="dxa"/>
            <w:tcBorders>
              <w:top w:val="nil"/>
              <w:left w:val="nil"/>
              <w:bottom w:val="single" w:sz="4" w:space="0" w:color="ADD6EA"/>
              <w:right w:val="nil"/>
            </w:tcBorders>
            <w:shd w:val="clear" w:color="auto" w:fill="auto"/>
            <w:vAlign w:val="bottom"/>
            <w:hideMark/>
          </w:tcPr>
          <w:p w14:paraId="5548EC0D"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w:t>
            </w:r>
          </w:p>
        </w:tc>
        <w:tc>
          <w:tcPr>
            <w:tcW w:w="680" w:type="dxa"/>
            <w:tcBorders>
              <w:top w:val="nil"/>
              <w:left w:val="nil"/>
              <w:bottom w:val="single" w:sz="4" w:space="0" w:color="ADD6EA"/>
              <w:right w:val="nil"/>
            </w:tcBorders>
            <w:shd w:val="clear" w:color="auto" w:fill="auto"/>
            <w:vAlign w:val="bottom"/>
            <w:hideMark/>
          </w:tcPr>
          <w:p w14:paraId="69949EBD"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9</w:t>
            </w:r>
          </w:p>
        </w:tc>
        <w:tc>
          <w:tcPr>
            <w:tcW w:w="680" w:type="dxa"/>
            <w:tcBorders>
              <w:top w:val="nil"/>
              <w:left w:val="nil"/>
              <w:bottom w:val="single" w:sz="4" w:space="0" w:color="ADD6EA"/>
              <w:right w:val="nil"/>
            </w:tcBorders>
            <w:shd w:val="clear" w:color="auto" w:fill="auto"/>
            <w:vAlign w:val="bottom"/>
            <w:hideMark/>
          </w:tcPr>
          <w:p w14:paraId="059AA7B5"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w:t>
            </w:r>
          </w:p>
        </w:tc>
        <w:tc>
          <w:tcPr>
            <w:tcW w:w="680" w:type="dxa"/>
            <w:tcBorders>
              <w:top w:val="nil"/>
              <w:left w:val="nil"/>
              <w:bottom w:val="single" w:sz="4" w:space="0" w:color="ADD6EA"/>
              <w:right w:val="nil"/>
            </w:tcBorders>
            <w:shd w:val="clear" w:color="auto" w:fill="auto"/>
            <w:vAlign w:val="bottom"/>
            <w:hideMark/>
          </w:tcPr>
          <w:p w14:paraId="19208593"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-33</w:t>
            </w:r>
          </w:p>
        </w:tc>
        <w:tc>
          <w:tcPr>
            <w:tcW w:w="760" w:type="dxa"/>
            <w:tcBorders>
              <w:top w:val="nil"/>
              <w:left w:val="nil"/>
              <w:bottom w:val="single" w:sz="4" w:space="0" w:color="ADD6EA"/>
              <w:right w:val="nil"/>
            </w:tcBorders>
            <w:shd w:val="clear" w:color="auto" w:fill="auto"/>
            <w:vAlign w:val="bottom"/>
            <w:hideMark/>
          </w:tcPr>
          <w:p w14:paraId="0FB1226F" w14:textId="77777777" w:rsidR="000C0BBF" w:rsidRPr="00442A3B" w:rsidRDefault="000C0BBF" w:rsidP="00B07615">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61</w:t>
            </w:r>
          </w:p>
        </w:tc>
      </w:tr>
      <w:tr w:rsidR="000C0BBF" w:rsidRPr="00442A3B" w14:paraId="5886D830" w14:textId="77777777" w:rsidTr="003063D4">
        <w:trPr>
          <w:trHeight w:val="315"/>
        </w:trPr>
        <w:tc>
          <w:tcPr>
            <w:tcW w:w="2700" w:type="dxa"/>
            <w:tcBorders>
              <w:top w:val="nil"/>
              <w:left w:val="nil"/>
              <w:bottom w:val="single" w:sz="4" w:space="0" w:color="ADD6EA"/>
              <w:right w:val="nil"/>
            </w:tcBorders>
            <w:shd w:val="clear" w:color="000000" w:fill="D6E7F0"/>
            <w:vAlign w:val="bottom"/>
            <w:hideMark/>
          </w:tcPr>
          <w:p w14:paraId="48457EA0" w14:textId="77777777" w:rsidR="000C0BBF" w:rsidRPr="00442A3B" w:rsidRDefault="000C0BBF" w:rsidP="00B07615">
            <w:pPr>
              <w:keepNext/>
              <w:keepLines/>
              <w:tabs>
                <w:tab w:val="clear" w:pos="567"/>
              </w:tabs>
              <w:spacing w:before="0" w:line="240" w:lineRule="auto"/>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Total</w:t>
            </w:r>
          </w:p>
        </w:tc>
        <w:tc>
          <w:tcPr>
            <w:tcW w:w="680" w:type="dxa"/>
            <w:tcBorders>
              <w:top w:val="nil"/>
              <w:left w:val="nil"/>
              <w:bottom w:val="single" w:sz="4" w:space="0" w:color="ADD6EA"/>
              <w:right w:val="nil"/>
            </w:tcBorders>
            <w:shd w:val="clear" w:color="000000" w:fill="D6E7F0"/>
            <w:vAlign w:val="bottom"/>
            <w:hideMark/>
          </w:tcPr>
          <w:p w14:paraId="2D178C07" w14:textId="77777777" w:rsidR="000C0BBF" w:rsidRPr="00442A3B" w:rsidRDefault="000C0BBF" w:rsidP="00B07615">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269</w:t>
            </w:r>
          </w:p>
        </w:tc>
        <w:tc>
          <w:tcPr>
            <w:tcW w:w="680" w:type="dxa"/>
            <w:tcBorders>
              <w:top w:val="nil"/>
              <w:left w:val="nil"/>
              <w:bottom w:val="single" w:sz="4" w:space="0" w:color="ADD6EA"/>
              <w:right w:val="nil"/>
            </w:tcBorders>
            <w:shd w:val="clear" w:color="000000" w:fill="D6E7F0"/>
            <w:vAlign w:val="bottom"/>
            <w:hideMark/>
          </w:tcPr>
          <w:p w14:paraId="7B63C274" w14:textId="77777777" w:rsidR="000C0BBF" w:rsidRPr="00442A3B" w:rsidRDefault="000C0BBF" w:rsidP="00B07615">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-184</w:t>
            </w:r>
          </w:p>
        </w:tc>
        <w:tc>
          <w:tcPr>
            <w:tcW w:w="680" w:type="dxa"/>
            <w:tcBorders>
              <w:top w:val="nil"/>
              <w:left w:val="nil"/>
              <w:bottom w:val="single" w:sz="4" w:space="0" w:color="ADD6EA"/>
              <w:right w:val="nil"/>
            </w:tcBorders>
            <w:shd w:val="clear" w:color="000000" w:fill="D6E7F0"/>
            <w:vAlign w:val="bottom"/>
            <w:hideMark/>
          </w:tcPr>
          <w:p w14:paraId="3D27DB25" w14:textId="77777777" w:rsidR="000C0BBF" w:rsidRPr="00442A3B" w:rsidRDefault="000C0BBF" w:rsidP="00B07615">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-129</w:t>
            </w:r>
          </w:p>
        </w:tc>
        <w:tc>
          <w:tcPr>
            <w:tcW w:w="680" w:type="dxa"/>
            <w:tcBorders>
              <w:top w:val="nil"/>
              <w:left w:val="nil"/>
              <w:bottom w:val="single" w:sz="4" w:space="0" w:color="ADD6EA"/>
              <w:right w:val="nil"/>
            </w:tcBorders>
            <w:shd w:val="clear" w:color="000000" w:fill="D6E7F0"/>
            <w:vAlign w:val="bottom"/>
            <w:hideMark/>
          </w:tcPr>
          <w:p w14:paraId="3D0EEFC9" w14:textId="77777777" w:rsidR="000C0BBF" w:rsidRPr="00442A3B" w:rsidRDefault="000C0BBF" w:rsidP="00B07615">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11</w:t>
            </w:r>
          </w:p>
        </w:tc>
        <w:tc>
          <w:tcPr>
            <w:tcW w:w="680" w:type="dxa"/>
            <w:tcBorders>
              <w:top w:val="nil"/>
              <w:left w:val="nil"/>
              <w:bottom w:val="single" w:sz="4" w:space="0" w:color="ADD6EA"/>
              <w:right w:val="nil"/>
            </w:tcBorders>
            <w:shd w:val="clear" w:color="000000" w:fill="D6E7F0"/>
            <w:vAlign w:val="bottom"/>
            <w:hideMark/>
          </w:tcPr>
          <w:p w14:paraId="0111C798" w14:textId="77777777" w:rsidR="000C0BBF" w:rsidRPr="00442A3B" w:rsidRDefault="000C0BBF" w:rsidP="00B07615">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25</w:t>
            </w:r>
          </w:p>
        </w:tc>
        <w:tc>
          <w:tcPr>
            <w:tcW w:w="680" w:type="dxa"/>
            <w:tcBorders>
              <w:top w:val="nil"/>
              <w:left w:val="nil"/>
              <w:bottom w:val="single" w:sz="4" w:space="0" w:color="ADD6EA"/>
              <w:right w:val="nil"/>
            </w:tcBorders>
            <w:shd w:val="clear" w:color="000000" w:fill="D6E7F0"/>
            <w:vAlign w:val="bottom"/>
            <w:hideMark/>
          </w:tcPr>
          <w:p w14:paraId="2222AFF8" w14:textId="77777777" w:rsidR="000C0BBF" w:rsidRPr="00442A3B" w:rsidRDefault="000C0BBF" w:rsidP="00B07615">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11</w:t>
            </w:r>
          </w:p>
        </w:tc>
        <w:tc>
          <w:tcPr>
            <w:tcW w:w="680" w:type="dxa"/>
            <w:tcBorders>
              <w:top w:val="nil"/>
              <w:left w:val="nil"/>
              <w:bottom w:val="single" w:sz="4" w:space="0" w:color="ADD6EA"/>
              <w:right w:val="nil"/>
            </w:tcBorders>
            <w:shd w:val="clear" w:color="000000" w:fill="D6E7F0"/>
            <w:vAlign w:val="bottom"/>
            <w:hideMark/>
          </w:tcPr>
          <w:p w14:paraId="27C574D8" w14:textId="77777777" w:rsidR="000C0BBF" w:rsidRPr="00442A3B" w:rsidRDefault="000C0BBF" w:rsidP="00B07615">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40</w:t>
            </w:r>
          </w:p>
        </w:tc>
        <w:tc>
          <w:tcPr>
            <w:tcW w:w="680" w:type="dxa"/>
            <w:tcBorders>
              <w:top w:val="nil"/>
              <w:left w:val="nil"/>
              <w:bottom w:val="single" w:sz="4" w:space="0" w:color="ADD6EA"/>
              <w:right w:val="nil"/>
            </w:tcBorders>
            <w:shd w:val="clear" w:color="000000" w:fill="D6E7F0"/>
            <w:vAlign w:val="bottom"/>
            <w:hideMark/>
          </w:tcPr>
          <w:p w14:paraId="5D2046D7" w14:textId="77777777" w:rsidR="000C0BBF" w:rsidRPr="00442A3B" w:rsidRDefault="000C0BBF" w:rsidP="00B07615">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-43</w:t>
            </w:r>
          </w:p>
        </w:tc>
        <w:tc>
          <w:tcPr>
            <w:tcW w:w="760" w:type="dxa"/>
            <w:tcBorders>
              <w:top w:val="nil"/>
              <w:left w:val="nil"/>
              <w:bottom w:val="single" w:sz="4" w:space="0" w:color="ADD6EA"/>
              <w:right w:val="nil"/>
            </w:tcBorders>
            <w:shd w:val="clear" w:color="000000" w:fill="D6E7F0"/>
            <w:vAlign w:val="bottom"/>
            <w:hideMark/>
          </w:tcPr>
          <w:p w14:paraId="3A4A896C" w14:textId="77777777" w:rsidR="000C0BBF" w:rsidRPr="00442A3B" w:rsidRDefault="000C0BBF" w:rsidP="00B07615">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356</w:t>
            </w:r>
          </w:p>
        </w:tc>
      </w:tr>
    </w:tbl>
    <w:p w14:paraId="3E3EE413" w14:textId="22C543C7" w:rsidR="00165998" w:rsidRPr="00442A3B" w:rsidRDefault="00165998" w:rsidP="00B07615">
      <w:pPr>
        <w:pStyle w:val="CGCTablenote"/>
        <w:keepNext/>
        <w:keepLines/>
        <w:spacing w:before="0"/>
      </w:pPr>
      <w:r w:rsidRPr="00442A3B">
        <w:t>Source:</w:t>
      </w:r>
      <w:r w:rsidRPr="00442A3B">
        <w:tab/>
        <w:t>Commission calculation.</w:t>
      </w:r>
    </w:p>
    <w:p w14:paraId="5B3AAC7A" w14:textId="62A01AEF" w:rsidR="009143DF" w:rsidRPr="00442A3B" w:rsidRDefault="009143DF" w:rsidP="00165998">
      <w:pPr>
        <w:pStyle w:val="Heading5"/>
      </w:pPr>
      <w:r w:rsidRPr="00442A3B">
        <w:t>Taxable payrolls</w:t>
      </w:r>
    </w:p>
    <w:p w14:paraId="7BD98724" w14:textId="51F0CA3E" w:rsidR="009143DF" w:rsidRPr="00442A3B" w:rsidRDefault="78200ADB" w:rsidP="000361EA">
      <w:pPr>
        <w:pStyle w:val="CGCParaNumber"/>
        <w:ind w:left="567" w:hanging="567"/>
      </w:pPr>
      <w:r w:rsidRPr="00442A3B">
        <w:rPr>
          <w:rFonts w:eastAsia="Open Sans Light" w:cs="Open Sans Light"/>
        </w:rPr>
        <w:t xml:space="preserve">The </w:t>
      </w:r>
      <w:r w:rsidR="005B4E6E" w:rsidRPr="00442A3B">
        <w:t>Australian</w:t>
      </w:r>
      <w:r w:rsidR="005B4E6E" w:rsidRPr="00442A3B">
        <w:rPr>
          <w:rFonts w:eastAsia="Open Sans Light" w:cs="Open Sans Light"/>
        </w:rPr>
        <w:t xml:space="preserve"> Bureau of Statistics</w:t>
      </w:r>
      <w:r w:rsidRPr="00442A3B">
        <w:rPr>
          <w:rFonts w:eastAsia="Open Sans Light" w:cs="Open Sans Light"/>
        </w:rPr>
        <w:t xml:space="preserve"> </w:t>
      </w:r>
      <w:r w:rsidR="005B4E6E" w:rsidRPr="00442A3B">
        <w:rPr>
          <w:rFonts w:eastAsia="Open Sans Light" w:cs="Open Sans Light"/>
        </w:rPr>
        <w:t xml:space="preserve">(ABS) </w:t>
      </w:r>
      <w:r w:rsidR="00A7449C" w:rsidRPr="00442A3B">
        <w:rPr>
          <w:rFonts w:eastAsia="Open Sans Light" w:cs="Open Sans Light"/>
        </w:rPr>
        <w:t xml:space="preserve">revised its </w:t>
      </w:r>
      <w:r w:rsidRPr="00442A3B">
        <w:rPr>
          <w:rFonts w:eastAsia="Open Sans Light" w:cs="Open Sans Light"/>
        </w:rPr>
        <w:t>Compensation of Employees data</w:t>
      </w:r>
      <w:r w:rsidR="00A7449C" w:rsidRPr="00442A3B">
        <w:rPr>
          <w:rFonts w:eastAsia="Open Sans Light" w:cs="Open Sans Light"/>
        </w:rPr>
        <w:t>, which are used by the Commission to</w:t>
      </w:r>
      <w:r w:rsidRPr="00442A3B">
        <w:rPr>
          <w:rFonts w:eastAsia="Open Sans Light" w:cs="Open Sans Light"/>
        </w:rPr>
        <w:t xml:space="preserve"> measure States’ payroll tax capacit</w:t>
      </w:r>
      <w:r w:rsidR="0056027C" w:rsidRPr="00442A3B">
        <w:rPr>
          <w:rFonts w:eastAsia="Open Sans Light" w:cs="Open Sans Light"/>
        </w:rPr>
        <w:t>ies</w:t>
      </w:r>
      <w:r w:rsidRPr="00442A3B">
        <w:rPr>
          <w:rFonts w:eastAsia="Open Sans Light" w:cs="Open Sans Light"/>
        </w:rPr>
        <w:t xml:space="preserve">. </w:t>
      </w:r>
    </w:p>
    <w:p w14:paraId="59A6A623" w14:textId="3FB8BC9E" w:rsidR="009143DF" w:rsidRPr="00442A3B" w:rsidRDefault="78200ADB" w:rsidP="000361EA">
      <w:pPr>
        <w:pStyle w:val="CGCParaNumber"/>
        <w:ind w:left="567" w:hanging="567"/>
      </w:pPr>
      <w:r w:rsidRPr="00442A3B">
        <w:rPr>
          <w:rFonts w:eastAsia="Open Sans Light" w:cs="Open Sans Light"/>
        </w:rPr>
        <w:t xml:space="preserve">The </w:t>
      </w:r>
      <w:r w:rsidR="00A7449C" w:rsidRPr="00442A3B">
        <w:t>largest</w:t>
      </w:r>
      <w:r w:rsidRPr="00442A3B">
        <w:rPr>
          <w:rFonts w:eastAsia="Open Sans Light" w:cs="Open Sans Light"/>
        </w:rPr>
        <w:t xml:space="preserve"> revisions were to the data for New South Wales and Victoria. </w:t>
      </w:r>
      <w:r w:rsidR="00E15B2A" w:rsidRPr="00442A3B">
        <w:rPr>
          <w:rFonts w:eastAsia="Open Sans Light" w:cs="Open Sans Light"/>
        </w:rPr>
        <w:t>R</w:t>
      </w:r>
      <w:r w:rsidR="30336C3F" w:rsidRPr="00442A3B">
        <w:rPr>
          <w:rFonts w:eastAsia="Open Sans Light" w:cs="Open Sans Light"/>
        </w:rPr>
        <w:t xml:space="preserve">evisions reduced </w:t>
      </w:r>
      <w:r w:rsidRPr="00442A3B">
        <w:rPr>
          <w:rFonts w:eastAsia="Open Sans Light" w:cs="Open Sans Light"/>
        </w:rPr>
        <w:t xml:space="preserve">the revenue capacities of New South Wales, South Australia and the ACT, which increased their GST shares. </w:t>
      </w:r>
      <w:r w:rsidR="0036301B" w:rsidRPr="00442A3B">
        <w:rPr>
          <w:rFonts w:eastAsia="Open Sans Light" w:cs="Open Sans Light"/>
        </w:rPr>
        <w:t>R</w:t>
      </w:r>
      <w:r w:rsidRPr="00442A3B">
        <w:rPr>
          <w:rFonts w:eastAsia="Open Sans Light" w:cs="Open Sans Light"/>
        </w:rPr>
        <w:t>evisions increased the revenue capacity of other States</w:t>
      </w:r>
      <w:r w:rsidR="0036301B" w:rsidRPr="00442A3B">
        <w:rPr>
          <w:rFonts w:eastAsia="Open Sans Light" w:cs="Open Sans Light"/>
        </w:rPr>
        <w:t>,</w:t>
      </w:r>
      <w:r w:rsidRPr="00442A3B">
        <w:rPr>
          <w:rFonts w:eastAsia="Open Sans Light" w:cs="Open Sans Light"/>
        </w:rPr>
        <w:t xml:space="preserve"> reduc</w:t>
      </w:r>
      <w:r w:rsidR="0036301B" w:rsidRPr="00442A3B">
        <w:rPr>
          <w:rFonts w:eastAsia="Open Sans Light" w:cs="Open Sans Light"/>
        </w:rPr>
        <w:t>ing</w:t>
      </w:r>
      <w:r w:rsidRPr="00442A3B">
        <w:rPr>
          <w:rFonts w:eastAsia="Open Sans Light" w:cs="Open Sans Light"/>
        </w:rPr>
        <w:t xml:space="preserve"> their GST shares</w:t>
      </w:r>
      <w:r w:rsidR="0F01ACB6" w:rsidRPr="00442A3B">
        <w:rPr>
          <w:rFonts w:eastAsia="Open Sans Light" w:cs="Open Sans Light"/>
        </w:rPr>
        <w:t>.</w:t>
      </w:r>
    </w:p>
    <w:p w14:paraId="0DC07942" w14:textId="74F7989D" w:rsidR="00165998" w:rsidRPr="00442A3B" w:rsidRDefault="00165998" w:rsidP="00165998">
      <w:pPr>
        <w:pStyle w:val="Heading5"/>
      </w:pPr>
      <w:r w:rsidRPr="00442A3B">
        <w:t>Natural disaster relief</w:t>
      </w:r>
    </w:p>
    <w:p w14:paraId="06B6DD1A" w14:textId="78B5083D" w:rsidR="00636504" w:rsidRPr="00442A3B" w:rsidRDefault="00636504" w:rsidP="00636504">
      <w:pPr>
        <w:pStyle w:val="CGCParaNumber"/>
        <w:ind w:left="567" w:hanging="567"/>
      </w:pPr>
      <w:r w:rsidRPr="00442A3B">
        <w:t xml:space="preserve">The large revisions in the natural disaster relief assessment can be attributed mostly to the removal of a one-off adjustment to State expenses </w:t>
      </w:r>
      <w:r w:rsidR="000E6354" w:rsidRPr="00442A3B">
        <w:t>that was made</w:t>
      </w:r>
      <w:r w:rsidRPr="00442A3B">
        <w:t xml:space="preserve"> in the </w:t>
      </w:r>
      <w:r w:rsidR="005909B1" w:rsidRPr="00442A3B">
        <w:t>2020 Review</w:t>
      </w:r>
      <w:r w:rsidRPr="00442A3B">
        <w:t>.</w:t>
      </w:r>
    </w:p>
    <w:p w14:paraId="42BC0185" w14:textId="3859F409" w:rsidR="008A28EE" w:rsidRPr="00442A3B" w:rsidRDefault="00636504" w:rsidP="00636504">
      <w:pPr>
        <w:pStyle w:val="CGCParaNumber"/>
        <w:ind w:left="567" w:hanging="567"/>
      </w:pPr>
      <w:r w:rsidRPr="00442A3B">
        <w:t xml:space="preserve">Information provided to the Commission during the </w:t>
      </w:r>
      <w:r w:rsidR="005909B1" w:rsidRPr="00442A3B">
        <w:t>2020 Review</w:t>
      </w:r>
      <w:r w:rsidRPr="00442A3B">
        <w:t xml:space="preserve"> showed all States provide support to local governments to meet the costs of natural disaster recovery. The Commission therefore decided that local government expenses for natural disaster relief should continue to be included in the assessment and these expenses were added to all </w:t>
      </w:r>
      <w:r w:rsidR="005E563D" w:rsidRPr="00442A3B">
        <w:t>3</w:t>
      </w:r>
      <w:r w:rsidRPr="00442A3B">
        <w:t xml:space="preserve"> assessment years for the </w:t>
      </w:r>
      <w:r w:rsidR="005909B1" w:rsidRPr="00442A3B">
        <w:t>2020 Review</w:t>
      </w:r>
      <w:r w:rsidRPr="00442A3B">
        <w:t>.</w:t>
      </w:r>
      <w:r w:rsidRPr="00442A3B">
        <w:rPr>
          <w:vertAlign w:val="superscript"/>
        </w:rPr>
        <w:footnoteReference w:id="15"/>
      </w:r>
      <w:r w:rsidRPr="00442A3B">
        <w:t xml:space="preserve"> However, incomplete information received by the Commission for the </w:t>
      </w:r>
      <w:r w:rsidR="005909B1" w:rsidRPr="00442A3B">
        <w:t>2019 Update</w:t>
      </w:r>
      <w:r w:rsidRPr="00442A3B">
        <w:t xml:space="preserve"> </w:t>
      </w:r>
      <w:r w:rsidR="00E075C5" w:rsidRPr="00442A3B">
        <w:t xml:space="preserve">had </w:t>
      </w:r>
      <w:r w:rsidRPr="00442A3B">
        <w:t xml:space="preserve">led to some expenses not being included in the Commission’s assessment. Therefore, a one-off extra $1.8 billion, equivalent to the amount States spent on local government natural disaster expenses during the assessment years for the </w:t>
      </w:r>
      <w:r w:rsidR="005909B1" w:rsidRPr="00442A3B">
        <w:t>2019 Update</w:t>
      </w:r>
      <w:r w:rsidRPr="00442A3B">
        <w:t xml:space="preserve">, was added to State natural disaster expenses in the </w:t>
      </w:r>
      <w:r w:rsidR="005909B1" w:rsidRPr="00442A3B">
        <w:t>2020 Review</w:t>
      </w:r>
      <w:r w:rsidRPr="00442A3B">
        <w:t xml:space="preserve">, to correct for the exclusion of these expenses in the </w:t>
      </w:r>
      <w:r w:rsidR="005909B1" w:rsidRPr="00442A3B">
        <w:t>2019 Update</w:t>
      </w:r>
      <w:r w:rsidRPr="00442A3B">
        <w:t xml:space="preserve">. </w:t>
      </w:r>
    </w:p>
    <w:p w14:paraId="304CE78B" w14:textId="0139463B" w:rsidR="00636504" w:rsidRPr="00442A3B" w:rsidRDefault="00636504" w:rsidP="00636504">
      <w:pPr>
        <w:pStyle w:val="CGCParaNumber"/>
        <w:ind w:left="567" w:hanging="567"/>
      </w:pPr>
      <w:r w:rsidRPr="00442A3B">
        <w:t>This adjustment redistributed GST in 2020</w:t>
      </w:r>
      <w:r w:rsidRPr="00442A3B">
        <w:noBreakHyphen/>
        <w:t>21 to the States with the largest local government expenses on natural disasters during 2015-16 to 2017</w:t>
      </w:r>
      <w:r w:rsidRPr="00442A3B">
        <w:noBreakHyphen/>
        <w:t>18, namely Queensland, Western</w:t>
      </w:r>
      <w:r w:rsidR="0035391E">
        <w:t> </w:t>
      </w:r>
      <w:r w:rsidRPr="00442A3B">
        <w:t>Australia and the Northern Territory.</w:t>
      </w:r>
    </w:p>
    <w:p w14:paraId="115B82B6" w14:textId="3223F886" w:rsidR="00636504" w:rsidRPr="00442A3B" w:rsidRDefault="00636504" w:rsidP="00B33810">
      <w:pPr>
        <w:pStyle w:val="CGCParaNumber"/>
        <w:widowControl w:val="0"/>
        <w:ind w:left="567" w:hanging="567"/>
      </w:pPr>
      <w:r w:rsidRPr="00442A3B">
        <w:t xml:space="preserve">For the </w:t>
      </w:r>
      <w:r w:rsidR="005909B1" w:rsidRPr="00442A3B">
        <w:t>2021 Update</w:t>
      </w:r>
      <w:r w:rsidRPr="00442A3B">
        <w:t xml:space="preserve">, actual State contributions to local government natural disaster relief expenses </w:t>
      </w:r>
      <w:r w:rsidR="00DA52AE" w:rsidRPr="00442A3B">
        <w:t>we</w:t>
      </w:r>
      <w:r w:rsidR="00271F0F" w:rsidRPr="00442A3B">
        <w:t>re</w:t>
      </w:r>
      <w:r w:rsidRPr="00442A3B">
        <w:t xml:space="preserve"> included in all assessment years. </w:t>
      </w:r>
      <w:r w:rsidR="00271F0F" w:rsidRPr="00442A3B">
        <w:t>Consequently</w:t>
      </w:r>
      <w:r w:rsidRPr="00442A3B">
        <w:t xml:space="preserve">, the previous one-off $1.8 billion adjustment to natural disaster expenses was removed. The effect of removing the one-off adjustment is shown as a data revision that has, along with other State data revisions and the change to the data used for concessional loans discussed in </w:t>
      </w:r>
      <w:r w:rsidR="00B33810" w:rsidRPr="00442A3B">
        <w:t>Chapter</w:t>
      </w:r>
      <w:r w:rsidRPr="00442A3B">
        <w:t xml:space="preserve"> 4, redistributed $229 million to New South Wales, Victoria, South Australia, Tasmania and the ACT, and away from other States.</w:t>
      </w:r>
    </w:p>
    <w:p w14:paraId="7BCCC697" w14:textId="77777777" w:rsidR="006A4CCC" w:rsidRPr="00442A3B" w:rsidRDefault="006A4CCC" w:rsidP="006A4CCC">
      <w:pPr>
        <w:pStyle w:val="Heading5"/>
      </w:pPr>
      <w:r w:rsidRPr="00442A3B">
        <w:lastRenderedPageBreak/>
        <w:t>Urban transport</w:t>
      </w:r>
    </w:p>
    <w:p w14:paraId="66DC9FE2" w14:textId="54E7DE4C" w:rsidR="00DB409E" w:rsidRPr="00442A3B" w:rsidRDefault="006A4CCC" w:rsidP="000361EA">
      <w:pPr>
        <w:pStyle w:val="CGCParaNumber"/>
        <w:ind w:left="567" w:hanging="567"/>
      </w:pPr>
      <w:r w:rsidRPr="00442A3B">
        <w:t xml:space="preserve">A review of </w:t>
      </w:r>
      <w:r w:rsidR="008A1FB2" w:rsidRPr="00442A3B">
        <w:t xml:space="preserve">data for </w:t>
      </w:r>
      <w:r w:rsidRPr="00442A3B">
        <w:t>consolidated expenses and user charges for urban transport has resulted in more reliable estimates.</w:t>
      </w:r>
      <w:r w:rsidR="000B481E" w:rsidRPr="00442A3B">
        <w:t xml:space="preserve"> </w:t>
      </w:r>
      <w:r w:rsidR="00DB409E" w:rsidRPr="00442A3B">
        <w:t xml:space="preserve">This is discussed further in </w:t>
      </w:r>
      <w:r w:rsidR="00B33810" w:rsidRPr="00442A3B">
        <w:t>Chapter</w:t>
      </w:r>
      <w:r w:rsidR="00DB409E" w:rsidRPr="00442A3B">
        <w:t xml:space="preserve"> 4.</w:t>
      </w:r>
    </w:p>
    <w:p w14:paraId="79EB8BAF" w14:textId="11A5DC72" w:rsidR="006A4CCC" w:rsidRPr="00442A3B" w:rsidRDefault="00DB409E" w:rsidP="000361EA">
      <w:pPr>
        <w:pStyle w:val="CGCParaNumber"/>
        <w:ind w:left="567" w:hanging="567"/>
      </w:pPr>
      <w:r w:rsidRPr="00442A3B">
        <w:t xml:space="preserve">Net expenses </w:t>
      </w:r>
      <w:r w:rsidR="00012084" w:rsidRPr="00442A3B">
        <w:t xml:space="preserve">on urban transport </w:t>
      </w:r>
      <w:r w:rsidRPr="00442A3B">
        <w:t>were revised dow</w:t>
      </w:r>
      <w:r w:rsidR="00012084" w:rsidRPr="00442A3B">
        <w:t xml:space="preserve">n, which redistributed GST away from </w:t>
      </w:r>
      <w:r w:rsidR="006644B0" w:rsidRPr="00442A3B">
        <w:t xml:space="preserve">New South Wales and Victoria to </w:t>
      </w:r>
      <w:r w:rsidR="00070FDF" w:rsidRPr="00442A3B">
        <w:t>the other States.</w:t>
      </w:r>
    </w:p>
    <w:p w14:paraId="320A71A2" w14:textId="58EE3248" w:rsidR="00712D4A" w:rsidRPr="00442A3B" w:rsidRDefault="00712D4A" w:rsidP="00712D4A">
      <w:pPr>
        <w:pStyle w:val="Heading5"/>
      </w:pPr>
      <w:r w:rsidRPr="00442A3B">
        <w:t>Wage costs</w:t>
      </w:r>
    </w:p>
    <w:p w14:paraId="450BE7B2" w14:textId="47632B3C" w:rsidR="0084656B" w:rsidRPr="00442A3B" w:rsidRDefault="00E26458" w:rsidP="000361EA">
      <w:pPr>
        <w:pStyle w:val="CGCParaNumber"/>
        <w:ind w:left="567" w:hanging="567"/>
      </w:pPr>
      <w:r w:rsidRPr="00442A3B">
        <w:t>The ABS revise</w:t>
      </w:r>
      <w:r w:rsidR="002E1C30" w:rsidRPr="00442A3B">
        <w:t>d</w:t>
      </w:r>
      <w:r w:rsidRPr="00442A3B">
        <w:t xml:space="preserve"> its data from the Characteristics of Employment Survey</w:t>
      </w:r>
      <w:r w:rsidR="0027109B" w:rsidRPr="00442A3B">
        <w:t>.</w:t>
      </w:r>
      <w:r w:rsidR="00401339" w:rsidRPr="00442A3B">
        <w:t xml:space="preserve"> </w:t>
      </w:r>
      <w:r w:rsidRPr="00442A3B">
        <w:t xml:space="preserve">The revisions increased </w:t>
      </w:r>
      <w:r w:rsidR="00801274" w:rsidRPr="00442A3B">
        <w:t>assessed wage costs in</w:t>
      </w:r>
      <w:r w:rsidRPr="00442A3B">
        <w:t xml:space="preserve"> New South Wales and Western Australia, which increased their GST </w:t>
      </w:r>
      <w:r w:rsidR="00D55FF2" w:rsidRPr="00442A3B">
        <w:t xml:space="preserve">pool </w:t>
      </w:r>
      <w:r w:rsidRPr="00442A3B">
        <w:t xml:space="preserve">shares. The revisions decreased the </w:t>
      </w:r>
      <w:r w:rsidR="00336886" w:rsidRPr="00442A3B">
        <w:t>assessed wage costs in</w:t>
      </w:r>
      <w:r w:rsidRPr="00442A3B">
        <w:t xml:space="preserve"> Victoria, Queensland, South Australia, and Tasmania, which decreased their GST </w:t>
      </w:r>
      <w:r w:rsidR="00D55FF2" w:rsidRPr="00442A3B">
        <w:t xml:space="preserve">pool </w:t>
      </w:r>
      <w:r w:rsidRPr="00442A3B">
        <w:t>share</w:t>
      </w:r>
      <w:r w:rsidR="00336886" w:rsidRPr="00442A3B">
        <w:t>s</w:t>
      </w:r>
      <w:r w:rsidRPr="00442A3B">
        <w:t xml:space="preserve">. </w:t>
      </w:r>
    </w:p>
    <w:p w14:paraId="033653AA" w14:textId="60BC0058" w:rsidR="00165998" w:rsidRPr="00442A3B" w:rsidRDefault="00165998" w:rsidP="00D86969">
      <w:pPr>
        <w:pStyle w:val="Heading4"/>
      </w:pPr>
      <w:bookmarkStart w:id="88" w:name="_Toc65050528"/>
      <w:r w:rsidRPr="00442A3B">
        <w:t>Changes in State circumstances</w:t>
      </w:r>
      <w:bookmarkEnd w:id="88"/>
    </w:p>
    <w:p w14:paraId="563459B4" w14:textId="799CEC20" w:rsidR="00165998" w:rsidRPr="00442A3B" w:rsidRDefault="00165998" w:rsidP="000361EA">
      <w:pPr>
        <w:pStyle w:val="CGCParaNumber"/>
        <w:ind w:left="567" w:hanging="567"/>
      </w:pPr>
      <w:r w:rsidRPr="00442A3B">
        <w:t xml:space="preserve">This section describes the main changes in </w:t>
      </w:r>
      <w:r w:rsidR="002E3DBA" w:rsidRPr="00442A3B">
        <w:t xml:space="preserve">State </w:t>
      </w:r>
      <w:r w:rsidRPr="00442A3B">
        <w:t xml:space="preserve">circumstances since the </w:t>
      </w:r>
      <w:r w:rsidR="005909B1" w:rsidRPr="00442A3B">
        <w:t>2020 Review</w:t>
      </w:r>
      <w:r w:rsidRPr="00442A3B">
        <w:t xml:space="preserve"> — that is, the changes that occur</w:t>
      </w:r>
      <w:r w:rsidR="00DA52AE" w:rsidRPr="00442A3B">
        <w:t>red</w:t>
      </w:r>
      <w:r w:rsidRPr="00442A3B">
        <w:t xml:space="preserve"> when revised 201</w:t>
      </w:r>
      <w:r w:rsidR="003B3EFA" w:rsidRPr="00442A3B">
        <w:t>6-17</w:t>
      </w:r>
      <w:r w:rsidRPr="00442A3B">
        <w:t xml:space="preserve"> data </w:t>
      </w:r>
      <w:r w:rsidR="00DA52AE" w:rsidRPr="00442A3B">
        <w:t>we</w:t>
      </w:r>
      <w:r w:rsidRPr="00442A3B">
        <w:t>re removed and replaced with 2019</w:t>
      </w:r>
      <w:r w:rsidR="003B3EFA" w:rsidRPr="00442A3B">
        <w:noBreakHyphen/>
        <w:t>20</w:t>
      </w:r>
      <w:r w:rsidRPr="00442A3B">
        <w:t xml:space="preserve"> data. </w:t>
      </w:r>
      <w:r w:rsidRPr="00442A3B">
        <w:fldChar w:fldCharType="begin"/>
      </w:r>
      <w:r w:rsidRPr="00442A3B">
        <w:instrText xml:space="preserve"> REF _Ref30408019 \h </w:instrText>
      </w:r>
      <w:r w:rsidR="00442A3B">
        <w:instrText xml:space="preserve"> \* MERGEFORMAT </w:instrText>
      </w:r>
      <w:r w:rsidRPr="00442A3B">
        <w:fldChar w:fldCharType="separate"/>
      </w:r>
      <w:r w:rsidR="00FC3D3D" w:rsidRPr="00442A3B">
        <w:t>Table 2</w:t>
      </w:r>
      <w:r w:rsidR="00FC3D3D" w:rsidRPr="00442A3B">
        <w:noBreakHyphen/>
      </w:r>
      <w:r w:rsidR="00FC3D3D">
        <w:t>4</w:t>
      </w:r>
      <w:r w:rsidRPr="00442A3B">
        <w:fldChar w:fldCharType="end"/>
      </w:r>
      <w:r w:rsidRPr="00442A3B">
        <w:t xml:space="preserve"> shows the effect of these changes across different assessment areas. </w:t>
      </w:r>
    </w:p>
    <w:p w14:paraId="31622A08" w14:textId="57AC6D88" w:rsidR="00165998" w:rsidRPr="00442A3B" w:rsidRDefault="00165998" w:rsidP="000E333C">
      <w:pPr>
        <w:pStyle w:val="Caption"/>
      </w:pPr>
      <w:bookmarkStart w:id="89" w:name="_Ref30408019"/>
      <w:bookmarkStart w:id="90" w:name="_Toc62487276"/>
      <w:bookmarkStart w:id="91" w:name="_Toc62723807"/>
      <w:r w:rsidRPr="00442A3B">
        <w:t>Table 2</w:t>
      </w:r>
      <w:r w:rsidRPr="00442A3B">
        <w:noBreakHyphen/>
      </w:r>
      <w:r w:rsidRPr="00442A3B">
        <w:fldChar w:fldCharType="begin"/>
      </w:r>
      <w:r w:rsidRPr="00442A3B">
        <w:instrText>SEQ Table \* ARABIC</w:instrText>
      </w:r>
      <w:r w:rsidRPr="00442A3B">
        <w:fldChar w:fldCharType="separate"/>
      </w:r>
      <w:r w:rsidR="00FC3D3D">
        <w:rPr>
          <w:noProof/>
        </w:rPr>
        <w:t>4</w:t>
      </w:r>
      <w:r w:rsidRPr="00442A3B">
        <w:fldChar w:fldCharType="end"/>
      </w:r>
      <w:bookmarkEnd w:id="89"/>
      <w:r w:rsidRPr="00442A3B">
        <w:tab/>
        <w:t xml:space="preserve">Composition of changes in State circumstances since the </w:t>
      </w:r>
      <w:r w:rsidR="003B3EFA" w:rsidRPr="00442A3B">
        <w:t>2020 Review</w:t>
      </w:r>
      <w:bookmarkEnd w:id="90"/>
      <w:bookmarkEnd w:id="91"/>
    </w:p>
    <w:tbl>
      <w:tblPr>
        <w:tblW w:w="8900" w:type="dxa"/>
        <w:tblCellMar>
          <w:left w:w="28" w:type="dxa"/>
          <w:right w:w="28" w:type="dxa"/>
        </w:tblCellMar>
        <w:tblLook w:val="04A0" w:firstRow="1" w:lastRow="0" w:firstColumn="1" w:lastColumn="0" w:noHBand="0" w:noVBand="1"/>
      </w:tblPr>
      <w:tblGrid>
        <w:gridCol w:w="2700"/>
        <w:gridCol w:w="680"/>
        <w:gridCol w:w="680"/>
        <w:gridCol w:w="680"/>
        <w:gridCol w:w="680"/>
        <w:gridCol w:w="680"/>
        <w:gridCol w:w="680"/>
        <w:gridCol w:w="680"/>
        <w:gridCol w:w="680"/>
        <w:gridCol w:w="760"/>
      </w:tblGrid>
      <w:tr w:rsidR="00A470F1" w:rsidRPr="00442A3B" w14:paraId="7F2878DE" w14:textId="77777777" w:rsidTr="003063D4">
        <w:trPr>
          <w:trHeight w:val="375"/>
        </w:trPr>
        <w:tc>
          <w:tcPr>
            <w:tcW w:w="2700" w:type="dxa"/>
            <w:tcBorders>
              <w:top w:val="single" w:sz="4" w:space="0" w:color="ADD6EA"/>
              <w:left w:val="nil"/>
              <w:bottom w:val="single" w:sz="4" w:space="0" w:color="ADD6EA"/>
              <w:right w:val="nil"/>
            </w:tcBorders>
            <w:shd w:val="clear" w:color="000000" w:fill="006991"/>
            <w:vAlign w:val="center"/>
            <w:hideMark/>
          </w:tcPr>
          <w:p w14:paraId="4E85CA16" w14:textId="77777777" w:rsidR="00A470F1" w:rsidRPr="00442A3B" w:rsidRDefault="00A470F1" w:rsidP="002F5AF7">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 </w:t>
            </w:r>
          </w:p>
        </w:tc>
        <w:tc>
          <w:tcPr>
            <w:tcW w:w="680" w:type="dxa"/>
            <w:tcBorders>
              <w:top w:val="single" w:sz="4" w:space="0" w:color="ADD6EA"/>
              <w:left w:val="nil"/>
              <w:bottom w:val="single" w:sz="4" w:space="0" w:color="ADD6EA"/>
              <w:right w:val="nil"/>
            </w:tcBorders>
            <w:shd w:val="clear" w:color="000000" w:fill="006991"/>
            <w:vAlign w:val="center"/>
            <w:hideMark/>
          </w:tcPr>
          <w:p w14:paraId="7DA6983D" w14:textId="77777777" w:rsidR="00A470F1" w:rsidRPr="00442A3B" w:rsidRDefault="00A470F1" w:rsidP="002F5AF7">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NSW</w:t>
            </w:r>
          </w:p>
        </w:tc>
        <w:tc>
          <w:tcPr>
            <w:tcW w:w="680" w:type="dxa"/>
            <w:tcBorders>
              <w:top w:val="single" w:sz="4" w:space="0" w:color="ADD6EA"/>
              <w:left w:val="nil"/>
              <w:bottom w:val="single" w:sz="4" w:space="0" w:color="ADD6EA"/>
              <w:right w:val="nil"/>
            </w:tcBorders>
            <w:shd w:val="clear" w:color="000000" w:fill="006991"/>
            <w:vAlign w:val="center"/>
            <w:hideMark/>
          </w:tcPr>
          <w:p w14:paraId="7B2B4BBA" w14:textId="77777777" w:rsidR="00A470F1" w:rsidRPr="00442A3B" w:rsidRDefault="00A470F1" w:rsidP="002F5AF7">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Vic</w:t>
            </w:r>
          </w:p>
        </w:tc>
        <w:tc>
          <w:tcPr>
            <w:tcW w:w="680" w:type="dxa"/>
            <w:tcBorders>
              <w:top w:val="single" w:sz="4" w:space="0" w:color="ADD6EA"/>
              <w:left w:val="nil"/>
              <w:bottom w:val="single" w:sz="4" w:space="0" w:color="ADD6EA"/>
              <w:right w:val="nil"/>
            </w:tcBorders>
            <w:shd w:val="clear" w:color="000000" w:fill="006991"/>
            <w:vAlign w:val="center"/>
            <w:hideMark/>
          </w:tcPr>
          <w:p w14:paraId="47050A3E" w14:textId="77777777" w:rsidR="00A470F1" w:rsidRPr="00442A3B" w:rsidRDefault="00A470F1" w:rsidP="002F5AF7">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Qld</w:t>
            </w:r>
          </w:p>
        </w:tc>
        <w:tc>
          <w:tcPr>
            <w:tcW w:w="680" w:type="dxa"/>
            <w:tcBorders>
              <w:top w:val="single" w:sz="4" w:space="0" w:color="ADD6EA"/>
              <w:left w:val="nil"/>
              <w:bottom w:val="single" w:sz="4" w:space="0" w:color="ADD6EA"/>
              <w:right w:val="nil"/>
            </w:tcBorders>
            <w:shd w:val="clear" w:color="000000" w:fill="006991"/>
            <w:vAlign w:val="center"/>
            <w:hideMark/>
          </w:tcPr>
          <w:p w14:paraId="2766C71D" w14:textId="77777777" w:rsidR="00A470F1" w:rsidRPr="00442A3B" w:rsidRDefault="00A470F1" w:rsidP="002F5AF7">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WA</w:t>
            </w:r>
          </w:p>
        </w:tc>
        <w:tc>
          <w:tcPr>
            <w:tcW w:w="680" w:type="dxa"/>
            <w:tcBorders>
              <w:top w:val="single" w:sz="4" w:space="0" w:color="ADD6EA"/>
              <w:left w:val="nil"/>
              <w:bottom w:val="single" w:sz="4" w:space="0" w:color="ADD6EA"/>
              <w:right w:val="nil"/>
            </w:tcBorders>
            <w:shd w:val="clear" w:color="000000" w:fill="006991"/>
            <w:vAlign w:val="center"/>
            <w:hideMark/>
          </w:tcPr>
          <w:p w14:paraId="2CF16E2A" w14:textId="77777777" w:rsidR="00A470F1" w:rsidRPr="00442A3B" w:rsidRDefault="00A470F1" w:rsidP="002F5AF7">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SA</w:t>
            </w:r>
          </w:p>
        </w:tc>
        <w:tc>
          <w:tcPr>
            <w:tcW w:w="680" w:type="dxa"/>
            <w:tcBorders>
              <w:top w:val="single" w:sz="4" w:space="0" w:color="ADD6EA"/>
              <w:left w:val="nil"/>
              <w:bottom w:val="single" w:sz="4" w:space="0" w:color="ADD6EA"/>
              <w:right w:val="nil"/>
            </w:tcBorders>
            <w:shd w:val="clear" w:color="000000" w:fill="006991"/>
            <w:vAlign w:val="center"/>
            <w:hideMark/>
          </w:tcPr>
          <w:p w14:paraId="451C17CD" w14:textId="77777777" w:rsidR="00A470F1" w:rsidRPr="00442A3B" w:rsidRDefault="00A470F1" w:rsidP="002F5AF7">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Tas</w:t>
            </w:r>
          </w:p>
        </w:tc>
        <w:tc>
          <w:tcPr>
            <w:tcW w:w="680" w:type="dxa"/>
            <w:tcBorders>
              <w:top w:val="single" w:sz="4" w:space="0" w:color="ADD6EA"/>
              <w:left w:val="nil"/>
              <w:bottom w:val="single" w:sz="4" w:space="0" w:color="ADD6EA"/>
              <w:right w:val="nil"/>
            </w:tcBorders>
            <w:shd w:val="clear" w:color="000000" w:fill="006991"/>
            <w:vAlign w:val="center"/>
            <w:hideMark/>
          </w:tcPr>
          <w:p w14:paraId="61C9E571" w14:textId="77777777" w:rsidR="00A470F1" w:rsidRPr="00442A3B" w:rsidRDefault="00A470F1" w:rsidP="002F5AF7">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ACT</w:t>
            </w:r>
          </w:p>
        </w:tc>
        <w:tc>
          <w:tcPr>
            <w:tcW w:w="680" w:type="dxa"/>
            <w:tcBorders>
              <w:top w:val="single" w:sz="4" w:space="0" w:color="ADD6EA"/>
              <w:left w:val="nil"/>
              <w:bottom w:val="single" w:sz="4" w:space="0" w:color="ADD6EA"/>
              <w:right w:val="nil"/>
            </w:tcBorders>
            <w:shd w:val="clear" w:color="000000" w:fill="006991"/>
            <w:vAlign w:val="center"/>
            <w:hideMark/>
          </w:tcPr>
          <w:p w14:paraId="19741551" w14:textId="77777777" w:rsidR="00A470F1" w:rsidRPr="00442A3B" w:rsidRDefault="00A470F1" w:rsidP="002F5AF7">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NT</w:t>
            </w:r>
          </w:p>
        </w:tc>
        <w:tc>
          <w:tcPr>
            <w:tcW w:w="760" w:type="dxa"/>
            <w:tcBorders>
              <w:top w:val="single" w:sz="4" w:space="0" w:color="ADD6EA"/>
              <w:left w:val="nil"/>
              <w:bottom w:val="single" w:sz="4" w:space="0" w:color="ADD6EA"/>
              <w:right w:val="nil"/>
            </w:tcBorders>
            <w:shd w:val="clear" w:color="000000" w:fill="006991"/>
            <w:vAlign w:val="center"/>
            <w:hideMark/>
          </w:tcPr>
          <w:p w14:paraId="1562822B" w14:textId="77777777" w:rsidR="00A470F1" w:rsidRPr="00442A3B" w:rsidRDefault="00A470F1" w:rsidP="002F5AF7">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Redist</w:t>
            </w:r>
          </w:p>
        </w:tc>
      </w:tr>
      <w:tr w:rsidR="00A470F1" w:rsidRPr="00442A3B" w14:paraId="0042BB22" w14:textId="77777777" w:rsidTr="003063D4">
        <w:trPr>
          <w:trHeight w:val="259"/>
        </w:trPr>
        <w:tc>
          <w:tcPr>
            <w:tcW w:w="2700" w:type="dxa"/>
            <w:tcBorders>
              <w:top w:val="nil"/>
              <w:left w:val="nil"/>
              <w:bottom w:val="single" w:sz="4" w:space="0" w:color="ADD6EA"/>
              <w:right w:val="nil"/>
            </w:tcBorders>
            <w:shd w:val="clear" w:color="000000" w:fill="B6D5E4"/>
            <w:vAlign w:val="bottom"/>
            <w:hideMark/>
          </w:tcPr>
          <w:p w14:paraId="4EB1E744" w14:textId="77777777" w:rsidR="00A470F1" w:rsidRPr="00442A3B" w:rsidRDefault="00A470F1" w:rsidP="002F5AF7">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442A3B">
              <w:rPr>
                <w:rFonts w:ascii="Open Sans Semibold" w:eastAsia="Times New Roman" w:hAnsi="Open Sans Semibold" w:cs="Open Sans Semibold"/>
                <w:sz w:val="16"/>
                <w:szCs w:val="16"/>
                <w:lang w:eastAsia="en-AU"/>
              </w:rPr>
              <w:t> </w:t>
            </w:r>
          </w:p>
        </w:tc>
        <w:tc>
          <w:tcPr>
            <w:tcW w:w="680" w:type="dxa"/>
            <w:tcBorders>
              <w:top w:val="nil"/>
              <w:left w:val="nil"/>
              <w:bottom w:val="single" w:sz="4" w:space="0" w:color="ADD6EA"/>
              <w:right w:val="nil"/>
            </w:tcBorders>
            <w:shd w:val="clear" w:color="000000" w:fill="B6D5E4"/>
            <w:vAlign w:val="bottom"/>
            <w:hideMark/>
          </w:tcPr>
          <w:p w14:paraId="1A01F70B" w14:textId="77777777" w:rsidR="00A470F1" w:rsidRPr="00442A3B" w:rsidRDefault="00A470F1" w:rsidP="002F5AF7">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680" w:type="dxa"/>
            <w:tcBorders>
              <w:top w:val="nil"/>
              <w:left w:val="nil"/>
              <w:bottom w:val="single" w:sz="4" w:space="0" w:color="ADD6EA"/>
              <w:right w:val="nil"/>
            </w:tcBorders>
            <w:shd w:val="clear" w:color="000000" w:fill="B6D5E4"/>
            <w:vAlign w:val="bottom"/>
            <w:hideMark/>
          </w:tcPr>
          <w:p w14:paraId="586F2495" w14:textId="77777777" w:rsidR="00A470F1" w:rsidRPr="00442A3B" w:rsidRDefault="00A470F1" w:rsidP="002F5AF7">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680" w:type="dxa"/>
            <w:tcBorders>
              <w:top w:val="nil"/>
              <w:left w:val="nil"/>
              <w:bottom w:val="single" w:sz="4" w:space="0" w:color="ADD6EA"/>
              <w:right w:val="nil"/>
            </w:tcBorders>
            <w:shd w:val="clear" w:color="000000" w:fill="B6D5E4"/>
            <w:vAlign w:val="bottom"/>
            <w:hideMark/>
          </w:tcPr>
          <w:p w14:paraId="3ADB3BD3" w14:textId="77777777" w:rsidR="00A470F1" w:rsidRPr="00442A3B" w:rsidRDefault="00A470F1" w:rsidP="002F5AF7">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680" w:type="dxa"/>
            <w:tcBorders>
              <w:top w:val="nil"/>
              <w:left w:val="nil"/>
              <w:bottom w:val="single" w:sz="4" w:space="0" w:color="ADD6EA"/>
              <w:right w:val="nil"/>
            </w:tcBorders>
            <w:shd w:val="clear" w:color="000000" w:fill="B6D5E4"/>
            <w:vAlign w:val="bottom"/>
            <w:hideMark/>
          </w:tcPr>
          <w:p w14:paraId="0792E360" w14:textId="77777777" w:rsidR="00A470F1" w:rsidRPr="00442A3B" w:rsidRDefault="00A470F1" w:rsidP="002F5AF7">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680" w:type="dxa"/>
            <w:tcBorders>
              <w:top w:val="nil"/>
              <w:left w:val="nil"/>
              <w:bottom w:val="single" w:sz="4" w:space="0" w:color="ADD6EA"/>
              <w:right w:val="nil"/>
            </w:tcBorders>
            <w:shd w:val="clear" w:color="000000" w:fill="B6D5E4"/>
            <w:vAlign w:val="bottom"/>
            <w:hideMark/>
          </w:tcPr>
          <w:p w14:paraId="2929858F" w14:textId="77777777" w:rsidR="00A470F1" w:rsidRPr="00442A3B" w:rsidRDefault="00A470F1" w:rsidP="002F5AF7">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680" w:type="dxa"/>
            <w:tcBorders>
              <w:top w:val="nil"/>
              <w:left w:val="nil"/>
              <w:bottom w:val="single" w:sz="4" w:space="0" w:color="ADD6EA"/>
              <w:right w:val="nil"/>
            </w:tcBorders>
            <w:shd w:val="clear" w:color="000000" w:fill="B6D5E4"/>
            <w:vAlign w:val="bottom"/>
            <w:hideMark/>
          </w:tcPr>
          <w:p w14:paraId="38F594D1" w14:textId="77777777" w:rsidR="00A470F1" w:rsidRPr="00442A3B" w:rsidRDefault="00A470F1" w:rsidP="002F5AF7">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680" w:type="dxa"/>
            <w:tcBorders>
              <w:top w:val="nil"/>
              <w:left w:val="nil"/>
              <w:bottom w:val="single" w:sz="4" w:space="0" w:color="ADD6EA"/>
              <w:right w:val="nil"/>
            </w:tcBorders>
            <w:shd w:val="clear" w:color="000000" w:fill="B6D5E4"/>
            <w:vAlign w:val="bottom"/>
            <w:hideMark/>
          </w:tcPr>
          <w:p w14:paraId="405AF5E9" w14:textId="77777777" w:rsidR="00A470F1" w:rsidRPr="00442A3B" w:rsidRDefault="00A470F1" w:rsidP="002F5AF7">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680" w:type="dxa"/>
            <w:tcBorders>
              <w:top w:val="nil"/>
              <w:left w:val="nil"/>
              <w:bottom w:val="single" w:sz="4" w:space="0" w:color="ADD6EA"/>
              <w:right w:val="nil"/>
            </w:tcBorders>
            <w:shd w:val="clear" w:color="000000" w:fill="B6D5E4"/>
            <w:vAlign w:val="bottom"/>
            <w:hideMark/>
          </w:tcPr>
          <w:p w14:paraId="7C98B944" w14:textId="77777777" w:rsidR="00A470F1" w:rsidRPr="00442A3B" w:rsidRDefault="00A470F1" w:rsidP="002F5AF7">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vAlign w:val="bottom"/>
            <w:hideMark/>
          </w:tcPr>
          <w:p w14:paraId="0A086CCD" w14:textId="77777777" w:rsidR="00A470F1" w:rsidRPr="00442A3B" w:rsidRDefault="00A470F1" w:rsidP="002F5AF7">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r>
      <w:tr w:rsidR="00A470F1" w:rsidRPr="00442A3B" w14:paraId="0D489CE1" w14:textId="77777777" w:rsidTr="003063D4">
        <w:trPr>
          <w:trHeight w:val="315"/>
        </w:trPr>
        <w:tc>
          <w:tcPr>
            <w:tcW w:w="2700" w:type="dxa"/>
            <w:tcBorders>
              <w:top w:val="nil"/>
              <w:left w:val="nil"/>
              <w:bottom w:val="single" w:sz="4" w:space="0" w:color="ADD6EA"/>
              <w:right w:val="nil"/>
            </w:tcBorders>
            <w:shd w:val="clear" w:color="auto" w:fill="auto"/>
            <w:vAlign w:val="bottom"/>
            <w:hideMark/>
          </w:tcPr>
          <w:p w14:paraId="1B11C5D8" w14:textId="77777777" w:rsidR="00A470F1" w:rsidRPr="00442A3B" w:rsidRDefault="00A470F1" w:rsidP="002F5AF7">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Expense requirement</w:t>
            </w:r>
          </w:p>
        </w:tc>
        <w:tc>
          <w:tcPr>
            <w:tcW w:w="680" w:type="dxa"/>
            <w:tcBorders>
              <w:top w:val="nil"/>
              <w:left w:val="nil"/>
              <w:bottom w:val="single" w:sz="4" w:space="0" w:color="ADD6EA"/>
              <w:right w:val="nil"/>
            </w:tcBorders>
            <w:shd w:val="clear" w:color="auto" w:fill="auto"/>
            <w:vAlign w:val="bottom"/>
            <w:hideMark/>
          </w:tcPr>
          <w:p w14:paraId="13DFB5AE"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w:t>
            </w:r>
          </w:p>
        </w:tc>
        <w:tc>
          <w:tcPr>
            <w:tcW w:w="680" w:type="dxa"/>
            <w:tcBorders>
              <w:top w:val="nil"/>
              <w:left w:val="nil"/>
              <w:bottom w:val="single" w:sz="4" w:space="0" w:color="ADD6EA"/>
              <w:right w:val="nil"/>
            </w:tcBorders>
            <w:shd w:val="clear" w:color="auto" w:fill="auto"/>
            <w:vAlign w:val="bottom"/>
            <w:hideMark/>
          </w:tcPr>
          <w:p w14:paraId="08499DA5"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-248</w:t>
            </w:r>
          </w:p>
        </w:tc>
        <w:tc>
          <w:tcPr>
            <w:tcW w:w="680" w:type="dxa"/>
            <w:tcBorders>
              <w:top w:val="nil"/>
              <w:left w:val="nil"/>
              <w:bottom w:val="single" w:sz="4" w:space="0" w:color="ADD6EA"/>
              <w:right w:val="nil"/>
            </w:tcBorders>
            <w:shd w:val="clear" w:color="auto" w:fill="auto"/>
            <w:vAlign w:val="bottom"/>
            <w:hideMark/>
          </w:tcPr>
          <w:p w14:paraId="0B3176B8"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142</w:t>
            </w:r>
          </w:p>
        </w:tc>
        <w:tc>
          <w:tcPr>
            <w:tcW w:w="680" w:type="dxa"/>
            <w:tcBorders>
              <w:top w:val="nil"/>
              <w:left w:val="nil"/>
              <w:bottom w:val="single" w:sz="4" w:space="0" w:color="ADD6EA"/>
              <w:right w:val="nil"/>
            </w:tcBorders>
            <w:shd w:val="clear" w:color="auto" w:fill="auto"/>
            <w:vAlign w:val="bottom"/>
            <w:hideMark/>
          </w:tcPr>
          <w:p w14:paraId="03A43808"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w:t>
            </w:r>
          </w:p>
        </w:tc>
        <w:tc>
          <w:tcPr>
            <w:tcW w:w="680" w:type="dxa"/>
            <w:tcBorders>
              <w:top w:val="nil"/>
              <w:left w:val="nil"/>
              <w:bottom w:val="single" w:sz="4" w:space="0" w:color="ADD6EA"/>
              <w:right w:val="nil"/>
            </w:tcBorders>
            <w:shd w:val="clear" w:color="auto" w:fill="auto"/>
            <w:vAlign w:val="bottom"/>
            <w:hideMark/>
          </w:tcPr>
          <w:p w14:paraId="4E062D73"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-18</w:t>
            </w:r>
          </w:p>
        </w:tc>
        <w:tc>
          <w:tcPr>
            <w:tcW w:w="680" w:type="dxa"/>
            <w:tcBorders>
              <w:top w:val="nil"/>
              <w:left w:val="nil"/>
              <w:bottom w:val="single" w:sz="4" w:space="0" w:color="ADD6EA"/>
              <w:right w:val="nil"/>
            </w:tcBorders>
            <w:shd w:val="clear" w:color="auto" w:fill="auto"/>
            <w:vAlign w:val="bottom"/>
            <w:hideMark/>
          </w:tcPr>
          <w:p w14:paraId="5E0A6480"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98</w:t>
            </w:r>
          </w:p>
        </w:tc>
        <w:tc>
          <w:tcPr>
            <w:tcW w:w="680" w:type="dxa"/>
            <w:tcBorders>
              <w:top w:val="nil"/>
              <w:left w:val="nil"/>
              <w:bottom w:val="single" w:sz="4" w:space="0" w:color="ADD6EA"/>
              <w:right w:val="nil"/>
            </w:tcBorders>
            <w:shd w:val="clear" w:color="auto" w:fill="auto"/>
            <w:vAlign w:val="bottom"/>
            <w:hideMark/>
          </w:tcPr>
          <w:p w14:paraId="4FBE6687"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-26</w:t>
            </w:r>
          </w:p>
        </w:tc>
        <w:tc>
          <w:tcPr>
            <w:tcW w:w="680" w:type="dxa"/>
            <w:tcBorders>
              <w:top w:val="nil"/>
              <w:left w:val="nil"/>
              <w:bottom w:val="single" w:sz="4" w:space="0" w:color="ADD6EA"/>
              <w:right w:val="nil"/>
            </w:tcBorders>
            <w:shd w:val="clear" w:color="auto" w:fill="auto"/>
            <w:vAlign w:val="bottom"/>
            <w:hideMark/>
          </w:tcPr>
          <w:p w14:paraId="567035B0"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48</w:t>
            </w:r>
          </w:p>
        </w:tc>
        <w:tc>
          <w:tcPr>
            <w:tcW w:w="760" w:type="dxa"/>
            <w:tcBorders>
              <w:top w:val="nil"/>
              <w:left w:val="nil"/>
              <w:bottom w:val="single" w:sz="4" w:space="0" w:color="ADD6EA"/>
              <w:right w:val="nil"/>
            </w:tcBorders>
            <w:shd w:val="clear" w:color="auto" w:fill="auto"/>
            <w:vAlign w:val="bottom"/>
            <w:hideMark/>
          </w:tcPr>
          <w:p w14:paraId="29C88950"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294</w:t>
            </w:r>
          </w:p>
        </w:tc>
      </w:tr>
      <w:tr w:rsidR="00A470F1" w:rsidRPr="00442A3B" w14:paraId="6CAE51BB" w14:textId="77777777" w:rsidTr="003063D4">
        <w:trPr>
          <w:trHeight w:val="315"/>
        </w:trPr>
        <w:tc>
          <w:tcPr>
            <w:tcW w:w="2700" w:type="dxa"/>
            <w:tcBorders>
              <w:top w:val="nil"/>
              <w:left w:val="nil"/>
              <w:bottom w:val="single" w:sz="4" w:space="0" w:color="ADD6EA"/>
              <w:right w:val="nil"/>
            </w:tcBorders>
            <w:shd w:val="clear" w:color="auto" w:fill="auto"/>
            <w:vAlign w:val="bottom"/>
            <w:hideMark/>
          </w:tcPr>
          <w:p w14:paraId="35B71CE9" w14:textId="77777777" w:rsidR="00A470F1" w:rsidRPr="00442A3B" w:rsidRDefault="00A470F1" w:rsidP="002F5AF7">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Investment requirement</w:t>
            </w:r>
          </w:p>
        </w:tc>
        <w:tc>
          <w:tcPr>
            <w:tcW w:w="680" w:type="dxa"/>
            <w:tcBorders>
              <w:top w:val="nil"/>
              <w:left w:val="nil"/>
              <w:bottom w:val="single" w:sz="4" w:space="0" w:color="ADD6EA"/>
              <w:right w:val="nil"/>
            </w:tcBorders>
            <w:shd w:val="clear" w:color="auto" w:fill="auto"/>
            <w:vAlign w:val="bottom"/>
            <w:hideMark/>
          </w:tcPr>
          <w:p w14:paraId="4CDCE0D3"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-152</w:t>
            </w:r>
          </w:p>
        </w:tc>
        <w:tc>
          <w:tcPr>
            <w:tcW w:w="680" w:type="dxa"/>
            <w:tcBorders>
              <w:top w:val="nil"/>
              <w:left w:val="nil"/>
              <w:bottom w:val="single" w:sz="4" w:space="0" w:color="ADD6EA"/>
              <w:right w:val="nil"/>
            </w:tcBorders>
            <w:shd w:val="clear" w:color="auto" w:fill="auto"/>
            <w:vAlign w:val="bottom"/>
            <w:hideMark/>
          </w:tcPr>
          <w:p w14:paraId="50A9D1BF"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-151</w:t>
            </w:r>
          </w:p>
        </w:tc>
        <w:tc>
          <w:tcPr>
            <w:tcW w:w="680" w:type="dxa"/>
            <w:tcBorders>
              <w:top w:val="nil"/>
              <w:left w:val="nil"/>
              <w:bottom w:val="single" w:sz="4" w:space="0" w:color="ADD6EA"/>
              <w:right w:val="nil"/>
            </w:tcBorders>
            <w:shd w:val="clear" w:color="auto" w:fill="auto"/>
            <w:vAlign w:val="bottom"/>
            <w:hideMark/>
          </w:tcPr>
          <w:p w14:paraId="1DE07716"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93</w:t>
            </w:r>
          </w:p>
        </w:tc>
        <w:tc>
          <w:tcPr>
            <w:tcW w:w="680" w:type="dxa"/>
            <w:tcBorders>
              <w:top w:val="nil"/>
              <w:left w:val="nil"/>
              <w:bottom w:val="single" w:sz="4" w:space="0" w:color="ADD6EA"/>
              <w:right w:val="nil"/>
            </w:tcBorders>
            <w:shd w:val="clear" w:color="auto" w:fill="auto"/>
            <w:vAlign w:val="bottom"/>
            <w:hideMark/>
          </w:tcPr>
          <w:p w14:paraId="474553A5"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240</w:t>
            </w:r>
          </w:p>
        </w:tc>
        <w:tc>
          <w:tcPr>
            <w:tcW w:w="680" w:type="dxa"/>
            <w:tcBorders>
              <w:top w:val="nil"/>
              <w:left w:val="nil"/>
              <w:bottom w:val="single" w:sz="4" w:space="0" w:color="ADD6EA"/>
              <w:right w:val="nil"/>
            </w:tcBorders>
            <w:shd w:val="clear" w:color="auto" w:fill="auto"/>
            <w:vAlign w:val="bottom"/>
            <w:hideMark/>
          </w:tcPr>
          <w:p w14:paraId="49A6B3D0"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14</w:t>
            </w:r>
          </w:p>
        </w:tc>
        <w:tc>
          <w:tcPr>
            <w:tcW w:w="680" w:type="dxa"/>
            <w:tcBorders>
              <w:top w:val="nil"/>
              <w:left w:val="nil"/>
              <w:bottom w:val="single" w:sz="4" w:space="0" w:color="ADD6EA"/>
              <w:right w:val="nil"/>
            </w:tcBorders>
            <w:shd w:val="clear" w:color="auto" w:fill="auto"/>
            <w:vAlign w:val="bottom"/>
            <w:hideMark/>
          </w:tcPr>
          <w:p w14:paraId="1B4D085C"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75466412"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-45</w:t>
            </w:r>
          </w:p>
        </w:tc>
        <w:tc>
          <w:tcPr>
            <w:tcW w:w="680" w:type="dxa"/>
            <w:tcBorders>
              <w:top w:val="nil"/>
              <w:left w:val="nil"/>
              <w:bottom w:val="single" w:sz="4" w:space="0" w:color="ADD6EA"/>
              <w:right w:val="nil"/>
            </w:tcBorders>
            <w:shd w:val="clear" w:color="auto" w:fill="auto"/>
            <w:vAlign w:val="bottom"/>
            <w:hideMark/>
          </w:tcPr>
          <w:p w14:paraId="2879FEA7"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6B2B06BC"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348</w:t>
            </w:r>
          </w:p>
        </w:tc>
      </w:tr>
      <w:tr w:rsidR="00A470F1" w:rsidRPr="00442A3B" w14:paraId="669CA8CD" w14:textId="77777777" w:rsidTr="003063D4">
        <w:trPr>
          <w:trHeight w:val="315"/>
        </w:trPr>
        <w:tc>
          <w:tcPr>
            <w:tcW w:w="2700" w:type="dxa"/>
            <w:tcBorders>
              <w:top w:val="nil"/>
              <w:left w:val="nil"/>
              <w:bottom w:val="single" w:sz="4" w:space="0" w:color="ADD6EA"/>
              <w:right w:val="nil"/>
            </w:tcBorders>
            <w:shd w:val="clear" w:color="auto" w:fill="auto"/>
            <w:vAlign w:val="bottom"/>
            <w:hideMark/>
          </w:tcPr>
          <w:p w14:paraId="76826173" w14:textId="77777777" w:rsidR="00A470F1" w:rsidRPr="00442A3B" w:rsidRDefault="00A470F1" w:rsidP="002F5AF7">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Net borrowing</w:t>
            </w:r>
          </w:p>
        </w:tc>
        <w:tc>
          <w:tcPr>
            <w:tcW w:w="680" w:type="dxa"/>
            <w:tcBorders>
              <w:top w:val="nil"/>
              <w:left w:val="nil"/>
              <w:bottom w:val="single" w:sz="4" w:space="0" w:color="ADD6EA"/>
              <w:right w:val="nil"/>
            </w:tcBorders>
            <w:shd w:val="clear" w:color="auto" w:fill="auto"/>
            <w:vAlign w:val="bottom"/>
            <w:hideMark/>
          </w:tcPr>
          <w:p w14:paraId="02E175FD"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90</w:t>
            </w:r>
          </w:p>
        </w:tc>
        <w:tc>
          <w:tcPr>
            <w:tcW w:w="680" w:type="dxa"/>
            <w:tcBorders>
              <w:top w:val="nil"/>
              <w:left w:val="nil"/>
              <w:bottom w:val="single" w:sz="4" w:space="0" w:color="ADD6EA"/>
              <w:right w:val="nil"/>
            </w:tcBorders>
            <w:shd w:val="clear" w:color="auto" w:fill="auto"/>
            <w:vAlign w:val="bottom"/>
            <w:hideMark/>
          </w:tcPr>
          <w:p w14:paraId="1E780C1B"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-64</w:t>
            </w:r>
          </w:p>
        </w:tc>
        <w:tc>
          <w:tcPr>
            <w:tcW w:w="680" w:type="dxa"/>
            <w:tcBorders>
              <w:top w:val="nil"/>
              <w:left w:val="nil"/>
              <w:bottom w:val="single" w:sz="4" w:space="0" w:color="ADD6EA"/>
              <w:right w:val="nil"/>
            </w:tcBorders>
            <w:shd w:val="clear" w:color="auto" w:fill="auto"/>
            <w:vAlign w:val="bottom"/>
            <w:hideMark/>
          </w:tcPr>
          <w:p w14:paraId="7E752D31"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-36</w:t>
            </w:r>
          </w:p>
        </w:tc>
        <w:tc>
          <w:tcPr>
            <w:tcW w:w="680" w:type="dxa"/>
            <w:tcBorders>
              <w:top w:val="nil"/>
              <w:left w:val="nil"/>
              <w:bottom w:val="single" w:sz="4" w:space="0" w:color="ADD6EA"/>
              <w:right w:val="nil"/>
            </w:tcBorders>
            <w:shd w:val="clear" w:color="auto" w:fill="auto"/>
            <w:vAlign w:val="bottom"/>
            <w:hideMark/>
          </w:tcPr>
          <w:p w14:paraId="7053A948"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-27</w:t>
            </w:r>
          </w:p>
        </w:tc>
        <w:tc>
          <w:tcPr>
            <w:tcW w:w="680" w:type="dxa"/>
            <w:tcBorders>
              <w:top w:val="nil"/>
              <w:left w:val="nil"/>
              <w:bottom w:val="single" w:sz="4" w:space="0" w:color="ADD6EA"/>
              <w:right w:val="nil"/>
            </w:tcBorders>
            <w:shd w:val="clear" w:color="auto" w:fill="auto"/>
            <w:vAlign w:val="bottom"/>
            <w:hideMark/>
          </w:tcPr>
          <w:p w14:paraId="5492325B"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15</w:t>
            </w:r>
          </w:p>
        </w:tc>
        <w:tc>
          <w:tcPr>
            <w:tcW w:w="680" w:type="dxa"/>
            <w:tcBorders>
              <w:top w:val="nil"/>
              <w:left w:val="nil"/>
              <w:bottom w:val="single" w:sz="4" w:space="0" w:color="ADD6EA"/>
              <w:right w:val="nil"/>
            </w:tcBorders>
            <w:shd w:val="clear" w:color="auto" w:fill="auto"/>
            <w:vAlign w:val="bottom"/>
            <w:hideMark/>
          </w:tcPr>
          <w:p w14:paraId="07A2A900"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w:t>
            </w:r>
          </w:p>
        </w:tc>
        <w:tc>
          <w:tcPr>
            <w:tcW w:w="680" w:type="dxa"/>
            <w:tcBorders>
              <w:top w:val="nil"/>
              <w:left w:val="nil"/>
              <w:bottom w:val="single" w:sz="4" w:space="0" w:color="ADD6EA"/>
              <w:right w:val="nil"/>
            </w:tcBorders>
            <w:shd w:val="clear" w:color="auto" w:fill="auto"/>
            <w:vAlign w:val="bottom"/>
            <w:hideMark/>
          </w:tcPr>
          <w:p w14:paraId="063A139C"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8</w:t>
            </w:r>
          </w:p>
        </w:tc>
        <w:tc>
          <w:tcPr>
            <w:tcW w:w="680" w:type="dxa"/>
            <w:tcBorders>
              <w:top w:val="nil"/>
              <w:left w:val="nil"/>
              <w:bottom w:val="single" w:sz="4" w:space="0" w:color="ADD6EA"/>
              <w:right w:val="nil"/>
            </w:tcBorders>
            <w:shd w:val="clear" w:color="auto" w:fill="auto"/>
            <w:vAlign w:val="bottom"/>
            <w:hideMark/>
          </w:tcPr>
          <w:p w14:paraId="7D0EFA65"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14</w:t>
            </w:r>
          </w:p>
        </w:tc>
        <w:tc>
          <w:tcPr>
            <w:tcW w:w="760" w:type="dxa"/>
            <w:tcBorders>
              <w:top w:val="nil"/>
              <w:left w:val="nil"/>
              <w:bottom w:val="single" w:sz="4" w:space="0" w:color="ADD6EA"/>
              <w:right w:val="nil"/>
            </w:tcBorders>
            <w:shd w:val="clear" w:color="auto" w:fill="auto"/>
            <w:vAlign w:val="bottom"/>
            <w:hideMark/>
          </w:tcPr>
          <w:p w14:paraId="42A8F3C5"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128</w:t>
            </w:r>
          </w:p>
        </w:tc>
      </w:tr>
      <w:tr w:rsidR="00A470F1" w:rsidRPr="00442A3B" w14:paraId="5CF688D1" w14:textId="77777777" w:rsidTr="003063D4">
        <w:trPr>
          <w:trHeight w:val="315"/>
        </w:trPr>
        <w:tc>
          <w:tcPr>
            <w:tcW w:w="2700" w:type="dxa"/>
            <w:tcBorders>
              <w:top w:val="nil"/>
              <w:left w:val="nil"/>
              <w:bottom w:val="single" w:sz="4" w:space="0" w:color="ADD6EA"/>
              <w:right w:val="nil"/>
            </w:tcBorders>
            <w:shd w:val="clear" w:color="auto" w:fill="auto"/>
            <w:vAlign w:val="bottom"/>
            <w:hideMark/>
          </w:tcPr>
          <w:p w14:paraId="2304B151" w14:textId="77777777" w:rsidR="00A470F1" w:rsidRPr="00442A3B" w:rsidRDefault="00A470F1" w:rsidP="002F5AF7">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Revenue raising capacity</w:t>
            </w:r>
          </w:p>
        </w:tc>
        <w:tc>
          <w:tcPr>
            <w:tcW w:w="680" w:type="dxa"/>
            <w:tcBorders>
              <w:top w:val="nil"/>
              <w:left w:val="nil"/>
              <w:bottom w:val="single" w:sz="4" w:space="0" w:color="ADD6EA"/>
              <w:right w:val="nil"/>
            </w:tcBorders>
            <w:shd w:val="clear" w:color="auto" w:fill="auto"/>
            <w:vAlign w:val="bottom"/>
            <w:hideMark/>
          </w:tcPr>
          <w:p w14:paraId="06133909"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697</w:t>
            </w:r>
          </w:p>
        </w:tc>
        <w:tc>
          <w:tcPr>
            <w:tcW w:w="680" w:type="dxa"/>
            <w:tcBorders>
              <w:top w:val="nil"/>
              <w:left w:val="nil"/>
              <w:bottom w:val="single" w:sz="4" w:space="0" w:color="ADD6EA"/>
              <w:right w:val="nil"/>
            </w:tcBorders>
            <w:shd w:val="clear" w:color="auto" w:fill="auto"/>
            <w:vAlign w:val="bottom"/>
            <w:hideMark/>
          </w:tcPr>
          <w:p w14:paraId="2A7FC21F"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83</w:t>
            </w:r>
          </w:p>
        </w:tc>
        <w:tc>
          <w:tcPr>
            <w:tcW w:w="680" w:type="dxa"/>
            <w:tcBorders>
              <w:top w:val="nil"/>
              <w:left w:val="nil"/>
              <w:bottom w:val="single" w:sz="4" w:space="0" w:color="ADD6EA"/>
              <w:right w:val="nil"/>
            </w:tcBorders>
            <w:shd w:val="clear" w:color="auto" w:fill="auto"/>
            <w:vAlign w:val="bottom"/>
            <w:hideMark/>
          </w:tcPr>
          <w:p w14:paraId="0246ED6B"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266</w:t>
            </w:r>
          </w:p>
        </w:tc>
        <w:tc>
          <w:tcPr>
            <w:tcW w:w="680" w:type="dxa"/>
            <w:tcBorders>
              <w:top w:val="nil"/>
              <w:left w:val="nil"/>
              <w:bottom w:val="single" w:sz="4" w:space="0" w:color="ADD6EA"/>
              <w:right w:val="nil"/>
            </w:tcBorders>
            <w:shd w:val="clear" w:color="auto" w:fill="auto"/>
            <w:vAlign w:val="bottom"/>
            <w:hideMark/>
          </w:tcPr>
          <w:p w14:paraId="760EC04A"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-1,004</w:t>
            </w:r>
          </w:p>
        </w:tc>
        <w:tc>
          <w:tcPr>
            <w:tcW w:w="680" w:type="dxa"/>
            <w:tcBorders>
              <w:top w:val="nil"/>
              <w:left w:val="nil"/>
              <w:bottom w:val="single" w:sz="4" w:space="0" w:color="ADD6EA"/>
              <w:right w:val="nil"/>
            </w:tcBorders>
            <w:shd w:val="clear" w:color="auto" w:fill="auto"/>
            <w:vAlign w:val="bottom"/>
            <w:hideMark/>
          </w:tcPr>
          <w:p w14:paraId="2EF3CD59"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-81</w:t>
            </w:r>
          </w:p>
        </w:tc>
        <w:tc>
          <w:tcPr>
            <w:tcW w:w="680" w:type="dxa"/>
            <w:tcBorders>
              <w:top w:val="nil"/>
              <w:left w:val="nil"/>
              <w:bottom w:val="single" w:sz="4" w:space="0" w:color="ADD6EA"/>
              <w:right w:val="nil"/>
            </w:tcBorders>
            <w:shd w:val="clear" w:color="auto" w:fill="auto"/>
            <w:vAlign w:val="bottom"/>
            <w:hideMark/>
          </w:tcPr>
          <w:p w14:paraId="5A19A07A"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-10</w:t>
            </w:r>
          </w:p>
        </w:tc>
        <w:tc>
          <w:tcPr>
            <w:tcW w:w="680" w:type="dxa"/>
            <w:tcBorders>
              <w:top w:val="nil"/>
              <w:left w:val="nil"/>
              <w:bottom w:val="single" w:sz="4" w:space="0" w:color="ADD6EA"/>
              <w:right w:val="nil"/>
            </w:tcBorders>
            <w:shd w:val="clear" w:color="auto" w:fill="auto"/>
            <w:vAlign w:val="bottom"/>
            <w:hideMark/>
          </w:tcPr>
          <w:p w14:paraId="242E5DA9"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53</w:t>
            </w:r>
          </w:p>
        </w:tc>
        <w:tc>
          <w:tcPr>
            <w:tcW w:w="680" w:type="dxa"/>
            <w:tcBorders>
              <w:top w:val="nil"/>
              <w:left w:val="nil"/>
              <w:bottom w:val="single" w:sz="4" w:space="0" w:color="ADD6EA"/>
              <w:right w:val="nil"/>
            </w:tcBorders>
            <w:shd w:val="clear" w:color="auto" w:fill="auto"/>
            <w:vAlign w:val="bottom"/>
            <w:hideMark/>
          </w:tcPr>
          <w:p w14:paraId="21CBE11B"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w:t>
            </w:r>
          </w:p>
        </w:tc>
        <w:tc>
          <w:tcPr>
            <w:tcW w:w="760" w:type="dxa"/>
            <w:tcBorders>
              <w:top w:val="nil"/>
              <w:left w:val="nil"/>
              <w:bottom w:val="single" w:sz="4" w:space="0" w:color="ADD6EA"/>
              <w:right w:val="nil"/>
            </w:tcBorders>
            <w:shd w:val="clear" w:color="auto" w:fill="auto"/>
            <w:vAlign w:val="bottom"/>
            <w:hideMark/>
          </w:tcPr>
          <w:p w14:paraId="258791F1"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1,099</w:t>
            </w:r>
          </w:p>
        </w:tc>
      </w:tr>
      <w:tr w:rsidR="00A470F1" w:rsidRPr="00442A3B" w14:paraId="6204C05F" w14:textId="77777777" w:rsidTr="003063D4">
        <w:trPr>
          <w:trHeight w:val="315"/>
        </w:trPr>
        <w:tc>
          <w:tcPr>
            <w:tcW w:w="2700" w:type="dxa"/>
            <w:tcBorders>
              <w:top w:val="nil"/>
              <w:left w:val="nil"/>
              <w:bottom w:val="single" w:sz="4" w:space="0" w:color="ADD6EA"/>
              <w:right w:val="nil"/>
            </w:tcBorders>
            <w:shd w:val="clear" w:color="auto" w:fill="auto"/>
            <w:vAlign w:val="bottom"/>
            <w:hideMark/>
          </w:tcPr>
          <w:p w14:paraId="78EB9197" w14:textId="77777777" w:rsidR="00A470F1" w:rsidRPr="00442A3B" w:rsidRDefault="00A470F1" w:rsidP="002F5AF7">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Commonwealth payments</w:t>
            </w:r>
          </w:p>
        </w:tc>
        <w:tc>
          <w:tcPr>
            <w:tcW w:w="680" w:type="dxa"/>
            <w:tcBorders>
              <w:top w:val="nil"/>
              <w:left w:val="nil"/>
              <w:bottom w:val="single" w:sz="4" w:space="0" w:color="ADD6EA"/>
              <w:right w:val="nil"/>
            </w:tcBorders>
            <w:shd w:val="clear" w:color="auto" w:fill="auto"/>
            <w:vAlign w:val="bottom"/>
            <w:hideMark/>
          </w:tcPr>
          <w:p w14:paraId="003D3BA1"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77</w:t>
            </w:r>
          </w:p>
        </w:tc>
        <w:tc>
          <w:tcPr>
            <w:tcW w:w="680" w:type="dxa"/>
            <w:tcBorders>
              <w:top w:val="nil"/>
              <w:left w:val="nil"/>
              <w:bottom w:val="single" w:sz="4" w:space="0" w:color="ADD6EA"/>
              <w:right w:val="nil"/>
            </w:tcBorders>
            <w:shd w:val="clear" w:color="auto" w:fill="auto"/>
            <w:vAlign w:val="bottom"/>
            <w:hideMark/>
          </w:tcPr>
          <w:p w14:paraId="48254703"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58</w:t>
            </w:r>
          </w:p>
        </w:tc>
        <w:tc>
          <w:tcPr>
            <w:tcW w:w="680" w:type="dxa"/>
            <w:tcBorders>
              <w:top w:val="nil"/>
              <w:left w:val="nil"/>
              <w:bottom w:val="single" w:sz="4" w:space="0" w:color="ADD6EA"/>
              <w:right w:val="nil"/>
            </w:tcBorders>
            <w:shd w:val="clear" w:color="auto" w:fill="auto"/>
            <w:vAlign w:val="bottom"/>
            <w:hideMark/>
          </w:tcPr>
          <w:p w14:paraId="5922086B"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-92</w:t>
            </w:r>
          </w:p>
        </w:tc>
        <w:tc>
          <w:tcPr>
            <w:tcW w:w="680" w:type="dxa"/>
            <w:tcBorders>
              <w:top w:val="nil"/>
              <w:left w:val="nil"/>
              <w:bottom w:val="single" w:sz="4" w:space="0" w:color="ADD6EA"/>
              <w:right w:val="nil"/>
            </w:tcBorders>
            <w:shd w:val="clear" w:color="auto" w:fill="auto"/>
            <w:vAlign w:val="bottom"/>
            <w:hideMark/>
          </w:tcPr>
          <w:p w14:paraId="09A9E04B"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-72</w:t>
            </w:r>
          </w:p>
        </w:tc>
        <w:tc>
          <w:tcPr>
            <w:tcW w:w="680" w:type="dxa"/>
            <w:tcBorders>
              <w:top w:val="nil"/>
              <w:left w:val="nil"/>
              <w:bottom w:val="single" w:sz="4" w:space="0" w:color="ADD6EA"/>
              <w:right w:val="nil"/>
            </w:tcBorders>
            <w:shd w:val="clear" w:color="auto" w:fill="auto"/>
            <w:vAlign w:val="bottom"/>
            <w:hideMark/>
          </w:tcPr>
          <w:p w14:paraId="550E548B"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31</w:t>
            </w:r>
          </w:p>
        </w:tc>
        <w:tc>
          <w:tcPr>
            <w:tcW w:w="680" w:type="dxa"/>
            <w:tcBorders>
              <w:top w:val="nil"/>
              <w:left w:val="nil"/>
              <w:bottom w:val="single" w:sz="4" w:space="0" w:color="ADD6EA"/>
              <w:right w:val="nil"/>
            </w:tcBorders>
            <w:shd w:val="clear" w:color="auto" w:fill="auto"/>
            <w:vAlign w:val="bottom"/>
            <w:hideMark/>
          </w:tcPr>
          <w:p w14:paraId="21CE3449"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w:t>
            </w:r>
          </w:p>
        </w:tc>
        <w:tc>
          <w:tcPr>
            <w:tcW w:w="680" w:type="dxa"/>
            <w:tcBorders>
              <w:top w:val="nil"/>
              <w:left w:val="nil"/>
              <w:bottom w:val="single" w:sz="4" w:space="0" w:color="ADD6EA"/>
              <w:right w:val="nil"/>
            </w:tcBorders>
            <w:shd w:val="clear" w:color="auto" w:fill="auto"/>
            <w:vAlign w:val="bottom"/>
            <w:hideMark/>
          </w:tcPr>
          <w:p w14:paraId="7EB89B8C"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-8</w:t>
            </w:r>
          </w:p>
        </w:tc>
        <w:tc>
          <w:tcPr>
            <w:tcW w:w="680" w:type="dxa"/>
            <w:tcBorders>
              <w:top w:val="nil"/>
              <w:left w:val="nil"/>
              <w:bottom w:val="single" w:sz="4" w:space="0" w:color="ADD6EA"/>
              <w:right w:val="nil"/>
            </w:tcBorders>
            <w:shd w:val="clear" w:color="auto" w:fill="auto"/>
            <w:vAlign w:val="bottom"/>
            <w:hideMark/>
          </w:tcPr>
          <w:p w14:paraId="0B34518F"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w:t>
            </w:r>
          </w:p>
        </w:tc>
        <w:tc>
          <w:tcPr>
            <w:tcW w:w="760" w:type="dxa"/>
            <w:tcBorders>
              <w:top w:val="nil"/>
              <w:left w:val="nil"/>
              <w:bottom w:val="single" w:sz="4" w:space="0" w:color="ADD6EA"/>
              <w:right w:val="nil"/>
            </w:tcBorders>
            <w:shd w:val="clear" w:color="auto" w:fill="auto"/>
            <w:vAlign w:val="bottom"/>
            <w:hideMark/>
          </w:tcPr>
          <w:p w14:paraId="71298CA0" w14:textId="77777777" w:rsidR="00A470F1" w:rsidRPr="00442A3B" w:rsidRDefault="00A470F1" w:rsidP="002F5AF7">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173</w:t>
            </w:r>
          </w:p>
        </w:tc>
      </w:tr>
      <w:tr w:rsidR="00A470F1" w:rsidRPr="00442A3B" w14:paraId="6CA1F523" w14:textId="77777777" w:rsidTr="003063D4">
        <w:trPr>
          <w:trHeight w:val="315"/>
        </w:trPr>
        <w:tc>
          <w:tcPr>
            <w:tcW w:w="2700" w:type="dxa"/>
            <w:tcBorders>
              <w:top w:val="nil"/>
              <w:left w:val="nil"/>
              <w:bottom w:val="single" w:sz="4" w:space="0" w:color="ADD6EA"/>
              <w:right w:val="nil"/>
            </w:tcBorders>
            <w:shd w:val="clear" w:color="000000" w:fill="D6E7F0"/>
            <w:vAlign w:val="bottom"/>
            <w:hideMark/>
          </w:tcPr>
          <w:p w14:paraId="6B54EC3A" w14:textId="77777777" w:rsidR="00A470F1" w:rsidRPr="00442A3B" w:rsidRDefault="00A470F1" w:rsidP="002F5AF7">
            <w:pPr>
              <w:keepNext/>
              <w:keepLines/>
              <w:tabs>
                <w:tab w:val="clear" w:pos="567"/>
              </w:tabs>
              <w:spacing w:before="0" w:line="240" w:lineRule="auto"/>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Total</w:t>
            </w:r>
          </w:p>
        </w:tc>
        <w:tc>
          <w:tcPr>
            <w:tcW w:w="680" w:type="dxa"/>
            <w:tcBorders>
              <w:top w:val="nil"/>
              <w:left w:val="nil"/>
              <w:bottom w:val="single" w:sz="4" w:space="0" w:color="ADD6EA"/>
              <w:right w:val="nil"/>
            </w:tcBorders>
            <w:shd w:val="clear" w:color="000000" w:fill="D6E7F0"/>
            <w:vAlign w:val="bottom"/>
            <w:hideMark/>
          </w:tcPr>
          <w:p w14:paraId="33F7669B" w14:textId="77777777" w:rsidR="00A470F1" w:rsidRPr="00442A3B" w:rsidRDefault="00A470F1" w:rsidP="002F5AF7">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709</w:t>
            </w:r>
          </w:p>
        </w:tc>
        <w:tc>
          <w:tcPr>
            <w:tcW w:w="680" w:type="dxa"/>
            <w:tcBorders>
              <w:top w:val="nil"/>
              <w:left w:val="nil"/>
              <w:bottom w:val="single" w:sz="4" w:space="0" w:color="ADD6EA"/>
              <w:right w:val="nil"/>
            </w:tcBorders>
            <w:shd w:val="clear" w:color="000000" w:fill="D6E7F0"/>
            <w:vAlign w:val="bottom"/>
            <w:hideMark/>
          </w:tcPr>
          <w:p w14:paraId="352813C3" w14:textId="77777777" w:rsidR="00A470F1" w:rsidRPr="00442A3B" w:rsidRDefault="00A470F1" w:rsidP="002F5AF7">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-323</w:t>
            </w:r>
          </w:p>
        </w:tc>
        <w:tc>
          <w:tcPr>
            <w:tcW w:w="680" w:type="dxa"/>
            <w:tcBorders>
              <w:top w:val="nil"/>
              <w:left w:val="nil"/>
              <w:bottom w:val="single" w:sz="4" w:space="0" w:color="ADD6EA"/>
              <w:right w:val="nil"/>
            </w:tcBorders>
            <w:shd w:val="clear" w:color="000000" w:fill="D6E7F0"/>
            <w:vAlign w:val="bottom"/>
            <w:hideMark/>
          </w:tcPr>
          <w:p w14:paraId="5D8AF64E" w14:textId="77777777" w:rsidR="00A470F1" w:rsidRPr="00442A3B" w:rsidRDefault="00A470F1" w:rsidP="002F5AF7">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372</w:t>
            </w:r>
          </w:p>
        </w:tc>
        <w:tc>
          <w:tcPr>
            <w:tcW w:w="680" w:type="dxa"/>
            <w:tcBorders>
              <w:top w:val="nil"/>
              <w:left w:val="nil"/>
              <w:bottom w:val="single" w:sz="4" w:space="0" w:color="ADD6EA"/>
              <w:right w:val="nil"/>
            </w:tcBorders>
            <w:shd w:val="clear" w:color="000000" w:fill="D6E7F0"/>
            <w:vAlign w:val="bottom"/>
            <w:hideMark/>
          </w:tcPr>
          <w:p w14:paraId="3717FFB4" w14:textId="77777777" w:rsidR="00A470F1" w:rsidRPr="00442A3B" w:rsidRDefault="00A470F1" w:rsidP="002F5AF7">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-857</w:t>
            </w:r>
          </w:p>
        </w:tc>
        <w:tc>
          <w:tcPr>
            <w:tcW w:w="680" w:type="dxa"/>
            <w:tcBorders>
              <w:top w:val="nil"/>
              <w:left w:val="nil"/>
              <w:bottom w:val="single" w:sz="4" w:space="0" w:color="ADD6EA"/>
              <w:right w:val="nil"/>
            </w:tcBorders>
            <w:shd w:val="clear" w:color="000000" w:fill="D6E7F0"/>
            <w:vAlign w:val="bottom"/>
            <w:hideMark/>
          </w:tcPr>
          <w:p w14:paraId="2EB96F6A" w14:textId="77777777" w:rsidR="00A470F1" w:rsidRPr="00442A3B" w:rsidRDefault="00A470F1" w:rsidP="002F5AF7">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-39</w:t>
            </w:r>
          </w:p>
        </w:tc>
        <w:tc>
          <w:tcPr>
            <w:tcW w:w="680" w:type="dxa"/>
            <w:tcBorders>
              <w:top w:val="nil"/>
              <w:left w:val="nil"/>
              <w:bottom w:val="single" w:sz="4" w:space="0" w:color="ADD6EA"/>
              <w:right w:val="nil"/>
            </w:tcBorders>
            <w:shd w:val="clear" w:color="000000" w:fill="D6E7F0"/>
            <w:vAlign w:val="bottom"/>
            <w:hideMark/>
          </w:tcPr>
          <w:p w14:paraId="1AF3F2E0" w14:textId="77777777" w:rsidR="00A470F1" w:rsidRPr="00442A3B" w:rsidRDefault="00A470F1" w:rsidP="002F5AF7">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89</w:t>
            </w:r>
          </w:p>
        </w:tc>
        <w:tc>
          <w:tcPr>
            <w:tcW w:w="680" w:type="dxa"/>
            <w:tcBorders>
              <w:top w:val="nil"/>
              <w:left w:val="nil"/>
              <w:bottom w:val="single" w:sz="4" w:space="0" w:color="ADD6EA"/>
              <w:right w:val="nil"/>
            </w:tcBorders>
            <w:shd w:val="clear" w:color="000000" w:fill="D6E7F0"/>
            <w:vAlign w:val="bottom"/>
            <w:hideMark/>
          </w:tcPr>
          <w:p w14:paraId="1BB94C26" w14:textId="77777777" w:rsidR="00A470F1" w:rsidRPr="00442A3B" w:rsidRDefault="00A470F1" w:rsidP="002F5AF7">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-19</w:t>
            </w:r>
          </w:p>
        </w:tc>
        <w:tc>
          <w:tcPr>
            <w:tcW w:w="680" w:type="dxa"/>
            <w:tcBorders>
              <w:top w:val="nil"/>
              <w:left w:val="nil"/>
              <w:bottom w:val="single" w:sz="4" w:space="0" w:color="ADD6EA"/>
              <w:right w:val="nil"/>
            </w:tcBorders>
            <w:shd w:val="clear" w:color="000000" w:fill="D6E7F0"/>
            <w:vAlign w:val="bottom"/>
            <w:hideMark/>
          </w:tcPr>
          <w:p w14:paraId="2EAB204D" w14:textId="77777777" w:rsidR="00A470F1" w:rsidRPr="00442A3B" w:rsidRDefault="00A470F1" w:rsidP="002F5AF7">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66</w:t>
            </w:r>
          </w:p>
        </w:tc>
        <w:tc>
          <w:tcPr>
            <w:tcW w:w="760" w:type="dxa"/>
            <w:tcBorders>
              <w:top w:val="nil"/>
              <w:left w:val="nil"/>
              <w:bottom w:val="single" w:sz="4" w:space="0" w:color="ADD6EA"/>
              <w:right w:val="nil"/>
            </w:tcBorders>
            <w:shd w:val="clear" w:color="000000" w:fill="D6E7F0"/>
            <w:vAlign w:val="bottom"/>
            <w:hideMark/>
          </w:tcPr>
          <w:p w14:paraId="76030349" w14:textId="77777777" w:rsidR="00A470F1" w:rsidRPr="00442A3B" w:rsidRDefault="00A470F1" w:rsidP="002F5AF7">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1,236</w:t>
            </w:r>
          </w:p>
        </w:tc>
      </w:tr>
    </w:tbl>
    <w:p w14:paraId="6C244751" w14:textId="321EC268" w:rsidR="00165998" w:rsidRPr="00442A3B" w:rsidRDefault="00165998" w:rsidP="002F5AF7">
      <w:pPr>
        <w:pStyle w:val="CGCTablenote"/>
        <w:keepNext/>
        <w:keepLines/>
        <w:spacing w:before="0"/>
      </w:pPr>
      <w:r w:rsidRPr="00442A3B">
        <w:t xml:space="preserve">Source: </w:t>
      </w:r>
      <w:r w:rsidRPr="00442A3B">
        <w:tab/>
        <w:t>Commission calculation.</w:t>
      </w:r>
    </w:p>
    <w:p w14:paraId="46D0F140" w14:textId="34E6C741" w:rsidR="00165998" w:rsidRPr="00442A3B" w:rsidRDefault="00165998" w:rsidP="00B33810">
      <w:pPr>
        <w:pStyle w:val="CGCParaNumber"/>
        <w:widowControl w:val="0"/>
        <w:ind w:left="567" w:hanging="567"/>
      </w:pPr>
      <w:r w:rsidRPr="00442A3B">
        <w:fldChar w:fldCharType="begin"/>
      </w:r>
      <w:r w:rsidRPr="00442A3B">
        <w:instrText xml:space="preserve"> REF _Ref30524031 \h </w:instrText>
      </w:r>
      <w:r w:rsidR="00442A3B">
        <w:instrText xml:space="preserve"> \* MERGEFORMAT </w:instrText>
      </w:r>
      <w:r w:rsidRPr="00442A3B">
        <w:fldChar w:fldCharType="separate"/>
      </w:r>
      <w:r w:rsidR="00FC3D3D" w:rsidRPr="00442A3B">
        <w:t>Table 2</w:t>
      </w:r>
      <w:r w:rsidR="00FC3D3D" w:rsidRPr="00442A3B">
        <w:noBreakHyphen/>
      </w:r>
      <w:r w:rsidR="00FC3D3D">
        <w:t>5</w:t>
      </w:r>
      <w:r w:rsidRPr="00442A3B">
        <w:fldChar w:fldCharType="end"/>
      </w:r>
      <w:r w:rsidRPr="00442A3B">
        <w:t xml:space="preserve"> shows</w:t>
      </w:r>
      <w:r w:rsidR="00B33810" w:rsidRPr="00442A3B">
        <w:t xml:space="preserve"> a further disaggregation of</w:t>
      </w:r>
      <w:r w:rsidRPr="00442A3B">
        <w:t xml:space="preserve"> the drivers that made the largest contribution to the changes in State circumstances between the 2020 Review</w:t>
      </w:r>
      <w:r w:rsidR="003B3EFA" w:rsidRPr="00442A3B">
        <w:t xml:space="preserve"> and </w:t>
      </w:r>
      <w:r w:rsidR="00B33810" w:rsidRPr="00442A3B">
        <w:t xml:space="preserve">the </w:t>
      </w:r>
      <w:r w:rsidR="005909B1" w:rsidRPr="00442A3B">
        <w:t>2021 Update</w:t>
      </w:r>
      <w:r w:rsidR="00B33810" w:rsidRPr="00442A3B">
        <w:t>.</w:t>
      </w:r>
    </w:p>
    <w:p w14:paraId="58C403C8" w14:textId="00775FD9" w:rsidR="00165998" w:rsidRPr="00442A3B" w:rsidRDefault="00165998" w:rsidP="000E333C">
      <w:pPr>
        <w:pStyle w:val="Caption"/>
      </w:pPr>
      <w:bookmarkStart w:id="92" w:name="_Ref30524031"/>
      <w:bookmarkStart w:id="93" w:name="_Toc62487277"/>
      <w:bookmarkStart w:id="94" w:name="_Toc62723808"/>
      <w:r w:rsidRPr="00442A3B">
        <w:t>Table 2</w:t>
      </w:r>
      <w:r w:rsidRPr="00442A3B">
        <w:noBreakHyphen/>
      </w:r>
      <w:r w:rsidRPr="00442A3B">
        <w:fldChar w:fldCharType="begin"/>
      </w:r>
      <w:r w:rsidRPr="00442A3B">
        <w:instrText>SEQ Table \* ARABIC</w:instrText>
      </w:r>
      <w:r w:rsidRPr="00442A3B">
        <w:fldChar w:fldCharType="separate"/>
      </w:r>
      <w:r w:rsidR="00FC3D3D">
        <w:rPr>
          <w:noProof/>
        </w:rPr>
        <w:t>5</w:t>
      </w:r>
      <w:r w:rsidRPr="00442A3B">
        <w:fldChar w:fldCharType="end"/>
      </w:r>
      <w:bookmarkEnd w:id="92"/>
      <w:r w:rsidRPr="00442A3B">
        <w:tab/>
      </w:r>
      <w:r w:rsidR="00351972" w:rsidRPr="00442A3B">
        <w:t xml:space="preserve">Change </w:t>
      </w:r>
      <w:r w:rsidRPr="00442A3B">
        <w:t xml:space="preserve">to </w:t>
      </w:r>
      <w:r w:rsidR="001C3D17" w:rsidRPr="00442A3B">
        <w:t xml:space="preserve">GST distribution due </w:t>
      </w:r>
      <w:r w:rsidRPr="00442A3B">
        <w:t>to changes in State circumstances, 202</w:t>
      </w:r>
      <w:r w:rsidR="003B3EFA" w:rsidRPr="00442A3B">
        <w:t>1</w:t>
      </w:r>
      <w:r w:rsidR="001C3D17" w:rsidRPr="00442A3B">
        <w:noBreakHyphen/>
      </w:r>
      <w:r w:rsidR="003B3EFA" w:rsidRPr="00442A3B">
        <w:t>22</w:t>
      </w:r>
      <w:bookmarkEnd w:id="93"/>
      <w:bookmarkEnd w:id="94"/>
    </w:p>
    <w:tbl>
      <w:tblPr>
        <w:tblW w:w="8900" w:type="dxa"/>
        <w:tblCellMar>
          <w:left w:w="28" w:type="dxa"/>
          <w:right w:w="28" w:type="dxa"/>
        </w:tblCellMar>
        <w:tblLook w:val="04A0" w:firstRow="1" w:lastRow="0" w:firstColumn="1" w:lastColumn="0" w:noHBand="0" w:noVBand="1"/>
      </w:tblPr>
      <w:tblGrid>
        <w:gridCol w:w="2700"/>
        <w:gridCol w:w="680"/>
        <w:gridCol w:w="680"/>
        <w:gridCol w:w="680"/>
        <w:gridCol w:w="680"/>
        <w:gridCol w:w="680"/>
        <w:gridCol w:w="680"/>
        <w:gridCol w:w="680"/>
        <w:gridCol w:w="680"/>
        <w:gridCol w:w="760"/>
      </w:tblGrid>
      <w:tr w:rsidR="00760AFC" w:rsidRPr="00442A3B" w14:paraId="18869F3F" w14:textId="77777777" w:rsidTr="003063D4">
        <w:trPr>
          <w:trHeight w:val="375"/>
        </w:trPr>
        <w:tc>
          <w:tcPr>
            <w:tcW w:w="2700" w:type="dxa"/>
            <w:tcBorders>
              <w:top w:val="single" w:sz="4" w:space="0" w:color="ADD6EA"/>
              <w:left w:val="nil"/>
              <w:bottom w:val="single" w:sz="4" w:space="0" w:color="ADD6EA"/>
              <w:right w:val="nil"/>
            </w:tcBorders>
            <w:shd w:val="clear" w:color="000000" w:fill="006991"/>
            <w:vAlign w:val="center"/>
            <w:hideMark/>
          </w:tcPr>
          <w:p w14:paraId="4A4CDAFA" w14:textId="77777777" w:rsidR="00760AFC" w:rsidRPr="00442A3B" w:rsidRDefault="00760AFC" w:rsidP="00760AFC">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 </w:t>
            </w:r>
          </w:p>
        </w:tc>
        <w:tc>
          <w:tcPr>
            <w:tcW w:w="680" w:type="dxa"/>
            <w:tcBorders>
              <w:top w:val="single" w:sz="4" w:space="0" w:color="ADD6EA"/>
              <w:left w:val="nil"/>
              <w:bottom w:val="single" w:sz="4" w:space="0" w:color="ADD6EA"/>
              <w:right w:val="nil"/>
            </w:tcBorders>
            <w:shd w:val="clear" w:color="000000" w:fill="006991"/>
            <w:vAlign w:val="center"/>
            <w:hideMark/>
          </w:tcPr>
          <w:p w14:paraId="017976D3" w14:textId="77777777" w:rsidR="00760AFC" w:rsidRPr="00442A3B" w:rsidRDefault="00760AFC" w:rsidP="00760AFC">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NSW</w:t>
            </w:r>
          </w:p>
        </w:tc>
        <w:tc>
          <w:tcPr>
            <w:tcW w:w="680" w:type="dxa"/>
            <w:tcBorders>
              <w:top w:val="single" w:sz="4" w:space="0" w:color="ADD6EA"/>
              <w:left w:val="nil"/>
              <w:bottom w:val="single" w:sz="4" w:space="0" w:color="ADD6EA"/>
              <w:right w:val="nil"/>
            </w:tcBorders>
            <w:shd w:val="clear" w:color="000000" w:fill="006991"/>
            <w:vAlign w:val="center"/>
            <w:hideMark/>
          </w:tcPr>
          <w:p w14:paraId="2BD03380" w14:textId="77777777" w:rsidR="00760AFC" w:rsidRPr="00442A3B" w:rsidRDefault="00760AFC" w:rsidP="00760AFC">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Vic</w:t>
            </w:r>
          </w:p>
        </w:tc>
        <w:tc>
          <w:tcPr>
            <w:tcW w:w="680" w:type="dxa"/>
            <w:tcBorders>
              <w:top w:val="single" w:sz="4" w:space="0" w:color="ADD6EA"/>
              <w:left w:val="nil"/>
              <w:bottom w:val="single" w:sz="4" w:space="0" w:color="ADD6EA"/>
              <w:right w:val="nil"/>
            </w:tcBorders>
            <w:shd w:val="clear" w:color="000000" w:fill="006991"/>
            <w:vAlign w:val="center"/>
            <w:hideMark/>
          </w:tcPr>
          <w:p w14:paraId="6D548DD7" w14:textId="77777777" w:rsidR="00760AFC" w:rsidRPr="00442A3B" w:rsidRDefault="00760AFC" w:rsidP="00760AFC">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Qld</w:t>
            </w:r>
          </w:p>
        </w:tc>
        <w:tc>
          <w:tcPr>
            <w:tcW w:w="680" w:type="dxa"/>
            <w:tcBorders>
              <w:top w:val="single" w:sz="4" w:space="0" w:color="ADD6EA"/>
              <w:left w:val="nil"/>
              <w:bottom w:val="single" w:sz="4" w:space="0" w:color="ADD6EA"/>
              <w:right w:val="nil"/>
            </w:tcBorders>
            <w:shd w:val="clear" w:color="000000" w:fill="006991"/>
            <w:vAlign w:val="center"/>
            <w:hideMark/>
          </w:tcPr>
          <w:p w14:paraId="5FD25C5D" w14:textId="77777777" w:rsidR="00760AFC" w:rsidRPr="00442A3B" w:rsidRDefault="00760AFC" w:rsidP="00760AFC">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WA</w:t>
            </w:r>
          </w:p>
        </w:tc>
        <w:tc>
          <w:tcPr>
            <w:tcW w:w="680" w:type="dxa"/>
            <w:tcBorders>
              <w:top w:val="single" w:sz="4" w:space="0" w:color="ADD6EA"/>
              <w:left w:val="nil"/>
              <w:bottom w:val="single" w:sz="4" w:space="0" w:color="ADD6EA"/>
              <w:right w:val="nil"/>
            </w:tcBorders>
            <w:shd w:val="clear" w:color="000000" w:fill="006991"/>
            <w:vAlign w:val="center"/>
            <w:hideMark/>
          </w:tcPr>
          <w:p w14:paraId="242E498F" w14:textId="77777777" w:rsidR="00760AFC" w:rsidRPr="00442A3B" w:rsidRDefault="00760AFC" w:rsidP="00760AFC">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SA</w:t>
            </w:r>
          </w:p>
        </w:tc>
        <w:tc>
          <w:tcPr>
            <w:tcW w:w="680" w:type="dxa"/>
            <w:tcBorders>
              <w:top w:val="single" w:sz="4" w:space="0" w:color="ADD6EA"/>
              <w:left w:val="nil"/>
              <w:bottom w:val="single" w:sz="4" w:space="0" w:color="ADD6EA"/>
              <w:right w:val="nil"/>
            </w:tcBorders>
            <w:shd w:val="clear" w:color="000000" w:fill="006991"/>
            <w:vAlign w:val="center"/>
            <w:hideMark/>
          </w:tcPr>
          <w:p w14:paraId="1EC8AA66" w14:textId="77777777" w:rsidR="00760AFC" w:rsidRPr="00442A3B" w:rsidRDefault="00760AFC" w:rsidP="00760AFC">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Tas</w:t>
            </w:r>
          </w:p>
        </w:tc>
        <w:tc>
          <w:tcPr>
            <w:tcW w:w="680" w:type="dxa"/>
            <w:tcBorders>
              <w:top w:val="single" w:sz="4" w:space="0" w:color="ADD6EA"/>
              <w:left w:val="nil"/>
              <w:bottom w:val="single" w:sz="4" w:space="0" w:color="ADD6EA"/>
              <w:right w:val="nil"/>
            </w:tcBorders>
            <w:shd w:val="clear" w:color="000000" w:fill="006991"/>
            <w:vAlign w:val="center"/>
            <w:hideMark/>
          </w:tcPr>
          <w:p w14:paraId="133DCE6B" w14:textId="77777777" w:rsidR="00760AFC" w:rsidRPr="00442A3B" w:rsidRDefault="00760AFC" w:rsidP="00760AFC">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ACT</w:t>
            </w:r>
          </w:p>
        </w:tc>
        <w:tc>
          <w:tcPr>
            <w:tcW w:w="680" w:type="dxa"/>
            <w:tcBorders>
              <w:top w:val="single" w:sz="4" w:space="0" w:color="ADD6EA"/>
              <w:left w:val="nil"/>
              <w:bottom w:val="single" w:sz="4" w:space="0" w:color="ADD6EA"/>
              <w:right w:val="nil"/>
            </w:tcBorders>
            <w:shd w:val="clear" w:color="000000" w:fill="006991"/>
            <w:vAlign w:val="center"/>
            <w:hideMark/>
          </w:tcPr>
          <w:p w14:paraId="45249DA9" w14:textId="77777777" w:rsidR="00760AFC" w:rsidRPr="00442A3B" w:rsidRDefault="00760AFC" w:rsidP="00760AFC">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NT</w:t>
            </w:r>
          </w:p>
        </w:tc>
        <w:tc>
          <w:tcPr>
            <w:tcW w:w="760" w:type="dxa"/>
            <w:tcBorders>
              <w:top w:val="single" w:sz="4" w:space="0" w:color="ADD6EA"/>
              <w:left w:val="nil"/>
              <w:bottom w:val="single" w:sz="4" w:space="0" w:color="ADD6EA"/>
              <w:right w:val="nil"/>
            </w:tcBorders>
            <w:shd w:val="clear" w:color="000000" w:fill="006991"/>
            <w:vAlign w:val="center"/>
            <w:hideMark/>
          </w:tcPr>
          <w:p w14:paraId="28C13E7A" w14:textId="77777777" w:rsidR="00760AFC" w:rsidRPr="00442A3B" w:rsidRDefault="00760AFC" w:rsidP="00760AFC">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Redist</w:t>
            </w:r>
          </w:p>
        </w:tc>
      </w:tr>
      <w:tr w:rsidR="00760AFC" w:rsidRPr="00442A3B" w14:paraId="5D6C91FE" w14:textId="77777777" w:rsidTr="003063D4">
        <w:trPr>
          <w:trHeight w:val="259"/>
        </w:trPr>
        <w:tc>
          <w:tcPr>
            <w:tcW w:w="2700" w:type="dxa"/>
            <w:tcBorders>
              <w:top w:val="nil"/>
              <w:left w:val="nil"/>
              <w:bottom w:val="single" w:sz="4" w:space="0" w:color="ADD6EA"/>
              <w:right w:val="nil"/>
            </w:tcBorders>
            <w:shd w:val="clear" w:color="000000" w:fill="B6D5E4"/>
            <w:vAlign w:val="bottom"/>
            <w:hideMark/>
          </w:tcPr>
          <w:p w14:paraId="7F97EDF4" w14:textId="77777777" w:rsidR="00760AFC" w:rsidRPr="00442A3B" w:rsidRDefault="00760AFC" w:rsidP="00760AFC">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442A3B">
              <w:rPr>
                <w:rFonts w:ascii="Open Sans Semibold" w:eastAsia="Times New Roman" w:hAnsi="Open Sans Semibold" w:cs="Open Sans Semibold"/>
                <w:sz w:val="16"/>
                <w:szCs w:val="16"/>
                <w:lang w:eastAsia="en-AU"/>
              </w:rPr>
              <w:t> </w:t>
            </w:r>
          </w:p>
        </w:tc>
        <w:tc>
          <w:tcPr>
            <w:tcW w:w="680" w:type="dxa"/>
            <w:tcBorders>
              <w:top w:val="nil"/>
              <w:left w:val="nil"/>
              <w:bottom w:val="single" w:sz="4" w:space="0" w:color="ADD6EA"/>
              <w:right w:val="nil"/>
            </w:tcBorders>
            <w:shd w:val="clear" w:color="000000" w:fill="B6D5E4"/>
            <w:vAlign w:val="bottom"/>
            <w:hideMark/>
          </w:tcPr>
          <w:p w14:paraId="0290A115" w14:textId="77777777" w:rsidR="00760AFC" w:rsidRPr="00442A3B" w:rsidRDefault="00760AFC" w:rsidP="00760AFC">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680" w:type="dxa"/>
            <w:tcBorders>
              <w:top w:val="nil"/>
              <w:left w:val="nil"/>
              <w:bottom w:val="single" w:sz="4" w:space="0" w:color="ADD6EA"/>
              <w:right w:val="nil"/>
            </w:tcBorders>
            <w:shd w:val="clear" w:color="000000" w:fill="B6D5E4"/>
            <w:vAlign w:val="bottom"/>
            <w:hideMark/>
          </w:tcPr>
          <w:p w14:paraId="0180446D" w14:textId="77777777" w:rsidR="00760AFC" w:rsidRPr="00442A3B" w:rsidRDefault="00760AFC" w:rsidP="00760AFC">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680" w:type="dxa"/>
            <w:tcBorders>
              <w:top w:val="nil"/>
              <w:left w:val="nil"/>
              <w:bottom w:val="single" w:sz="4" w:space="0" w:color="ADD6EA"/>
              <w:right w:val="nil"/>
            </w:tcBorders>
            <w:shd w:val="clear" w:color="000000" w:fill="B6D5E4"/>
            <w:vAlign w:val="bottom"/>
            <w:hideMark/>
          </w:tcPr>
          <w:p w14:paraId="30CDBA01" w14:textId="77777777" w:rsidR="00760AFC" w:rsidRPr="00442A3B" w:rsidRDefault="00760AFC" w:rsidP="00760AFC">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680" w:type="dxa"/>
            <w:tcBorders>
              <w:top w:val="nil"/>
              <w:left w:val="nil"/>
              <w:bottom w:val="single" w:sz="4" w:space="0" w:color="ADD6EA"/>
              <w:right w:val="nil"/>
            </w:tcBorders>
            <w:shd w:val="clear" w:color="000000" w:fill="B6D5E4"/>
            <w:vAlign w:val="bottom"/>
            <w:hideMark/>
          </w:tcPr>
          <w:p w14:paraId="5F658FDF" w14:textId="77777777" w:rsidR="00760AFC" w:rsidRPr="00442A3B" w:rsidRDefault="00760AFC" w:rsidP="00760AFC">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680" w:type="dxa"/>
            <w:tcBorders>
              <w:top w:val="nil"/>
              <w:left w:val="nil"/>
              <w:bottom w:val="single" w:sz="4" w:space="0" w:color="ADD6EA"/>
              <w:right w:val="nil"/>
            </w:tcBorders>
            <w:shd w:val="clear" w:color="000000" w:fill="B6D5E4"/>
            <w:vAlign w:val="bottom"/>
            <w:hideMark/>
          </w:tcPr>
          <w:p w14:paraId="564D5110" w14:textId="77777777" w:rsidR="00760AFC" w:rsidRPr="00442A3B" w:rsidRDefault="00760AFC" w:rsidP="00760AFC">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680" w:type="dxa"/>
            <w:tcBorders>
              <w:top w:val="nil"/>
              <w:left w:val="nil"/>
              <w:bottom w:val="single" w:sz="4" w:space="0" w:color="ADD6EA"/>
              <w:right w:val="nil"/>
            </w:tcBorders>
            <w:shd w:val="clear" w:color="000000" w:fill="B6D5E4"/>
            <w:vAlign w:val="bottom"/>
            <w:hideMark/>
          </w:tcPr>
          <w:p w14:paraId="6F2BBC4F" w14:textId="77777777" w:rsidR="00760AFC" w:rsidRPr="00442A3B" w:rsidRDefault="00760AFC" w:rsidP="00760AFC">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680" w:type="dxa"/>
            <w:tcBorders>
              <w:top w:val="nil"/>
              <w:left w:val="nil"/>
              <w:bottom w:val="single" w:sz="4" w:space="0" w:color="ADD6EA"/>
              <w:right w:val="nil"/>
            </w:tcBorders>
            <w:shd w:val="clear" w:color="000000" w:fill="B6D5E4"/>
            <w:vAlign w:val="bottom"/>
            <w:hideMark/>
          </w:tcPr>
          <w:p w14:paraId="7BE4194F" w14:textId="77777777" w:rsidR="00760AFC" w:rsidRPr="00442A3B" w:rsidRDefault="00760AFC" w:rsidP="00760AFC">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680" w:type="dxa"/>
            <w:tcBorders>
              <w:top w:val="nil"/>
              <w:left w:val="nil"/>
              <w:bottom w:val="single" w:sz="4" w:space="0" w:color="ADD6EA"/>
              <w:right w:val="nil"/>
            </w:tcBorders>
            <w:shd w:val="clear" w:color="000000" w:fill="B6D5E4"/>
            <w:vAlign w:val="bottom"/>
            <w:hideMark/>
          </w:tcPr>
          <w:p w14:paraId="78ABDA37" w14:textId="77777777" w:rsidR="00760AFC" w:rsidRPr="00442A3B" w:rsidRDefault="00760AFC" w:rsidP="00760AFC">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vAlign w:val="bottom"/>
            <w:hideMark/>
          </w:tcPr>
          <w:p w14:paraId="73DF6D2F" w14:textId="77777777" w:rsidR="00760AFC" w:rsidRPr="00442A3B" w:rsidRDefault="00760AFC" w:rsidP="00760AFC">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r>
      <w:tr w:rsidR="00760AFC" w:rsidRPr="00442A3B" w14:paraId="5F10F84C" w14:textId="77777777" w:rsidTr="003063D4">
        <w:trPr>
          <w:trHeight w:val="315"/>
        </w:trPr>
        <w:tc>
          <w:tcPr>
            <w:tcW w:w="2700" w:type="dxa"/>
            <w:tcBorders>
              <w:top w:val="nil"/>
              <w:left w:val="nil"/>
              <w:bottom w:val="single" w:sz="4" w:space="0" w:color="ADD6EA"/>
              <w:right w:val="nil"/>
            </w:tcBorders>
            <w:shd w:val="clear" w:color="auto" w:fill="auto"/>
            <w:vAlign w:val="bottom"/>
            <w:hideMark/>
          </w:tcPr>
          <w:p w14:paraId="2929A919" w14:textId="0D40022B" w:rsidR="00760AFC" w:rsidRPr="00442A3B" w:rsidRDefault="00C378CC" w:rsidP="00760AFC">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Mining</w:t>
            </w:r>
          </w:p>
        </w:tc>
        <w:tc>
          <w:tcPr>
            <w:tcW w:w="680" w:type="dxa"/>
            <w:tcBorders>
              <w:top w:val="nil"/>
              <w:left w:val="nil"/>
              <w:bottom w:val="single" w:sz="4" w:space="0" w:color="ADD6EA"/>
              <w:right w:val="nil"/>
            </w:tcBorders>
            <w:shd w:val="clear" w:color="auto" w:fill="auto"/>
            <w:vAlign w:val="bottom"/>
            <w:hideMark/>
          </w:tcPr>
          <w:p w14:paraId="3E48E62B"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499</w:t>
            </w:r>
          </w:p>
        </w:tc>
        <w:tc>
          <w:tcPr>
            <w:tcW w:w="680" w:type="dxa"/>
            <w:tcBorders>
              <w:top w:val="nil"/>
              <w:left w:val="nil"/>
              <w:bottom w:val="single" w:sz="4" w:space="0" w:color="ADD6EA"/>
              <w:right w:val="nil"/>
            </w:tcBorders>
            <w:shd w:val="clear" w:color="auto" w:fill="auto"/>
            <w:vAlign w:val="bottom"/>
            <w:hideMark/>
          </w:tcPr>
          <w:p w14:paraId="0DB2E168"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389</w:t>
            </w:r>
          </w:p>
        </w:tc>
        <w:tc>
          <w:tcPr>
            <w:tcW w:w="680" w:type="dxa"/>
            <w:tcBorders>
              <w:top w:val="nil"/>
              <w:left w:val="nil"/>
              <w:bottom w:val="single" w:sz="4" w:space="0" w:color="ADD6EA"/>
              <w:right w:val="nil"/>
            </w:tcBorders>
            <w:shd w:val="clear" w:color="auto" w:fill="auto"/>
            <w:vAlign w:val="bottom"/>
            <w:hideMark/>
          </w:tcPr>
          <w:p w14:paraId="227E07D5"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75</w:t>
            </w:r>
          </w:p>
        </w:tc>
        <w:tc>
          <w:tcPr>
            <w:tcW w:w="680" w:type="dxa"/>
            <w:tcBorders>
              <w:top w:val="nil"/>
              <w:left w:val="nil"/>
              <w:bottom w:val="single" w:sz="4" w:space="0" w:color="ADD6EA"/>
              <w:right w:val="nil"/>
            </w:tcBorders>
            <w:shd w:val="clear" w:color="auto" w:fill="auto"/>
            <w:vAlign w:val="bottom"/>
            <w:hideMark/>
          </w:tcPr>
          <w:p w14:paraId="57FF40EE"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-1,061</w:t>
            </w:r>
          </w:p>
        </w:tc>
        <w:tc>
          <w:tcPr>
            <w:tcW w:w="680" w:type="dxa"/>
            <w:tcBorders>
              <w:top w:val="nil"/>
              <w:left w:val="nil"/>
              <w:bottom w:val="single" w:sz="4" w:space="0" w:color="ADD6EA"/>
              <w:right w:val="nil"/>
            </w:tcBorders>
            <w:shd w:val="clear" w:color="auto" w:fill="auto"/>
            <w:vAlign w:val="bottom"/>
            <w:hideMark/>
          </w:tcPr>
          <w:p w14:paraId="766AE065"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59</w:t>
            </w:r>
          </w:p>
        </w:tc>
        <w:tc>
          <w:tcPr>
            <w:tcW w:w="680" w:type="dxa"/>
            <w:tcBorders>
              <w:top w:val="nil"/>
              <w:left w:val="nil"/>
              <w:bottom w:val="single" w:sz="4" w:space="0" w:color="ADD6EA"/>
              <w:right w:val="nil"/>
            </w:tcBorders>
            <w:shd w:val="clear" w:color="auto" w:fill="auto"/>
            <w:vAlign w:val="bottom"/>
            <w:hideMark/>
          </w:tcPr>
          <w:p w14:paraId="7D2F7F25"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28</w:t>
            </w:r>
          </w:p>
        </w:tc>
        <w:tc>
          <w:tcPr>
            <w:tcW w:w="680" w:type="dxa"/>
            <w:tcBorders>
              <w:top w:val="nil"/>
              <w:left w:val="nil"/>
              <w:bottom w:val="single" w:sz="4" w:space="0" w:color="ADD6EA"/>
              <w:right w:val="nil"/>
            </w:tcBorders>
            <w:shd w:val="clear" w:color="auto" w:fill="auto"/>
            <w:vAlign w:val="bottom"/>
            <w:hideMark/>
          </w:tcPr>
          <w:p w14:paraId="222DA368"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26</w:t>
            </w:r>
          </w:p>
        </w:tc>
        <w:tc>
          <w:tcPr>
            <w:tcW w:w="680" w:type="dxa"/>
            <w:tcBorders>
              <w:top w:val="nil"/>
              <w:left w:val="nil"/>
              <w:bottom w:val="single" w:sz="4" w:space="0" w:color="ADD6EA"/>
              <w:right w:val="nil"/>
            </w:tcBorders>
            <w:shd w:val="clear" w:color="auto" w:fill="auto"/>
            <w:vAlign w:val="bottom"/>
            <w:hideMark/>
          </w:tcPr>
          <w:p w14:paraId="4BE29516"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-16</w:t>
            </w:r>
          </w:p>
        </w:tc>
        <w:tc>
          <w:tcPr>
            <w:tcW w:w="760" w:type="dxa"/>
            <w:tcBorders>
              <w:top w:val="nil"/>
              <w:left w:val="nil"/>
              <w:bottom w:val="single" w:sz="4" w:space="0" w:color="ADD6EA"/>
              <w:right w:val="nil"/>
            </w:tcBorders>
            <w:shd w:val="clear" w:color="auto" w:fill="auto"/>
            <w:vAlign w:val="bottom"/>
            <w:hideMark/>
          </w:tcPr>
          <w:p w14:paraId="4E7E51B2"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1,077</w:t>
            </w:r>
          </w:p>
        </w:tc>
      </w:tr>
      <w:tr w:rsidR="00760AFC" w:rsidRPr="00442A3B" w14:paraId="77E75B7B" w14:textId="77777777" w:rsidTr="003063D4">
        <w:trPr>
          <w:trHeight w:val="315"/>
        </w:trPr>
        <w:tc>
          <w:tcPr>
            <w:tcW w:w="2700" w:type="dxa"/>
            <w:tcBorders>
              <w:top w:val="nil"/>
              <w:left w:val="nil"/>
              <w:bottom w:val="single" w:sz="4" w:space="0" w:color="ADD6EA"/>
              <w:right w:val="nil"/>
            </w:tcBorders>
            <w:shd w:val="clear" w:color="auto" w:fill="auto"/>
            <w:vAlign w:val="bottom"/>
            <w:hideMark/>
          </w:tcPr>
          <w:p w14:paraId="29126543" w14:textId="77777777" w:rsidR="00760AFC" w:rsidRPr="00442A3B" w:rsidRDefault="00760AFC" w:rsidP="00760AFC">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Property sales</w:t>
            </w:r>
          </w:p>
        </w:tc>
        <w:tc>
          <w:tcPr>
            <w:tcW w:w="680" w:type="dxa"/>
            <w:tcBorders>
              <w:top w:val="nil"/>
              <w:left w:val="nil"/>
              <w:bottom w:val="single" w:sz="4" w:space="0" w:color="ADD6EA"/>
              <w:right w:val="nil"/>
            </w:tcBorders>
            <w:shd w:val="clear" w:color="auto" w:fill="auto"/>
            <w:vAlign w:val="bottom"/>
            <w:hideMark/>
          </w:tcPr>
          <w:p w14:paraId="41C37329"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387</w:t>
            </w:r>
          </w:p>
        </w:tc>
        <w:tc>
          <w:tcPr>
            <w:tcW w:w="680" w:type="dxa"/>
            <w:tcBorders>
              <w:top w:val="nil"/>
              <w:left w:val="nil"/>
              <w:bottom w:val="single" w:sz="4" w:space="0" w:color="ADD6EA"/>
              <w:right w:val="nil"/>
            </w:tcBorders>
            <w:shd w:val="clear" w:color="auto" w:fill="auto"/>
            <w:vAlign w:val="bottom"/>
            <w:hideMark/>
          </w:tcPr>
          <w:p w14:paraId="0225D21A"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-210</w:t>
            </w:r>
          </w:p>
        </w:tc>
        <w:tc>
          <w:tcPr>
            <w:tcW w:w="680" w:type="dxa"/>
            <w:tcBorders>
              <w:top w:val="nil"/>
              <w:left w:val="nil"/>
              <w:bottom w:val="single" w:sz="4" w:space="0" w:color="ADD6EA"/>
              <w:right w:val="nil"/>
            </w:tcBorders>
            <w:shd w:val="clear" w:color="auto" w:fill="auto"/>
            <w:vAlign w:val="bottom"/>
            <w:hideMark/>
          </w:tcPr>
          <w:p w14:paraId="7FF9D9A0"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53</w:t>
            </w:r>
          </w:p>
        </w:tc>
        <w:tc>
          <w:tcPr>
            <w:tcW w:w="680" w:type="dxa"/>
            <w:tcBorders>
              <w:top w:val="nil"/>
              <w:left w:val="nil"/>
              <w:bottom w:val="single" w:sz="4" w:space="0" w:color="ADD6EA"/>
              <w:right w:val="nil"/>
            </w:tcBorders>
            <w:shd w:val="clear" w:color="auto" w:fill="auto"/>
            <w:vAlign w:val="bottom"/>
            <w:hideMark/>
          </w:tcPr>
          <w:p w14:paraId="2F1ED972"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-59</w:t>
            </w:r>
          </w:p>
        </w:tc>
        <w:tc>
          <w:tcPr>
            <w:tcW w:w="680" w:type="dxa"/>
            <w:tcBorders>
              <w:top w:val="nil"/>
              <w:left w:val="nil"/>
              <w:bottom w:val="single" w:sz="4" w:space="0" w:color="ADD6EA"/>
              <w:right w:val="nil"/>
            </w:tcBorders>
            <w:shd w:val="clear" w:color="auto" w:fill="auto"/>
            <w:vAlign w:val="bottom"/>
            <w:hideMark/>
          </w:tcPr>
          <w:p w14:paraId="4D88C0CE"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-122</w:t>
            </w:r>
          </w:p>
        </w:tc>
        <w:tc>
          <w:tcPr>
            <w:tcW w:w="680" w:type="dxa"/>
            <w:tcBorders>
              <w:top w:val="nil"/>
              <w:left w:val="nil"/>
              <w:bottom w:val="single" w:sz="4" w:space="0" w:color="ADD6EA"/>
              <w:right w:val="nil"/>
            </w:tcBorders>
            <w:shd w:val="clear" w:color="auto" w:fill="auto"/>
            <w:vAlign w:val="bottom"/>
            <w:hideMark/>
          </w:tcPr>
          <w:p w14:paraId="1259893D"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-48</w:t>
            </w:r>
          </w:p>
        </w:tc>
        <w:tc>
          <w:tcPr>
            <w:tcW w:w="680" w:type="dxa"/>
            <w:tcBorders>
              <w:top w:val="nil"/>
              <w:left w:val="nil"/>
              <w:bottom w:val="single" w:sz="4" w:space="0" w:color="ADD6EA"/>
              <w:right w:val="nil"/>
            </w:tcBorders>
            <w:shd w:val="clear" w:color="auto" w:fill="auto"/>
            <w:vAlign w:val="bottom"/>
            <w:hideMark/>
          </w:tcPr>
          <w:p w14:paraId="0FF299F1"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w:t>
            </w:r>
          </w:p>
        </w:tc>
        <w:tc>
          <w:tcPr>
            <w:tcW w:w="680" w:type="dxa"/>
            <w:tcBorders>
              <w:top w:val="nil"/>
              <w:left w:val="nil"/>
              <w:bottom w:val="single" w:sz="4" w:space="0" w:color="ADD6EA"/>
              <w:right w:val="nil"/>
            </w:tcBorders>
            <w:shd w:val="clear" w:color="auto" w:fill="auto"/>
            <w:vAlign w:val="bottom"/>
            <w:hideMark/>
          </w:tcPr>
          <w:p w14:paraId="69086F8A"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w:t>
            </w:r>
          </w:p>
        </w:tc>
        <w:tc>
          <w:tcPr>
            <w:tcW w:w="760" w:type="dxa"/>
            <w:tcBorders>
              <w:top w:val="nil"/>
              <w:left w:val="nil"/>
              <w:bottom w:val="single" w:sz="4" w:space="0" w:color="ADD6EA"/>
              <w:right w:val="nil"/>
            </w:tcBorders>
            <w:shd w:val="clear" w:color="auto" w:fill="auto"/>
            <w:vAlign w:val="bottom"/>
            <w:hideMark/>
          </w:tcPr>
          <w:p w14:paraId="03ABFBCB"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445</w:t>
            </w:r>
          </w:p>
        </w:tc>
      </w:tr>
      <w:tr w:rsidR="00760AFC" w:rsidRPr="00442A3B" w14:paraId="2E8CC9B0" w14:textId="77777777" w:rsidTr="003063D4">
        <w:trPr>
          <w:trHeight w:val="315"/>
        </w:trPr>
        <w:tc>
          <w:tcPr>
            <w:tcW w:w="2700" w:type="dxa"/>
            <w:tcBorders>
              <w:top w:val="nil"/>
              <w:left w:val="nil"/>
              <w:bottom w:val="single" w:sz="4" w:space="0" w:color="ADD6EA"/>
              <w:right w:val="nil"/>
            </w:tcBorders>
            <w:shd w:val="clear" w:color="auto" w:fill="auto"/>
            <w:vAlign w:val="bottom"/>
            <w:hideMark/>
          </w:tcPr>
          <w:p w14:paraId="01AD7B7E" w14:textId="77777777" w:rsidR="00760AFC" w:rsidRPr="00442A3B" w:rsidRDefault="00760AFC" w:rsidP="00760AFC">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Capital requirement</w:t>
            </w:r>
          </w:p>
        </w:tc>
        <w:tc>
          <w:tcPr>
            <w:tcW w:w="680" w:type="dxa"/>
            <w:tcBorders>
              <w:top w:val="nil"/>
              <w:left w:val="nil"/>
              <w:bottom w:val="single" w:sz="4" w:space="0" w:color="ADD6EA"/>
              <w:right w:val="nil"/>
            </w:tcBorders>
            <w:shd w:val="clear" w:color="auto" w:fill="auto"/>
            <w:vAlign w:val="bottom"/>
            <w:hideMark/>
          </w:tcPr>
          <w:p w14:paraId="77674359"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-187</w:t>
            </w:r>
          </w:p>
        </w:tc>
        <w:tc>
          <w:tcPr>
            <w:tcW w:w="680" w:type="dxa"/>
            <w:tcBorders>
              <w:top w:val="nil"/>
              <w:left w:val="nil"/>
              <w:bottom w:val="single" w:sz="4" w:space="0" w:color="ADD6EA"/>
              <w:right w:val="nil"/>
            </w:tcBorders>
            <w:shd w:val="clear" w:color="auto" w:fill="auto"/>
            <w:vAlign w:val="bottom"/>
            <w:hideMark/>
          </w:tcPr>
          <w:p w14:paraId="4F8F9E7A"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-46</w:t>
            </w:r>
          </w:p>
        </w:tc>
        <w:tc>
          <w:tcPr>
            <w:tcW w:w="680" w:type="dxa"/>
            <w:tcBorders>
              <w:top w:val="nil"/>
              <w:left w:val="nil"/>
              <w:bottom w:val="single" w:sz="4" w:space="0" w:color="ADD6EA"/>
              <w:right w:val="nil"/>
            </w:tcBorders>
            <w:shd w:val="clear" w:color="auto" w:fill="auto"/>
            <w:vAlign w:val="bottom"/>
            <w:hideMark/>
          </w:tcPr>
          <w:p w14:paraId="53BF8383"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84</w:t>
            </w:r>
          </w:p>
        </w:tc>
        <w:tc>
          <w:tcPr>
            <w:tcW w:w="680" w:type="dxa"/>
            <w:tcBorders>
              <w:top w:val="nil"/>
              <w:left w:val="nil"/>
              <w:bottom w:val="single" w:sz="4" w:space="0" w:color="ADD6EA"/>
              <w:right w:val="nil"/>
            </w:tcBorders>
            <w:shd w:val="clear" w:color="auto" w:fill="auto"/>
            <w:vAlign w:val="bottom"/>
            <w:hideMark/>
          </w:tcPr>
          <w:p w14:paraId="75252695"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196</w:t>
            </w:r>
          </w:p>
        </w:tc>
        <w:tc>
          <w:tcPr>
            <w:tcW w:w="680" w:type="dxa"/>
            <w:tcBorders>
              <w:top w:val="nil"/>
              <w:left w:val="nil"/>
              <w:bottom w:val="single" w:sz="4" w:space="0" w:color="ADD6EA"/>
              <w:right w:val="nil"/>
            </w:tcBorders>
            <w:shd w:val="clear" w:color="auto" w:fill="auto"/>
            <w:vAlign w:val="bottom"/>
            <w:hideMark/>
          </w:tcPr>
          <w:p w14:paraId="2D4614D8"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19</w:t>
            </w:r>
          </w:p>
        </w:tc>
        <w:tc>
          <w:tcPr>
            <w:tcW w:w="680" w:type="dxa"/>
            <w:tcBorders>
              <w:top w:val="nil"/>
              <w:left w:val="nil"/>
              <w:bottom w:val="single" w:sz="4" w:space="0" w:color="ADD6EA"/>
              <w:right w:val="nil"/>
            </w:tcBorders>
            <w:shd w:val="clear" w:color="auto" w:fill="auto"/>
            <w:vAlign w:val="bottom"/>
            <w:hideMark/>
          </w:tcPr>
          <w:p w14:paraId="749A7FE7"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w:t>
            </w:r>
          </w:p>
        </w:tc>
        <w:tc>
          <w:tcPr>
            <w:tcW w:w="680" w:type="dxa"/>
            <w:tcBorders>
              <w:top w:val="nil"/>
              <w:left w:val="nil"/>
              <w:bottom w:val="single" w:sz="4" w:space="0" w:color="ADD6EA"/>
              <w:right w:val="nil"/>
            </w:tcBorders>
            <w:shd w:val="clear" w:color="auto" w:fill="auto"/>
            <w:vAlign w:val="bottom"/>
            <w:hideMark/>
          </w:tcPr>
          <w:p w14:paraId="6629AE29"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-33</w:t>
            </w:r>
          </w:p>
        </w:tc>
        <w:tc>
          <w:tcPr>
            <w:tcW w:w="680" w:type="dxa"/>
            <w:tcBorders>
              <w:top w:val="nil"/>
              <w:left w:val="nil"/>
              <w:bottom w:val="single" w:sz="4" w:space="0" w:color="ADD6EA"/>
              <w:right w:val="nil"/>
            </w:tcBorders>
            <w:shd w:val="clear" w:color="auto" w:fill="auto"/>
            <w:vAlign w:val="bottom"/>
            <w:hideMark/>
          </w:tcPr>
          <w:p w14:paraId="680B54CD"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-33</w:t>
            </w:r>
          </w:p>
        </w:tc>
        <w:tc>
          <w:tcPr>
            <w:tcW w:w="760" w:type="dxa"/>
            <w:tcBorders>
              <w:top w:val="nil"/>
              <w:left w:val="nil"/>
              <w:bottom w:val="single" w:sz="4" w:space="0" w:color="ADD6EA"/>
              <w:right w:val="nil"/>
            </w:tcBorders>
            <w:shd w:val="clear" w:color="auto" w:fill="auto"/>
            <w:vAlign w:val="bottom"/>
            <w:hideMark/>
          </w:tcPr>
          <w:p w14:paraId="15C12A9F"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300</w:t>
            </w:r>
          </w:p>
        </w:tc>
      </w:tr>
      <w:tr w:rsidR="00760AFC" w:rsidRPr="00442A3B" w14:paraId="47CB0825" w14:textId="77777777" w:rsidTr="003063D4">
        <w:trPr>
          <w:trHeight w:val="315"/>
        </w:trPr>
        <w:tc>
          <w:tcPr>
            <w:tcW w:w="2700" w:type="dxa"/>
            <w:tcBorders>
              <w:top w:val="nil"/>
              <w:left w:val="nil"/>
              <w:bottom w:val="single" w:sz="4" w:space="0" w:color="ADD6EA"/>
              <w:right w:val="nil"/>
            </w:tcBorders>
            <w:shd w:val="clear" w:color="auto" w:fill="auto"/>
            <w:vAlign w:val="bottom"/>
            <w:hideMark/>
          </w:tcPr>
          <w:p w14:paraId="6A223A0E" w14:textId="77777777" w:rsidR="00760AFC" w:rsidRPr="00442A3B" w:rsidRDefault="00760AFC" w:rsidP="00760AFC">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Taxable land values</w:t>
            </w:r>
          </w:p>
        </w:tc>
        <w:tc>
          <w:tcPr>
            <w:tcW w:w="680" w:type="dxa"/>
            <w:tcBorders>
              <w:top w:val="nil"/>
              <w:left w:val="nil"/>
              <w:bottom w:val="single" w:sz="4" w:space="0" w:color="ADD6EA"/>
              <w:right w:val="nil"/>
            </w:tcBorders>
            <w:shd w:val="clear" w:color="auto" w:fill="auto"/>
            <w:vAlign w:val="bottom"/>
            <w:hideMark/>
          </w:tcPr>
          <w:p w14:paraId="3E1A121D"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-206</w:t>
            </w:r>
          </w:p>
        </w:tc>
        <w:tc>
          <w:tcPr>
            <w:tcW w:w="680" w:type="dxa"/>
            <w:tcBorders>
              <w:top w:val="nil"/>
              <w:left w:val="nil"/>
              <w:bottom w:val="single" w:sz="4" w:space="0" w:color="ADD6EA"/>
              <w:right w:val="nil"/>
            </w:tcBorders>
            <w:shd w:val="clear" w:color="auto" w:fill="auto"/>
            <w:vAlign w:val="bottom"/>
            <w:hideMark/>
          </w:tcPr>
          <w:p w14:paraId="0935B303"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-33</w:t>
            </w:r>
          </w:p>
        </w:tc>
        <w:tc>
          <w:tcPr>
            <w:tcW w:w="680" w:type="dxa"/>
            <w:tcBorders>
              <w:top w:val="nil"/>
              <w:left w:val="nil"/>
              <w:bottom w:val="single" w:sz="4" w:space="0" w:color="ADD6EA"/>
              <w:right w:val="nil"/>
            </w:tcBorders>
            <w:shd w:val="clear" w:color="auto" w:fill="auto"/>
            <w:vAlign w:val="bottom"/>
            <w:hideMark/>
          </w:tcPr>
          <w:p w14:paraId="6C2130B6"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97</w:t>
            </w:r>
          </w:p>
        </w:tc>
        <w:tc>
          <w:tcPr>
            <w:tcW w:w="680" w:type="dxa"/>
            <w:tcBorders>
              <w:top w:val="nil"/>
              <w:left w:val="nil"/>
              <w:bottom w:val="single" w:sz="4" w:space="0" w:color="ADD6EA"/>
              <w:right w:val="nil"/>
            </w:tcBorders>
            <w:shd w:val="clear" w:color="auto" w:fill="auto"/>
            <w:vAlign w:val="bottom"/>
            <w:hideMark/>
          </w:tcPr>
          <w:p w14:paraId="50569FEA"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94</w:t>
            </w:r>
          </w:p>
        </w:tc>
        <w:tc>
          <w:tcPr>
            <w:tcW w:w="680" w:type="dxa"/>
            <w:tcBorders>
              <w:top w:val="nil"/>
              <w:left w:val="nil"/>
              <w:bottom w:val="single" w:sz="4" w:space="0" w:color="ADD6EA"/>
              <w:right w:val="nil"/>
            </w:tcBorders>
            <w:shd w:val="clear" w:color="auto" w:fill="auto"/>
            <w:vAlign w:val="bottom"/>
            <w:hideMark/>
          </w:tcPr>
          <w:p w14:paraId="2641C022"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31</w:t>
            </w:r>
          </w:p>
        </w:tc>
        <w:tc>
          <w:tcPr>
            <w:tcW w:w="680" w:type="dxa"/>
            <w:tcBorders>
              <w:top w:val="nil"/>
              <w:left w:val="nil"/>
              <w:bottom w:val="single" w:sz="4" w:space="0" w:color="ADD6EA"/>
              <w:right w:val="nil"/>
            </w:tcBorders>
            <w:shd w:val="clear" w:color="auto" w:fill="auto"/>
            <w:vAlign w:val="bottom"/>
            <w:hideMark/>
          </w:tcPr>
          <w:p w14:paraId="43748FF3"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11</w:t>
            </w:r>
          </w:p>
        </w:tc>
        <w:tc>
          <w:tcPr>
            <w:tcW w:w="680" w:type="dxa"/>
            <w:tcBorders>
              <w:top w:val="nil"/>
              <w:left w:val="nil"/>
              <w:bottom w:val="single" w:sz="4" w:space="0" w:color="ADD6EA"/>
              <w:right w:val="nil"/>
            </w:tcBorders>
            <w:shd w:val="clear" w:color="auto" w:fill="auto"/>
            <w:vAlign w:val="bottom"/>
            <w:hideMark/>
          </w:tcPr>
          <w:p w14:paraId="69C32E93"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w:t>
            </w:r>
          </w:p>
        </w:tc>
        <w:tc>
          <w:tcPr>
            <w:tcW w:w="680" w:type="dxa"/>
            <w:tcBorders>
              <w:top w:val="nil"/>
              <w:left w:val="nil"/>
              <w:bottom w:val="single" w:sz="4" w:space="0" w:color="ADD6EA"/>
              <w:right w:val="nil"/>
            </w:tcBorders>
            <w:shd w:val="clear" w:color="auto" w:fill="auto"/>
            <w:vAlign w:val="bottom"/>
            <w:hideMark/>
          </w:tcPr>
          <w:p w14:paraId="7FDE9A4F"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19D2D1E5"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238</w:t>
            </w:r>
          </w:p>
        </w:tc>
      </w:tr>
      <w:tr w:rsidR="00760AFC" w:rsidRPr="00442A3B" w14:paraId="3F310D52" w14:textId="77777777" w:rsidTr="003063D4">
        <w:trPr>
          <w:trHeight w:val="315"/>
        </w:trPr>
        <w:tc>
          <w:tcPr>
            <w:tcW w:w="2700" w:type="dxa"/>
            <w:tcBorders>
              <w:top w:val="nil"/>
              <w:left w:val="nil"/>
              <w:bottom w:val="single" w:sz="4" w:space="0" w:color="ADD6EA"/>
              <w:right w:val="nil"/>
            </w:tcBorders>
            <w:shd w:val="clear" w:color="auto" w:fill="auto"/>
            <w:vAlign w:val="bottom"/>
            <w:hideMark/>
          </w:tcPr>
          <w:p w14:paraId="530457FF" w14:textId="1C42A748" w:rsidR="00760AFC" w:rsidRPr="00442A3B" w:rsidRDefault="00E51975" w:rsidP="00760AFC">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Growth in expenses</w:t>
            </w:r>
          </w:p>
        </w:tc>
        <w:tc>
          <w:tcPr>
            <w:tcW w:w="680" w:type="dxa"/>
            <w:tcBorders>
              <w:top w:val="nil"/>
              <w:left w:val="nil"/>
              <w:bottom w:val="single" w:sz="4" w:space="0" w:color="ADD6EA"/>
              <w:right w:val="nil"/>
            </w:tcBorders>
            <w:shd w:val="clear" w:color="auto" w:fill="auto"/>
            <w:vAlign w:val="bottom"/>
            <w:hideMark/>
          </w:tcPr>
          <w:p w14:paraId="68B0A255"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52</w:t>
            </w:r>
          </w:p>
        </w:tc>
        <w:tc>
          <w:tcPr>
            <w:tcW w:w="680" w:type="dxa"/>
            <w:tcBorders>
              <w:top w:val="nil"/>
              <w:left w:val="nil"/>
              <w:bottom w:val="single" w:sz="4" w:space="0" w:color="ADD6EA"/>
              <w:right w:val="nil"/>
            </w:tcBorders>
            <w:shd w:val="clear" w:color="auto" w:fill="auto"/>
            <w:vAlign w:val="bottom"/>
            <w:hideMark/>
          </w:tcPr>
          <w:p w14:paraId="5B5088C5"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-194</w:t>
            </w:r>
          </w:p>
        </w:tc>
        <w:tc>
          <w:tcPr>
            <w:tcW w:w="680" w:type="dxa"/>
            <w:tcBorders>
              <w:top w:val="nil"/>
              <w:left w:val="nil"/>
              <w:bottom w:val="single" w:sz="4" w:space="0" w:color="ADD6EA"/>
              <w:right w:val="nil"/>
            </w:tcBorders>
            <w:shd w:val="clear" w:color="auto" w:fill="auto"/>
            <w:vAlign w:val="bottom"/>
            <w:hideMark/>
          </w:tcPr>
          <w:p w14:paraId="3B9BCB01"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12</w:t>
            </w:r>
          </w:p>
        </w:tc>
        <w:tc>
          <w:tcPr>
            <w:tcW w:w="680" w:type="dxa"/>
            <w:tcBorders>
              <w:top w:val="nil"/>
              <w:left w:val="nil"/>
              <w:bottom w:val="single" w:sz="4" w:space="0" w:color="ADD6EA"/>
              <w:right w:val="nil"/>
            </w:tcBorders>
            <w:shd w:val="clear" w:color="auto" w:fill="auto"/>
            <w:vAlign w:val="bottom"/>
            <w:hideMark/>
          </w:tcPr>
          <w:p w14:paraId="62C7AC3E"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57</w:t>
            </w:r>
          </w:p>
        </w:tc>
        <w:tc>
          <w:tcPr>
            <w:tcW w:w="680" w:type="dxa"/>
            <w:tcBorders>
              <w:top w:val="nil"/>
              <w:left w:val="nil"/>
              <w:bottom w:val="single" w:sz="4" w:space="0" w:color="ADD6EA"/>
              <w:right w:val="nil"/>
            </w:tcBorders>
            <w:shd w:val="clear" w:color="auto" w:fill="auto"/>
            <w:vAlign w:val="bottom"/>
            <w:hideMark/>
          </w:tcPr>
          <w:p w14:paraId="2127C049"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-13</w:t>
            </w:r>
          </w:p>
        </w:tc>
        <w:tc>
          <w:tcPr>
            <w:tcW w:w="680" w:type="dxa"/>
            <w:tcBorders>
              <w:top w:val="nil"/>
              <w:left w:val="nil"/>
              <w:bottom w:val="single" w:sz="4" w:space="0" w:color="ADD6EA"/>
              <w:right w:val="nil"/>
            </w:tcBorders>
            <w:shd w:val="clear" w:color="auto" w:fill="auto"/>
            <w:vAlign w:val="bottom"/>
            <w:hideMark/>
          </w:tcPr>
          <w:p w14:paraId="0D086A5E"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20</w:t>
            </w:r>
          </w:p>
        </w:tc>
        <w:tc>
          <w:tcPr>
            <w:tcW w:w="680" w:type="dxa"/>
            <w:tcBorders>
              <w:top w:val="nil"/>
              <w:left w:val="nil"/>
              <w:bottom w:val="single" w:sz="4" w:space="0" w:color="ADD6EA"/>
              <w:right w:val="nil"/>
            </w:tcBorders>
            <w:shd w:val="clear" w:color="auto" w:fill="auto"/>
            <w:vAlign w:val="bottom"/>
            <w:hideMark/>
          </w:tcPr>
          <w:p w14:paraId="16E55452"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-19</w:t>
            </w:r>
          </w:p>
        </w:tc>
        <w:tc>
          <w:tcPr>
            <w:tcW w:w="680" w:type="dxa"/>
            <w:tcBorders>
              <w:top w:val="nil"/>
              <w:left w:val="nil"/>
              <w:bottom w:val="single" w:sz="4" w:space="0" w:color="ADD6EA"/>
              <w:right w:val="nil"/>
            </w:tcBorders>
            <w:shd w:val="clear" w:color="auto" w:fill="auto"/>
            <w:vAlign w:val="bottom"/>
            <w:hideMark/>
          </w:tcPr>
          <w:p w14:paraId="76E07BCB"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85</w:t>
            </w:r>
          </w:p>
        </w:tc>
        <w:tc>
          <w:tcPr>
            <w:tcW w:w="760" w:type="dxa"/>
            <w:tcBorders>
              <w:top w:val="nil"/>
              <w:left w:val="nil"/>
              <w:bottom w:val="single" w:sz="4" w:space="0" w:color="ADD6EA"/>
              <w:right w:val="nil"/>
            </w:tcBorders>
            <w:shd w:val="clear" w:color="auto" w:fill="auto"/>
            <w:vAlign w:val="bottom"/>
            <w:hideMark/>
          </w:tcPr>
          <w:p w14:paraId="1CFA08D1"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226</w:t>
            </w:r>
          </w:p>
        </w:tc>
      </w:tr>
      <w:tr w:rsidR="00760AFC" w:rsidRPr="00442A3B" w14:paraId="58A73502" w14:textId="77777777" w:rsidTr="003063D4">
        <w:trPr>
          <w:trHeight w:val="315"/>
        </w:trPr>
        <w:tc>
          <w:tcPr>
            <w:tcW w:w="2700" w:type="dxa"/>
            <w:tcBorders>
              <w:top w:val="nil"/>
              <w:left w:val="nil"/>
              <w:bottom w:val="single" w:sz="4" w:space="0" w:color="ADD6EA"/>
              <w:right w:val="nil"/>
            </w:tcBorders>
            <w:shd w:val="clear" w:color="auto" w:fill="auto"/>
            <w:vAlign w:val="bottom"/>
            <w:hideMark/>
          </w:tcPr>
          <w:p w14:paraId="57D8E2FF" w14:textId="77777777" w:rsidR="00760AFC" w:rsidRPr="00442A3B" w:rsidRDefault="00760AFC" w:rsidP="00760AFC">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Commonwealth payments</w:t>
            </w:r>
          </w:p>
        </w:tc>
        <w:tc>
          <w:tcPr>
            <w:tcW w:w="680" w:type="dxa"/>
            <w:tcBorders>
              <w:top w:val="nil"/>
              <w:left w:val="nil"/>
              <w:bottom w:val="single" w:sz="4" w:space="0" w:color="ADD6EA"/>
              <w:right w:val="nil"/>
            </w:tcBorders>
            <w:shd w:val="clear" w:color="auto" w:fill="auto"/>
            <w:vAlign w:val="bottom"/>
            <w:hideMark/>
          </w:tcPr>
          <w:p w14:paraId="3689332B"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77</w:t>
            </w:r>
          </w:p>
        </w:tc>
        <w:tc>
          <w:tcPr>
            <w:tcW w:w="680" w:type="dxa"/>
            <w:tcBorders>
              <w:top w:val="nil"/>
              <w:left w:val="nil"/>
              <w:bottom w:val="single" w:sz="4" w:space="0" w:color="ADD6EA"/>
              <w:right w:val="nil"/>
            </w:tcBorders>
            <w:shd w:val="clear" w:color="auto" w:fill="auto"/>
            <w:vAlign w:val="bottom"/>
            <w:hideMark/>
          </w:tcPr>
          <w:p w14:paraId="487CCCFD"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58</w:t>
            </w:r>
          </w:p>
        </w:tc>
        <w:tc>
          <w:tcPr>
            <w:tcW w:w="680" w:type="dxa"/>
            <w:tcBorders>
              <w:top w:val="nil"/>
              <w:left w:val="nil"/>
              <w:bottom w:val="single" w:sz="4" w:space="0" w:color="ADD6EA"/>
              <w:right w:val="nil"/>
            </w:tcBorders>
            <w:shd w:val="clear" w:color="auto" w:fill="auto"/>
            <w:vAlign w:val="bottom"/>
            <w:hideMark/>
          </w:tcPr>
          <w:p w14:paraId="76D0F3FA"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-92</w:t>
            </w:r>
          </w:p>
        </w:tc>
        <w:tc>
          <w:tcPr>
            <w:tcW w:w="680" w:type="dxa"/>
            <w:tcBorders>
              <w:top w:val="nil"/>
              <w:left w:val="nil"/>
              <w:bottom w:val="single" w:sz="4" w:space="0" w:color="ADD6EA"/>
              <w:right w:val="nil"/>
            </w:tcBorders>
            <w:shd w:val="clear" w:color="auto" w:fill="auto"/>
            <w:vAlign w:val="bottom"/>
            <w:hideMark/>
          </w:tcPr>
          <w:p w14:paraId="492CB781"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-72</w:t>
            </w:r>
          </w:p>
        </w:tc>
        <w:tc>
          <w:tcPr>
            <w:tcW w:w="680" w:type="dxa"/>
            <w:tcBorders>
              <w:top w:val="nil"/>
              <w:left w:val="nil"/>
              <w:bottom w:val="single" w:sz="4" w:space="0" w:color="ADD6EA"/>
              <w:right w:val="nil"/>
            </w:tcBorders>
            <w:shd w:val="clear" w:color="auto" w:fill="auto"/>
            <w:vAlign w:val="bottom"/>
            <w:hideMark/>
          </w:tcPr>
          <w:p w14:paraId="5388A91A"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31</w:t>
            </w:r>
          </w:p>
        </w:tc>
        <w:tc>
          <w:tcPr>
            <w:tcW w:w="680" w:type="dxa"/>
            <w:tcBorders>
              <w:top w:val="nil"/>
              <w:left w:val="nil"/>
              <w:bottom w:val="single" w:sz="4" w:space="0" w:color="ADD6EA"/>
              <w:right w:val="nil"/>
            </w:tcBorders>
            <w:shd w:val="clear" w:color="auto" w:fill="auto"/>
            <w:vAlign w:val="bottom"/>
            <w:hideMark/>
          </w:tcPr>
          <w:p w14:paraId="3CCC3119"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w:t>
            </w:r>
          </w:p>
        </w:tc>
        <w:tc>
          <w:tcPr>
            <w:tcW w:w="680" w:type="dxa"/>
            <w:tcBorders>
              <w:top w:val="nil"/>
              <w:left w:val="nil"/>
              <w:bottom w:val="single" w:sz="4" w:space="0" w:color="ADD6EA"/>
              <w:right w:val="nil"/>
            </w:tcBorders>
            <w:shd w:val="clear" w:color="auto" w:fill="auto"/>
            <w:vAlign w:val="bottom"/>
            <w:hideMark/>
          </w:tcPr>
          <w:p w14:paraId="00846015"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-8</w:t>
            </w:r>
          </w:p>
        </w:tc>
        <w:tc>
          <w:tcPr>
            <w:tcW w:w="680" w:type="dxa"/>
            <w:tcBorders>
              <w:top w:val="nil"/>
              <w:left w:val="nil"/>
              <w:bottom w:val="single" w:sz="4" w:space="0" w:color="ADD6EA"/>
              <w:right w:val="nil"/>
            </w:tcBorders>
            <w:shd w:val="clear" w:color="auto" w:fill="auto"/>
            <w:vAlign w:val="bottom"/>
            <w:hideMark/>
          </w:tcPr>
          <w:p w14:paraId="7166AA7E"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w:t>
            </w:r>
          </w:p>
        </w:tc>
        <w:tc>
          <w:tcPr>
            <w:tcW w:w="760" w:type="dxa"/>
            <w:tcBorders>
              <w:top w:val="nil"/>
              <w:left w:val="nil"/>
              <w:bottom w:val="single" w:sz="4" w:space="0" w:color="ADD6EA"/>
              <w:right w:val="nil"/>
            </w:tcBorders>
            <w:shd w:val="clear" w:color="auto" w:fill="auto"/>
            <w:vAlign w:val="bottom"/>
            <w:hideMark/>
          </w:tcPr>
          <w:p w14:paraId="0AA78BB4"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173</w:t>
            </w:r>
          </w:p>
        </w:tc>
      </w:tr>
      <w:tr w:rsidR="00760AFC" w:rsidRPr="00442A3B" w14:paraId="7F80C8E0" w14:textId="77777777" w:rsidTr="003063D4">
        <w:trPr>
          <w:trHeight w:val="315"/>
        </w:trPr>
        <w:tc>
          <w:tcPr>
            <w:tcW w:w="2700" w:type="dxa"/>
            <w:tcBorders>
              <w:top w:val="nil"/>
              <w:left w:val="nil"/>
              <w:bottom w:val="single" w:sz="4" w:space="0" w:color="ADD6EA"/>
              <w:right w:val="nil"/>
            </w:tcBorders>
            <w:shd w:val="clear" w:color="auto" w:fill="auto"/>
            <w:vAlign w:val="bottom"/>
            <w:hideMark/>
          </w:tcPr>
          <w:p w14:paraId="21A9658B" w14:textId="77777777" w:rsidR="00760AFC" w:rsidRPr="00442A3B" w:rsidRDefault="00760AFC" w:rsidP="00760AFC">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Net borrowing</w:t>
            </w:r>
          </w:p>
        </w:tc>
        <w:tc>
          <w:tcPr>
            <w:tcW w:w="680" w:type="dxa"/>
            <w:tcBorders>
              <w:top w:val="nil"/>
              <w:left w:val="nil"/>
              <w:bottom w:val="single" w:sz="4" w:space="0" w:color="ADD6EA"/>
              <w:right w:val="nil"/>
            </w:tcBorders>
            <w:shd w:val="clear" w:color="auto" w:fill="auto"/>
            <w:vAlign w:val="bottom"/>
            <w:hideMark/>
          </w:tcPr>
          <w:p w14:paraId="7AA95AD6"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90</w:t>
            </w:r>
          </w:p>
        </w:tc>
        <w:tc>
          <w:tcPr>
            <w:tcW w:w="680" w:type="dxa"/>
            <w:tcBorders>
              <w:top w:val="nil"/>
              <w:left w:val="nil"/>
              <w:bottom w:val="single" w:sz="4" w:space="0" w:color="ADD6EA"/>
              <w:right w:val="nil"/>
            </w:tcBorders>
            <w:shd w:val="clear" w:color="auto" w:fill="auto"/>
            <w:vAlign w:val="bottom"/>
            <w:hideMark/>
          </w:tcPr>
          <w:p w14:paraId="4E0EBFAC"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-64</w:t>
            </w:r>
          </w:p>
        </w:tc>
        <w:tc>
          <w:tcPr>
            <w:tcW w:w="680" w:type="dxa"/>
            <w:tcBorders>
              <w:top w:val="nil"/>
              <w:left w:val="nil"/>
              <w:bottom w:val="single" w:sz="4" w:space="0" w:color="ADD6EA"/>
              <w:right w:val="nil"/>
            </w:tcBorders>
            <w:shd w:val="clear" w:color="auto" w:fill="auto"/>
            <w:vAlign w:val="bottom"/>
            <w:hideMark/>
          </w:tcPr>
          <w:p w14:paraId="26DC141C"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-36</w:t>
            </w:r>
          </w:p>
        </w:tc>
        <w:tc>
          <w:tcPr>
            <w:tcW w:w="680" w:type="dxa"/>
            <w:tcBorders>
              <w:top w:val="nil"/>
              <w:left w:val="nil"/>
              <w:bottom w:val="single" w:sz="4" w:space="0" w:color="ADD6EA"/>
              <w:right w:val="nil"/>
            </w:tcBorders>
            <w:shd w:val="clear" w:color="auto" w:fill="auto"/>
            <w:vAlign w:val="bottom"/>
            <w:hideMark/>
          </w:tcPr>
          <w:p w14:paraId="63FC3BDA"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-27</w:t>
            </w:r>
          </w:p>
        </w:tc>
        <w:tc>
          <w:tcPr>
            <w:tcW w:w="680" w:type="dxa"/>
            <w:tcBorders>
              <w:top w:val="nil"/>
              <w:left w:val="nil"/>
              <w:bottom w:val="single" w:sz="4" w:space="0" w:color="ADD6EA"/>
              <w:right w:val="nil"/>
            </w:tcBorders>
            <w:shd w:val="clear" w:color="auto" w:fill="auto"/>
            <w:vAlign w:val="bottom"/>
            <w:hideMark/>
          </w:tcPr>
          <w:p w14:paraId="5E91178C"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15</w:t>
            </w:r>
          </w:p>
        </w:tc>
        <w:tc>
          <w:tcPr>
            <w:tcW w:w="680" w:type="dxa"/>
            <w:tcBorders>
              <w:top w:val="nil"/>
              <w:left w:val="nil"/>
              <w:bottom w:val="single" w:sz="4" w:space="0" w:color="ADD6EA"/>
              <w:right w:val="nil"/>
            </w:tcBorders>
            <w:shd w:val="clear" w:color="auto" w:fill="auto"/>
            <w:vAlign w:val="bottom"/>
            <w:hideMark/>
          </w:tcPr>
          <w:p w14:paraId="7F4151A3"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w:t>
            </w:r>
          </w:p>
        </w:tc>
        <w:tc>
          <w:tcPr>
            <w:tcW w:w="680" w:type="dxa"/>
            <w:tcBorders>
              <w:top w:val="nil"/>
              <w:left w:val="nil"/>
              <w:bottom w:val="single" w:sz="4" w:space="0" w:color="ADD6EA"/>
              <w:right w:val="nil"/>
            </w:tcBorders>
            <w:shd w:val="clear" w:color="auto" w:fill="auto"/>
            <w:vAlign w:val="bottom"/>
            <w:hideMark/>
          </w:tcPr>
          <w:p w14:paraId="07E5DD1E"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8</w:t>
            </w:r>
          </w:p>
        </w:tc>
        <w:tc>
          <w:tcPr>
            <w:tcW w:w="680" w:type="dxa"/>
            <w:tcBorders>
              <w:top w:val="nil"/>
              <w:left w:val="nil"/>
              <w:bottom w:val="single" w:sz="4" w:space="0" w:color="ADD6EA"/>
              <w:right w:val="nil"/>
            </w:tcBorders>
            <w:shd w:val="clear" w:color="auto" w:fill="auto"/>
            <w:vAlign w:val="bottom"/>
            <w:hideMark/>
          </w:tcPr>
          <w:p w14:paraId="186087F7"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14</w:t>
            </w:r>
          </w:p>
        </w:tc>
        <w:tc>
          <w:tcPr>
            <w:tcW w:w="760" w:type="dxa"/>
            <w:tcBorders>
              <w:top w:val="nil"/>
              <w:left w:val="nil"/>
              <w:bottom w:val="single" w:sz="4" w:space="0" w:color="ADD6EA"/>
              <w:right w:val="nil"/>
            </w:tcBorders>
            <w:shd w:val="clear" w:color="auto" w:fill="auto"/>
            <w:vAlign w:val="bottom"/>
            <w:hideMark/>
          </w:tcPr>
          <w:p w14:paraId="4A4CCDD2"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128</w:t>
            </w:r>
          </w:p>
        </w:tc>
      </w:tr>
      <w:tr w:rsidR="00760AFC" w:rsidRPr="00442A3B" w14:paraId="771561F8" w14:textId="77777777" w:rsidTr="003063D4">
        <w:trPr>
          <w:trHeight w:val="315"/>
        </w:trPr>
        <w:tc>
          <w:tcPr>
            <w:tcW w:w="2700" w:type="dxa"/>
            <w:tcBorders>
              <w:top w:val="nil"/>
              <w:left w:val="nil"/>
              <w:bottom w:val="single" w:sz="4" w:space="0" w:color="ADD6EA"/>
              <w:right w:val="nil"/>
            </w:tcBorders>
            <w:shd w:val="clear" w:color="auto" w:fill="auto"/>
            <w:vAlign w:val="bottom"/>
            <w:hideMark/>
          </w:tcPr>
          <w:p w14:paraId="0AA7468B" w14:textId="77777777" w:rsidR="00760AFC" w:rsidRPr="00442A3B" w:rsidRDefault="00760AFC" w:rsidP="00760AFC">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Other changes in circumstances</w:t>
            </w:r>
          </w:p>
        </w:tc>
        <w:tc>
          <w:tcPr>
            <w:tcW w:w="680" w:type="dxa"/>
            <w:tcBorders>
              <w:top w:val="nil"/>
              <w:left w:val="nil"/>
              <w:bottom w:val="single" w:sz="4" w:space="0" w:color="ADD6EA"/>
              <w:right w:val="nil"/>
            </w:tcBorders>
            <w:shd w:val="clear" w:color="auto" w:fill="auto"/>
            <w:vAlign w:val="bottom"/>
            <w:hideMark/>
          </w:tcPr>
          <w:p w14:paraId="4E49FE10"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w:t>
            </w:r>
          </w:p>
        </w:tc>
        <w:tc>
          <w:tcPr>
            <w:tcW w:w="680" w:type="dxa"/>
            <w:tcBorders>
              <w:top w:val="nil"/>
              <w:left w:val="nil"/>
              <w:bottom w:val="single" w:sz="4" w:space="0" w:color="ADD6EA"/>
              <w:right w:val="nil"/>
            </w:tcBorders>
            <w:shd w:val="clear" w:color="auto" w:fill="auto"/>
            <w:vAlign w:val="bottom"/>
            <w:hideMark/>
          </w:tcPr>
          <w:p w14:paraId="07A4952A"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-222</w:t>
            </w:r>
          </w:p>
        </w:tc>
        <w:tc>
          <w:tcPr>
            <w:tcW w:w="680" w:type="dxa"/>
            <w:tcBorders>
              <w:top w:val="nil"/>
              <w:left w:val="nil"/>
              <w:bottom w:val="single" w:sz="4" w:space="0" w:color="ADD6EA"/>
              <w:right w:val="nil"/>
            </w:tcBorders>
            <w:shd w:val="clear" w:color="auto" w:fill="auto"/>
            <w:vAlign w:val="bottom"/>
            <w:hideMark/>
          </w:tcPr>
          <w:p w14:paraId="4FFB2E92"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179</w:t>
            </w:r>
          </w:p>
        </w:tc>
        <w:tc>
          <w:tcPr>
            <w:tcW w:w="680" w:type="dxa"/>
            <w:tcBorders>
              <w:top w:val="nil"/>
              <w:left w:val="nil"/>
              <w:bottom w:val="single" w:sz="4" w:space="0" w:color="ADD6EA"/>
              <w:right w:val="nil"/>
            </w:tcBorders>
            <w:shd w:val="clear" w:color="auto" w:fill="auto"/>
            <w:vAlign w:val="bottom"/>
            <w:hideMark/>
          </w:tcPr>
          <w:p w14:paraId="7236675C"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16</w:t>
            </w:r>
          </w:p>
        </w:tc>
        <w:tc>
          <w:tcPr>
            <w:tcW w:w="680" w:type="dxa"/>
            <w:tcBorders>
              <w:top w:val="nil"/>
              <w:left w:val="nil"/>
              <w:bottom w:val="single" w:sz="4" w:space="0" w:color="ADD6EA"/>
              <w:right w:val="nil"/>
            </w:tcBorders>
            <w:shd w:val="clear" w:color="auto" w:fill="auto"/>
            <w:vAlign w:val="bottom"/>
            <w:hideMark/>
          </w:tcPr>
          <w:p w14:paraId="2C2829D6"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-59</w:t>
            </w:r>
          </w:p>
        </w:tc>
        <w:tc>
          <w:tcPr>
            <w:tcW w:w="680" w:type="dxa"/>
            <w:tcBorders>
              <w:top w:val="nil"/>
              <w:left w:val="nil"/>
              <w:bottom w:val="single" w:sz="4" w:space="0" w:color="ADD6EA"/>
              <w:right w:val="nil"/>
            </w:tcBorders>
            <w:shd w:val="clear" w:color="auto" w:fill="auto"/>
            <w:vAlign w:val="bottom"/>
            <w:hideMark/>
          </w:tcPr>
          <w:p w14:paraId="1BD9C27F"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77</w:t>
            </w:r>
          </w:p>
        </w:tc>
        <w:tc>
          <w:tcPr>
            <w:tcW w:w="680" w:type="dxa"/>
            <w:tcBorders>
              <w:top w:val="nil"/>
              <w:left w:val="nil"/>
              <w:bottom w:val="single" w:sz="4" w:space="0" w:color="ADD6EA"/>
              <w:right w:val="nil"/>
            </w:tcBorders>
            <w:shd w:val="clear" w:color="auto" w:fill="auto"/>
            <w:vAlign w:val="bottom"/>
            <w:hideMark/>
          </w:tcPr>
          <w:p w14:paraId="0C074E1E"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w:t>
            </w:r>
          </w:p>
        </w:tc>
        <w:tc>
          <w:tcPr>
            <w:tcW w:w="680" w:type="dxa"/>
            <w:tcBorders>
              <w:top w:val="nil"/>
              <w:left w:val="nil"/>
              <w:bottom w:val="single" w:sz="4" w:space="0" w:color="ADD6EA"/>
              <w:right w:val="nil"/>
            </w:tcBorders>
            <w:shd w:val="clear" w:color="auto" w:fill="auto"/>
            <w:vAlign w:val="bottom"/>
            <w:hideMark/>
          </w:tcPr>
          <w:p w14:paraId="0F4C8F6C"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15</w:t>
            </w:r>
          </w:p>
        </w:tc>
        <w:tc>
          <w:tcPr>
            <w:tcW w:w="760" w:type="dxa"/>
            <w:tcBorders>
              <w:top w:val="nil"/>
              <w:left w:val="nil"/>
              <w:bottom w:val="single" w:sz="4" w:space="0" w:color="ADD6EA"/>
              <w:right w:val="nil"/>
            </w:tcBorders>
            <w:shd w:val="clear" w:color="auto" w:fill="auto"/>
            <w:vAlign w:val="bottom"/>
            <w:hideMark/>
          </w:tcPr>
          <w:p w14:paraId="0726D065" w14:textId="77777777" w:rsidR="00760AFC" w:rsidRPr="00442A3B" w:rsidRDefault="00760AFC" w:rsidP="00760AFC">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287</w:t>
            </w:r>
          </w:p>
        </w:tc>
      </w:tr>
      <w:tr w:rsidR="00760AFC" w:rsidRPr="00442A3B" w14:paraId="18EAE7C1" w14:textId="77777777" w:rsidTr="003063D4">
        <w:trPr>
          <w:trHeight w:val="315"/>
        </w:trPr>
        <w:tc>
          <w:tcPr>
            <w:tcW w:w="2700" w:type="dxa"/>
            <w:tcBorders>
              <w:top w:val="nil"/>
              <w:left w:val="nil"/>
              <w:bottom w:val="single" w:sz="4" w:space="0" w:color="ADD6EA"/>
              <w:right w:val="nil"/>
            </w:tcBorders>
            <w:shd w:val="clear" w:color="000000" w:fill="D6E7F0"/>
            <w:vAlign w:val="bottom"/>
            <w:hideMark/>
          </w:tcPr>
          <w:p w14:paraId="0A5C588A" w14:textId="77777777" w:rsidR="00760AFC" w:rsidRPr="00442A3B" w:rsidRDefault="00760AFC" w:rsidP="00760AFC">
            <w:pPr>
              <w:keepNext/>
              <w:keepLines/>
              <w:tabs>
                <w:tab w:val="clear" w:pos="567"/>
              </w:tabs>
              <w:spacing w:before="0" w:line="240" w:lineRule="auto"/>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Total</w:t>
            </w:r>
          </w:p>
        </w:tc>
        <w:tc>
          <w:tcPr>
            <w:tcW w:w="680" w:type="dxa"/>
            <w:tcBorders>
              <w:top w:val="nil"/>
              <w:left w:val="nil"/>
              <w:bottom w:val="single" w:sz="4" w:space="0" w:color="ADD6EA"/>
              <w:right w:val="nil"/>
            </w:tcBorders>
            <w:shd w:val="clear" w:color="000000" w:fill="D6E7F0"/>
            <w:vAlign w:val="bottom"/>
            <w:hideMark/>
          </w:tcPr>
          <w:p w14:paraId="13BD59E9" w14:textId="77777777" w:rsidR="00760AFC" w:rsidRPr="00442A3B" w:rsidRDefault="00760AFC" w:rsidP="00760AFC">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709</w:t>
            </w:r>
          </w:p>
        </w:tc>
        <w:tc>
          <w:tcPr>
            <w:tcW w:w="680" w:type="dxa"/>
            <w:tcBorders>
              <w:top w:val="nil"/>
              <w:left w:val="nil"/>
              <w:bottom w:val="single" w:sz="4" w:space="0" w:color="ADD6EA"/>
              <w:right w:val="nil"/>
            </w:tcBorders>
            <w:shd w:val="clear" w:color="000000" w:fill="D6E7F0"/>
            <w:vAlign w:val="bottom"/>
            <w:hideMark/>
          </w:tcPr>
          <w:p w14:paraId="622F06D3" w14:textId="77777777" w:rsidR="00760AFC" w:rsidRPr="00442A3B" w:rsidRDefault="00760AFC" w:rsidP="00760AFC">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-323</w:t>
            </w:r>
          </w:p>
        </w:tc>
        <w:tc>
          <w:tcPr>
            <w:tcW w:w="680" w:type="dxa"/>
            <w:tcBorders>
              <w:top w:val="nil"/>
              <w:left w:val="nil"/>
              <w:bottom w:val="single" w:sz="4" w:space="0" w:color="ADD6EA"/>
              <w:right w:val="nil"/>
            </w:tcBorders>
            <w:shd w:val="clear" w:color="000000" w:fill="D6E7F0"/>
            <w:vAlign w:val="bottom"/>
            <w:hideMark/>
          </w:tcPr>
          <w:p w14:paraId="4125BBEC" w14:textId="77777777" w:rsidR="00760AFC" w:rsidRPr="00442A3B" w:rsidRDefault="00760AFC" w:rsidP="00760AFC">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372</w:t>
            </w:r>
          </w:p>
        </w:tc>
        <w:tc>
          <w:tcPr>
            <w:tcW w:w="680" w:type="dxa"/>
            <w:tcBorders>
              <w:top w:val="nil"/>
              <w:left w:val="nil"/>
              <w:bottom w:val="single" w:sz="4" w:space="0" w:color="ADD6EA"/>
              <w:right w:val="nil"/>
            </w:tcBorders>
            <w:shd w:val="clear" w:color="000000" w:fill="D6E7F0"/>
            <w:vAlign w:val="bottom"/>
            <w:hideMark/>
          </w:tcPr>
          <w:p w14:paraId="5FA71C75" w14:textId="77777777" w:rsidR="00760AFC" w:rsidRPr="00442A3B" w:rsidRDefault="00760AFC" w:rsidP="00760AFC">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-857</w:t>
            </w:r>
          </w:p>
        </w:tc>
        <w:tc>
          <w:tcPr>
            <w:tcW w:w="680" w:type="dxa"/>
            <w:tcBorders>
              <w:top w:val="nil"/>
              <w:left w:val="nil"/>
              <w:bottom w:val="single" w:sz="4" w:space="0" w:color="ADD6EA"/>
              <w:right w:val="nil"/>
            </w:tcBorders>
            <w:shd w:val="clear" w:color="000000" w:fill="D6E7F0"/>
            <w:vAlign w:val="bottom"/>
            <w:hideMark/>
          </w:tcPr>
          <w:p w14:paraId="28FB9889" w14:textId="77777777" w:rsidR="00760AFC" w:rsidRPr="00442A3B" w:rsidRDefault="00760AFC" w:rsidP="00760AFC">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-39</w:t>
            </w:r>
          </w:p>
        </w:tc>
        <w:tc>
          <w:tcPr>
            <w:tcW w:w="680" w:type="dxa"/>
            <w:tcBorders>
              <w:top w:val="nil"/>
              <w:left w:val="nil"/>
              <w:bottom w:val="single" w:sz="4" w:space="0" w:color="ADD6EA"/>
              <w:right w:val="nil"/>
            </w:tcBorders>
            <w:shd w:val="clear" w:color="000000" w:fill="D6E7F0"/>
            <w:vAlign w:val="bottom"/>
            <w:hideMark/>
          </w:tcPr>
          <w:p w14:paraId="5717860D" w14:textId="77777777" w:rsidR="00760AFC" w:rsidRPr="00442A3B" w:rsidRDefault="00760AFC" w:rsidP="00760AFC">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89</w:t>
            </w:r>
          </w:p>
        </w:tc>
        <w:tc>
          <w:tcPr>
            <w:tcW w:w="680" w:type="dxa"/>
            <w:tcBorders>
              <w:top w:val="nil"/>
              <w:left w:val="nil"/>
              <w:bottom w:val="single" w:sz="4" w:space="0" w:color="ADD6EA"/>
              <w:right w:val="nil"/>
            </w:tcBorders>
            <w:shd w:val="clear" w:color="000000" w:fill="D6E7F0"/>
            <w:vAlign w:val="bottom"/>
            <w:hideMark/>
          </w:tcPr>
          <w:p w14:paraId="3C7E8919" w14:textId="77777777" w:rsidR="00760AFC" w:rsidRPr="00442A3B" w:rsidRDefault="00760AFC" w:rsidP="00760AFC">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-19</w:t>
            </w:r>
          </w:p>
        </w:tc>
        <w:tc>
          <w:tcPr>
            <w:tcW w:w="680" w:type="dxa"/>
            <w:tcBorders>
              <w:top w:val="nil"/>
              <w:left w:val="nil"/>
              <w:bottom w:val="single" w:sz="4" w:space="0" w:color="ADD6EA"/>
              <w:right w:val="nil"/>
            </w:tcBorders>
            <w:shd w:val="clear" w:color="000000" w:fill="D6E7F0"/>
            <w:vAlign w:val="bottom"/>
            <w:hideMark/>
          </w:tcPr>
          <w:p w14:paraId="5D5E5EE5" w14:textId="77777777" w:rsidR="00760AFC" w:rsidRPr="00442A3B" w:rsidRDefault="00760AFC" w:rsidP="00760AFC">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66</w:t>
            </w:r>
          </w:p>
        </w:tc>
        <w:tc>
          <w:tcPr>
            <w:tcW w:w="760" w:type="dxa"/>
            <w:tcBorders>
              <w:top w:val="nil"/>
              <w:left w:val="nil"/>
              <w:bottom w:val="single" w:sz="4" w:space="0" w:color="ADD6EA"/>
              <w:right w:val="nil"/>
            </w:tcBorders>
            <w:shd w:val="clear" w:color="000000" w:fill="D6E7F0"/>
            <w:vAlign w:val="bottom"/>
            <w:hideMark/>
          </w:tcPr>
          <w:p w14:paraId="086B56BB" w14:textId="77777777" w:rsidR="00760AFC" w:rsidRPr="00442A3B" w:rsidRDefault="00760AFC" w:rsidP="00760AFC">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1,236</w:t>
            </w:r>
          </w:p>
        </w:tc>
      </w:tr>
    </w:tbl>
    <w:p w14:paraId="03251664" w14:textId="3C00D36C" w:rsidR="00165998" w:rsidRPr="00442A3B" w:rsidRDefault="00165998" w:rsidP="00760AFC">
      <w:pPr>
        <w:pStyle w:val="CGCTablenote"/>
        <w:keepNext/>
        <w:keepLines/>
        <w:spacing w:before="0"/>
      </w:pPr>
      <w:r w:rsidRPr="00442A3B">
        <w:t xml:space="preserve">Source: </w:t>
      </w:r>
      <w:r w:rsidRPr="00442A3B">
        <w:tab/>
        <w:t>Commission calculation.</w:t>
      </w:r>
    </w:p>
    <w:p w14:paraId="40D8A1BE" w14:textId="77777777" w:rsidR="00165998" w:rsidRPr="00442A3B" w:rsidRDefault="00165998" w:rsidP="00B33810">
      <w:pPr>
        <w:pStyle w:val="CGCParaNumber"/>
        <w:widowControl w:val="0"/>
        <w:ind w:left="567" w:hanging="567"/>
      </w:pPr>
      <w:r w:rsidRPr="00442A3B">
        <w:t>The following sections explain the main causes of change in State circumstances.</w:t>
      </w:r>
    </w:p>
    <w:p w14:paraId="1421CB83" w14:textId="168F492B" w:rsidR="00165998" w:rsidRPr="00442A3B" w:rsidRDefault="006A5739" w:rsidP="00E27776">
      <w:pPr>
        <w:pStyle w:val="Heading5"/>
      </w:pPr>
      <w:r w:rsidRPr="00442A3B">
        <w:lastRenderedPageBreak/>
        <w:t xml:space="preserve">Drivers of change </w:t>
      </w:r>
      <w:r w:rsidR="00F23BA4" w:rsidRPr="00442A3B">
        <w:t xml:space="preserve">in </w:t>
      </w:r>
      <w:r w:rsidR="00AC4939" w:rsidRPr="00442A3B">
        <w:t xml:space="preserve">revenue </w:t>
      </w:r>
      <w:r w:rsidR="00116751" w:rsidRPr="00442A3B">
        <w:t>raising capacity</w:t>
      </w:r>
    </w:p>
    <w:p w14:paraId="7C62D8D9" w14:textId="05BD1A51" w:rsidR="00165998" w:rsidRPr="00442A3B" w:rsidRDefault="00C378CC" w:rsidP="000361EA">
      <w:pPr>
        <w:pStyle w:val="CGCParaNumber"/>
        <w:ind w:left="567" w:hanging="567"/>
      </w:pPr>
      <w:bookmarkStart w:id="95" w:name="_Ref63347235"/>
      <w:r w:rsidRPr="00442A3B">
        <w:rPr>
          <w:rStyle w:val="Heading6Char"/>
        </w:rPr>
        <w:t>Mining</w:t>
      </w:r>
      <w:r w:rsidR="00E27776" w:rsidRPr="00442A3B">
        <w:rPr>
          <w:rStyle w:val="Heading6Char"/>
        </w:rPr>
        <w:t>.</w:t>
      </w:r>
      <w:r w:rsidR="00165998" w:rsidRPr="00442A3B">
        <w:t xml:space="preserve"> </w:t>
      </w:r>
      <w:r w:rsidR="00045E71" w:rsidRPr="00442A3B">
        <w:t>R</w:t>
      </w:r>
      <w:r w:rsidR="00165998" w:rsidRPr="00442A3B">
        <w:t>esource endowments</w:t>
      </w:r>
      <w:r w:rsidR="00045E71" w:rsidRPr="00442A3B">
        <w:t xml:space="preserve"> </w:t>
      </w:r>
      <w:r w:rsidR="0035391E">
        <w:t>a</w:t>
      </w:r>
      <w:r w:rsidR="00045E71" w:rsidRPr="00442A3B">
        <w:t>re unevenly distributed</w:t>
      </w:r>
      <w:r w:rsidR="00E36180" w:rsidRPr="00442A3B">
        <w:t xml:space="preserve"> across States </w:t>
      </w:r>
      <w:r w:rsidR="00045E71" w:rsidRPr="00442A3B">
        <w:t>and</w:t>
      </w:r>
      <w:r w:rsidR="00035CE6" w:rsidRPr="00442A3B">
        <w:t xml:space="preserve"> changes in </w:t>
      </w:r>
      <w:r w:rsidR="00165998" w:rsidRPr="00442A3B">
        <w:t>mining activity</w:t>
      </w:r>
      <w:r w:rsidR="00035CE6" w:rsidRPr="00442A3B">
        <w:t xml:space="preserve"> and commodity</w:t>
      </w:r>
      <w:r w:rsidR="00165998" w:rsidRPr="00442A3B">
        <w:t xml:space="preserve"> price</w:t>
      </w:r>
      <w:r w:rsidR="00045E71" w:rsidRPr="00442A3B">
        <w:t>s</w:t>
      </w:r>
      <w:r w:rsidR="00165998" w:rsidRPr="00442A3B">
        <w:t xml:space="preserve"> can produce large </w:t>
      </w:r>
      <w:r w:rsidR="00035CE6" w:rsidRPr="00442A3B">
        <w:t xml:space="preserve">annual </w:t>
      </w:r>
      <w:r w:rsidR="00165998" w:rsidRPr="00442A3B">
        <w:t xml:space="preserve">movements in the value of </w:t>
      </w:r>
      <w:r w:rsidR="00DA0CB6" w:rsidRPr="00442A3B">
        <w:t>mining</w:t>
      </w:r>
      <w:r w:rsidR="00035CE6" w:rsidRPr="00442A3B">
        <w:t xml:space="preserve">. Consequently, the mining revenue assessment can give rise to large GST </w:t>
      </w:r>
      <w:r w:rsidR="004D04A6" w:rsidRPr="00442A3B">
        <w:t xml:space="preserve">pool </w:t>
      </w:r>
      <w:r w:rsidR="00035CE6" w:rsidRPr="00442A3B">
        <w:t xml:space="preserve">redistributions. In this </w:t>
      </w:r>
      <w:r w:rsidR="00875143" w:rsidRPr="00442A3B">
        <w:t>update</w:t>
      </w:r>
      <w:r w:rsidR="00AF5080" w:rsidRPr="00442A3B">
        <w:t>,</w:t>
      </w:r>
      <w:r w:rsidR="00035CE6" w:rsidRPr="00442A3B">
        <w:t xml:space="preserve"> it redistributed $1,06</w:t>
      </w:r>
      <w:r w:rsidR="002048A7" w:rsidRPr="00442A3B">
        <w:t>1</w:t>
      </w:r>
      <w:r w:rsidR="00035CE6" w:rsidRPr="00442A3B">
        <w:t xml:space="preserve"> million </w:t>
      </w:r>
      <w:r w:rsidR="003042D1" w:rsidRPr="00442A3B">
        <w:t xml:space="preserve">in GST </w:t>
      </w:r>
      <w:r w:rsidR="00035CE6" w:rsidRPr="00442A3B">
        <w:t xml:space="preserve">from Western Australia to </w:t>
      </w:r>
      <w:r w:rsidR="003722B6" w:rsidRPr="00442A3B">
        <w:t>other</w:t>
      </w:r>
      <w:r w:rsidR="00035CE6" w:rsidRPr="00442A3B">
        <w:t xml:space="preserve"> States (</w:t>
      </w:r>
      <w:r w:rsidR="003722B6" w:rsidRPr="00442A3B">
        <w:t xml:space="preserve">particularly </w:t>
      </w:r>
      <w:r w:rsidR="00035CE6" w:rsidRPr="00442A3B">
        <w:t xml:space="preserve">New South Wales </w:t>
      </w:r>
      <w:r w:rsidR="00BD6992" w:rsidRPr="00442A3B">
        <w:t xml:space="preserve">and </w:t>
      </w:r>
      <w:r w:rsidR="0054378A" w:rsidRPr="00442A3B">
        <w:t>Victoria</w:t>
      </w:r>
      <w:r w:rsidR="00035CE6" w:rsidRPr="00442A3B">
        <w:t>).</w:t>
      </w:r>
      <w:r w:rsidR="00FC413F" w:rsidRPr="00442A3B">
        <w:t xml:space="preserve"> </w:t>
      </w:r>
      <w:r w:rsidR="006C746E" w:rsidRPr="00442A3B">
        <w:t>The biggest change was growth in iron ore royalties, which pushe</w:t>
      </w:r>
      <w:r w:rsidR="00024A42" w:rsidRPr="00442A3B">
        <w:t>d</w:t>
      </w:r>
      <w:r w:rsidR="006C746E" w:rsidRPr="00442A3B">
        <w:t xml:space="preserve"> down Western Australia</w:t>
      </w:r>
      <w:r w:rsidR="00F025B5" w:rsidRPr="00442A3B">
        <w:t>’s</w:t>
      </w:r>
      <w:r w:rsidR="006C746E" w:rsidRPr="00442A3B">
        <w:t xml:space="preserve"> GST </w:t>
      </w:r>
      <w:r w:rsidR="00713B62" w:rsidRPr="00442A3B">
        <w:t xml:space="preserve">pool </w:t>
      </w:r>
      <w:r w:rsidR="006C746E" w:rsidRPr="00442A3B">
        <w:t>share and pushe</w:t>
      </w:r>
      <w:r w:rsidR="00024A42" w:rsidRPr="00442A3B">
        <w:t>d</w:t>
      </w:r>
      <w:r w:rsidR="006C746E" w:rsidRPr="00442A3B">
        <w:t xml:space="preserve"> </w:t>
      </w:r>
      <w:r w:rsidR="00625C1E" w:rsidRPr="00442A3B">
        <w:t xml:space="preserve">up </w:t>
      </w:r>
      <w:r w:rsidR="3A531C87" w:rsidRPr="00442A3B">
        <w:t xml:space="preserve">those </w:t>
      </w:r>
      <w:r w:rsidR="00266BBC" w:rsidRPr="00442A3B">
        <w:t>of</w:t>
      </w:r>
      <w:r w:rsidR="006C746E" w:rsidRPr="00442A3B">
        <w:t xml:space="preserve"> all other </w:t>
      </w:r>
      <w:r w:rsidR="001A5A47" w:rsidRPr="00442A3B">
        <w:t>S</w:t>
      </w:r>
      <w:r w:rsidR="006C746E" w:rsidRPr="00442A3B">
        <w:t xml:space="preserve">tates. </w:t>
      </w:r>
      <w:r w:rsidR="00B713D4" w:rsidRPr="00442A3B">
        <w:t>G</w:t>
      </w:r>
      <w:r w:rsidR="006C746E" w:rsidRPr="00442A3B">
        <w:t xml:space="preserve">rowing </w:t>
      </w:r>
      <w:r w:rsidR="00E62821" w:rsidRPr="00442A3B">
        <w:t>royalties</w:t>
      </w:r>
      <w:r w:rsidR="006C746E" w:rsidRPr="00442A3B">
        <w:t xml:space="preserve"> across a number of </w:t>
      </w:r>
      <w:r w:rsidR="00371CD1" w:rsidRPr="00442A3B">
        <w:t>the Northern Territory’s</w:t>
      </w:r>
      <w:r w:rsidR="006C746E" w:rsidRPr="00442A3B">
        <w:t xml:space="preserve"> mineral bases </w:t>
      </w:r>
      <w:r w:rsidR="0044422A" w:rsidRPr="00442A3B">
        <w:t>p</w:t>
      </w:r>
      <w:r w:rsidR="006C746E" w:rsidRPr="00442A3B">
        <w:t>ush</w:t>
      </w:r>
      <w:r w:rsidR="0044422A" w:rsidRPr="00442A3B">
        <w:t xml:space="preserve">ed </w:t>
      </w:r>
      <w:r w:rsidR="00F86223" w:rsidRPr="00442A3B">
        <w:t>down</w:t>
      </w:r>
      <w:r w:rsidR="006C746E" w:rsidRPr="00442A3B">
        <w:t xml:space="preserve"> its GST </w:t>
      </w:r>
      <w:r w:rsidR="00A07FE1" w:rsidRPr="00442A3B">
        <w:t xml:space="preserve">pool </w:t>
      </w:r>
      <w:r w:rsidR="006C746E" w:rsidRPr="00442A3B">
        <w:t>share. For the</w:t>
      </w:r>
      <w:r w:rsidR="6C37A886" w:rsidRPr="00442A3B">
        <w:t xml:space="preserve"> Northern</w:t>
      </w:r>
      <w:r w:rsidR="006C746E" w:rsidRPr="00442A3B">
        <w:t xml:space="preserve"> </w:t>
      </w:r>
      <w:r w:rsidR="0025479D" w:rsidRPr="00442A3B">
        <w:t>Territory</w:t>
      </w:r>
      <w:r w:rsidR="006C746E" w:rsidRPr="00442A3B">
        <w:t xml:space="preserve">, </w:t>
      </w:r>
      <w:r w:rsidR="00AC6709" w:rsidRPr="00442A3B">
        <w:t xml:space="preserve">the impact </w:t>
      </w:r>
      <w:r w:rsidR="00A704E4" w:rsidRPr="00442A3B">
        <w:t xml:space="preserve">on its GST </w:t>
      </w:r>
      <w:r w:rsidR="00965454" w:rsidRPr="00442A3B">
        <w:t>pool</w:t>
      </w:r>
      <w:r w:rsidR="00A704E4" w:rsidRPr="00442A3B">
        <w:t xml:space="preserve"> share </w:t>
      </w:r>
      <w:r w:rsidR="00AC6709" w:rsidRPr="00442A3B">
        <w:t xml:space="preserve">of </w:t>
      </w:r>
      <w:r w:rsidR="00923DD1" w:rsidRPr="00442A3B">
        <w:t xml:space="preserve">the growth in these </w:t>
      </w:r>
      <w:r w:rsidR="00E62821" w:rsidRPr="00442A3B">
        <w:t>royalties</w:t>
      </w:r>
      <w:r w:rsidR="00AC6709" w:rsidRPr="00442A3B">
        <w:t xml:space="preserve"> outweighed </w:t>
      </w:r>
      <w:r w:rsidR="00A704E4" w:rsidRPr="00442A3B">
        <w:t>the impact of the growth in iron ore royalties</w:t>
      </w:r>
      <w:r w:rsidR="00DC6991" w:rsidRPr="00442A3B">
        <w:t>. The</w:t>
      </w:r>
      <w:r w:rsidR="006C746E" w:rsidRPr="00442A3B">
        <w:t xml:space="preserve"> net effect </w:t>
      </w:r>
      <w:r w:rsidR="00DC6991" w:rsidRPr="00442A3B">
        <w:t>was</w:t>
      </w:r>
      <w:r w:rsidR="006C746E" w:rsidRPr="00442A3B">
        <w:t xml:space="preserve"> a fall in </w:t>
      </w:r>
      <w:r w:rsidR="00D236FF" w:rsidRPr="00442A3B">
        <w:t xml:space="preserve">its </w:t>
      </w:r>
      <w:r w:rsidR="006C746E" w:rsidRPr="00442A3B">
        <w:t xml:space="preserve">GST </w:t>
      </w:r>
      <w:r w:rsidR="00965454" w:rsidRPr="00442A3B">
        <w:t xml:space="preserve">pool </w:t>
      </w:r>
      <w:r w:rsidR="006C746E" w:rsidRPr="00442A3B">
        <w:t>share</w:t>
      </w:r>
      <w:bookmarkEnd w:id="95"/>
      <w:r w:rsidR="006C746E" w:rsidRPr="00442A3B">
        <w:t>.</w:t>
      </w:r>
    </w:p>
    <w:p w14:paraId="7725FAA2" w14:textId="54EC1369" w:rsidR="00165998" w:rsidRPr="00442A3B" w:rsidRDefault="00165998" w:rsidP="000361EA">
      <w:pPr>
        <w:pStyle w:val="CGCParaNumber"/>
        <w:ind w:left="567" w:hanging="567"/>
      </w:pPr>
      <w:r w:rsidRPr="00442A3B">
        <w:fldChar w:fldCharType="begin"/>
      </w:r>
      <w:r w:rsidRPr="00442A3B">
        <w:instrText xml:space="preserve"> REF _Ref32933547 \h </w:instrText>
      </w:r>
      <w:r w:rsidR="00442A3B">
        <w:instrText xml:space="preserve"> \* MERGEFORMAT </w:instrText>
      </w:r>
      <w:r w:rsidRPr="00442A3B">
        <w:fldChar w:fldCharType="separate"/>
      </w:r>
      <w:r w:rsidR="00FC3D3D" w:rsidRPr="00442A3B">
        <w:t>Figure 2</w:t>
      </w:r>
      <w:r w:rsidR="00FC3D3D" w:rsidRPr="00442A3B">
        <w:noBreakHyphen/>
      </w:r>
      <w:r w:rsidR="00FC3D3D">
        <w:t>1</w:t>
      </w:r>
      <w:r w:rsidRPr="00442A3B">
        <w:fldChar w:fldCharType="end"/>
      </w:r>
      <w:r w:rsidRPr="00442A3B">
        <w:t xml:space="preserve"> shows </w:t>
      </w:r>
      <w:r w:rsidR="00267FA0" w:rsidRPr="00442A3B">
        <w:t xml:space="preserve">the change in </w:t>
      </w:r>
      <w:r w:rsidR="00382B38" w:rsidRPr="00442A3B">
        <w:t>royalties from</w:t>
      </w:r>
      <w:r w:rsidRPr="00442A3B">
        <w:t xml:space="preserve"> iron ore</w:t>
      </w:r>
      <w:r w:rsidR="00267FA0" w:rsidRPr="00442A3B">
        <w:t>, coal and other minerals between 2016-17</w:t>
      </w:r>
      <w:r w:rsidRPr="00442A3B">
        <w:t xml:space="preserve"> and </w:t>
      </w:r>
      <w:r w:rsidR="00267FA0" w:rsidRPr="00442A3B">
        <w:t xml:space="preserve">2019-20. </w:t>
      </w:r>
      <w:r w:rsidR="00420DC5" w:rsidRPr="00442A3B">
        <w:t>Due to price effects,</w:t>
      </w:r>
      <w:r w:rsidR="00267FA0" w:rsidRPr="00442A3B">
        <w:t xml:space="preserve"> iron ore </w:t>
      </w:r>
      <w:r w:rsidR="00664498" w:rsidRPr="00442A3B">
        <w:t>royalties</w:t>
      </w:r>
      <w:r w:rsidR="00267FA0" w:rsidRPr="00442A3B">
        <w:t xml:space="preserve"> increased more</w:t>
      </w:r>
      <w:r w:rsidRPr="00442A3B">
        <w:t xml:space="preserve"> than other </w:t>
      </w:r>
      <w:r w:rsidR="00267FA0" w:rsidRPr="00442A3B">
        <w:t>minerals.</w:t>
      </w:r>
      <w:r w:rsidR="00267FA0" w:rsidRPr="00442A3B" w:rsidDel="00664498">
        <w:t xml:space="preserve"> </w:t>
      </w:r>
      <w:r w:rsidR="00664498" w:rsidRPr="00442A3B">
        <w:t xml:space="preserve">Under </w:t>
      </w:r>
      <w:r w:rsidR="00CB1F8C" w:rsidRPr="00442A3B">
        <w:t>a</w:t>
      </w:r>
      <w:r w:rsidR="00664498" w:rsidRPr="00442A3B">
        <w:t xml:space="preserve"> mineral by mineral assessment, this</w:t>
      </w:r>
      <w:r w:rsidR="00267FA0" w:rsidRPr="00442A3B">
        <w:t xml:space="preserve"> increased Western Australia’s mining revenue capacity, reducing its GST </w:t>
      </w:r>
      <w:r w:rsidR="00045AFC" w:rsidRPr="00442A3B">
        <w:t xml:space="preserve">pool </w:t>
      </w:r>
      <w:r w:rsidR="00267FA0" w:rsidRPr="00442A3B">
        <w:t xml:space="preserve">share. It reduced the revenue capacity of most other States, increasing their GST </w:t>
      </w:r>
      <w:r w:rsidR="009F19C5" w:rsidRPr="00442A3B">
        <w:t xml:space="preserve">pool </w:t>
      </w:r>
      <w:r w:rsidR="00267FA0" w:rsidRPr="00442A3B">
        <w:t>shares</w:t>
      </w:r>
      <w:r w:rsidRPr="00442A3B">
        <w:t>.</w:t>
      </w:r>
    </w:p>
    <w:p w14:paraId="56C4780C" w14:textId="39E35557" w:rsidR="00165998" w:rsidRPr="00442A3B" w:rsidRDefault="00165998" w:rsidP="000E333C">
      <w:pPr>
        <w:pStyle w:val="Caption"/>
      </w:pPr>
      <w:bookmarkStart w:id="96" w:name="_Ref30680556"/>
      <w:bookmarkStart w:id="97" w:name="_Ref32933547"/>
      <w:bookmarkStart w:id="98" w:name="_Toc62487164"/>
      <w:bookmarkStart w:id="99" w:name="_Toc62487320"/>
      <w:r w:rsidRPr="00442A3B">
        <w:t>Figure 2</w:t>
      </w:r>
      <w:r w:rsidRPr="00442A3B">
        <w:noBreakHyphen/>
      </w:r>
      <w:bookmarkEnd w:id="96"/>
      <w:r w:rsidRPr="00442A3B">
        <w:fldChar w:fldCharType="begin"/>
      </w:r>
      <w:r w:rsidRPr="00442A3B">
        <w:instrText xml:space="preserve"> SEQ Figure \* ARABIC\r 1 </w:instrText>
      </w:r>
      <w:r w:rsidRPr="00442A3B">
        <w:fldChar w:fldCharType="separate"/>
      </w:r>
      <w:r w:rsidR="00FC3D3D">
        <w:rPr>
          <w:noProof/>
        </w:rPr>
        <w:t>1</w:t>
      </w:r>
      <w:r w:rsidRPr="00442A3B">
        <w:fldChar w:fldCharType="end"/>
      </w:r>
      <w:bookmarkEnd w:id="97"/>
      <w:r w:rsidRPr="00442A3B">
        <w:tab/>
        <w:t xml:space="preserve">Mining </w:t>
      </w:r>
      <w:r w:rsidR="00382B38" w:rsidRPr="00442A3B">
        <w:t>royalties</w:t>
      </w:r>
      <w:r w:rsidRPr="00442A3B">
        <w:t>, selected minerals, 201</w:t>
      </w:r>
      <w:r w:rsidR="00876AD4" w:rsidRPr="00442A3B">
        <w:t>6-17</w:t>
      </w:r>
      <w:r w:rsidRPr="00442A3B">
        <w:t xml:space="preserve"> and 201</w:t>
      </w:r>
      <w:r w:rsidR="00876AD4" w:rsidRPr="00442A3B">
        <w:t>9-20</w:t>
      </w:r>
      <w:bookmarkEnd w:id="98"/>
      <w:bookmarkEnd w:id="99"/>
    </w:p>
    <w:p w14:paraId="659FD43D" w14:textId="68B7158E" w:rsidR="00165998" w:rsidRPr="00442A3B" w:rsidRDefault="00CC4246" w:rsidP="00876AD4">
      <w:pPr>
        <w:pStyle w:val="CGCTablenote"/>
      </w:pPr>
      <w:r w:rsidRPr="00442A3B">
        <w:rPr>
          <w:noProof/>
        </w:rPr>
        <w:drawing>
          <wp:inline distT="0" distB="0" distL="0" distR="0" wp14:anchorId="452B5BFE" wp14:editId="10F6E1E0">
            <wp:extent cx="5663565" cy="3578860"/>
            <wp:effectExtent l="0" t="0" r="0" b="2540"/>
            <wp:docPr id="46" name="Picture 46" descr="Line graph showing iron ore royalties increasing to $8,000 million in 2019-20. Coal royalties fell and other minerals remained stea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ine graph showing iron ore royalties increasing to $8,000 million in 2019-20. Coal royalties fell and other minerals remained steady.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3565" cy="3578860"/>
                    </a:xfrm>
                    <a:prstGeom prst="rect">
                      <a:avLst/>
                    </a:prstGeom>
                    <a:noFill/>
                  </pic:spPr>
                </pic:pic>
              </a:graphicData>
            </a:graphic>
          </wp:inline>
        </w:drawing>
      </w:r>
    </w:p>
    <w:p w14:paraId="1DC98154" w14:textId="332E877D" w:rsidR="0020042F" w:rsidRPr="00442A3B" w:rsidRDefault="00165998" w:rsidP="00605672">
      <w:pPr>
        <w:pStyle w:val="CGCTablenote"/>
        <w:spacing w:before="0"/>
      </w:pPr>
      <w:r w:rsidRPr="00442A3B">
        <w:t>Source:</w:t>
      </w:r>
      <w:r w:rsidRPr="00442A3B">
        <w:tab/>
        <w:t>State provided data.</w:t>
      </w:r>
    </w:p>
    <w:tbl>
      <w:tblPr>
        <w:tblStyle w:val="TableGrid"/>
        <w:tblW w:w="0" w:type="auto"/>
        <w:tblLook w:val="04A0" w:firstRow="1" w:lastRow="0" w:firstColumn="1" w:lastColumn="0" w:noHBand="0" w:noVBand="1"/>
      </w:tblPr>
      <w:tblGrid>
        <w:gridCol w:w="9167"/>
      </w:tblGrid>
      <w:tr w:rsidR="00090B3F" w:rsidRPr="00442A3B" w14:paraId="2EEAF5E9" w14:textId="77777777" w:rsidTr="5FEFFBDB">
        <w:tc>
          <w:tcPr>
            <w:tcW w:w="9167" w:type="dxa"/>
            <w:tcBorders>
              <w:top w:val="nil"/>
              <w:left w:val="nil"/>
              <w:bottom w:val="nil"/>
              <w:right w:val="nil"/>
            </w:tcBorders>
            <w:shd w:val="clear" w:color="auto" w:fill="EBF3F5"/>
          </w:tcPr>
          <w:p w14:paraId="175F2A48" w14:textId="286E15AB" w:rsidR="00090B3F" w:rsidRPr="00442A3B" w:rsidRDefault="00090B3F" w:rsidP="00605672">
            <w:pPr>
              <w:pStyle w:val="Heading4"/>
              <w:keepLines/>
              <w:outlineLvl w:val="3"/>
            </w:pPr>
            <w:bookmarkStart w:id="100" w:name="_Toc65050529"/>
            <w:r w:rsidRPr="00442A3B">
              <w:lastRenderedPageBreak/>
              <w:t xml:space="preserve">Iron ore and Western Australia’s </w:t>
            </w:r>
            <w:r w:rsidR="008A6D0E" w:rsidRPr="00442A3B">
              <w:t>revenue raising</w:t>
            </w:r>
            <w:r w:rsidR="008A6D0E" w:rsidRPr="00442A3B" w:rsidDel="008A6D0E">
              <w:t xml:space="preserve"> </w:t>
            </w:r>
            <w:r w:rsidRPr="00442A3B">
              <w:t>capacity</w:t>
            </w:r>
            <w:bookmarkEnd w:id="100"/>
          </w:p>
          <w:p w14:paraId="38E5D30A" w14:textId="76BDA4F2" w:rsidR="00090B3F" w:rsidRPr="00442A3B" w:rsidRDefault="00090B3F" w:rsidP="00605672">
            <w:pPr>
              <w:keepNext/>
              <w:keepLines/>
              <w:rPr>
                <w:color w:val="000000"/>
              </w:rPr>
            </w:pPr>
            <w:r w:rsidRPr="00442A3B">
              <w:rPr>
                <w:color w:val="000000"/>
              </w:rPr>
              <w:t xml:space="preserve">The mining assessment </w:t>
            </w:r>
            <w:r w:rsidR="009E04B7" w:rsidRPr="00442A3B">
              <w:rPr>
                <w:color w:val="000000"/>
              </w:rPr>
              <w:t xml:space="preserve">was </w:t>
            </w:r>
            <w:r w:rsidR="000C40EA" w:rsidRPr="00442A3B">
              <w:rPr>
                <w:color w:val="000000"/>
              </w:rPr>
              <w:t>the</w:t>
            </w:r>
            <w:r w:rsidRPr="00442A3B">
              <w:rPr>
                <w:color w:val="000000"/>
              </w:rPr>
              <w:t xml:space="preserve"> major contributor to changed GST </w:t>
            </w:r>
            <w:r w:rsidR="00D330CD" w:rsidRPr="00442A3B">
              <w:rPr>
                <w:color w:val="000000"/>
              </w:rPr>
              <w:t xml:space="preserve">pool redistribution </w:t>
            </w:r>
            <w:r w:rsidRPr="00442A3B">
              <w:rPr>
                <w:color w:val="000000"/>
              </w:rPr>
              <w:t xml:space="preserve">outcomes in </w:t>
            </w:r>
            <w:r w:rsidR="00F744BD" w:rsidRPr="00442A3B">
              <w:rPr>
                <w:color w:val="000000"/>
              </w:rPr>
              <w:t xml:space="preserve">the </w:t>
            </w:r>
            <w:r w:rsidR="005909B1" w:rsidRPr="00442A3B">
              <w:rPr>
                <w:color w:val="000000"/>
              </w:rPr>
              <w:t>2021 Update</w:t>
            </w:r>
            <w:r w:rsidRPr="00442A3B">
              <w:rPr>
                <w:color w:val="000000"/>
              </w:rPr>
              <w:t xml:space="preserve">. The composition of mining revenue has changed following a strong rise in iron ore royalties and a fall in coal royalties (see </w:t>
            </w:r>
            <w:r w:rsidR="00294F41" w:rsidRPr="00442A3B">
              <w:rPr>
                <w:color w:val="000000"/>
              </w:rPr>
              <w:fldChar w:fldCharType="begin"/>
            </w:r>
            <w:r w:rsidR="00294F41" w:rsidRPr="00442A3B">
              <w:rPr>
                <w:color w:val="000000"/>
              </w:rPr>
              <w:instrText xml:space="preserve"> REF _Ref32933547 \h </w:instrText>
            </w:r>
            <w:r w:rsidR="00442A3B">
              <w:rPr>
                <w:color w:val="000000"/>
              </w:rPr>
              <w:instrText xml:space="preserve"> \* MERGEFORMAT </w:instrText>
            </w:r>
            <w:r w:rsidR="00294F41" w:rsidRPr="00442A3B">
              <w:rPr>
                <w:color w:val="000000"/>
              </w:rPr>
            </w:r>
            <w:r w:rsidR="00294F41" w:rsidRPr="00442A3B">
              <w:rPr>
                <w:color w:val="000000"/>
              </w:rPr>
              <w:fldChar w:fldCharType="separate"/>
            </w:r>
            <w:r w:rsidR="00FC3D3D" w:rsidRPr="00442A3B">
              <w:t>Figure 2</w:t>
            </w:r>
            <w:r w:rsidR="00FC3D3D" w:rsidRPr="00442A3B">
              <w:noBreakHyphen/>
            </w:r>
            <w:r w:rsidR="00FC3D3D">
              <w:t>1</w:t>
            </w:r>
            <w:r w:rsidR="00294F41" w:rsidRPr="00442A3B">
              <w:rPr>
                <w:color w:val="000000"/>
              </w:rPr>
              <w:fldChar w:fldCharType="end"/>
            </w:r>
            <w:r w:rsidRPr="00442A3B">
              <w:rPr>
                <w:color w:val="000000"/>
              </w:rPr>
              <w:t xml:space="preserve">). The changed composition led to an increase in Western Australia’s </w:t>
            </w:r>
            <w:r w:rsidR="00300520" w:rsidRPr="00442A3B">
              <w:rPr>
                <w:color w:val="000000"/>
              </w:rPr>
              <w:t xml:space="preserve">revenue raising </w:t>
            </w:r>
            <w:r w:rsidRPr="00442A3B">
              <w:rPr>
                <w:color w:val="000000"/>
              </w:rPr>
              <w:t xml:space="preserve">capacity and a fall in the </w:t>
            </w:r>
            <w:r w:rsidR="002761B0" w:rsidRPr="00442A3B">
              <w:rPr>
                <w:color w:val="000000"/>
              </w:rPr>
              <w:t>revenue raising</w:t>
            </w:r>
            <w:r w:rsidR="002761B0" w:rsidRPr="00442A3B" w:rsidDel="002761B0">
              <w:rPr>
                <w:color w:val="000000"/>
              </w:rPr>
              <w:t xml:space="preserve"> </w:t>
            </w:r>
            <w:r w:rsidRPr="00442A3B">
              <w:rPr>
                <w:color w:val="000000"/>
              </w:rPr>
              <w:t xml:space="preserve">capacities of coal producing States (New South Wales and Queensland). The importance of iron ore royalties to Western Australia’s assessed fiscal capacity is not new. Over recent decades, its changing fiscal capacity has </w:t>
            </w:r>
            <w:r w:rsidR="00CF7544" w:rsidRPr="00442A3B">
              <w:rPr>
                <w:color w:val="000000"/>
              </w:rPr>
              <w:t>track</w:t>
            </w:r>
            <w:r w:rsidRPr="00442A3B">
              <w:rPr>
                <w:color w:val="000000"/>
              </w:rPr>
              <w:t>ed its changing iron ore royalties.</w:t>
            </w:r>
          </w:p>
          <w:p w14:paraId="511BAE48" w14:textId="208C2CAD" w:rsidR="00090B3F" w:rsidRPr="00442A3B" w:rsidRDefault="00090B3F" w:rsidP="00605672">
            <w:pPr>
              <w:keepNext/>
              <w:keepLines/>
              <w:rPr>
                <w:color w:val="000000"/>
              </w:rPr>
            </w:pPr>
            <w:r w:rsidRPr="00442A3B">
              <w:rPr>
                <w:color w:val="000000"/>
              </w:rPr>
              <w:fldChar w:fldCharType="begin"/>
            </w:r>
            <w:r w:rsidRPr="00442A3B">
              <w:rPr>
                <w:color w:val="000000"/>
              </w:rPr>
              <w:instrText xml:space="preserve"> REF _Ref61945458 \h </w:instrText>
            </w:r>
            <w:r w:rsidR="00442A3B">
              <w:rPr>
                <w:color w:val="000000"/>
              </w:rPr>
              <w:instrText xml:space="preserve"> \* MERGEFORMAT </w:instrText>
            </w:r>
            <w:r w:rsidRPr="00442A3B">
              <w:rPr>
                <w:color w:val="000000"/>
              </w:rPr>
            </w:r>
            <w:r w:rsidRPr="00442A3B">
              <w:rPr>
                <w:color w:val="000000"/>
              </w:rPr>
              <w:fldChar w:fldCharType="separate"/>
            </w:r>
            <w:r w:rsidR="00FC3D3D" w:rsidRPr="00442A3B">
              <w:t>Figure 2-</w:t>
            </w:r>
            <w:r w:rsidR="00FC3D3D">
              <w:t>2</w:t>
            </w:r>
            <w:r w:rsidRPr="00442A3B">
              <w:rPr>
                <w:color w:val="000000"/>
              </w:rPr>
              <w:fldChar w:fldCharType="end"/>
            </w:r>
            <w:r w:rsidRPr="00442A3B">
              <w:rPr>
                <w:color w:val="000000"/>
              </w:rPr>
              <w:t xml:space="preserve"> shows </w:t>
            </w:r>
            <w:r w:rsidR="00E3222F" w:rsidRPr="00442A3B">
              <w:rPr>
                <w:color w:val="000000"/>
              </w:rPr>
              <w:t>how</w:t>
            </w:r>
            <w:r w:rsidRPr="00442A3B">
              <w:rPr>
                <w:color w:val="000000"/>
              </w:rPr>
              <w:t xml:space="preserve"> rapid</w:t>
            </w:r>
            <w:r w:rsidR="00E3222F" w:rsidRPr="00442A3B">
              <w:rPr>
                <w:color w:val="000000"/>
              </w:rPr>
              <w:t xml:space="preserve">ly </w:t>
            </w:r>
            <w:r w:rsidR="0069458D" w:rsidRPr="00442A3B">
              <w:rPr>
                <w:color w:val="000000"/>
              </w:rPr>
              <w:t xml:space="preserve">Western Australia’s </w:t>
            </w:r>
            <w:r w:rsidRPr="00442A3B">
              <w:rPr>
                <w:color w:val="000000"/>
              </w:rPr>
              <w:t xml:space="preserve">iron ore royalties </w:t>
            </w:r>
            <w:r w:rsidR="00872525" w:rsidRPr="00442A3B">
              <w:rPr>
                <w:color w:val="000000"/>
              </w:rPr>
              <w:t xml:space="preserve">have </w:t>
            </w:r>
            <w:r w:rsidR="00065991" w:rsidRPr="00442A3B">
              <w:rPr>
                <w:color w:val="000000"/>
              </w:rPr>
              <w:t>grown</w:t>
            </w:r>
            <w:r w:rsidR="00872525" w:rsidRPr="00442A3B">
              <w:rPr>
                <w:color w:val="000000"/>
              </w:rPr>
              <w:t xml:space="preserve"> </w:t>
            </w:r>
            <w:r w:rsidRPr="00442A3B">
              <w:rPr>
                <w:color w:val="000000"/>
              </w:rPr>
              <w:t xml:space="preserve">since the early 2000s. They have </w:t>
            </w:r>
            <w:r w:rsidR="00065991" w:rsidRPr="00442A3B">
              <w:rPr>
                <w:color w:val="000000"/>
              </w:rPr>
              <w:t>risen</w:t>
            </w:r>
            <w:r w:rsidRPr="00442A3B">
              <w:rPr>
                <w:color w:val="000000"/>
              </w:rPr>
              <w:t xml:space="preserve"> from $300 million to $7.6 billion over that period</w:t>
            </w:r>
            <w:r w:rsidR="00D223A9" w:rsidRPr="00442A3B">
              <w:rPr>
                <w:color w:val="000000"/>
              </w:rPr>
              <w:t xml:space="preserve">, </w:t>
            </w:r>
            <w:r w:rsidRPr="00442A3B">
              <w:rPr>
                <w:color w:val="000000"/>
              </w:rPr>
              <w:t>strengthen</w:t>
            </w:r>
            <w:r w:rsidR="00D223A9" w:rsidRPr="00442A3B">
              <w:rPr>
                <w:color w:val="000000"/>
              </w:rPr>
              <w:t>ing</w:t>
            </w:r>
            <w:r w:rsidRPr="00442A3B">
              <w:rPr>
                <w:color w:val="000000"/>
              </w:rPr>
              <w:t xml:space="preserve"> </w:t>
            </w:r>
            <w:r w:rsidR="0069458D" w:rsidRPr="00442A3B">
              <w:rPr>
                <w:color w:val="000000"/>
              </w:rPr>
              <w:t xml:space="preserve">its </w:t>
            </w:r>
            <w:r w:rsidR="0024476E" w:rsidRPr="00442A3B">
              <w:rPr>
                <w:color w:val="000000"/>
              </w:rPr>
              <w:t>revenue raising</w:t>
            </w:r>
            <w:r w:rsidR="0024476E" w:rsidRPr="00442A3B" w:rsidDel="0024476E">
              <w:rPr>
                <w:color w:val="000000"/>
              </w:rPr>
              <w:t xml:space="preserve"> </w:t>
            </w:r>
            <w:r w:rsidRPr="00442A3B">
              <w:rPr>
                <w:color w:val="000000"/>
              </w:rPr>
              <w:t xml:space="preserve">capacity and </w:t>
            </w:r>
            <w:r w:rsidR="002F0E0F" w:rsidRPr="00442A3B">
              <w:rPr>
                <w:color w:val="000000"/>
              </w:rPr>
              <w:t>driving</w:t>
            </w:r>
            <w:r w:rsidRPr="00442A3B">
              <w:rPr>
                <w:color w:val="000000"/>
              </w:rPr>
              <w:t xml:space="preserve"> its </w:t>
            </w:r>
            <w:r w:rsidR="4897ABEF" w:rsidRPr="00442A3B">
              <w:rPr>
                <w:color w:val="000000"/>
              </w:rPr>
              <w:t xml:space="preserve">GST </w:t>
            </w:r>
            <w:r w:rsidRPr="00442A3B">
              <w:rPr>
                <w:color w:val="000000"/>
              </w:rPr>
              <w:t xml:space="preserve">relativity </w:t>
            </w:r>
            <w:r w:rsidR="3755874C" w:rsidRPr="00442A3B">
              <w:rPr>
                <w:color w:val="000000"/>
              </w:rPr>
              <w:t>(</w:t>
            </w:r>
            <w:r w:rsidRPr="00442A3B">
              <w:rPr>
                <w:color w:val="000000"/>
              </w:rPr>
              <w:t xml:space="preserve">and </w:t>
            </w:r>
            <w:r w:rsidR="3225C6F4" w:rsidRPr="00442A3B">
              <w:rPr>
                <w:color w:val="000000"/>
              </w:rPr>
              <w:t>so</w:t>
            </w:r>
            <w:r w:rsidR="2578B860" w:rsidRPr="00442A3B">
              <w:rPr>
                <w:color w:val="000000"/>
              </w:rPr>
              <w:t xml:space="preserve"> </w:t>
            </w:r>
            <w:r w:rsidR="00E13EA4" w:rsidRPr="00442A3B">
              <w:rPr>
                <w:color w:val="000000"/>
              </w:rPr>
              <w:t xml:space="preserve">its </w:t>
            </w:r>
            <w:r w:rsidRPr="00442A3B">
              <w:rPr>
                <w:color w:val="000000"/>
              </w:rPr>
              <w:t xml:space="preserve">GST </w:t>
            </w:r>
            <w:r w:rsidR="007C01E1" w:rsidRPr="00442A3B">
              <w:rPr>
                <w:color w:val="000000"/>
              </w:rPr>
              <w:t xml:space="preserve">pool </w:t>
            </w:r>
            <w:r w:rsidRPr="00442A3B">
              <w:rPr>
                <w:color w:val="000000"/>
              </w:rPr>
              <w:t>share</w:t>
            </w:r>
            <w:r w:rsidR="42E7A09D" w:rsidRPr="00442A3B">
              <w:rPr>
                <w:color w:val="000000"/>
              </w:rPr>
              <w:t>)</w:t>
            </w:r>
            <w:r w:rsidRPr="00442A3B">
              <w:rPr>
                <w:color w:val="000000"/>
              </w:rPr>
              <w:t xml:space="preserve"> lower.</w:t>
            </w:r>
          </w:p>
          <w:p w14:paraId="3F81051F" w14:textId="524B715B" w:rsidR="00EB13A9" w:rsidRPr="00442A3B" w:rsidRDefault="00D06578" w:rsidP="00605672">
            <w:pPr>
              <w:keepNext/>
              <w:keepLines/>
              <w:rPr>
                <w:color w:val="000000"/>
              </w:rPr>
            </w:pPr>
            <w:r w:rsidRPr="00442A3B">
              <w:rPr>
                <w:color w:val="000000" w:themeColor="text1"/>
              </w:rPr>
              <w:t xml:space="preserve">Western Australia’s </w:t>
            </w:r>
            <w:r w:rsidR="0024476E" w:rsidRPr="00442A3B">
              <w:rPr>
                <w:color w:val="000000" w:themeColor="text1"/>
              </w:rPr>
              <w:t xml:space="preserve">assessed </w:t>
            </w:r>
            <w:r w:rsidR="003F5429" w:rsidRPr="00442A3B">
              <w:rPr>
                <w:color w:val="000000" w:themeColor="text1"/>
              </w:rPr>
              <w:t xml:space="preserve">GST </w:t>
            </w:r>
            <w:r w:rsidR="007C01E1" w:rsidRPr="00442A3B">
              <w:rPr>
                <w:color w:val="000000" w:themeColor="text1"/>
              </w:rPr>
              <w:t xml:space="preserve">requirement </w:t>
            </w:r>
            <w:r w:rsidR="00A372BE" w:rsidRPr="00442A3B">
              <w:rPr>
                <w:color w:val="000000" w:themeColor="text1"/>
              </w:rPr>
              <w:t xml:space="preserve">in this </w:t>
            </w:r>
            <w:r w:rsidR="00C244D1" w:rsidRPr="00442A3B">
              <w:rPr>
                <w:color w:val="000000" w:themeColor="text1"/>
              </w:rPr>
              <w:t>update</w:t>
            </w:r>
            <w:r w:rsidR="00A372BE" w:rsidRPr="00442A3B">
              <w:rPr>
                <w:color w:val="000000" w:themeColor="text1"/>
              </w:rPr>
              <w:t xml:space="preserve"> </w:t>
            </w:r>
            <w:r w:rsidR="00111271" w:rsidRPr="00442A3B">
              <w:rPr>
                <w:color w:val="000000" w:themeColor="text1"/>
              </w:rPr>
              <w:t xml:space="preserve">was </w:t>
            </w:r>
            <w:r w:rsidRPr="00442A3B">
              <w:rPr>
                <w:color w:val="000000" w:themeColor="text1"/>
              </w:rPr>
              <w:t xml:space="preserve">the lowest </w:t>
            </w:r>
            <w:r w:rsidR="008A455B" w:rsidRPr="00442A3B">
              <w:rPr>
                <w:color w:val="000000" w:themeColor="text1"/>
              </w:rPr>
              <w:t>since</w:t>
            </w:r>
            <w:r w:rsidRPr="00442A3B">
              <w:rPr>
                <w:color w:val="000000" w:themeColor="text1"/>
              </w:rPr>
              <w:t xml:space="preserve"> </w:t>
            </w:r>
            <w:r w:rsidR="00AB446D" w:rsidRPr="00442A3B">
              <w:rPr>
                <w:color w:val="000000" w:themeColor="text1"/>
              </w:rPr>
              <w:t>the 2015 Review</w:t>
            </w:r>
            <w:r w:rsidR="00A372BE" w:rsidRPr="00442A3B">
              <w:rPr>
                <w:color w:val="000000" w:themeColor="text1"/>
              </w:rPr>
              <w:t xml:space="preserve">. </w:t>
            </w:r>
            <w:r w:rsidR="006F57DE" w:rsidRPr="00442A3B">
              <w:rPr>
                <w:color w:val="000000" w:themeColor="text1"/>
              </w:rPr>
              <w:t>T</w:t>
            </w:r>
            <w:r w:rsidR="00370C98" w:rsidRPr="00442A3B">
              <w:rPr>
                <w:color w:val="000000" w:themeColor="text1"/>
              </w:rPr>
              <w:t>hat</w:t>
            </w:r>
            <w:r w:rsidR="00B55FDA" w:rsidRPr="00442A3B">
              <w:rPr>
                <w:color w:val="000000" w:themeColor="text1"/>
              </w:rPr>
              <w:t xml:space="preserve"> </w:t>
            </w:r>
            <w:r w:rsidR="004D43E2" w:rsidRPr="00442A3B">
              <w:rPr>
                <w:color w:val="000000" w:themeColor="text1"/>
              </w:rPr>
              <w:t xml:space="preserve">review </w:t>
            </w:r>
            <w:r w:rsidR="006F57DE" w:rsidRPr="00442A3B">
              <w:rPr>
                <w:color w:val="000000" w:themeColor="text1"/>
              </w:rPr>
              <w:t>was the first time</w:t>
            </w:r>
            <w:r w:rsidRPr="00442A3B">
              <w:rPr>
                <w:color w:val="000000" w:themeColor="text1"/>
              </w:rPr>
              <w:t xml:space="preserve"> the </w:t>
            </w:r>
            <w:r w:rsidR="00073321" w:rsidRPr="00442A3B">
              <w:rPr>
                <w:color w:val="000000" w:themeColor="text1"/>
              </w:rPr>
              <w:t xml:space="preserve">previous peak </w:t>
            </w:r>
            <w:r w:rsidR="004F76BF" w:rsidRPr="00442A3B">
              <w:rPr>
                <w:color w:val="000000" w:themeColor="text1"/>
              </w:rPr>
              <w:t xml:space="preserve">of iron ore royalties </w:t>
            </w:r>
            <w:r w:rsidR="00073321" w:rsidRPr="00442A3B">
              <w:rPr>
                <w:color w:val="000000" w:themeColor="text1"/>
              </w:rPr>
              <w:t>(</w:t>
            </w:r>
            <w:r w:rsidRPr="00442A3B">
              <w:rPr>
                <w:color w:val="000000" w:themeColor="text1"/>
              </w:rPr>
              <w:t>2013-14</w:t>
            </w:r>
            <w:r w:rsidR="00073321" w:rsidRPr="00442A3B">
              <w:rPr>
                <w:color w:val="000000" w:themeColor="text1"/>
              </w:rPr>
              <w:t>)</w:t>
            </w:r>
            <w:r w:rsidRPr="00442A3B">
              <w:rPr>
                <w:color w:val="000000" w:themeColor="text1"/>
              </w:rPr>
              <w:t xml:space="preserve"> </w:t>
            </w:r>
            <w:r w:rsidR="006F57DE" w:rsidRPr="00442A3B">
              <w:rPr>
                <w:color w:val="000000" w:themeColor="text1"/>
              </w:rPr>
              <w:t xml:space="preserve">was </w:t>
            </w:r>
            <w:r w:rsidR="0EDF49F4" w:rsidRPr="00442A3B">
              <w:rPr>
                <w:color w:val="000000" w:themeColor="text1"/>
              </w:rPr>
              <w:t>included in the assessment period</w:t>
            </w:r>
            <w:r w:rsidR="2C7451EA" w:rsidRPr="00442A3B">
              <w:rPr>
                <w:color w:val="000000" w:themeColor="text1"/>
              </w:rPr>
              <w:t>.</w:t>
            </w:r>
            <w:r w:rsidR="006F57DE" w:rsidRPr="00442A3B">
              <w:rPr>
                <w:color w:val="000000" w:themeColor="text1"/>
              </w:rPr>
              <w:t xml:space="preserve"> </w:t>
            </w:r>
            <w:r w:rsidR="00D95EEB" w:rsidRPr="00442A3B">
              <w:rPr>
                <w:color w:val="000000" w:themeColor="text1"/>
              </w:rPr>
              <w:t>While</w:t>
            </w:r>
            <w:r w:rsidR="007B39AB" w:rsidRPr="00442A3B">
              <w:rPr>
                <w:color w:val="000000" w:themeColor="text1"/>
              </w:rPr>
              <w:t xml:space="preserve"> international</w:t>
            </w:r>
            <w:r w:rsidR="00D95EEB" w:rsidRPr="00442A3B">
              <w:rPr>
                <w:color w:val="000000" w:themeColor="text1"/>
              </w:rPr>
              <w:t xml:space="preserve"> i</w:t>
            </w:r>
            <w:r w:rsidR="007713C6" w:rsidRPr="00442A3B">
              <w:rPr>
                <w:color w:val="000000" w:themeColor="text1"/>
              </w:rPr>
              <w:t xml:space="preserve">ron </w:t>
            </w:r>
            <w:r w:rsidR="00A06ADD" w:rsidRPr="00442A3B">
              <w:rPr>
                <w:color w:val="000000" w:themeColor="text1"/>
              </w:rPr>
              <w:t xml:space="preserve">ore </w:t>
            </w:r>
            <w:r w:rsidR="007713C6" w:rsidRPr="00442A3B">
              <w:rPr>
                <w:color w:val="000000" w:themeColor="text1"/>
              </w:rPr>
              <w:t xml:space="preserve">prices </w:t>
            </w:r>
            <w:r w:rsidR="00D95EEB" w:rsidRPr="00442A3B">
              <w:rPr>
                <w:color w:val="000000" w:themeColor="text1"/>
              </w:rPr>
              <w:t>were higher in 2013-14</w:t>
            </w:r>
            <w:r w:rsidR="007B39AB" w:rsidRPr="00442A3B">
              <w:rPr>
                <w:color w:val="000000" w:themeColor="text1"/>
              </w:rPr>
              <w:t xml:space="preserve">, the domestic price received </w:t>
            </w:r>
            <w:r w:rsidR="00111271" w:rsidRPr="00442A3B">
              <w:rPr>
                <w:color w:val="000000" w:themeColor="text1"/>
              </w:rPr>
              <w:t xml:space="preserve">was </w:t>
            </w:r>
            <w:r w:rsidR="007B39AB" w:rsidRPr="00442A3B">
              <w:rPr>
                <w:color w:val="000000" w:themeColor="text1"/>
              </w:rPr>
              <w:t>higher in 2019-20</w:t>
            </w:r>
            <w:r w:rsidR="00B53E11" w:rsidRPr="00442A3B">
              <w:rPr>
                <w:color w:val="000000" w:themeColor="text1"/>
              </w:rPr>
              <w:t>, largely</w:t>
            </w:r>
            <w:r w:rsidR="00D95EEB" w:rsidRPr="00442A3B">
              <w:rPr>
                <w:color w:val="000000" w:themeColor="text1"/>
              </w:rPr>
              <w:t xml:space="preserve"> because of </w:t>
            </w:r>
            <w:r w:rsidR="007B39AB" w:rsidRPr="00442A3B">
              <w:rPr>
                <w:color w:val="000000" w:themeColor="text1"/>
              </w:rPr>
              <w:t xml:space="preserve">a </w:t>
            </w:r>
            <w:r w:rsidR="00D95EEB" w:rsidRPr="00442A3B">
              <w:rPr>
                <w:color w:val="000000" w:themeColor="text1"/>
              </w:rPr>
              <w:t>lower exchange rate</w:t>
            </w:r>
            <w:r w:rsidR="006F57DE" w:rsidRPr="00442A3B">
              <w:rPr>
                <w:color w:val="000000" w:themeColor="text1"/>
              </w:rPr>
              <w:t>.</w:t>
            </w:r>
            <w:r w:rsidR="00B14CB1" w:rsidRPr="00442A3B">
              <w:rPr>
                <w:color w:val="000000" w:themeColor="text1"/>
              </w:rPr>
              <w:t xml:space="preserve"> </w:t>
            </w:r>
          </w:p>
          <w:p w14:paraId="2DF9D487" w14:textId="434116A2" w:rsidR="00090B3F" w:rsidRPr="00442A3B" w:rsidRDefault="006414D5" w:rsidP="00605672">
            <w:pPr>
              <w:keepNext/>
              <w:keepLines/>
              <w:rPr>
                <w:color w:val="000000"/>
              </w:rPr>
            </w:pPr>
            <w:r w:rsidRPr="00442A3B">
              <w:rPr>
                <w:color w:val="000000"/>
              </w:rPr>
              <w:t>When</w:t>
            </w:r>
            <w:r w:rsidR="002B7046" w:rsidRPr="00442A3B">
              <w:rPr>
                <w:color w:val="000000"/>
              </w:rPr>
              <w:t xml:space="preserve">ever </w:t>
            </w:r>
            <w:r w:rsidR="00275469" w:rsidRPr="00442A3B">
              <w:rPr>
                <w:color w:val="000000"/>
              </w:rPr>
              <w:t xml:space="preserve">iron ore </w:t>
            </w:r>
            <w:r w:rsidR="007642F4" w:rsidRPr="00442A3B">
              <w:rPr>
                <w:color w:val="000000"/>
              </w:rPr>
              <w:t>price</w:t>
            </w:r>
            <w:r w:rsidR="00CC6924" w:rsidRPr="00442A3B">
              <w:rPr>
                <w:color w:val="000000"/>
              </w:rPr>
              <w:t>s are</w:t>
            </w:r>
            <w:r w:rsidR="00090B3F" w:rsidRPr="00442A3B">
              <w:rPr>
                <w:color w:val="000000"/>
              </w:rPr>
              <w:t xml:space="preserve"> </w:t>
            </w:r>
            <w:r w:rsidR="002D019D" w:rsidRPr="00442A3B">
              <w:rPr>
                <w:color w:val="000000"/>
              </w:rPr>
              <w:t>high</w:t>
            </w:r>
            <w:r w:rsidR="00090B3F" w:rsidRPr="00442A3B">
              <w:rPr>
                <w:color w:val="000000"/>
              </w:rPr>
              <w:t xml:space="preserve">, Western Australia’s </w:t>
            </w:r>
            <w:r w:rsidR="00695715" w:rsidRPr="00442A3B">
              <w:rPr>
                <w:color w:val="000000"/>
              </w:rPr>
              <w:t>revenue raising</w:t>
            </w:r>
            <w:r w:rsidR="00695715" w:rsidRPr="00442A3B" w:rsidDel="00695715">
              <w:rPr>
                <w:color w:val="000000"/>
              </w:rPr>
              <w:t xml:space="preserve"> </w:t>
            </w:r>
            <w:r w:rsidR="00090B3F" w:rsidRPr="00442A3B">
              <w:rPr>
                <w:color w:val="000000"/>
              </w:rPr>
              <w:t xml:space="preserve">capacity </w:t>
            </w:r>
            <w:r w:rsidR="004E50DE" w:rsidRPr="00442A3B">
              <w:rPr>
                <w:color w:val="000000"/>
              </w:rPr>
              <w:t>is</w:t>
            </w:r>
            <w:r w:rsidR="00090B3F" w:rsidRPr="00442A3B">
              <w:rPr>
                <w:color w:val="000000"/>
              </w:rPr>
              <w:t xml:space="preserve"> </w:t>
            </w:r>
            <w:r w:rsidR="007C49D2" w:rsidRPr="00442A3B">
              <w:rPr>
                <w:color w:val="000000"/>
              </w:rPr>
              <w:t>strong</w:t>
            </w:r>
            <w:r w:rsidR="00AD4764" w:rsidRPr="00442A3B">
              <w:rPr>
                <w:color w:val="000000"/>
              </w:rPr>
              <w:t xml:space="preserve">. </w:t>
            </w:r>
            <w:r w:rsidR="00BF4CBB" w:rsidRPr="00442A3B">
              <w:rPr>
                <w:color w:val="000000"/>
              </w:rPr>
              <w:t>In these</w:t>
            </w:r>
            <w:r w:rsidR="00090B3F" w:rsidRPr="00442A3B">
              <w:rPr>
                <w:color w:val="000000"/>
              </w:rPr>
              <w:t xml:space="preserve"> circumstances, the Commission assess</w:t>
            </w:r>
            <w:r w:rsidR="00BF4CBB" w:rsidRPr="00442A3B">
              <w:rPr>
                <w:color w:val="000000"/>
              </w:rPr>
              <w:t>es</w:t>
            </w:r>
            <w:r w:rsidR="00090B3F" w:rsidRPr="00442A3B">
              <w:rPr>
                <w:color w:val="000000"/>
              </w:rPr>
              <w:t xml:space="preserve"> it </w:t>
            </w:r>
            <w:r w:rsidR="005568C6" w:rsidRPr="00442A3B">
              <w:rPr>
                <w:color w:val="000000"/>
              </w:rPr>
              <w:t>as requiring</w:t>
            </w:r>
            <w:r w:rsidR="00090B3F" w:rsidRPr="00442A3B">
              <w:rPr>
                <w:color w:val="000000"/>
              </w:rPr>
              <w:t xml:space="preserve"> a lower GST </w:t>
            </w:r>
            <w:r w:rsidR="00523EDD" w:rsidRPr="00442A3B">
              <w:rPr>
                <w:color w:val="000000"/>
              </w:rPr>
              <w:t>pool</w:t>
            </w:r>
            <w:r w:rsidR="00090B3F" w:rsidRPr="00442A3B">
              <w:rPr>
                <w:color w:val="000000"/>
              </w:rPr>
              <w:t xml:space="preserve"> share than States that do not have access to this royalty stream.</w:t>
            </w:r>
            <w:r w:rsidR="000652CE" w:rsidRPr="00442A3B">
              <w:rPr>
                <w:color w:val="000000"/>
              </w:rPr>
              <w:t xml:space="preserve"> </w:t>
            </w:r>
            <w:r w:rsidR="008407C5" w:rsidRPr="00442A3B">
              <w:t>There may be flow on effects from the rise in the value of mining production in Western Australia, for example it may lead to a</w:t>
            </w:r>
            <w:r w:rsidR="00972257" w:rsidRPr="00442A3B">
              <w:t xml:space="preserve">n </w:t>
            </w:r>
            <w:r w:rsidR="008407C5" w:rsidRPr="00442A3B">
              <w:t>increase in property values and an increased need for capital investment, generating further impacts on its relative GST pool requirements over time</w:t>
            </w:r>
            <w:r w:rsidR="000A5899" w:rsidRPr="00442A3B">
              <w:t>.</w:t>
            </w:r>
          </w:p>
          <w:p w14:paraId="645B06BF" w14:textId="6C9AF65D" w:rsidR="00090B3F" w:rsidRPr="00442A3B" w:rsidRDefault="00090B3F" w:rsidP="00605672">
            <w:pPr>
              <w:pStyle w:val="Caption"/>
              <w:rPr>
                <w:color w:val="000000"/>
              </w:rPr>
            </w:pPr>
            <w:bookmarkStart w:id="101" w:name="_Ref61945458"/>
            <w:bookmarkStart w:id="102" w:name="_Toc62487165"/>
            <w:bookmarkStart w:id="103" w:name="_Toc62487321"/>
            <w:r w:rsidRPr="00442A3B">
              <w:t>Figure </w:t>
            </w:r>
            <w:r w:rsidR="00294F41" w:rsidRPr="00442A3B">
              <w:t>2-</w:t>
            </w:r>
            <w:r w:rsidRPr="00442A3B">
              <w:fldChar w:fldCharType="begin"/>
            </w:r>
            <w:r w:rsidRPr="00442A3B">
              <w:instrText>SEQ Figure \* ARABIC</w:instrText>
            </w:r>
            <w:r w:rsidRPr="00442A3B">
              <w:fldChar w:fldCharType="separate"/>
            </w:r>
            <w:r w:rsidR="00FC3D3D">
              <w:rPr>
                <w:noProof/>
              </w:rPr>
              <w:t>2</w:t>
            </w:r>
            <w:r w:rsidRPr="00442A3B">
              <w:fldChar w:fldCharType="end"/>
            </w:r>
            <w:bookmarkEnd w:id="101"/>
            <w:r w:rsidRPr="00442A3B">
              <w:tab/>
              <w:t>Iron ore royalties, Western Australia, 2000-01 to 2019-20</w:t>
            </w:r>
            <w:bookmarkEnd w:id="102"/>
            <w:bookmarkEnd w:id="103"/>
          </w:p>
          <w:p w14:paraId="131EC713" w14:textId="4298C031" w:rsidR="00090B3F" w:rsidRPr="00442A3B" w:rsidRDefault="000F639B" w:rsidP="00605672">
            <w:pPr>
              <w:pStyle w:val="CGCTablerow"/>
            </w:pPr>
            <w:r w:rsidRPr="00442A3B">
              <w:rPr>
                <w:noProof/>
              </w:rPr>
              <w:drawing>
                <wp:inline distT="0" distB="0" distL="0" distR="0" wp14:anchorId="4EC89857" wp14:editId="2880888A">
                  <wp:extent cx="5662930" cy="3567430"/>
                  <wp:effectExtent l="0" t="0" r="0" b="0"/>
                  <wp:docPr id="2" name="Picture 2" descr="Line graph showing the sharp rise in iron ore royalties to Western Australia from 2009-10 to 2019-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ine graph showing the sharp rise in iron ore royalties to Western Australia from 2009-10 to 2019-20.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62930" cy="3567430"/>
                          </a:xfrm>
                          <a:prstGeom prst="rect">
                            <a:avLst/>
                          </a:prstGeom>
                          <a:noFill/>
                          <a:ln>
                            <a:noFill/>
                          </a:ln>
                        </pic:spPr>
                      </pic:pic>
                    </a:graphicData>
                  </a:graphic>
                </wp:inline>
              </w:drawing>
            </w:r>
          </w:p>
          <w:p w14:paraId="5CB0F189" w14:textId="77777777" w:rsidR="00F46422" w:rsidRPr="00442A3B" w:rsidRDefault="00090B3F" w:rsidP="00605672">
            <w:pPr>
              <w:pStyle w:val="CGCTablenote"/>
              <w:keepNext/>
              <w:keepLines/>
              <w:spacing w:before="0"/>
              <w:rPr>
                <w:color w:val="000000"/>
                <w:szCs w:val="20"/>
              </w:rPr>
            </w:pPr>
            <w:r w:rsidRPr="00442A3B">
              <w:rPr>
                <w:color w:val="000000"/>
                <w:szCs w:val="20"/>
              </w:rPr>
              <w:t>Source</w:t>
            </w:r>
            <w:r w:rsidR="001C7F70" w:rsidRPr="00442A3B">
              <w:rPr>
                <w:color w:val="000000"/>
                <w:szCs w:val="20"/>
              </w:rPr>
              <w:t>s</w:t>
            </w:r>
            <w:r w:rsidRPr="00442A3B">
              <w:rPr>
                <w:color w:val="000000"/>
                <w:szCs w:val="20"/>
              </w:rPr>
              <w:t xml:space="preserve">: </w:t>
            </w:r>
            <w:r w:rsidRPr="00442A3B">
              <w:rPr>
                <w:color w:val="000000"/>
                <w:szCs w:val="20"/>
              </w:rPr>
              <w:tab/>
            </w:r>
            <w:r w:rsidRPr="00442A3B">
              <w:t>Government</w:t>
            </w:r>
            <w:r w:rsidRPr="00442A3B">
              <w:rPr>
                <w:color w:val="000000"/>
                <w:szCs w:val="20"/>
              </w:rPr>
              <w:t xml:space="preserve"> of Western Australia, Department of Treasury, </w:t>
            </w:r>
            <w:r w:rsidRPr="0035391E">
              <w:rPr>
                <w:i/>
                <w:iCs/>
                <w:color w:val="000000"/>
                <w:szCs w:val="20"/>
              </w:rPr>
              <w:t>Overview of State taxes and royalties</w:t>
            </w:r>
            <w:r w:rsidRPr="00442A3B">
              <w:rPr>
                <w:color w:val="000000"/>
                <w:szCs w:val="20"/>
              </w:rPr>
              <w:t>, various issues.</w:t>
            </w:r>
            <w:r w:rsidR="001C7F70" w:rsidRPr="00442A3B">
              <w:rPr>
                <w:color w:val="000000"/>
                <w:szCs w:val="20"/>
              </w:rPr>
              <w:t xml:space="preserve"> </w:t>
            </w:r>
          </w:p>
          <w:p w14:paraId="738776F1" w14:textId="2703ED3C" w:rsidR="00090B3F" w:rsidRPr="00442A3B" w:rsidRDefault="00090B3F" w:rsidP="009164EA">
            <w:pPr>
              <w:pStyle w:val="CGCTablenote"/>
              <w:keepNext/>
              <w:keepLines/>
              <w:spacing w:before="0" w:after="40"/>
              <w:ind w:firstLine="142"/>
              <w:rPr>
                <w:color w:val="000000"/>
                <w:szCs w:val="20"/>
              </w:rPr>
            </w:pPr>
            <w:r w:rsidRPr="00442A3B">
              <w:t>Western</w:t>
            </w:r>
            <w:r w:rsidRPr="00442A3B">
              <w:rPr>
                <w:color w:val="000000"/>
                <w:szCs w:val="20"/>
              </w:rPr>
              <w:t xml:space="preserve"> Australia, State Budget, </w:t>
            </w:r>
            <w:r w:rsidRPr="0035391E">
              <w:rPr>
                <w:i/>
                <w:iCs/>
                <w:color w:val="000000"/>
                <w:szCs w:val="20"/>
              </w:rPr>
              <w:t>Budget Paper No 3</w:t>
            </w:r>
            <w:r w:rsidRPr="00442A3B">
              <w:rPr>
                <w:color w:val="000000"/>
                <w:szCs w:val="20"/>
              </w:rPr>
              <w:t>, various issues.</w:t>
            </w:r>
          </w:p>
        </w:tc>
      </w:tr>
    </w:tbl>
    <w:p w14:paraId="3A3C2375" w14:textId="77777777" w:rsidR="00165998" w:rsidRPr="00442A3B" w:rsidRDefault="00165998">
      <w:pPr>
        <w:tabs>
          <w:tab w:val="clear" w:pos="567"/>
        </w:tabs>
        <w:spacing w:before="0" w:after="200" w:line="276" w:lineRule="auto"/>
      </w:pPr>
      <w:r w:rsidRPr="00442A3B">
        <w:br w:type="page"/>
      </w:r>
    </w:p>
    <w:p w14:paraId="341732A2" w14:textId="05F3D7EF" w:rsidR="00165998" w:rsidRPr="00442A3B" w:rsidRDefault="00D1103B" w:rsidP="000361EA">
      <w:pPr>
        <w:pStyle w:val="CGCParaNumber"/>
        <w:ind w:left="567" w:hanging="567"/>
      </w:pPr>
      <w:r w:rsidRPr="00442A3B">
        <w:rPr>
          <w:rStyle w:val="Heading6Char"/>
        </w:rPr>
        <w:lastRenderedPageBreak/>
        <w:t>P</w:t>
      </w:r>
      <w:r w:rsidR="000D4580" w:rsidRPr="00442A3B">
        <w:rPr>
          <w:rStyle w:val="Heading6Char"/>
        </w:rPr>
        <w:t>roperty sales</w:t>
      </w:r>
      <w:r w:rsidR="00414FA9" w:rsidRPr="00442A3B">
        <w:rPr>
          <w:rStyle w:val="Heading6Char"/>
        </w:rPr>
        <w:t>.</w:t>
      </w:r>
      <w:r w:rsidR="00E27776" w:rsidRPr="00442A3B">
        <w:t xml:space="preserve"> </w:t>
      </w:r>
      <w:r w:rsidR="00165998" w:rsidRPr="00442A3B">
        <w:t xml:space="preserve">Stamp duties raised from the transfer of property are volatile. </w:t>
      </w:r>
      <w:r w:rsidR="000374D2" w:rsidRPr="00442A3B">
        <w:t>Cycles in property markets</w:t>
      </w:r>
      <w:r w:rsidR="00165998" w:rsidRPr="00442A3B">
        <w:t xml:space="preserve"> can lead to </w:t>
      </w:r>
      <w:r w:rsidR="000374D2" w:rsidRPr="00442A3B">
        <w:t>substantial</w:t>
      </w:r>
      <w:r w:rsidR="00165998" w:rsidRPr="00442A3B">
        <w:t xml:space="preserve"> changes across years and </w:t>
      </w:r>
      <w:r w:rsidR="006239A5" w:rsidRPr="00442A3B">
        <w:t>States and</w:t>
      </w:r>
      <w:r w:rsidR="00165998" w:rsidRPr="00442A3B">
        <w:t xml:space="preserve"> can </w:t>
      </w:r>
      <w:r w:rsidR="000374D2" w:rsidRPr="00442A3B">
        <w:t>have marked effects</w:t>
      </w:r>
      <w:r w:rsidR="00165998" w:rsidRPr="00442A3B">
        <w:t xml:space="preserve"> on States’ </w:t>
      </w:r>
      <w:r w:rsidR="000374D2" w:rsidRPr="00442A3B">
        <w:t>assessed</w:t>
      </w:r>
      <w:r w:rsidR="00165998" w:rsidRPr="00442A3B">
        <w:t xml:space="preserve"> revenue </w:t>
      </w:r>
      <w:r w:rsidR="000374D2" w:rsidRPr="00442A3B">
        <w:t>capacities</w:t>
      </w:r>
      <w:r w:rsidR="00165998" w:rsidRPr="00442A3B">
        <w:t>.</w:t>
      </w:r>
    </w:p>
    <w:p w14:paraId="07D57A49" w14:textId="77777777" w:rsidR="0083464A" w:rsidRPr="00442A3B" w:rsidRDefault="004A2BEC" w:rsidP="0083464A">
      <w:pPr>
        <w:pStyle w:val="CGCParaNumber"/>
        <w:ind w:left="567" w:hanging="567"/>
      </w:pPr>
      <w:r w:rsidRPr="00442A3B">
        <w:t>Between 2016-17</w:t>
      </w:r>
      <w:r w:rsidR="00165998" w:rsidRPr="00442A3B">
        <w:t xml:space="preserve"> and </w:t>
      </w:r>
      <w:r w:rsidRPr="00442A3B">
        <w:t>2019-20</w:t>
      </w:r>
      <w:r w:rsidR="00165998" w:rsidRPr="00442A3B">
        <w:t xml:space="preserve">, the per capita value of property transferred fell nationally by </w:t>
      </w:r>
      <w:r w:rsidRPr="00442A3B">
        <w:t>15%.</w:t>
      </w:r>
      <w:r w:rsidR="00165998" w:rsidRPr="00442A3B">
        <w:t xml:space="preserve"> New South Wales </w:t>
      </w:r>
      <w:r w:rsidRPr="00442A3B">
        <w:t xml:space="preserve">(-24%) </w:t>
      </w:r>
      <w:r w:rsidR="00B65F43" w:rsidRPr="00442A3B">
        <w:t xml:space="preserve">and </w:t>
      </w:r>
      <w:r w:rsidRPr="00442A3B">
        <w:t>Queensland (-21%)</w:t>
      </w:r>
      <w:r w:rsidR="00B65F43" w:rsidRPr="00442A3B">
        <w:t xml:space="preserve"> </w:t>
      </w:r>
      <w:r w:rsidRPr="00442A3B">
        <w:t xml:space="preserve">experienced declines that exceeded the average, reducing their revenue </w:t>
      </w:r>
      <w:r w:rsidR="00F71DB3" w:rsidRPr="00442A3B">
        <w:t xml:space="preserve">raising </w:t>
      </w:r>
      <w:r w:rsidRPr="00442A3B">
        <w:t xml:space="preserve">capacity. The decline in the </w:t>
      </w:r>
      <w:r w:rsidR="005D4F00" w:rsidRPr="00442A3B">
        <w:t>ACT was</w:t>
      </w:r>
      <w:r w:rsidRPr="00442A3B">
        <w:t xml:space="preserve"> about average. As a result, $414 million </w:t>
      </w:r>
      <w:r w:rsidR="002F5351" w:rsidRPr="00442A3B">
        <w:t>was</w:t>
      </w:r>
      <w:r w:rsidRPr="00442A3B">
        <w:t xml:space="preserve"> redistributed to these States from other States</w:t>
      </w:r>
      <w:r w:rsidR="00165998" w:rsidRPr="00442A3B">
        <w:t xml:space="preserve">. </w:t>
      </w:r>
    </w:p>
    <w:p w14:paraId="78FE3D93" w14:textId="7D54172F" w:rsidR="00165998" w:rsidRPr="00442A3B" w:rsidRDefault="004A2BEC" w:rsidP="0083464A">
      <w:pPr>
        <w:pStyle w:val="CGCParaNumber"/>
        <w:ind w:left="567" w:hanging="567"/>
      </w:pPr>
      <w:r w:rsidRPr="00442A3B">
        <w:fldChar w:fldCharType="begin"/>
      </w:r>
      <w:r w:rsidRPr="00442A3B">
        <w:instrText xml:space="preserve"> REF _Ref30714653 \h </w:instrText>
      </w:r>
      <w:r w:rsidR="00442A3B">
        <w:instrText xml:space="preserve"> \* MERGEFORMAT </w:instrText>
      </w:r>
      <w:r w:rsidRPr="00442A3B">
        <w:fldChar w:fldCharType="separate"/>
      </w:r>
      <w:r w:rsidR="00FC3D3D" w:rsidRPr="00442A3B">
        <w:t>Figure 2</w:t>
      </w:r>
      <w:r w:rsidR="00FC3D3D" w:rsidRPr="00442A3B">
        <w:noBreakHyphen/>
      </w:r>
      <w:r w:rsidR="00FC3D3D">
        <w:t>3</w:t>
      </w:r>
      <w:r w:rsidRPr="00442A3B">
        <w:fldChar w:fldCharType="end"/>
      </w:r>
      <w:r w:rsidRPr="00442A3B">
        <w:t xml:space="preserve"> </w:t>
      </w:r>
      <w:r w:rsidR="00E92A92" w:rsidRPr="00442A3B">
        <w:t>shows the change in States’ per capita value of property transferred between 2016-17 and 2019-20.</w:t>
      </w:r>
    </w:p>
    <w:p w14:paraId="5F8E7C0E" w14:textId="405847F2" w:rsidR="00165998" w:rsidRPr="00442A3B" w:rsidRDefault="00165998" w:rsidP="000E333C">
      <w:pPr>
        <w:pStyle w:val="Caption"/>
      </w:pPr>
      <w:bookmarkStart w:id="104" w:name="_Ref30714653"/>
      <w:bookmarkStart w:id="105" w:name="_Toc62487166"/>
      <w:bookmarkStart w:id="106" w:name="_Toc62487322"/>
      <w:r w:rsidRPr="00442A3B">
        <w:t>Figure 2</w:t>
      </w:r>
      <w:r w:rsidRPr="00442A3B">
        <w:noBreakHyphen/>
      </w:r>
      <w:r w:rsidRPr="00442A3B">
        <w:fldChar w:fldCharType="begin"/>
      </w:r>
      <w:r w:rsidRPr="00442A3B">
        <w:instrText>SEQ Figure \* ARABIC</w:instrText>
      </w:r>
      <w:r w:rsidRPr="00442A3B">
        <w:fldChar w:fldCharType="separate"/>
      </w:r>
      <w:r w:rsidR="00FC3D3D">
        <w:rPr>
          <w:noProof/>
        </w:rPr>
        <w:t>3</w:t>
      </w:r>
      <w:r w:rsidRPr="00442A3B">
        <w:fldChar w:fldCharType="end"/>
      </w:r>
      <w:bookmarkEnd w:id="104"/>
      <w:r w:rsidRPr="00442A3B">
        <w:tab/>
        <w:t>Value of property transfers per capita, 201</w:t>
      </w:r>
      <w:r w:rsidR="0085741C" w:rsidRPr="00442A3B">
        <w:t>6-17</w:t>
      </w:r>
      <w:r w:rsidRPr="00442A3B">
        <w:t xml:space="preserve"> and 201</w:t>
      </w:r>
      <w:r w:rsidR="0085741C" w:rsidRPr="00442A3B">
        <w:t>9-20</w:t>
      </w:r>
      <w:bookmarkEnd w:id="105"/>
      <w:bookmarkEnd w:id="106"/>
    </w:p>
    <w:p w14:paraId="58F0D72C" w14:textId="77777777" w:rsidR="00165998" w:rsidRPr="00442A3B" w:rsidRDefault="00DD5F45" w:rsidP="0018009D">
      <w:pPr>
        <w:pStyle w:val="CGCTablenote"/>
      </w:pPr>
      <w:r w:rsidRPr="00442A3B">
        <w:rPr>
          <w:noProof/>
        </w:rPr>
        <w:drawing>
          <wp:inline distT="0" distB="0" distL="0" distR="0" wp14:anchorId="208CC038" wp14:editId="3446A678">
            <wp:extent cx="5663565" cy="3568700"/>
            <wp:effectExtent l="0" t="0" r="0" b="0"/>
            <wp:docPr id="5" name="Picture 5" descr="Bar chart showing the change in value of property sales by state. There was a fall in all states except SA and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r chart showing the change in value of property sales by state. There was a fall in all states except SA and Tasmani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63565" cy="3568700"/>
                    </a:xfrm>
                    <a:prstGeom prst="rect">
                      <a:avLst/>
                    </a:prstGeom>
                    <a:noFill/>
                    <a:ln>
                      <a:noFill/>
                    </a:ln>
                  </pic:spPr>
                </pic:pic>
              </a:graphicData>
            </a:graphic>
          </wp:inline>
        </w:drawing>
      </w:r>
    </w:p>
    <w:p w14:paraId="64EFB084" w14:textId="20ED22C0" w:rsidR="00165998" w:rsidRPr="00442A3B" w:rsidRDefault="00165998" w:rsidP="001C7F70">
      <w:pPr>
        <w:pStyle w:val="CGCTablenote"/>
        <w:keepNext/>
        <w:keepLines/>
      </w:pPr>
      <w:r w:rsidRPr="00442A3B">
        <w:t>Note:</w:t>
      </w:r>
      <w:r w:rsidRPr="00442A3B">
        <w:tab/>
        <w:t>Total value of taxable property transfers in a State divided by the resident population in that State.</w:t>
      </w:r>
    </w:p>
    <w:p w14:paraId="5A53AA84" w14:textId="77777777" w:rsidR="00165998" w:rsidRPr="00442A3B" w:rsidRDefault="00165998" w:rsidP="001C7F70">
      <w:pPr>
        <w:pStyle w:val="CGCTablenote"/>
      </w:pPr>
      <w:r w:rsidRPr="00442A3B">
        <w:t>Source:</w:t>
      </w:r>
      <w:r w:rsidRPr="00442A3B">
        <w:tab/>
        <w:t>State provided data.</w:t>
      </w:r>
    </w:p>
    <w:p w14:paraId="15E15E18" w14:textId="67FE24CA" w:rsidR="00893614" w:rsidRPr="00442A3B" w:rsidRDefault="00281DA8" w:rsidP="00B33810">
      <w:pPr>
        <w:pStyle w:val="CGCParaNumber"/>
        <w:keepNext/>
        <w:keepLines/>
        <w:ind w:left="567" w:hanging="567"/>
      </w:pPr>
      <w:r w:rsidRPr="00442A3B">
        <w:rPr>
          <w:rStyle w:val="Heading6Char"/>
        </w:rPr>
        <w:lastRenderedPageBreak/>
        <w:t>Taxable land values</w:t>
      </w:r>
      <w:r w:rsidR="00E27776" w:rsidRPr="00442A3B">
        <w:rPr>
          <w:rStyle w:val="Heading6Char"/>
        </w:rPr>
        <w:t>.</w:t>
      </w:r>
      <w:bookmarkStart w:id="107" w:name="_Ref31300864"/>
      <w:bookmarkStart w:id="108" w:name="_Ref61943589"/>
      <w:bookmarkStart w:id="109" w:name="_Toc62487167"/>
      <w:bookmarkStart w:id="110" w:name="_Toc62487323"/>
      <w:r w:rsidR="00893614" w:rsidRPr="00442A3B">
        <w:t xml:space="preserve"> Land tax revenues grew strongly between 2016-17 and 2019-20. This reduced the GST pool requirement of States assessed to have above average </w:t>
      </w:r>
      <w:r w:rsidR="00F503B2" w:rsidRPr="00442A3B">
        <w:t xml:space="preserve">land tax </w:t>
      </w:r>
      <w:r w:rsidR="00893614" w:rsidRPr="00442A3B">
        <w:t>revenue</w:t>
      </w:r>
      <w:r w:rsidR="00DD5529" w:rsidRPr="00442A3B">
        <w:t xml:space="preserve"> </w:t>
      </w:r>
      <w:r w:rsidR="00893614" w:rsidRPr="00442A3B">
        <w:t>capacity (New South Wales and Victoria) and increased the GST pool requirement of other States.</w:t>
      </w:r>
    </w:p>
    <w:p w14:paraId="01E38814" w14:textId="5255F475" w:rsidR="00893614" w:rsidRPr="00442A3B" w:rsidRDefault="00893614" w:rsidP="00B33810">
      <w:pPr>
        <w:pStyle w:val="CGCParaNumber"/>
        <w:keepNext/>
        <w:keepLines/>
        <w:ind w:left="567" w:hanging="567"/>
      </w:pPr>
      <w:r w:rsidRPr="00442A3B">
        <w:t xml:space="preserve">Figure 2-4 shows the change in States’ per capita taxable land values between 2016-17 and 2019-20. Most States experienced growth in their per capita taxable land values, with average growth nationally of 12%. New South Wales (23%) experienced well above average growth, causing its revenue raising capacity to rise and its GST pool requirement to fall. In contrast, Victoria (7%) and Queensland (11%) experienced below average growth and Western Australia experienced a decline (-15%). This caused the revenue capacities of these States to fall and their GST pool requirements to grow. </w:t>
      </w:r>
    </w:p>
    <w:p w14:paraId="10E81413" w14:textId="77777777" w:rsidR="00893614" w:rsidRPr="00442A3B" w:rsidRDefault="00893614" w:rsidP="00B33810">
      <w:pPr>
        <w:pStyle w:val="CGCParaNumber"/>
        <w:keepNext/>
        <w:keepLines/>
        <w:ind w:left="567" w:hanging="567"/>
      </w:pPr>
      <w:r w:rsidRPr="00442A3B">
        <w:t>Overall, the GST pool requirements of New</w:t>
      </w:r>
      <w:r w:rsidRPr="00442A3B">
        <w:rPr>
          <w:rFonts w:ascii="Arial" w:hAnsi="Arial" w:cs="Arial"/>
        </w:rPr>
        <w:t> </w:t>
      </w:r>
      <w:r w:rsidRPr="00442A3B">
        <w:t>South</w:t>
      </w:r>
      <w:r w:rsidRPr="00442A3B">
        <w:rPr>
          <w:rFonts w:ascii="Arial" w:hAnsi="Arial" w:cs="Arial"/>
        </w:rPr>
        <w:t> </w:t>
      </w:r>
      <w:r w:rsidRPr="00442A3B">
        <w:t>Wales and Victoria fell, redistributing $238</w:t>
      </w:r>
      <w:r w:rsidRPr="00442A3B">
        <w:rPr>
          <w:rFonts w:ascii="Arial" w:hAnsi="Arial" w:cs="Arial"/>
        </w:rPr>
        <w:t> </w:t>
      </w:r>
      <w:r w:rsidRPr="00442A3B">
        <w:t>million to the other States.</w:t>
      </w:r>
    </w:p>
    <w:p w14:paraId="5F1787E9" w14:textId="12D69477" w:rsidR="00165998" w:rsidRPr="00442A3B" w:rsidRDefault="00165998" w:rsidP="00B33810">
      <w:pPr>
        <w:pStyle w:val="Caption"/>
      </w:pPr>
      <w:r w:rsidRPr="00442A3B">
        <w:t>Figure 2</w:t>
      </w:r>
      <w:r w:rsidRPr="00442A3B">
        <w:noBreakHyphen/>
      </w:r>
      <w:r w:rsidRPr="00442A3B">
        <w:fldChar w:fldCharType="begin"/>
      </w:r>
      <w:r w:rsidRPr="00442A3B">
        <w:instrText>SEQ Figure \* ARABIC</w:instrText>
      </w:r>
      <w:r w:rsidRPr="00442A3B">
        <w:fldChar w:fldCharType="separate"/>
      </w:r>
      <w:r w:rsidR="00FC3D3D">
        <w:rPr>
          <w:noProof/>
        </w:rPr>
        <w:t>4</w:t>
      </w:r>
      <w:r w:rsidRPr="00442A3B">
        <w:fldChar w:fldCharType="end"/>
      </w:r>
      <w:bookmarkEnd w:id="107"/>
      <w:r w:rsidRPr="00442A3B">
        <w:tab/>
        <w:t>Taxable land values per capita by State, 201</w:t>
      </w:r>
      <w:r w:rsidR="5CA5C22A" w:rsidRPr="00442A3B">
        <w:t>6-17</w:t>
      </w:r>
      <w:r w:rsidRPr="00442A3B">
        <w:t xml:space="preserve"> and 201</w:t>
      </w:r>
      <w:r w:rsidR="1ED4BCF5" w:rsidRPr="00442A3B">
        <w:t>9-20</w:t>
      </w:r>
      <w:bookmarkEnd w:id="108"/>
      <w:bookmarkEnd w:id="109"/>
      <w:bookmarkEnd w:id="110"/>
    </w:p>
    <w:p w14:paraId="52974110" w14:textId="64A34A83" w:rsidR="00165998" w:rsidRPr="00442A3B" w:rsidRDefault="00FF685A" w:rsidP="00DB6A2C">
      <w:pPr>
        <w:pStyle w:val="CGCTablenote"/>
        <w:keepNext/>
        <w:keepLines/>
      </w:pPr>
      <w:r w:rsidRPr="00442A3B">
        <w:rPr>
          <w:noProof/>
        </w:rPr>
        <w:drawing>
          <wp:inline distT="0" distB="0" distL="0" distR="0" wp14:anchorId="3C1D349A" wp14:editId="34AE1C09">
            <wp:extent cx="5663565" cy="3568700"/>
            <wp:effectExtent l="0" t="0" r="0" b="0"/>
            <wp:docPr id="6" name="Picture 6" descr="Bar chart showing change in taxable land values by state. There was a rise in all states except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r chart showing change in taxable land values by state. There was a rise in all states except W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63565" cy="3568700"/>
                    </a:xfrm>
                    <a:prstGeom prst="rect">
                      <a:avLst/>
                    </a:prstGeom>
                    <a:noFill/>
                    <a:ln>
                      <a:noFill/>
                    </a:ln>
                  </pic:spPr>
                </pic:pic>
              </a:graphicData>
            </a:graphic>
          </wp:inline>
        </w:drawing>
      </w:r>
    </w:p>
    <w:p w14:paraId="0FA7E80B" w14:textId="35EDAAB5" w:rsidR="00165998" w:rsidRPr="00442A3B" w:rsidRDefault="00165998" w:rsidP="009F63EE">
      <w:pPr>
        <w:pStyle w:val="CGCTablenote"/>
        <w:widowControl w:val="0"/>
      </w:pPr>
      <w:r w:rsidRPr="00442A3B">
        <w:t>Note:</w:t>
      </w:r>
      <w:r w:rsidRPr="00442A3B">
        <w:tab/>
        <w:t>Total value of taxable land in a State divided by the resident population in that State.</w:t>
      </w:r>
    </w:p>
    <w:p w14:paraId="377DB0AF" w14:textId="30DDE4AA" w:rsidR="00165998" w:rsidRPr="00442A3B" w:rsidRDefault="00165998" w:rsidP="009F63EE">
      <w:pPr>
        <w:pStyle w:val="CGCTablenote"/>
        <w:widowControl w:val="0"/>
      </w:pPr>
      <w:r w:rsidRPr="00442A3B">
        <w:t>Source:</w:t>
      </w:r>
      <w:r w:rsidRPr="00442A3B">
        <w:tab/>
        <w:t>State provided data.</w:t>
      </w:r>
    </w:p>
    <w:p w14:paraId="6A577CA9" w14:textId="3DC689A6" w:rsidR="00165998" w:rsidRPr="00442A3B" w:rsidRDefault="00775472" w:rsidP="009F63EE">
      <w:pPr>
        <w:pStyle w:val="CGCParaNumber"/>
        <w:keepNext/>
        <w:keepLines/>
        <w:ind w:left="567" w:hanging="567"/>
      </w:pPr>
      <w:r w:rsidRPr="00442A3B">
        <w:rPr>
          <w:rStyle w:val="Heading6Char"/>
        </w:rPr>
        <w:lastRenderedPageBreak/>
        <w:t>Commonwealth payments.</w:t>
      </w:r>
      <w:r w:rsidRPr="00442A3B">
        <w:t xml:space="preserve"> </w:t>
      </w:r>
      <w:r w:rsidR="00165998" w:rsidRPr="00442A3B">
        <w:t>As well as the GST</w:t>
      </w:r>
      <w:r w:rsidR="00FA612F" w:rsidRPr="00442A3B">
        <w:t xml:space="preserve"> pool</w:t>
      </w:r>
      <w:r w:rsidR="00165998" w:rsidRPr="00442A3B">
        <w:t xml:space="preserve">, the Commonwealth makes other payments to the States for specific </w:t>
      </w:r>
      <w:r w:rsidR="00165998" w:rsidRPr="00442A3B" w:rsidDel="00A3169E">
        <w:t>p</w:t>
      </w:r>
      <w:r w:rsidR="00165998" w:rsidRPr="00442A3B">
        <w:t xml:space="preserve">urposes. Equalising the fiscal capacity of the States to provide services requires that the Commission take account of </w:t>
      </w:r>
      <w:r w:rsidR="00165998" w:rsidRPr="00442A3B" w:rsidDel="00E823A1">
        <w:t xml:space="preserve">the </w:t>
      </w:r>
      <w:r w:rsidR="00165998" w:rsidRPr="00442A3B">
        <w:t xml:space="preserve">revenue they receive </w:t>
      </w:r>
      <w:r w:rsidR="00BA2819" w:rsidRPr="00442A3B">
        <w:t>from this source</w:t>
      </w:r>
      <w:r w:rsidR="00165998" w:rsidRPr="00442A3B">
        <w:t>.</w:t>
      </w:r>
      <w:r w:rsidR="00165998" w:rsidRPr="00442A3B">
        <w:rPr>
          <w:rStyle w:val="FootnoteReference"/>
        </w:rPr>
        <w:footnoteReference w:id="16"/>
      </w:r>
      <w:r w:rsidR="00165998" w:rsidRPr="00442A3B">
        <w:t xml:space="preserve"> </w:t>
      </w:r>
    </w:p>
    <w:p w14:paraId="28A80ABB" w14:textId="6D4566FD" w:rsidR="009F63EE" w:rsidRPr="00442A3B" w:rsidRDefault="009F63EE" w:rsidP="009F63EE">
      <w:pPr>
        <w:pStyle w:val="CGCParaNumber"/>
        <w:keepNext/>
        <w:keepLines/>
        <w:ind w:left="567" w:hanging="567"/>
        <w:rPr>
          <w:lang w:eastAsia="en-AU"/>
        </w:rPr>
      </w:pPr>
      <w:r w:rsidRPr="00442A3B">
        <w:t>To the extent that a State receives above average per capita amounts of these payments, less GST per capita is required to equalise its fiscal capacity. Conversely, if a State receives below average amounts, it requires more GST per capita.</w:t>
      </w:r>
    </w:p>
    <w:p w14:paraId="0C83D90B" w14:textId="50C4CAE1" w:rsidR="006F07C3" w:rsidRPr="00442A3B" w:rsidRDefault="006F07C3" w:rsidP="009F63EE">
      <w:pPr>
        <w:pStyle w:val="CGCParaNumber"/>
        <w:keepNext/>
        <w:keepLines/>
        <w:ind w:left="567" w:hanging="567"/>
        <w:rPr>
          <w:lang w:eastAsia="en-AU"/>
        </w:rPr>
      </w:pPr>
      <w:bookmarkStart w:id="111" w:name="_Ref64465710"/>
      <w:r w:rsidRPr="00442A3B">
        <w:rPr>
          <w:lang w:val="en-US" w:eastAsia="en-AU"/>
        </w:rPr>
        <w:t xml:space="preserve">Between 2016-17 and 2019-20, there were changes in the amounts paid and the interstate distribution of some </w:t>
      </w:r>
      <w:r w:rsidR="008F66B5" w:rsidRPr="00442A3B">
        <w:t>p</w:t>
      </w:r>
      <w:r w:rsidR="002304D1" w:rsidRPr="00442A3B">
        <w:t xml:space="preserve">ayments for </w:t>
      </w:r>
      <w:r w:rsidR="008F66B5" w:rsidRPr="00442A3B">
        <w:t>s</w:t>
      </w:r>
      <w:r w:rsidR="002304D1" w:rsidRPr="00442A3B">
        <w:t xml:space="preserve">pecific </w:t>
      </w:r>
      <w:r w:rsidR="00755C08" w:rsidRPr="00442A3B">
        <w:t>purposes</w:t>
      </w:r>
      <w:r w:rsidRPr="00442A3B" w:rsidDel="002304D1">
        <w:t>,</w:t>
      </w:r>
      <w:r w:rsidR="00A6199F" w:rsidRPr="00442A3B">
        <w:rPr>
          <w:lang w:val="en-US" w:eastAsia="en-AU"/>
        </w:rPr>
        <w:t xml:space="preserve"> </w:t>
      </w:r>
      <w:r w:rsidRPr="00442A3B">
        <w:t>particularly</w:t>
      </w:r>
      <w:r w:rsidRPr="00442A3B">
        <w:rPr>
          <w:lang w:val="en-US" w:eastAsia="en-AU"/>
        </w:rPr>
        <w:t xml:space="preserve"> payments for road and</w:t>
      </w:r>
      <w:r w:rsidR="00991D34" w:rsidRPr="00442A3B">
        <w:rPr>
          <w:lang w:val="en-US" w:eastAsia="en-AU"/>
        </w:rPr>
        <w:t xml:space="preserve"> </w:t>
      </w:r>
      <w:r w:rsidRPr="00442A3B">
        <w:rPr>
          <w:lang w:val="en-US" w:eastAsia="en-AU"/>
        </w:rPr>
        <w:t>rail infrastructure</w:t>
      </w:r>
      <w:r w:rsidR="00991D34" w:rsidRPr="00442A3B">
        <w:rPr>
          <w:lang w:val="en-US" w:eastAsia="en-AU"/>
        </w:rPr>
        <w:t xml:space="preserve"> </w:t>
      </w:r>
      <w:r w:rsidRPr="00442A3B">
        <w:rPr>
          <w:lang w:val="en-US" w:eastAsia="en-AU"/>
        </w:rPr>
        <w:t>and</w:t>
      </w:r>
      <w:r w:rsidR="00991D34" w:rsidRPr="00442A3B">
        <w:rPr>
          <w:lang w:val="en-US" w:eastAsia="en-AU"/>
        </w:rPr>
        <w:t xml:space="preserve"> </w:t>
      </w:r>
      <w:r w:rsidR="0080001E" w:rsidRPr="00442A3B">
        <w:rPr>
          <w:lang w:val="en-US" w:eastAsia="en-AU"/>
        </w:rPr>
        <w:t>n</w:t>
      </w:r>
      <w:r w:rsidRPr="00442A3B">
        <w:rPr>
          <w:lang w:val="en-US" w:eastAsia="en-AU"/>
        </w:rPr>
        <w:t>ational health reform</w:t>
      </w:r>
      <w:r w:rsidR="00E90CA7" w:rsidRPr="00442A3B">
        <w:rPr>
          <w:lang w:val="en-US" w:eastAsia="en-AU"/>
        </w:rPr>
        <w:t>.</w:t>
      </w:r>
      <w:r w:rsidR="006D1D19" w:rsidRPr="00442A3B">
        <w:rPr>
          <w:rStyle w:val="FootnoteReference"/>
          <w:lang w:val="en-US"/>
        </w:rPr>
        <w:footnoteReference w:id="17"/>
      </w:r>
      <w:r w:rsidRPr="00442A3B">
        <w:rPr>
          <w:lang w:val="en-US" w:eastAsia="en-AU"/>
        </w:rPr>
        <w:t xml:space="preserve"> </w:t>
      </w:r>
      <w:r w:rsidR="00E90CA7" w:rsidRPr="00442A3B">
        <w:rPr>
          <w:lang w:val="en-US" w:eastAsia="en-AU"/>
        </w:rPr>
        <w:t>This</w:t>
      </w:r>
      <w:r w:rsidRPr="00442A3B">
        <w:rPr>
          <w:lang w:val="en-US" w:eastAsia="en-AU"/>
        </w:rPr>
        <w:t xml:space="preserve"> had flow-on effects for the GST </w:t>
      </w:r>
      <w:r w:rsidR="005001A8" w:rsidRPr="00442A3B">
        <w:rPr>
          <w:lang w:val="en-US" w:eastAsia="en-AU"/>
        </w:rPr>
        <w:t xml:space="preserve">pool </w:t>
      </w:r>
      <w:r w:rsidRPr="00442A3B">
        <w:rPr>
          <w:lang w:val="en-US" w:eastAsia="en-AU"/>
        </w:rPr>
        <w:t>distribution.</w:t>
      </w:r>
      <w:r w:rsidR="00E90CA7" w:rsidRPr="00442A3B">
        <w:rPr>
          <w:lang w:val="en-US" w:eastAsia="en-AU"/>
        </w:rPr>
        <w:t xml:space="preserve"> N</w:t>
      </w:r>
      <w:r w:rsidRPr="00442A3B">
        <w:rPr>
          <w:lang w:val="en-US" w:eastAsia="en-AU"/>
        </w:rPr>
        <w:t>ew and ceased payments in 2019-20 also affect</w:t>
      </w:r>
      <w:r w:rsidR="0072432A" w:rsidRPr="00442A3B">
        <w:rPr>
          <w:lang w:val="en-US" w:eastAsia="en-AU"/>
        </w:rPr>
        <w:t>ed</w:t>
      </w:r>
      <w:r w:rsidRPr="00442A3B">
        <w:rPr>
          <w:lang w:val="en-US" w:eastAsia="en-AU"/>
        </w:rPr>
        <w:t xml:space="preserve"> the GST distribution.</w:t>
      </w:r>
      <w:bookmarkEnd w:id="111"/>
    </w:p>
    <w:p w14:paraId="3E9EC4C9" w14:textId="5687A71C" w:rsidR="00165998" w:rsidRPr="00442A3B" w:rsidRDefault="00165998" w:rsidP="009F63EE">
      <w:pPr>
        <w:pStyle w:val="CGCParaNumber"/>
        <w:keepNext/>
        <w:keepLines/>
        <w:ind w:left="567" w:hanging="567"/>
      </w:pPr>
      <w:r w:rsidRPr="00442A3B">
        <w:t xml:space="preserve">The main payments causing changes in the GST </w:t>
      </w:r>
      <w:r w:rsidR="008A5ECF" w:rsidRPr="00442A3B">
        <w:t xml:space="preserve">pool </w:t>
      </w:r>
      <w:r w:rsidRPr="00442A3B">
        <w:t xml:space="preserve">distribution in this </w:t>
      </w:r>
      <w:r w:rsidR="00286635" w:rsidRPr="00442A3B">
        <w:t>update</w:t>
      </w:r>
      <w:r w:rsidRPr="00442A3B">
        <w:t xml:space="preserve"> are shown in </w:t>
      </w:r>
      <w:r w:rsidRPr="00442A3B">
        <w:fldChar w:fldCharType="begin"/>
      </w:r>
      <w:r w:rsidRPr="00442A3B">
        <w:instrText xml:space="preserve"> REF _Ref30759115 \h </w:instrText>
      </w:r>
      <w:r w:rsidR="00442A3B">
        <w:instrText xml:space="preserve"> \* MERGEFORMAT </w:instrText>
      </w:r>
      <w:r w:rsidRPr="00442A3B">
        <w:fldChar w:fldCharType="separate"/>
      </w:r>
      <w:r w:rsidR="00FC3D3D" w:rsidRPr="00442A3B">
        <w:t>Table 2</w:t>
      </w:r>
      <w:r w:rsidR="00FC3D3D" w:rsidRPr="00442A3B">
        <w:noBreakHyphen/>
      </w:r>
      <w:r w:rsidR="00FC3D3D">
        <w:t>6</w:t>
      </w:r>
      <w:r w:rsidRPr="00442A3B">
        <w:fldChar w:fldCharType="end"/>
      </w:r>
      <w:r w:rsidRPr="00442A3B">
        <w:t>.</w:t>
      </w:r>
    </w:p>
    <w:p w14:paraId="6BF02031" w14:textId="462E65D7" w:rsidR="00165998" w:rsidRPr="00442A3B" w:rsidRDefault="00165998" w:rsidP="00B33810">
      <w:pPr>
        <w:pStyle w:val="Caption"/>
      </w:pPr>
      <w:bookmarkStart w:id="112" w:name="_Ref30759115"/>
      <w:bookmarkStart w:id="113" w:name="_Toc62487278"/>
      <w:bookmarkStart w:id="114" w:name="_Toc62723809"/>
      <w:r w:rsidRPr="00442A3B">
        <w:t>Table 2</w:t>
      </w:r>
      <w:r w:rsidRPr="00442A3B">
        <w:noBreakHyphen/>
      </w:r>
      <w:r w:rsidRPr="00442A3B">
        <w:fldChar w:fldCharType="begin"/>
      </w:r>
      <w:r w:rsidRPr="00442A3B">
        <w:instrText>SEQ Table \* ARABIC</w:instrText>
      </w:r>
      <w:r w:rsidRPr="00442A3B">
        <w:fldChar w:fldCharType="separate"/>
      </w:r>
      <w:r w:rsidR="00FC3D3D">
        <w:rPr>
          <w:noProof/>
        </w:rPr>
        <w:t>6</w:t>
      </w:r>
      <w:r w:rsidRPr="00442A3B">
        <w:fldChar w:fldCharType="end"/>
      </w:r>
      <w:bookmarkEnd w:id="112"/>
      <w:r w:rsidRPr="00442A3B">
        <w:tab/>
        <w:t xml:space="preserve">Changes in the </w:t>
      </w:r>
      <w:r w:rsidR="169349C3" w:rsidRPr="00442A3B">
        <w:t>estimated</w:t>
      </w:r>
      <w:r w:rsidRPr="00442A3B">
        <w:t xml:space="preserve"> GST distribution due to changes in Commonwealth payments, 202</w:t>
      </w:r>
      <w:r w:rsidR="00F43158" w:rsidRPr="00442A3B">
        <w:t>1</w:t>
      </w:r>
      <w:r w:rsidRPr="00442A3B">
        <w:t>-2</w:t>
      </w:r>
      <w:r w:rsidR="00F43158" w:rsidRPr="00442A3B">
        <w:t>2</w:t>
      </w:r>
      <w:bookmarkEnd w:id="113"/>
      <w:bookmarkEnd w:id="114"/>
    </w:p>
    <w:tbl>
      <w:tblPr>
        <w:tblW w:w="8902" w:type="dxa"/>
        <w:tblCellMar>
          <w:left w:w="28" w:type="dxa"/>
          <w:right w:w="28" w:type="dxa"/>
        </w:tblCellMar>
        <w:tblLook w:val="04A0" w:firstRow="1" w:lastRow="0" w:firstColumn="1" w:lastColumn="0" w:noHBand="0" w:noVBand="1"/>
      </w:tblPr>
      <w:tblGrid>
        <w:gridCol w:w="3585"/>
        <w:gridCol w:w="684"/>
        <w:gridCol w:w="553"/>
        <w:gridCol w:w="610"/>
        <w:gridCol w:w="591"/>
        <w:gridCol w:w="534"/>
        <w:gridCol w:w="591"/>
        <w:gridCol w:w="610"/>
        <w:gridCol w:w="534"/>
        <w:gridCol w:w="723"/>
      </w:tblGrid>
      <w:tr w:rsidR="00802C50" w:rsidRPr="00442A3B" w14:paraId="6CBDF9D7" w14:textId="77777777" w:rsidTr="00C70A52">
        <w:trPr>
          <w:trHeight w:val="375"/>
        </w:trPr>
        <w:tc>
          <w:tcPr>
            <w:tcW w:w="3780" w:type="dxa"/>
            <w:tcBorders>
              <w:top w:val="single" w:sz="4" w:space="0" w:color="ADD6EA"/>
              <w:left w:val="nil"/>
              <w:bottom w:val="single" w:sz="4" w:space="0" w:color="ADD6EA"/>
              <w:right w:val="nil"/>
            </w:tcBorders>
            <w:shd w:val="clear" w:color="000000" w:fill="006991"/>
            <w:noWrap/>
            <w:vAlign w:val="center"/>
            <w:hideMark/>
          </w:tcPr>
          <w:p w14:paraId="7BD4A419" w14:textId="77777777" w:rsidR="00802C50" w:rsidRPr="00442A3B" w:rsidRDefault="00802C50" w:rsidP="00B33810">
            <w:pPr>
              <w:keepNext/>
              <w:keepLines/>
              <w:tabs>
                <w:tab w:val="clear" w:pos="567"/>
              </w:tabs>
              <w:spacing w:before="0" w:line="240" w:lineRule="auto"/>
              <w:rPr>
                <w:rFonts w:ascii="Open Sans Semibold" w:eastAsia="MS Mincho" w:hAnsi="Open Sans Semibold" w:cs="Open Sans Semibold"/>
                <w:color w:val="FFFFFF"/>
                <w:sz w:val="16"/>
                <w:szCs w:val="16"/>
                <w:lang w:eastAsia="en-AU"/>
              </w:rPr>
            </w:pPr>
            <w:bookmarkStart w:id="115" w:name="RANGE!B6:K19"/>
            <w:r w:rsidRPr="00442A3B">
              <w:rPr>
                <w:rFonts w:ascii="Open Sans Semibold" w:eastAsia="MS Mincho" w:hAnsi="Open Sans Semibold" w:cs="Open Sans Semibold"/>
                <w:color w:val="FFFFFF"/>
                <w:sz w:val="16"/>
                <w:szCs w:val="16"/>
                <w:lang w:eastAsia="en-AU"/>
              </w:rPr>
              <w:t> </w:t>
            </w:r>
            <w:bookmarkEnd w:id="115"/>
          </w:p>
        </w:tc>
        <w:tc>
          <w:tcPr>
            <w:tcW w:w="720" w:type="dxa"/>
            <w:tcBorders>
              <w:top w:val="single" w:sz="4" w:space="0" w:color="ADD6EA"/>
              <w:left w:val="nil"/>
              <w:bottom w:val="single" w:sz="4" w:space="0" w:color="ADD6EA"/>
              <w:right w:val="nil"/>
            </w:tcBorders>
            <w:shd w:val="clear" w:color="000000" w:fill="006991"/>
            <w:vAlign w:val="center"/>
            <w:hideMark/>
          </w:tcPr>
          <w:p w14:paraId="27A854C9" w14:textId="77777777" w:rsidR="00802C50" w:rsidRPr="00442A3B" w:rsidRDefault="00802C50" w:rsidP="00B33810">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NSW</w:t>
            </w:r>
          </w:p>
        </w:tc>
        <w:tc>
          <w:tcPr>
            <w:tcW w:w="580" w:type="dxa"/>
            <w:tcBorders>
              <w:top w:val="single" w:sz="4" w:space="0" w:color="ADD6EA"/>
              <w:left w:val="nil"/>
              <w:bottom w:val="single" w:sz="4" w:space="0" w:color="ADD6EA"/>
              <w:right w:val="nil"/>
            </w:tcBorders>
            <w:shd w:val="clear" w:color="000000" w:fill="006991"/>
            <w:noWrap/>
            <w:vAlign w:val="center"/>
            <w:hideMark/>
          </w:tcPr>
          <w:p w14:paraId="7FC966AD" w14:textId="77777777" w:rsidR="00802C50" w:rsidRPr="00442A3B" w:rsidRDefault="00802C50" w:rsidP="00B33810">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Vic</w:t>
            </w:r>
          </w:p>
        </w:tc>
        <w:tc>
          <w:tcPr>
            <w:tcW w:w="640" w:type="dxa"/>
            <w:tcBorders>
              <w:top w:val="single" w:sz="4" w:space="0" w:color="ADD6EA"/>
              <w:left w:val="nil"/>
              <w:bottom w:val="single" w:sz="4" w:space="0" w:color="ADD6EA"/>
              <w:right w:val="nil"/>
            </w:tcBorders>
            <w:shd w:val="clear" w:color="000000" w:fill="006991"/>
            <w:noWrap/>
            <w:vAlign w:val="center"/>
            <w:hideMark/>
          </w:tcPr>
          <w:p w14:paraId="6C74FBDF" w14:textId="77777777" w:rsidR="00802C50" w:rsidRPr="00442A3B" w:rsidRDefault="00802C50" w:rsidP="00B33810">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Qld</w:t>
            </w:r>
          </w:p>
        </w:tc>
        <w:tc>
          <w:tcPr>
            <w:tcW w:w="620" w:type="dxa"/>
            <w:tcBorders>
              <w:top w:val="single" w:sz="4" w:space="0" w:color="ADD6EA"/>
              <w:left w:val="nil"/>
              <w:bottom w:val="single" w:sz="4" w:space="0" w:color="ADD6EA"/>
              <w:right w:val="nil"/>
            </w:tcBorders>
            <w:shd w:val="clear" w:color="000000" w:fill="006991"/>
            <w:noWrap/>
            <w:vAlign w:val="center"/>
            <w:hideMark/>
          </w:tcPr>
          <w:p w14:paraId="5EEF921F" w14:textId="77777777" w:rsidR="00802C50" w:rsidRPr="00442A3B" w:rsidRDefault="00802C50" w:rsidP="00B33810">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WA</w:t>
            </w:r>
          </w:p>
        </w:tc>
        <w:tc>
          <w:tcPr>
            <w:tcW w:w="560" w:type="dxa"/>
            <w:tcBorders>
              <w:top w:val="single" w:sz="4" w:space="0" w:color="ADD6EA"/>
              <w:left w:val="nil"/>
              <w:bottom w:val="single" w:sz="4" w:space="0" w:color="ADD6EA"/>
              <w:right w:val="nil"/>
            </w:tcBorders>
            <w:shd w:val="clear" w:color="000000" w:fill="006991"/>
            <w:noWrap/>
            <w:vAlign w:val="center"/>
            <w:hideMark/>
          </w:tcPr>
          <w:p w14:paraId="27C58FB2" w14:textId="77777777" w:rsidR="00802C50" w:rsidRPr="00442A3B" w:rsidRDefault="00802C50" w:rsidP="00B33810">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SA</w:t>
            </w:r>
          </w:p>
        </w:tc>
        <w:tc>
          <w:tcPr>
            <w:tcW w:w="620" w:type="dxa"/>
            <w:tcBorders>
              <w:top w:val="single" w:sz="4" w:space="0" w:color="ADD6EA"/>
              <w:left w:val="nil"/>
              <w:bottom w:val="single" w:sz="4" w:space="0" w:color="ADD6EA"/>
              <w:right w:val="nil"/>
            </w:tcBorders>
            <w:shd w:val="clear" w:color="000000" w:fill="006991"/>
            <w:vAlign w:val="center"/>
            <w:hideMark/>
          </w:tcPr>
          <w:p w14:paraId="612670BC" w14:textId="77777777" w:rsidR="00802C50" w:rsidRPr="00442A3B" w:rsidRDefault="00802C50" w:rsidP="00B33810">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Tas</w:t>
            </w:r>
          </w:p>
        </w:tc>
        <w:tc>
          <w:tcPr>
            <w:tcW w:w="640" w:type="dxa"/>
            <w:tcBorders>
              <w:top w:val="single" w:sz="4" w:space="0" w:color="ADD6EA"/>
              <w:left w:val="nil"/>
              <w:bottom w:val="single" w:sz="4" w:space="0" w:color="ADD6EA"/>
              <w:right w:val="nil"/>
            </w:tcBorders>
            <w:shd w:val="clear" w:color="000000" w:fill="006991"/>
            <w:noWrap/>
            <w:vAlign w:val="center"/>
            <w:hideMark/>
          </w:tcPr>
          <w:p w14:paraId="1ABFCAAB" w14:textId="77777777" w:rsidR="00802C50" w:rsidRPr="00442A3B" w:rsidRDefault="00802C50" w:rsidP="00B33810">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ACT</w:t>
            </w:r>
          </w:p>
        </w:tc>
        <w:tc>
          <w:tcPr>
            <w:tcW w:w="560" w:type="dxa"/>
            <w:tcBorders>
              <w:top w:val="single" w:sz="4" w:space="0" w:color="ADD6EA"/>
              <w:left w:val="nil"/>
              <w:bottom w:val="single" w:sz="4" w:space="0" w:color="ADD6EA"/>
              <w:right w:val="nil"/>
            </w:tcBorders>
            <w:shd w:val="clear" w:color="000000" w:fill="006991"/>
            <w:noWrap/>
            <w:vAlign w:val="center"/>
            <w:hideMark/>
          </w:tcPr>
          <w:p w14:paraId="4ACECAF3" w14:textId="77777777" w:rsidR="00802C50" w:rsidRPr="00442A3B" w:rsidRDefault="00802C50" w:rsidP="00B33810">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NT</w:t>
            </w:r>
          </w:p>
        </w:tc>
        <w:tc>
          <w:tcPr>
            <w:tcW w:w="760" w:type="dxa"/>
            <w:tcBorders>
              <w:top w:val="single" w:sz="4" w:space="0" w:color="ADD6EA"/>
              <w:left w:val="nil"/>
              <w:bottom w:val="single" w:sz="4" w:space="0" w:color="ADD6EA"/>
              <w:right w:val="nil"/>
            </w:tcBorders>
            <w:shd w:val="clear" w:color="000000" w:fill="006991"/>
            <w:noWrap/>
            <w:vAlign w:val="center"/>
            <w:hideMark/>
          </w:tcPr>
          <w:p w14:paraId="7A4CBB65" w14:textId="77777777" w:rsidR="00802C50" w:rsidRPr="00442A3B" w:rsidRDefault="00802C50" w:rsidP="00B33810">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Redist</w:t>
            </w:r>
          </w:p>
        </w:tc>
      </w:tr>
      <w:tr w:rsidR="00802C50" w:rsidRPr="00442A3B" w14:paraId="20D26018" w14:textId="77777777" w:rsidTr="00C70A52">
        <w:trPr>
          <w:trHeight w:val="263"/>
        </w:trPr>
        <w:tc>
          <w:tcPr>
            <w:tcW w:w="3780" w:type="dxa"/>
            <w:tcBorders>
              <w:top w:val="nil"/>
              <w:left w:val="nil"/>
              <w:bottom w:val="single" w:sz="4" w:space="0" w:color="ADD6EA"/>
              <w:right w:val="nil"/>
            </w:tcBorders>
            <w:shd w:val="clear" w:color="000000" w:fill="B6D5E4"/>
            <w:noWrap/>
            <w:vAlign w:val="center"/>
            <w:hideMark/>
          </w:tcPr>
          <w:p w14:paraId="4F269987" w14:textId="77777777" w:rsidR="00802C50" w:rsidRPr="00442A3B" w:rsidRDefault="00802C50" w:rsidP="00B33810">
            <w:pPr>
              <w:pStyle w:val="CGCTablerow"/>
              <w:rPr>
                <w:lang w:eastAsia="en-AU"/>
              </w:rPr>
            </w:pPr>
            <w:r w:rsidRPr="00442A3B">
              <w:rPr>
                <w:lang w:eastAsia="en-AU"/>
              </w:rPr>
              <w:t> </w:t>
            </w:r>
          </w:p>
        </w:tc>
        <w:tc>
          <w:tcPr>
            <w:tcW w:w="720" w:type="dxa"/>
            <w:tcBorders>
              <w:top w:val="nil"/>
              <w:left w:val="nil"/>
              <w:bottom w:val="single" w:sz="4" w:space="0" w:color="ADD6EA"/>
              <w:right w:val="nil"/>
            </w:tcBorders>
            <w:shd w:val="clear" w:color="000000" w:fill="B6D5E4"/>
            <w:noWrap/>
            <w:vAlign w:val="center"/>
            <w:hideMark/>
          </w:tcPr>
          <w:p w14:paraId="16DCA397" w14:textId="77777777" w:rsidR="00802C50" w:rsidRPr="00442A3B" w:rsidRDefault="00802C50" w:rsidP="00B33810">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$m</w:t>
            </w:r>
          </w:p>
        </w:tc>
        <w:tc>
          <w:tcPr>
            <w:tcW w:w="580" w:type="dxa"/>
            <w:tcBorders>
              <w:top w:val="nil"/>
              <w:left w:val="nil"/>
              <w:bottom w:val="single" w:sz="4" w:space="0" w:color="ADD6EA"/>
              <w:right w:val="nil"/>
            </w:tcBorders>
            <w:shd w:val="clear" w:color="000000" w:fill="B6D5E4"/>
            <w:noWrap/>
            <w:vAlign w:val="center"/>
            <w:hideMark/>
          </w:tcPr>
          <w:p w14:paraId="297C9FA3" w14:textId="77777777" w:rsidR="00802C50" w:rsidRPr="00442A3B" w:rsidRDefault="00802C50" w:rsidP="00B33810">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$m</w:t>
            </w:r>
          </w:p>
        </w:tc>
        <w:tc>
          <w:tcPr>
            <w:tcW w:w="640" w:type="dxa"/>
            <w:tcBorders>
              <w:top w:val="nil"/>
              <w:left w:val="nil"/>
              <w:bottom w:val="single" w:sz="4" w:space="0" w:color="ADD6EA"/>
              <w:right w:val="nil"/>
            </w:tcBorders>
            <w:shd w:val="clear" w:color="000000" w:fill="B6D5E4"/>
            <w:noWrap/>
            <w:vAlign w:val="center"/>
            <w:hideMark/>
          </w:tcPr>
          <w:p w14:paraId="2D050A81" w14:textId="77777777" w:rsidR="00802C50" w:rsidRPr="00442A3B" w:rsidRDefault="00802C50" w:rsidP="00B33810">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$m</w:t>
            </w:r>
          </w:p>
        </w:tc>
        <w:tc>
          <w:tcPr>
            <w:tcW w:w="620" w:type="dxa"/>
            <w:tcBorders>
              <w:top w:val="nil"/>
              <w:left w:val="nil"/>
              <w:bottom w:val="single" w:sz="4" w:space="0" w:color="ADD6EA"/>
              <w:right w:val="nil"/>
            </w:tcBorders>
            <w:shd w:val="clear" w:color="000000" w:fill="B6D5E4"/>
            <w:noWrap/>
            <w:vAlign w:val="center"/>
            <w:hideMark/>
          </w:tcPr>
          <w:p w14:paraId="3570CBFC" w14:textId="77777777" w:rsidR="00802C50" w:rsidRPr="00442A3B" w:rsidRDefault="00802C50" w:rsidP="00B33810">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$m</w:t>
            </w:r>
          </w:p>
        </w:tc>
        <w:tc>
          <w:tcPr>
            <w:tcW w:w="560" w:type="dxa"/>
            <w:tcBorders>
              <w:top w:val="nil"/>
              <w:left w:val="nil"/>
              <w:bottom w:val="single" w:sz="4" w:space="0" w:color="ADD6EA"/>
              <w:right w:val="nil"/>
            </w:tcBorders>
            <w:shd w:val="clear" w:color="000000" w:fill="B6D5E4"/>
            <w:noWrap/>
            <w:vAlign w:val="center"/>
            <w:hideMark/>
          </w:tcPr>
          <w:p w14:paraId="434E4336" w14:textId="77777777" w:rsidR="00802C50" w:rsidRPr="00442A3B" w:rsidRDefault="00802C50" w:rsidP="00B33810">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$m</w:t>
            </w:r>
          </w:p>
        </w:tc>
        <w:tc>
          <w:tcPr>
            <w:tcW w:w="620" w:type="dxa"/>
            <w:tcBorders>
              <w:top w:val="nil"/>
              <w:left w:val="nil"/>
              <w:bottom w:val="single" w:sz="4" w:space="0" w:color="ADD6EA"/>
              <w:right w:val="nil"/>
            </w:tcBorders>
            <w:shd w:val="clear" w:color="000000" w:fill="B6D5E4"/>
            <w:noWrap/>
            <w:vAlign w:val="center"/>
            <w:hideMark/>
          </w:tcPr>
          <w:p w14:paraId="2C753F17" w14:textId="77777777" w:rsidR="00802C50" w:rsidRPr="00442A3B" w:rsidRDefault="00802C50" w:rsidP="00B33810">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$m</w:t>
            </w:r>
          </w:p>
        </w:tc>
        <w:tc>
          <w:tcPr>
            <w:tcW w:w="640" w:type="dxa"/>
            <w:tcBorders>
              <w:top w:val="nil"/>
              <w:left w:val="nil"/>
              <w:bottom w:val="single" w:sz="4" w:space="0" w:color="ADD6EA"/>
              <w:right w:val="nil"/>
            </w:tcBorders>
            <w:shd w:val="clear" w:color="000000" w:fill="B6D5E4"/>
            <w:noWrap/>
            <w:vAlign w:val="center"/>
            <w:hideMark/>
          </w:tcPr>
          <w:p w14:paraId="29023258" w14:textId="77777777" w:rsidR="00802C50" w:rsidRPr="00442A3B" w:rsidRDefault="00802C50" w:rsidP="00B33810">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$m</w:t>
            </w:r>
          </w:p>
        </w:tc>
        <w:tc>
          <w:tcPr>
            <w:tcW w:w="560" w:type="dxa"/>
            <w:tcBorders>
              <w:top w:val="nil"/>
              <w:left w:val="nil"/>
              <w:bottom w:val="single" w:sz="4" w:space="0" w:color="ADD6EA"/>
              <w:right w:val="nil"/>
            </w:tcBorders>
            <w:shd w:val="clear" w:color="000000" w:fill="B6D5E4"/>
            <w:noWrap/>
            <w:vAlign w:val="center"/>
            <w:hideMark/>
          </w:tcPr>
          <w:p w14:paraId="54521D67" w14:textId="77777777" w:rsidR="00802C50" w:rsidRPr="00442A3B" w:rsidRDefault="00802C50" w:rsidP="00B33810">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6D3EE489" w14:textId="77777777" w:rsidR="00802C50" w:rsidRPr="00442A3B" w:rsidRDefault="00802C50" w:rsidP="00B33810">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$m</w:t>
            </w:r>
          </w:p>
        </w:tc>
      </w:tr>
      <w:tr w:rsidR="00802C50" w:rsidRPr="00442A3B" w14:paraId="5E8A073C" w14:textId="77777777" w:rsidTr="00C70A52">
        <w:trPr>
          <w:trHeight w:val="315"/>
        </w:trPr>
        <w:tc>
          <w:tcPr>
            <w:tcW w:w="3780" w:type="dxa"/>
            <w:tcBorders>
              <w:top w:val="nil"/>
              <w:left w:val="nil"/>
              <w:bottom w:val="single" w:sz="4" w:space="0" w:color="ADD6EA"/>
              <w:right w:val="nil"/>
            </w:tcBorders>
            <w:shd w:val="clear" w:color="auto" w:fill="auto"/>
            <w:vAlign w:val="bottom"/>
            <w:hideMark/>
          </w:tcPr>
          <w:p w14:paraId="41BD4A2B" w14:textId="58FB94CA" w:rsidR="00802C50" w:rsidRPr="00442A3B" w:rsidRDefault="00802C50" w:rsidP="00B33810">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 xml:space="preserve">Road infrastructure </w:t>
            </w:r>
            <w:r w:rsidR="001E583A" w:rsidRPr="00442A3B">
              <w:rPr>
                <w:rFonts w:eastAsia="Times New Roman" w:cs="Open Sans Light"/>
                <w:sz w:val="16"/>
                <w:szCs w:val="16"/>
                <w:lang w:eastAsia="en-AU"/>
              </w:rPr>
              <w:t>–</w:t>
            </w:r>
            <w:r w:rsidRPr="00442A3B">
              <w:rPr>
                <w:rFonts w:eastAsia="Times New Roman" w:cs="Open Sans Light"/>
                <w:sz w:val="16"/>
                <w:szCs w:val="16"/>
                <w:lang w:eastAsia="en-AU"/>
              </w:rPr>
              <w:t xml:space="preserve"> National Network</w:t>
            </w:r>
          </w:p>
        </w:tc>
        <w:tc>
          <w:tcPr>
            <w:tcW w:w="720" w:type="dxa"/>
            <w:tcBorders>
              <w:top w:val="nil"/>
              <w:left w:val="nil"/>
              <w:bottom w:val="single" w:sz="4" w:space="0" w:color="ADD6EA"/>
              <w:right w:val="nil"/>
            </w:tcBorders>
            <w:shd w:val="clear" w:color="auto" w:fill="auto"/>
            <w:vAlign w:val="bottom"/>
            <w:hideMark/>
          </w:tcPr>
          <w:p w14:paraId="15D3181C"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151</w:t>
            </w:r>
          </w:p>
        </w:tc>
        <w:tc>
          <w:tcPr>
            <w:tcW w:w="580" w:type="dxa"/>
            <w:tcBorders>
              <w:top w:val="nil"/>
              <w:left w:val="nil"/>
              <w:bottom w:val="single" w:sz="4" w:space="0" w:color="ADD6EA"/>
              <w:right w:val="nil"/>
            </w:tcBorders>
            <w:shd w:val="clear" w:color="auto" w:fill="auto"/>
            <w:vAlign w:val="bottom"/>
            <w:hideMark/>
          </w:tcPr>
          <w:p w14:paraId="5E509E65"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-125</w:t>
            </w:r>
          </w:p>
        </w:tc>
        <w:tc>
          <w:tcPr>
            <w:tcW w:w="640" w:type="dxa"/>
            <w:tcBorders>
              <w:top w:val="nil"/>
              <w:left w:val="nil"/>
              <w:bottom w:val="single" w:sz="4" w:space="0" w:color="ADD6EA"/>
              <w:right w:val="nil"/>
            </w:tcBorders>
            <w:shd w:val="clear" w:color="auto" w:fill="auto"/>
            <w:vAlign w:val="bottom"/>
            <w:hideMark/>
          </w:tcPr>
          <w:p w14:paraId="55D979AF"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-35</w:t>
            </w:r>
          </w:p>
        </w:tc>
        <w:tc>
          <w:tcPr>
            <w:tcW w:w="620" w:type="dxa"/>
            <w:tcBorders>
              <w:top w:val="nil"/>
              <w:left w:val="nil"/>
              <w:bottom w:val="single" w:sz="4" w:space="0" w:color="ADD6EA"/>
              <w:right w:val="nil"/>
            </w:tcBorders>
            <w:shd w:val="clear" w:color="auto" w:fill="auto"/>
            <w:vAlign w:val="bottom"/>
            <w:hideMark/>
          </w:tcPr>
          <w:p w14:paraId="131E051F"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-14</w:t>
            </w:r>
          </w:p>
        </w:tc>
        <w:tc>
          <w:tcPr>
            <w:tcW w:w="560" w:type="dxa"/>
            <w:tcBorders>
              <w:top w:val="nil"/>
              <w:left w:val="nil"/>
              <w:bottom w:val="single" w:sz="4" w:space="0" w:color="ADD6EA"/>
              <w:right w:val="nil"/>
            </w:tcBorders>
            <w:shd w:val="clear" w:color="auto" w:fill="auto"/>
            <w:vAlign w:val="bottom"/>
            <w:hideMark/>
          </w:tcPr>
          <w:p w14:paraId="01B721E0"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37</w:t>
            </w:r>
          </w:p>
        </w:tc>
        <w:tc>
          <w:tcPr>
            <w:tcW w:w="620" w:type="dxa"/>
            <w:tcBorders>
              <w:top w:val="nil"/>
              <w:left w:val="nil"/>
              <w:bottom w:val="single" w:sz="4" w:space="0" w:color="ADD6EA"/>
              <w:right w:val="nil"/>
            </w:tcBorders>
            <w:shd w:val="clear" w:color="auto" w:fill="auto"/>
            <w:vAlign w:val="bottom"/>
            <w:hideMark/>
          </w:tcPr>
          <w:p w14:paraId="699B36E9"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w:t>
            </w:r>
          </w:p>
        </w:tc>
        <w:tc>
          <w:tcPr>
            <w:tcW w:w="640" w:type="dxa"/>
            <w:tcBorders>
              <w:top w:val="nil"/>
              <w:left w:val="nil"/>
              <w:bottom w:val="single" w:sz="4" w:space="0" w:color="ADD6EA"/>
              <w:right w:val="nil"/>
            </w:tcBorders>
            <w:shd w:val="clear" w:color="auto" w:fill="auto"/>
            <w:vAlign w:val="bottom"/>
            <w:hideMark/>
          </w:tcPr>
          <w:p w14:paraId="02966CC1"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w:t>
            </w:r>
          </w:p>
        </w:tc>
        <w:tc>
          <w:tcPr>
            <w:tcW w:w="560" w:type="dxa"/>
            <w:tcBorders>
              <w:top w:val="nil"/>
              <w:left w:val="nil"/>
              <w:bottom w:val="single" w:sz="4" w:space="0" w:color="ADD6EA"/>
              <w:right w:val="nil"/>
            </w:tcBorders>
            <w:shd w:val="clear" w:color="auto" w:fill="auto"/>
            <w:vAlign w:val="bottom"/>
            <w:hideMark/>
          </w:tcPr>
          <w:p w14:paraId="5FD6E601"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w:t>
            </w:r>
          </w:p>
        </w:tc>
        <w:tc>
          <w:tcPr>
            <w:tcW w:w="760" w:type="dxa"/>
            <w:tcBorders>
              <w:top w:val="nil"/>
              <w:left w:val="nil"/>
              <w:bottom w:val="single" w:sz="4" w:space="0" w:color="ADD6EA"/>
              <w:right w:val="nil"/>
            </w:tcBorders>
            <w:shd w:val="clear" w:color="auto" w:fill="auto"/>
            <w:vAlign w:val="bottom"/>
            <w:hideMark/>
          </w:tcPr>
          <w:p w14:paraId="52428F8D"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188</w:t>
            </w:r>
          </w:p>
        </w:tc>
      </w:tr>
      <w:tr w:rsidR="00802C50" w:rsidRPr="00442A3B" w14:paraId="28B49B7E" w14:textId="77777777" w:rsidTr="00C70A52">
        <w:trPr>
          <w:trHeight w:val="315"/>
        </w:trPr>
        <w:tc>
          <w:tcPr>
            <w:tcW w:w="3780" w:type="dxa"/>
            <w:tcBorders>
              <w:top w:val="nil"/>
              <w:left w:val="nil"/>
              <w:bottom w:val="single" w:sz="4" w:space="0" w:color="ADD6EA"/>
              <w:right w:val="nil"/>
            </w:tcBorders>
            <w:shd w:val="clear" w:color="auto" w:fill="auto"/>
            <w:vAlign w:val="bottom"/>
            <w:hideMark/>
          </w:tcPr>
          <w:p w14:paraId="70448207" w14:textId="77777777" w:rsidR="00802C50" w:rsidRPr="00442A3B" w:rsidRDefault="00802C50" w:rsidP="00B33810">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National Health Reform funding</w:t>
            </w:r>
          </w:p>
        </w:tc>
        <w:tc>
          <w:tcPr>
            <w:tcW w:w="720" w:type="dxa"/>
            <w:tcBorders>
              <w:top w:val="nil"/>
              <w:left w:val="nil"/>
              <w:bottom w:val="single" w:sz="4" w:space="0" w:color="ADD6EA"/>
              <w:right w:val="nil"/>
            </w:tcBorders>
            <w:shd w:val="clear" w:color="auto" w:fill="auto"/>
            <w:vAlign w:val="bottom"/>
            <w:hideMark/>
          </w:tcPr>
          <w:p w14:paraId="0F3D42B4"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w:t>
            </w:r>
          </w:p>
        </w:tc>
        <w:tc>
          <w:tcPr>
            <w:tcW w:w="580" w:type="dxa"/>
            <w:tcBorders>
              <w:top w:val="nil"/>
              <w:left w:val="nil"/>
              <w:bottom w:val="single" w:sz="4" w:space="0" w:color="ADD6EA"/>
              <w:right w:val="nil"/>
            </w:tcBorders>
            <w:shd w:val="clear" w:color="auto" w:fill="auto"/>
            <w:vAlign w:val="bottom"/>
            <w:hideMark/>
          </w:tcPr>
          <w:p w14:paraId="3C34A61E"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116</w:t>
            </w:r>
          </w:p>
        </w:tc>
        <w:tc>
          <w:tcPr>
            <w:tcW w:w="640" w:type="dxa"/>
            <w:tcBorders>
              <w:top w:val="nil"/>
              <w:left w:val="nil"/>
              <w:bottom w:val="single" w:sz="4" w:space="0" w:color="ADD6EA"/>
              <w:right w:val="nil"/>
            </w:tcBorders>
            <w:shd w:val="clear" w:color="auto" w:fill="auto"/>
            <w:vAlign w:val="bottom"/>
            <w:hideMark/>
          </w:tcPr>
          <w:p w14:paraId="4AD5A59D"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-132</w:t>
            </w:r>
          </w:p>
        </w:tc>
        <w:tc>
          <w:tcPr>
            <w:tcW w:w="620" w:type="dxa"/>
            <w:tcBorders>
              <w:top w:val="nil"/>
              <w:left w:val="nil"/>
              <w:bottom w:val="single" w:sz="4" w:space="0" w:color="ADD6EA"/>
              <w:right w:val="nil"/>
            </w:tcBorders>
            <w:shd w:val="clear" w:color="auto" w:fill="auto"/>
            <w:vAlign w:val="bottom"/>
            <w:hideMark/>
          </w:tcPr>
          <w:p w14:paraId="013F5447"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23</w:t>
            </w:r>
          </w:p>
        </w:tc>
        <w:tc>
          <w:tcPr>
            <w:tcW w:w="560" w:type="dxa"/>
            <w:tcBorders>
              <w:top w:val="nil"/>
              <w:left w:val="nil"/>
              <w:bottom w:val="single" w:sz="4" w:space="0" w:color="ADD6EA"/>
              <w:right w:val="nil"/>
            </w:tcBorders>
            <w:shd w:val="clear" w:color="auto" w:fill="auto"/>
            <w:vAlign w:val="bottom"/>
            <w:hideMark/>
          </w:tcPr>
          <w:p w14:paraId="7590CBE8"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w:t>
            </w:r>
          </w:p>
        </w:tc>
        <w:tc>
          <w:tcPr>
            <w:tcW w:w="620" w:type="dxa"/>
            <w:tcBorders>
              <w:top w:val="nil"/>
              <w:left w:val="nil"/>
              <w:bottom w:val="single" w:sz="4" w:space="0" w:color="ADD6EA"/>
              <w:right w:val="nil"/>
            </w:tcBorders>
            <w:shd w:val="clear" w:color="auto" w:fill="auto"/>
            <w:vAlign w:val="bottom"/>
            <w:hideMark/>
          </w:tcPr>
          <w:p w14:paraId="4EEB7240"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8</w:t>
            </w:r>
          </w:p>
        </w:tc>
        <w:tc>
          <w:tcPr>
            <w:tcW w:w="640" w:type="dxa"/>
            <w:tcBorders>
              <w:top w:val="nil"/>
              <w:left w:val="nil"/>
              <w:bottom w:val="single" w:sz="4" w:space="0" w:color="ADD6EA"/>
              <w:right w:val="nil"/>
            </w:tcBorders>
            <w:shd w:val="clear" w:color="auto" w:fill="auto"/>
            <w:vAlign w:val="bottom"/>
            <w:hideMark/>
          </w:tcPr>
          <w:p w14:paraId="398AE714"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-7</w:t>
            </w:r>
          </w:p>
        </w:tc>
        <w:tc>
          <w:tcPr>
            <w:tcW w:w="560" w:type="dxa"/>
            <w:tcBorders>
              <w:top w:val="nil"/>
              <w:left w:val="nil"/>
              <w:bottom w:val="single" w:sz="4" w:space="0" w:color="ADD6EA"/>
              <w:right w:val="nil"/>
            </w:tcBorders>
            <w:shd w:val="clear" w:color="auto" w:fill="auto"/>
            <w:vAlign w:val="bottom"/>
            <w:hideMark/>
          </w:tcPr>
          <w:p w14:paraId="20CFBE56"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-11</w:t>
            </w:r>
          </w:p>
        </w:tc>
        <w:tc>
          <w:tcPr>
            <w:tcW w:w="760" w:type="dxa"/>
            <w:tcBorders>
              <w:top w:val="nil"/>
              <w:left w:val="nil"/>
              <w:bottom w:val="single" w:sz="4" w:space="0" w:color="ADD6EA"/>
              <w:right w:val="nil"/>
            </w:tcBorders>
            <w:shd w:val="clear" w:color="auto" w:fill="auto"/>
            <w:vAlign w:val="bottom"/>
            <w:hideMark/>
          </w:tcPr>
          <w:p w14:paraId="5CC5BB70"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154</w:t>
            </w:r>
          </w:p>
        </w:tc>
      </w:tr>
      <w:tr w:rsidR="00802C50" w:rsidRPr="00442A3B" w14:paraId="48D6AEBE" w14:textId="77777777" w:rsidTr="00C70A52">
        <w:trPr>
          <w:trHeight w:val="315"/>
        </w:trPr>
        <w:tc>
          <w:tcPr>
            <w:tcW w:w="3780" w:type="dxa"/>
            <w:tcBorders>
              <w:top w:val="nil"/>
              <w:left w:val="nil"/>
              <w:bottom w:val="single" w:sz="4" w:space="0" w:color="ADD6EA"/>
              <w:right w:val="nil"/>
            </w:tcBorders>
            <w:shd w:val="clear" w:color="auto" w:fill="auto"/>
            <w:vAlign w:val="bottom"/>
            <w:hideMark/>
          </w:tcPr>
          <w:p w14:paraId="33BE0884" w14:textId="2F002618" w:rsidR="00802C50" w:rsidRPr="00442A3B" w:rsidRDefault="00802C50" w:rsidP="00B33810">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 xml:space="preserve">Road infrastructure </w:t>
            </w:r>
            <w:r w:rsidR="001E583A" w:rsidRPr="00442A3B">
              <w:rPr>
                <w:rFonts w:eastAsia="Times New Roman" w:cs="Open Sans Light"/>
                <w:sz w:val="16"/>
                <w:szCs w:val="16"/>
                <w:lang w:eastAsia="en-AU"/>
              </w:rPr>
              <w:t>–</w:t>
            </w:r>
            <w:r w:rsidRPr="00442A3B">
              <w:rPr>
                <w:rFonts w:eastAsia="Times New Roman" w:cs="Open Sans Light"/>
                <w:sz w:val="16"/>
                <w:szCs w:val="16"/>
                <w:lang w:eastAsia="en-AU"/>
              </w:rPr>
              <w:t xml:space="preserve"> </w:t>
            </w:r>
            <w:r w:rsidR="004A3651" w:rsidRPr="00442A3B">
              <w:rPr>
                <w:rFonts w:eastAsia="Times New Roman" w:cs="Open Sans Light"/>
                <w:sz w:val="16"/>
                <w:szCs w:val="16"/>
                <w:lang w:eastAsia="en-AU"/>
              </w:rPr>
              <w:t>o</w:t>
            </w:r>
            <w:r w:rsidRPr="00442A3B">
              <w:rPr>
                <w:rFonts w:eastAsia="Times New Roman" w:cs="Open Sans Light"/>
                <w:sz w:val="16"/>
                <w:szCs w:val="16"/>
                <w:lang w:eastAsia="en-AU"/>
              </w:rPr>
              <w:t xml:space="preserve">ther </w:t>
            </w:r>
            <w:r w:rsidR="004A3651" w:rsidRPr="00442A3B">
              <w:rPr>
                <w:rFonts w:eastAsia="Times New Roman" w:cs="Open Sans Light"/>
                <w:sz w:val="16"/>
                <w:szCs w:val="16"/>
                <w:lang w:eastAsia="en-AU"/>
              </w:rPr>
              <w:t>r</w:t>
            </w:r>
            <w:r w:rsidRPr="00442A3B">
              <w:rPr>
                <w:rFonts w:eastAsia="Times New Roman" w:cs="Open Sans Light"/>
                <w:sz w:val="16"/>
                <w:szCs w:val="16"/>
                <w:lang w:eastAsia="en-AU"/>
              </w:rPr>
              <w:t>oads</w:t>
            </w:r>
          </w:p>
        </w:tc>
        <w:tc>
          <w:tcPr>
            <w:tcW w:w="720" w:type="dxa"/>
            <w:tcBorders>
              <w:top w:val="nil"/>
              <w:left w:val="nil"/>
              <w:bottom w:val="single" w:sz="4" w:space="0" w:color="ADD6EA"/>
              <w:right w:val="nil"/>
            </w:tcBorders>
            <w:shd w:val="clear" w:color="auto" w:fill="auto"/>
            <w:vAlign w:val="bottom"/>
            <w:hideMark/>
          </w:tcPr>
          <w:p w14:paraId="1C597E55"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80</w:t>
            </w:r>
          </w:p>
        </w:tc>
        <w:tc>
          <w:tcPr>
            <w:tcW w:w="580" w:type="dxa"/>
            <w:tcBorders>
              <w:top w:val="nil"/>
              <w:left w:val="nil"/>
              <w:bottom w:val="single" w:sz="4" w:space="0" w:color="ADD6EA"/>
              <w:right w:val="nil"/>
            </w:tcBorders>
            <w:shd w:val="clear" w:color="auto" w:fill="auto"/>
            <w:vAlign w:val="bottom"/>
            <w:hideMark/>
          </w:tcPr>
          <w:p w14:paraId="30503635"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w:t>
            </w:r>
          </w:p>
        </w:tc>
        <w:tc>
          <w:tcPr>
            <w:tcW w:w="640" w:type="dxa"/>
            <w:tcBorders>
              <w:top w:val="nil"/>
              <w:left w:val="nil"/>
              <w:bottom w:val="single" w:sz="4" w:space="0" w:color="ADD6EA"/>
              <w:right w:val="nil"/>
            </w:tcBorders>
            <w:shd w:val="clear" w:color="auto" w:fill="auto"/>
            <w:vAlign w:val="bottom"/>
            <w:hideMark/>
          </w:tcPr>
          <w:p w14:paraId="103C52FE"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w:t>
            </w:r>
          </w:p>
        </w:tc>
        <w:tc>
          <w:tcPr>
            <w:tcW w:w="620" w:type="dxa"/>
            <w:tcBorders>
              <w:top w:val="nil"/>
              <w:left w:val="nil"/>
              <w:bottom w:val="single" w:sz="4" w:space="0" w:color="ADD6EA"/>
              <w:right w:val="nil"/>
            </w:tcBorders>
            <w:shd w:val="clear" w:color="auto" w:fill="auto"/>
            <w:vAlign w:val="bottom"/>
            <w:hideMark/>
          </w:tcPr>
          <w:p w14:paraId="7548958A"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-50</w:t>
            </w:r>
          </w:p>
        </w:tc>
        <w:tc>
          <w:tcPr>
            <w:tcW w:w="560" w:type="dxa"/>
            <w:tcBorders>
              <w:top w:val="nil"/>
              <w:left w:val="nil"/>
              <w:bottom w:val="single" w:sz="4" w:space="0" w:color="ADD6EA"/>
              <w:right w:val="nil"/>
            </w:tcBorders>
            <w:shd w:val="clear" w:color="auto" w:fill="auto"/>
            <w:vAlign w:val="bottom"/>
            <w:hideMark/>
          </w:tcPr>
          <w:p w14:paraId="7C9DC2F8"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w:t>
            </w:r>
          </w:p>
        </w:tc>
        <w:tc>
          <w:tcPr>
            <w:tcW w:w="620" w:type="dxa"/>
            <w:tcBorders>
              <w:top w:val="nil"/>
              <w:left w:val="nil"/>
              <w:bottom w:val="single" w:sz="4" w:space="0" w:color="ADD6EA"/>
              <w:right w:val="nil"/>
            </w:tcBorders>
            <w:shd w:val="clear" w:color="auto" w:fill="auto"/>
            <w:vAlign w:val="bottom"/>
            <w:hideMark/>
          </w:tcPr>
          <w:p w14:paraId="4B4D9D67"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7</w:t>
            </w:r>
          </w:p>
        </w:tc>
        <w:tc>
          <w:tcPr>
            <w:tcW w:w="640" w:type="dxa"/>
            <w:tcBorders>
              <w:top w:val="nil"/>
              <w:left w:val="nil"/>
              <w:bottom w:val="single" w:sz="4" w:space="0" w:color="ADD6EA"/>
              <w:right w:val="nil"/>
            </w:tcBorders>
            <w:shd w:val="clear" w:color="auto" w:fill="auto"/>
            <w:vAlign w:val="bottom"/>
            <w:hideMark/>
          </w:tcPr>
          <w:p w14:paraId="7B9C5540"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w:t>
            </w:r>
          </w:p>
        </w:tc>
        <w:tc>
          <w:tcPr>
            <w:tcW w:w="560" w:type="dxa"/>
            <w:tcBorders>
              <w:top w:val="nil"/>
              <w:left w:val="nil"/>
              <w:bottom w:val="single" w:sz="4" w:space="0" w:color="ADD6EA"/>
              <w:right w:val="nil"/>
            </w:tcBorders>
            <w:shd w:val="clear" w:color="auto" w:fill="auto"/>
            <w:vAlign w:val="bottom"/>
            <w:hideMark/>
          </w:tcPr>
          <w:p w14:paraId="377F7A7A"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-41</w:t>
            </w:r>
          </w:p>
        </w:tc>
        <w:tc>
          <w:tcPr>
            <w:tcW w:w="760" w:type="dxa"/>
            <w:tcBorders>
              <w:top w:val="nil"/>
              <w:left w:val="nil"/>
              <w:bottom w:val="single" w:sz="4" w:space="0" w:color="ADD6EA"/>
              <w:right w:val="nil"/>
            </w:tcBorders>
            <w:shd w:val="clear" w:color="auto" w:fill="auto"/>
            <w:vAlign w:val="bottom"/>
            <w:hideMark/>
          </w:tcPr>
          <w:p w14:paraId="308A6879"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94</w:t>
            </w:r>
          </w:p>
        </w:tc>
      </w:tr>
      <w:tr w:rsidR="00802C50" w:rsidRPr="00442A3B" w14:paraId="0AC611A1" w14:textId="77777777" w:rsidTr="00C70A52">
        <w:trPr>
          <w:trHeight w:val="315"/>
        </w:trPr>
        <w:tc>
          <w:tcPr>
            <w:tcW w:w="3780" w:type="dxa"/>
            <w:tcBorders>
              <w:top w:val="nil"/>
              <w:left w:val="nil"/>
              <w:bottom w:val="single" w:sz="4" w:space="0" w:color="ADD6EA"/>
              <w:right w:val="nil"/>
            </w:tcBorders>
            <w:shd w:val="clear" w:color="auto" w:fill="auto"/>
            <w:vAlign w:val="bottom"/>
            <w:hideMark/>
          </w:tcPr>
          <w:p w14:paraId="6EFA7F1F" w14:textId="24FB6CD6" w:rsidR="00802C50" w:rsidRPr="00442A3B" w:rsidRDefault="00802C50" w:rsidP="00B33810">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 xml:space="preserve">Rail infrastructure </w:t>
            </w:r>
            <w:r w:rsidR="001E583A" w:rsidRPr="00442A3B">
              <w:rPr>
                <w:rFonts w:eastAsia="Times New Roman" w:cs="Open Sans Light"/>
                <w:sz w:val="16"/>
                <w:szCs w:val="16"/>
                <w:lang w:eastAsia="en-AU"/>
              </w:rPr>
              <w:t>–</w:t>
            </w:r>
            <w:r w:rsidRPr="00442A3B">
              <w:rPr>
                <w:rFonts w:eastAsia="Times New Roman" w:cs="Open Sans Light"/>
                <w:sz w:val="16"/>
                <w:szCs w:val="16"/>
                <w:lang w:eastAsia="en-AU"/>
              </w:rPr>
              <w:t xml:space="preserve"> National Network</w:t>
            </w:r>
          </w:p>
        </w:tc>
        <w:tc>
          <w:tcPr>
            <w:tcW w:w="720" w:type="dxa"/>
            <w:tcBorders>
              <w:top w:val="nil"/>
              <w:left w:val="nil"/>
              <w:bottom w:val="single" w:sz="4" w:space="0" w:color="ADD6EA"/>
              <w:right w:val="nil"/>
            </w:tcBorders>
            <w:shd w:val="clear" w:color="auto" w:fill="auto"/>
            <w:vAlign w:val="bottom"/>
            <w:hideMark/>
          </w:tcPr>
          <w:p w14:paraId="1AEBA8C6"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-33</w:t>
            </w:r>
          </w:p>
        </w:tc>
        <w:tc>
          <w:tcPr>
            <w:tcW w:w="580" w:type="dxa"/>
            <w:tcBorders>
              <w:top w:val="nil"/>
              <w:left w:val="nil"/>
              <w:bottom w:val="single" w:sz="4" w:space="0" w:color="ADD6EA"/>
              <w:right w:val="nil"/>
            </w:tcBorders>
            <w:shd w:val="clear" w:color="auto" w:fill="auto"/>
            <w:vAlign w:val="bottom"/>
            <w:hideMark/>
          </w:tcPr>
          <w:p w14:paraId="5DB6659B"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16</w:t>
            </w:r>
          </w:p>
        </w:tc>
        <w:tc>
          <w:tcPr>
            <w:tcW w:w="640" w:type="dxa"/>
            <w:tcBorders>
              <w:top w:val="nil"/>
              <w:left w:val="nil"/>
              <w:bottom w:val="single" w:sz="4" w:space="0" w:color="ADD6EA"/>
              <w:right w:val="nil"/>
            </w:tcBorders>
            <w:shd w:val="clear" w:color="auto" w:fill="auto"/>
            <w:vAlign w:val="bottom"/>
            <w:hideMark/>
          </w:tcPr>
          <w:p w14:paraId="3964D58F"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45</w:t>
            </w:r>
          </w:p>
        </w:tc>
        <w:tc>
          <w:tcPr>
            <w:tcW w:w="620" w:type="dxa"/>
            <w:tcBorders>
              <w:top w:val="nil"/>
              <w:left w:val="nil"/>
              <w:bottom w:val="single" w:sz="4" w:space="0" w:color="ADD6EA"/>
              <w:right w:val="nil"/>
            </w:tcBorders>
            <w:shd w:val="clear" w:color="auto" w:fill="auto"/>
            <w:vAlign w:val="bottom"/>
            <w:hideMark/>
          </w:tcPr>
          <w:p w14:paraId="6C619827"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-8</w:t>
            </w:r>
          </w:p>
        </w:tc>
        <w:tc>
          <w:tcPr>
            <w:tcW w:w="560" w:type="dxa"/>
            <w:tcBorders>
              <w:top w:val="nil"/>
              <w:left w:val="nil"/>
              <w:bottom w:val="single" w:sz="4" w:space="0" w:color="ADD6EA"/>
              <w:right w:val="nil"/>
            </w:tcBorders>
            <w:shd w:val="clear" w:color="auto" w:fill="auto"/>
            <w:vAlign w:val="bottom"/>
            <w:hideMark/>
          </w:tcPr>
          <w:p w14:paraId="7716FBC3"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-18</w:t>
            </w:r>
          </w:p>
        </w:tc>
        <w:tc>
          <w:tcPr>
            <w:tcW w:w="620" w:type="dxa"/>
            <w:tcBorders>
              <w:top w:val="nil"/>
              <w:left w:val="nil"/>
              <w:bottom w:val="single" w:sz="4" w:space="0" w:color="ADD6EA"/>
              <w:right w:val="nil"/>
            </w:tcBorders>
            <w:shd w:val="clear" w:color="auto" w:fill="auto"/>
            <w:vAlign w:val="bottom"/>
            <w:hideMark/>
          </w:tcPr>
          <w:p w14:paraId="47C561BF"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w:t>
            </w:r>
          </w:p>
        </w:tc>
        <w:tc>
          <w:tcPr>
            <w:tcW w:w="640" w:type="dxa"/>
            <w:tcBorders>
              <w:top w:val="nil"/>
              <w:left w:val="nil"/>
              <w:bottom w:val="single" w:sz="4" w:space="0" w:color="ADD6EA"/>
              <w:right w:val="nil"/>
            </w:tcBorders>
            <w:shd w:val="clear" w:color="auto" w:fill="auto"/>
            <w:vAlign w:val="bottom"/>
            <w:hideMark/>
          </w:tcPr>
          <w:p w14:paraId="7A43CA9A"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w:t>
            </w:r>
          </w:p>
        </w:tc>
        <w:tc>
          <w:tcPr>
            <w:tcW w:w="560" w:type="dxa"/>
            <w:tcBorders>
              <w:top w:val="nil"/>
              <w:left w:val="nil"/>
              <w:bottom w:val="single" w:sz="4" w:space="0" w:color="ADD6EA"/>
              <w:right w:val="nil"/>
            </w:tcBorders>
            <w:shd w:val="clear" w:color="auto" w:fill="auto"/>
            <w:vAlign w:val="bottom"/>
            <w:hideMark/>
          </w:tcPr>
          <w:p w14:paraId="15C07D92"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149DF4D3"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61</w:t>
            </w:r>
          </w:p>
        </w:tc>
      </w:tr>
      <w:tr w:rsidR="00802C50" w:rsidRPr="00442A3B" w14:paraId="12F55F8B" w14:textId="77777777" w:rsidTr="00C70A52">
        <w:trPr>
          <w:trHeight w:val="315"/>
        </w:trPr>
        <w:tc>
          <w:tcPr>
            <w:tcW w:w="3780" w:type="dxa"/>
            <w:tcBorders>
              <w:top w:val="nil"/>
              <w:left w:val="nil"/>
              <w:bottom w:val="single" w:sz="4" w:space="0" w:color="ADD6EA"/>
              <w:right w:val="nil"/>
            </w:tcBorders>
            <w:shd w:val="clear" w:color="auto" w:fill="auto"/>
            <w:vAlign w:val="bottom"/>
            <w:hideMark/>
          </w:tcPr>
          <w:p w14:paraId="6B9F1232" w14:textId="53C12A25" w:rsidR="00802C50" w:rsidRPr="00442A3B" w:rsidRDefault="00802C50" w:rsidP="00B33810">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 xml:space="preserve">Investment Growth Package </w:t>
            </w:r>
            <w:r w:rsidR="00735B4C" w:rsidRPr="00442A3B">
              <w:rPr>
                <w:rFonts w:eastAsia="Times New Roman" w:cs="Open Sans Light"/>
                <w:sz w:val="16"/>
                <w:szCs w:val="16"/>
                <w:lang w:eastAsia="en-AU"/>
              </w:rPr>
              <w:t>–</w:t>
            </w:r>
            <w:r w:rsidRPr="00442A3B">
              <w:rPr>
                <w:rFonts w:eastAsia="Times New Roman" w:cs="Open Sans Light"/>
                <w:sz w:val="16"/>
                <w:szCs w:val="16"/>
                <w:lang w:eastAsia="en-AU"/>
              </w:rPr>
              <w:t xml:space="preserve"> new investments</w:t>
            </w:r>
          </w:p>
        </w:tc>
        <w:tc>
          <w:tcPr>
            <w:tcW w:w="720" w:type="dxa"/>
            <w:tcBorders>
              <w:top w:val="nil"/>
              <w:left w:val="nil"/>
              <w:bottom w:val="single" w:sz="4" w:space="0" w:color="ADD6EA"/>
              <w:right w:val="nil"/>
            </w:tcBorders>
            <w:shd w:val="clear" w:color="auto" w:fill="auto"/>
            <w:vAlign w:val="bottom"/>
            <w:hideMark/>
          </w:tcPr>
          <w:p w14:paraId="5089F7A8"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-28</w:t>
            </w:r>
          </w:p>
        </w:tc>
        <w:tc>
          <w:tcPr>
            <w:tcW w:w="580" w:type="dxa"/>
            <w:tcBorders>
              <w:top w:val="nil"/>
              <w:left w:val="nil"/>
              <w:bottom w:val="single" w:sz="4" w:space="0" w:color="ADD6EA"/>
              <w:right w:val="nil"/>
            </w:tcBorders>
            <w:shd w:val="clear" w:color="auto" w:fill="auto"/>
            <w:vAlign w:val="bottom"/>
            <w:hideMark/>
          </w:tcPr>
          <w:p w14:paraId="57EECCA9"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-15</w:t>
            </w:r>
          </w:p>
        </w:tc>
        <w:tc>
          <w:tcPr>
            <w:tcW w:w="640" w:type="dxa"/>
            <w:tcBorders>
              <w:top w:val="nil"/>
              <w:left w:val="nil"/>
              <w:bottom w:val="single" w:sz="4" w:space="0" w:color="ADD6EA"/>
              <w:right w:val="nil"/>
            </w:tcBorders>
            <w:shd w:val="clear" w:color="auto" w:fill="auto"/>
            <w:vAlign w:val="bottom"/>
            <w:hideMark/>
          </w:tcPr>
          <w:p w14:paraId="7F2E470F"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24</w:t>
            </w:r>
          </w:p>
        </w:tc>
        <w:tc>
          <w:tcPr>
            <w:tcW w:w="620" w:type="dxa"/>
            <w:tcBorders>
              <w:top w:val="nil"/>
              <w:left w:val="nil"/>
              <w:bottom w:val="single" w:sz="4" w:space="0" w:color="ADD6EA"/>
              <w:right w:val="nil"/>
            </w:tcBorders>
            <w:shd w:val="clear" w:color="auto" w:fill="auto"/>
            <w:vAlign w:val="bottom"/>
            <w:hideMark/>
          </w:tcPr>
          <w:p w14:paraId="2D68F838"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w:t>
            </w:r>
          </w:p>
        </w:tc>
        <w:tc>
          <w:tcPr>
            <w:tcW w:w="560" w:type="dxa"/>
            <w:tcBorders>
              <w:top w:val="nil"/>
              <w:left w:val="nil"/>
              <w:bottom w:val="single" w:sz="4" w:space="0" w:color="ADD6EA"/>
              <w:right w:val="nil"/>
            </w:tcBorders>
            <w:shd w:val="clear" w:color="auto" w:fill="auto"/>
            <w:vAlign w:val="bottom"/>
            <w:hideMark/>
          </w:tcPr>
          <w:p w14:paraId="2F075A3B"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23</w:t>
            </w:r>
          </w:p>
        </w:tc>
        <w:tc>
          <w:tcPr>
            <w:tcW w:w="620" w:type="dxa"/>
            <w:tcBorders>
              <w:top w:val="nil"/>
              <w:left w:val="nil"/>
              <w:bottom w:val="single" w:sz="4" w:space="0" w:color="ADD6EA"/>
              <w:right w:val="nil"/>
            </w:tcBorders>
            <w:shd w:val="clear" w:color="auto" w:fill="auto"/>
            <w:vAlign w:val="bottom"/>
            <w:hideMark/>
          </w:tcPr>
          <w:p w14:paraId="481D53C3"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w:t>
            </w:r>
          </w:p>
        </w:tc>
        <w:tc>
          <w:tcPr>
            <w:tcW w:w="640" w:type="dxa"/>
            <w:tcBorders>
              <w:top w:val="nil"/>
              <w:left w:val="nil"/>
              <w:bottom w:val="single" w:sz="4" w:space="0" w:color="ADD6EA"/>
              <w:right w:val="nil"/>
            </w:tcBorders>
            <w:shd w:val="clear" w:color="auto" w:fill="auto"/>
            <w:vAlign w:val="bottom"/>
            <w:hideMark/>
          </w:tcPr>
          <w:p w14:paraId="282340E0"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w:t>
            </w:r>
          </w:p>
        </w:tc>
        <w:tc>
          <w:tcPr>
            <w:tcW w:w="560" w:type="dxa"/>
            <w:tcBorders>
              <w:top w:val="nil"/>
              <w:left w:val="nil"/>
              <w:bottom w:val="single" w:sz="4" w:space="0" w:color="ADD6EA"/>
              <w:right w:val="nil"/>
            </w:tcBorders>
            <w:shd w:val="clear" w:color="auto" w:fill="auto"/>
            <w:vAlign w:val="bottom"/>
            <w:hideMark/>
          </w:tcPr>
          <w:p w14:paraId="6B7C8D77"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vAlign w:val="bottom"/>
            <w:hideMark/>
          </w:tcPr>
          <w:p w14:paraId="244C01FF"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49</w:t>
            </w:r>
          </w:p>
        </w:tc>
      </w:tr>
      <w:tr w:rsidR="00802C50" w:rsidRPr="00442A3B" w14:paraId="24355B88" w14:textId="77777777" w:rsidTr="00C70A52">
        <w:trPr>
          <w:trHeight w:val="555"/>
        </w:trPr>
        <w:tc>
          <w:tcPr>
            <w:tcW w:w="3780" w:type="dxa"/>
            <w:tcBorders>
              <w:top w:val="nil"/>
              <w:left w:val="nil"/>
              <w:bottom w:val="single" w:sz="4" w:space="0" w:color="ADD6EA"/>
              <w:right w:val="nil"/>
            </w:tcBorders>
            <w:shd w:val="clear" w:color="auto" w:fill="auto"/>
            <w:vAlign w:val="bottom"/>
            <w:hideMark/>
          </w:tcPr>
          <w:p w14:paraId="6A5F0B0B" w14:textId="77777777" w:rsidR="00802C50" w:rsidRPr="00442A3B" w:rsidRDefault="00802C50" w:rsidP="00B33810">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Sustainable Rural Water Use and Infrastructure Program</w:t>
            </w:r>
          </w:p>
        </w:tc>
        <w:tc>
          <w:tcPr>
            <w:tcW w:w="720" w:type="dxa"/>
            <w:tcBorders>
              <w:top w:val="nil"/>
              <w:left w:val="nil"/>
              <w:bottom w:val="single" w:sz="4" w:space="0" w:color="ADD6EA"/>
              <w:right w:val="nil"/>
            </w:tcBorders>
            <w:shd w:val="clear" w:color="auto" w:fill="auto"/>
            <w:vAlign w:val="bottom"/>
            <w:hideMark/>
          </w:tcPr>
          <w:p w14:paraId="5B37A400"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-16</w:t>
            </w:r>
          </w:p>
        </w:tc>
        <w:tc>
          <w:tcPr>
            <w:tcW w:w="580" w:type="dxa"/>
            <w:tcBorders>
              <w:top w:val="nil"/>
              <w:left w:val="nil"/>
              <w:bottom w:val="single" w:sz="4" w:space="0" w:color="ADD6EA"/>
              <w:right w:val="nil"/>
            </w:tcBorders>
            <w:shd w:val="clear" w:color="auto" w:fill="auto"/>
            <w:vAlign w:val="bottom"/>
            <w:hideMark/>
          </w:tcPr>
          <w:p w14:paraId="009B6946"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38</w:t>
            </w:r>
          </w:p>
        </w:tc>
        <w:tc>
          <w:tcPr>
            <w:tcW w:w="640" w:type="dxa"/>
            <w:tcBorders>
              <w:top w:val="nil"/>
              <w:left w:val="nil"/>
              <w:bottom w:val="single" w:sz="4" w:space="0" w:color="ADD6EA"/>
              <w:right w:val="nil"/>
            </w:tcBorders>
            <w:shd w:val="clear" w:color="auto" w:fill="auto"/>
            <w:vAlign w:val="bottom"/>
            <w:hideMark/>
          </w:tcPr>
          <w:p w14:paraId="65224AAA"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-14</w:t>
            </w:r>
          </w:p>
        </w:tc>
        <w:tc>
          <w:tcPr>
            <w:tcW w:w="620" w:type="dxa"/>
            <w:tcBorders>
              <w:top w:val="nil"/>
              <w:left w:val="nil"/>
              <w:bottom w:val="single" w:sz="4" w:space="0" w:color="ADD6EA"/>
              <w:right w:val="nil"/>
            </w:tcBorders>
            <w:shd w:val="clear" w:color="auto" w:fill="auto"/>
            <w:vAlign w:val="bottom"/>
            <w:hideMark/>
          </w:tcPr>
          <w:p w14:paraId="6F974A5A"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-10</w:t>
            </w:r>
          </w:p>
        </w:tc>
        <w:tc>
          <w:tcPr>
            <w:tcW w:w="560" w:type="dxa"/>
            <w:tcBorders>
              <w:top w:val="nil"/>
              <w:left w:val="nil"/>
              <w:bottom w:val="single" w:sz="4" w:space="0" w:color="ADD6EA"/>
              <w:right w:val="nil"/>
            </w:tcBorders>
            <w:shd w:val="clear" w:color="auto" w:fill="auto"/>
            <w:vAlign w:val="bottom"/>
            <w:hideMark/>
          </w:tcPr>
          <w:p w14:paraId="1A0C47E6"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-7</w:t>
            </w:r>
          </w:p>
        </w:tc>
        <w:tc>
          <w:tcPr>
            <w:tcW w:w="620" w:type="dxa"/>
            <w:tcBorders>
              <w:top w:val="nil"/>
              <w:left w:val="nil"/>
              <w:bottom w:val="single" w:sz="4" w:space="0" w:color="ADD6EA"/>
              <w:right w:val="nil"/>
            </w:tcBorders>
            <w:shd w:val="clear" w:color="auto" w:fill="auto"/>
            <w:vAlign w:val="bottom"/>
            <w:hideMark/>
          </w:tcPr>
          <w:p w14:paraId="642EF6ED"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w:t>
            </w:r>
          </w:p>
        </w:tc>
        <w:tc>
          <w:tcPr>
            <w:tcW w:w="640" w:type="dxa"/>
            <w:tcBorders>
              <w:top w:val="nil"/>
              <w:left w:val="nil"/>
              <w:bottom w:val="single" w:sz="4" w:space="0" w:color="ADD6EA"/>
              <w:right w:val="nil"/>
            </w:tcBorders>
            <w:shd w:val="clear" w:color="auto" w:fill="auto"/>
            <w:vAlign w:val="bottom"/>
            <w:hideMark/>
          </w:tcPr>
          <w:p w14:paraId="78C3E106"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w:t>
            </w:r>
          </w:p>
        </w:tc>
        <w:tc>
          <w:tcPr>
            <w:tcW w:w="560" w:type="dxa"/>
            <w:tcBorders>
              <w:top w:val="nil"/>
              <w:left w:val="nil"/>
              <w:bottom w:val="single" w:sz="4" w:space="0" w:color="ADD6EA"/>
              <w:right w:val="nil"/>
            </w:tcBorders>
            <w:shd w:val="clear" w:color="auto" w:fill="auto"/>
            <w:vAlign w:val="bottom"/>
            <w:hideMark/>
          </w:tcPr>
          <w:p w14:paraId="0D9C97D9"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4B7A0C44"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48</w:t>
            </w:r>
          </w:p>
        </w:tc>
      </w:tr>
      <w:tr w:rsidR="00802C50" w:rsidRPr="00442A3B" w14:paraId="05D0B81E" w14:textId="77777777" w:rsidTr="00C70A52">
        <w:trPr>
          <w:trHeight w:val="315"/>
        </w:trPr>
        <w:tc>
          <w:tcPr>
            <w:tcW w:w="3780" w:type="dxa"/>
            <w:tcBorders>
              <w:top w:val="nil"/>
              <w:left w:val="nil"/>
              <w:bottom w:val="single" w:sz="4" w:space="0" w:color="ADD6EA"/>
              <w:right w:val="nil"/>
            </w:tcBorders>
            <w:shd w:val="clear" w:color="auto" w:fill="auto"/>
            <w:vAlign w:val="bottom"/>
            <w:hideMark/>
          </w:tcPr>
          <w:p w14:paraId="2E05272E" w14:textId="77777777" w:rsidR="00802C50" w:rsidRPr="00442A3B" w:rsidRDefault="00802C50" w:rsidP="00B33810">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Remote Indigenous housing</w:t>
            </w:r>
          </w:p>
        </w:tc>
        <w:tc>
          <w:tcPr>
            <w:tcW w:w="720" w:type="dxa"/>
            <w:tcBorders>
              <w:top w:val="nil"/>
              <w:left w:val="nil"/>
              <w:bottom w:val="single" w:sz="4" w:space="0" w:color="ADD6EA"/>
              <w:right w:val="nil"/>
            </w:tcBorders>
            <w:shd w:val="clear" w:color="auto" w:fill="auto"/>
            <w:vAlign w:val="bottom"/>
            <w:hideMark/>
          </w:tcPr>
          <w:p w14:paraId="16BCE116"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-21</w:t>
            </w:r>
          </w:p>
        </w:tc>
        <w:tc>
          <w:tcPr>
            <w:tcW w:w="580" w:type="dxa"/>
            <w:tcBorders>
              <w:top w:val="nil"/>
              <w:left w:val="nil"/>
              <w:bottom w:val="single" w:sz="4" w:space="0" w:color="ADD6EA"/>
              <w:right w:val="nil"/>
            </w:tcBorders>
            <w:shd w:val="clear" w:color="auto" w:fill="auto"/>
            <w:vAlign w:val="bottom"/>
            <w:hideMark/>
          </w:tcPr>
          <w:p w14:paraId="6713C682"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-17</w:t>
            </w:r>
          </w:p>
        </w:tc>
        <w:tc>
          <w:tcPr>
            <w:tcW w:w="640" w:type="dxa"/>
            <w:tcBorders>
              <w:top w:val="nil"/>
              <w:left w:val="nil"/>
              <w:bottom w:val="single" w:sz="4" w:space="0" w:color="ADD6EA"/>
              <w:right w:val="nil"/>
            </w:tcBorders>
            <w:shd w:val="clear" w:color="auto" w:fill="auto"/>
            <w:vAlign w:val="bottom"/>
            <w:hideMark/>
          </w:tcPr>
          <w:p w14:paraId="7CB347EF"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w:t>
            </w:r>
          </w:p>
        </w:tc>
        <w:tc>
          <w:tcPr>
            <w:tcW w:w="620" w:type="dxa"/>
            <w:tcBorders>
              <w:top w:val="nil"/>
              <w:left w:val="nil"/>
              <w:bottom w:val="single" w:sz="4" w:space="0" w:color="ADD6EA"/>
              <w:right w:val="nil"/>
            </w:tcBorders>
            <w:shd w:val="clear" w:color="auto" w:fill="auto"/>
            <w:vAlign w:val="bottom"/>
            <w:hideMark/>
          </w:tcPr>
          <w:p w14:paraId="04DB8C72"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w:t>
            </w:r>
          </w:p>
        </w:tc>
        <w:tc>
          <w:tcPr>
            <w:tcW w:w="560" w:type="dxa"/>
            <w:tcBorders>
              <w:top w:val="nil"/>
              <w:left w:val="nil"/>
              <w:bottom w:val="single" w:sz="4" w:space="0" w:color="ADD6EA"/>
              <w:right w:val="nil"/>
            </w:tcBorders>
            <w:shd w:val="clear" w:color="auto" w:fill="auto"/>
            <w:vAlign w:val="bottom"/>
            <w:hideMark/>
          </w:tcPr>
          <w:p w14:paraId="75A7A530"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w:t>
            </w:r>
          </w:p>
        </w:tc>
        <w:tc>
          <w:tcPr>
            <w:tcW w:w="620" w:type="dxa"/>
            <w:tcBorders>
              <w:top w:val="nil"/>
              <w:left w:val="nil"/>
              <w:bottom w:val="single" w:sz="4" w:space="0" w:color="ADD6EA"/>
              <w:right w:val="nil"/>
            </w:tcBorders>
            <w:shd w:val="clear" w:color="auto" w:fill="auto"/>
            <w:vAlign w:val="bottom"/>
            <w:hideMark/>
          </w:tcPr>
          <w:p w14:paraId="3B790FFC"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w:t>
            </w:r>
          </w:p>
        </w:tc>
        <w:tc>
          <w:tcPr>
            <w:tcW w:w="640" w:type="dxa"/>
            <w:tcBorders>
              <w:top w:val="nil"/>
              <w:left w:val="nil"/>
              <w:bottom w:val="single" w:sz="4" w:space="0" w:color="ADD6EA"/>
              <w:right w:val="nil"/>
            </w:tcBorders>
            <w:shd w:val="clear" w:color="auto" w:fill="auto"/>
            <w:vAlign w:val="bottom"/>
            <w:hideMark/>
          </w:tcPr>
          <w:p w14:paraId="2E66FF9A"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w:t>
            </w:r>
          </w:p>
        </w:tc>
        <w:tc>
          <w:tcPr>
            <w:tcW w:w="560" w:type="dxa"/>
            <w:tcBorders>
              <w:top w:val="nil"/>
              <w:left w:val="nil"/>
              <w:bottom w:val="single" w:sz="4" w:space="0" w:color="ADD6EA"/>
              <w:right w:val="nil"/>
            </w:tcBorders>
            <w:shd w:val="clear" w:color="auto" w:fill="auto"/>
            <w:vAlign w:val="bottom"/>
            <w:hideMark/>
          </w:tcPr>
          <w:p w14:paraId="4068949B"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37</w:t>
            </w:r>
          </w:p>
        </w:tc>
        <w:tc>
          <w:tcPr>
            <w:tcW w:w="760" w:type="dxa"/>
            <w:tcBorders>
              <w:top w:val="nil"/>
              <w:left w:val="nil"/>
              <w:bottom w:val="single" w:sz="4" w:space="0" w:color="ADD6EA"/>
              <w:right w:val="nil"/>
            </w:tcBorders>
            <w:shd w:val="clear" w:color="auto" w:fill="auto"/>
            <w:vAlign w:val="bottom"/>
            <w:hideMark/>
          </w:tcPr>
          <w:p w14:paraId="0719DA19"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43</w:t>
            </w:r>
          </w:p>
        </w:tc>
      </w:tr>
      <w:tr w:rsidR="00802C50" w:rsidRPr="00442A3B" w14:paraId="0A20C8E7" w14:textId="77777777" w:rsidTr="00C70A52">
        <w:trPr>
          <w:trHeight w:val="555"/>
        </w:trPr>
        <w:tc>
          <w:tcPr>
            <w:tcW w:w="3780" w:type="dxa"/>
            <w:tcBorders>
              <w:top w:val="nil"/>
              <w:left w:val="nil"/>
              <w:bottom w:val="single" w:sz="4" w:space="0" w:color="ADD6EA"/>
              <w:right w:val="nil"/>
            </w:tcBorders>
            <w:shd w:val="clear" w:color="auto" w:fill="auto"/>
            <w:vAlign w:val="bottom"/>
            <w:hideMark/>
          </w:tcPr>
          <w:p w14:paraId="333411DE" w14:textId="5C5B8BC6" w:rsidR="00802C50" w:rsidRPr="00442A3B" w:rsidRDefault="00802C50" w:rsidP="00B33810">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 xml:space="preserve">Infrastructure Growth Package </w:t>
            </w:r>
            <w:r w:rsidR="001E583A" w:rsidRPr="00442A3B">
              <w:rPr>
                <w:rFonts w:eastAsia="Times New Roman" w:cs="Open Sans Light"/>
                <w:sz w:val="16"/>
                <w:szCs w:val="16"/>
                <w:lang w:eastAsia="en-AU"/>
              </w:rPr>
              <w:t>–</w:t>
            </w:r>
            <w:r w:rsidRPr="00442A3B">
              <w:rPr>
                <w:rFonts w:eastAsia="Times New Roman" w:cs="Open Sans Light"/>
                <w:sz w:val="16"/>
                <w:szCs w:val="16"/>
                <w:lang w:eastAsia="en-AU"/>
              </w:rPr>
              <w:t xml:space="preserve"> Asset Recycling Fund - Western Sydney Infrastructure Plan</w:t>
            </w:r>
          </w:p>
        </w:tc>
        <w:tc>
          <w:tcPr>
            <w:tcW w:w="720" w:type="dxa"/>
            <w:tcBorders>
              <w:top w:val="nil"/>
              <w:left w:val="nil"/>
              <w:bottom w:val="single" w:sz="4" w:space="0" w:color="ADD6EA"/>
              <w:right w:val="nil"/>
            </w:tcBorders>
            <w:shd w:val="clear" w:color="auto" w:fill="auto"/>
            <w:vAlign w:val="bottom"/>
            <w:hideMark/>
          </w:tcPr>
          <w:p w14:paraId="6F9E499D"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-33</w:t>
            </w:r>
          </w:p>
        </w:tc>
        <w:tc>
          <w:tcPr>
            <w:tcW w:w="580" w:type="dxa"/>
            <w:tcBorders>
              <w:top w:val="nil"/>
              <w:left w:val="nil"/>
              <w:bottom w:val="single" w:sz="4" w:space="0" w:color="ADD6EA"/>
              <w:right w:val="nil"/>
            </w:tcBorders>
            <w:shd w:val="clear" w:color="auto" w:fill="auto"/>
            <w:vAlign w:val="bottom"/>
            <w:hideMark/>
          </w:tcPr>
          <w:p w14:paraId="267AEF51"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13</w:t>
            </w:r>
          </w:p>
        </w:tc>
        <w:tc>
          <w:tcPr>
            <w:tcW w:w="640" w:type="dxa"/>
            <w:tcBorders>
              <w:top w:val="nil"/>
              <w:left w:val="nil"/>
              <w:bottom w:val="single" w:sz="4" w:space="0" w:color="ADD6EA"/>
              <w:right w:val="nil"/>
            </w:tcBorders>
            <w:shd w:val="clear" w:color="auto" w:fill="auto"/>
            <w:vAlign w:val="bottom"/>
            <w:hideMark/>
          </w:tcPr>
          <w:p w14:paraId="553BC3D3"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10</w:t>
            </w:r>
          </w:p>
        </w:tc>
        <w:tc>
          <w:tcPr>
            <w:tcW w:w="620" w:type="dxa"/>
            <w:tcBorders>
              <w:top w:val="nil"/>
              <w:left w:val="nil"/>
              <w:bottom w:val="single" w:sz="4" w:space="0" w:color="ADD6EA"/>
              <w:right w:val="nil"/>
            </w:tcBorders>
            <w:shd w:val="clear" w:color="auto" w:fill="auto"/>
            <w:vAlign w:val="bottom"/>
            <w:hideMark/>
          </w:tcPr>
          <w:p w14:paraId="70D467D7"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w:t>
            </w:r>
          </w:p>
        </w:tc>
        <w:tc>
          <w:tcPr>
            <w:tcW w:w="560" w:type="dxa"/>
            <w:tcBorders>
              <w:top w:val="nil"/>
              <w:left w:val="nil"/>
              <w:bottom w:val="single" w:sz="4" w:space="0" w:color="ADD6EA"/>
              <w:right w:val="nil"/>
            </w:tcBorders>
            <w:shd w:val="clear" w:color="auto" w:fill="auto"/>
            <w:vAlign w:val="bottom"/>
            <w:hideMark/>
          </w:tcPr>
          <w:p w14:paraId="1FA09C6B"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w:t>
            </w:r>
          </w:p>
        </w:tc>
        <w:tc>
          <w:tcPr>
            <w:tcW w:w="620" w:type="dxa"/>
            <w:tcBorders>
              <w:top w:val="nil"/>
              <w:left w:val="nil"/>
              <w:bottom w:val="single" w:sz="4" w:space="0" w:color="ADD6EA"/>
              <w:right w:val="nil"/>
            </w:tcBorders>
            <w:shd w:val="clear" w:color="auto" w:fill="auto"/>
            <w:vAlign w:val="bottom"/>
            <w:hideMark/>
          </w:tcPr>
          <w:p w14:paraId="6F9D6B57"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w:t>
            </w:r>
          </w:p>
        </w:tc>
        <w:tc>
          <w:tcPr>
            <w:tcW w:w="640" w:type="dxa"/>
            <w:tcBorders>
              <w:top w:val="nil"/>
              <w:left w:val="nil"/>
              <w:bottom w:val="single" w:sz="4" w:space="0" w:color="ADD6EA"/>
              <w:right w:val="nil"/>
            </w:tcBorders>
            <w:shd w:val="clear" w:color="auto" w:fill="auto"/>
            <w:vAlign w:val="bottom"/>
            <w:hideMark/>
          </w:tcPr>
          <w:p w14:paraId="052BEAD6"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w:t>
            </w:r>
          </w:p>
        </w:tc>
        <w:tc>
          <w:tcPr>
            <w:tcW w:w="560" w:type="dxa"/>
            <w:tcBorders>
              <w:top w:val="nil"/>
              <w:left w:val="nil"/>
              <w:bottom w:val="single" w:sz="4" w:space="0" w:color="ADD6EA"/>
              <w:right w:val="nil"/>
            </w:tcBorders>
            <w:shd w:val="clear" w:color="auto" w:fill="auto"/>
            <w:vAlign w:val="bottom"/>
            <w:hideMark/>
          </w:tcPr>
          <w:p w14:paraId="00DCBB89"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2F131531"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33</w:t>
            </w:r>
          </w:p>
        </w:tc>
      </w:tr>
      <w:tr w:rsidR="00802C50" w:rsidRPr="00442A3B" w14:paraId="625DB0C5" w14:textId="77777777" w:rsidTr="00C70A52">
        <w:trPr>
          <w:trHeight w:val="315"/>
        </w:trPr>
        <w:tc>
          <w:tcPr>
            <w:tcW w:w="3780" w:type="dxa"/>
            <w:tcBorders>
              <w:top w:val="nil"/>
              <w:left w:val="nil"/>
              <w:bottom w:val="single" w:sz="4" w:space="0" w:color="ADD6EA"/>
              <w:right w:val="nil"/>
            </w:tcBorders>
            <w:shd w:val="clear" w:color="auto" w:fill="auto"/>
            <w:vAlign w:val="bottom"/>
            <w:hideMark/>
          </w:tcPr>
          <w:p w14:paraId="26C80B91" w14:textId="77777777" w:rsidR="00802C50" w:rsidRPr="00442A3B" w:rsidRDefault="00802C50" w:rsidP="00B33810">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Skilling Australians Fund</w:t>
            </w:r>
          </w:p>
        </w:tc>
        <w:tc>
          <w:tcPr>
            <w:tcW w:w="720" w:type="dxa"/>
            <w:tcBorders>
              <w:top w:val="nil"/>
              <w:left w:val="nil"/>
              <w:bottom w:val="single" w:sz="4" w:space="0" w:color="ADD6EA"/>
              <w:right w:val="nil"/>
            </w:tcBorders>
            <w:shd w:val="clear" w:color="auto" w:fill="auto"/>
            <w:vAlign w:val="bottom"/>
            <w:hideMark/>
          </w:tcPr>
          <w:p w14:paraId="63707A00"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-19</w:t>
            </w:r>
          </w:p>
        </w:tc>
        <w:tc>
          <w:tcPr>
            <w:tcW w:w="580" w:type="dxa"/>
            <w:tcBorders>
              <w:top w:val="nil"/>
              <w:left w:val="nil"/>
              <w:bottom w:val="single" w:sz="4" w:space="0" w:color="ADD6EA"/>
              <w:right w:val="nil"/>
            </w:tcBorders>
            <w:shd w:val="clear" w:color="auto" w:fill="auto"/>
            <w:vAlign w:val="bottom"/>
            <w:hideMark/>
          </w:tcPr>
          <w:p w14:paraId="6D053CA8"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17</w:t>
            </w:r>
          </w:p>
        </w:tc>
        <w:tc>
          <w:tcPr>
            <w:tcW w:w="640" w:type="dxa"/>
            <w:tcBorders>
              <w:top w:val="nil"/>
              <w:left w:val="nil"/>
              <w:bottom w:val="single" w:sz="4" w:space="0" w:color="ADD6EA"/>
              <w:right w:val="nil"/>
            </w:tcBorders>
            <w:shd w:val="clear" w:color="auto" w:fill="auto"/>
            <w:vAlign w:val="bottom"/>
            <w:hideMark/>
          </w:tcPr>
          <w:p w14:paraId="7CF4FBB4"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13</w:t>
            </w:r>
          </w:p>
        </w:tc>
        <w:tc>
          <w:tcPr>
            <w:tcW w:w="620" w:type="dxa"/>
            <w:tcBorders>
              <w:top w:val="nil"/>
              <w:left w:val="nil"/>
              <w:bottom w:val="single" w:sz="4" w:space="0" w:color="ADD6EA"/>
              <w:right w:val="nil"/>
            </w:tcBorders>
            <w:shd w:val="clear" w:color="auto" w:fill="auto"/>
            <w:vAlign w:val="bottom"/>
            <w:hideMark/>
          </w:tcPr>
          <w:p w14:paraId="5D692033"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w:t>
            </w:r>
          </w:p>
        </w:tc>
        <w:tc>
          <w:tcPr>
            <w:tcW w:w="560" w:type="dxa"/>
            <w:tcBorders>
              <w:top w:val="nil"/>
              <w:left w:val="nil"/>
              <w:bottom w:val="single" w:sz="4" w:space="0" w:color="ADD6EA"/>
              <w:right w:val="nil"/>
            </w:tcBorders>
            <w:shd w:val="clear" w:color="auto" w:fill="auto"/>
            <w:vAlign w:val="bottom"/>
            <w:hideMark/>
          </w:tcPr>
          <w:p w14:paraId="25052F74"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w:t>
            </w:r>
          </w:p>
        </w:tc>
        <w:tc>
          <w:tcPr>
            <w:tcW w:w="620" w:type="dxa"/>
            <w:tcBorders>
              <w:top w:val="nil"/>
              <w:left w:val="nil"/>
              <w:bottom w:val="single" w:sz="4" w:space="0" w:color="ADD6EA"/>
              <w:right w:val="nil"/>
            </w:tcBorders>
            <w:shd w:val="clear" w:color="auto" w:fill="auto"/>
            <w:vAlign w:val="bottom"/>
            <w:hideMark/>
          </w:tcPr>
          <w:p w14:paraId="52FA3055"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w:t>
            </w:r>
          </w:p>
        </w:tc>
        <w:tc>
          <w:tcPr>
            <w:tcW w:w="640" w:type="dxa"/>
            <w:tcBorders>
              <w:top w:val="nil"/>
              <w:left w:val="nil"/>
              <w:bottom w:val="single" w:sz="4" w:space="0" w:color="ADD6EA"/>
              <w:right w:val="nil"/>
            </w:tcBorders>
            <w:shd w:val="clear" w:color="auto" w:fill="auto"/>
            <w:vAlign w:val="bottom"/>
            <w:hideMark/>
          </w:tcPr>
          <w:p w14:paraId="631D19BF"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w:t>
            </w:r>
          </w:p>
        </w:tc>
        <w:tc>
          <w:tcPr>
            <w:tcW w:w="560" w:type="dxa"/>
            <w:tcBorders>
              <w:top w:val="nil"/>
              <w:left w:val="nil"/>
              <w:bottom w:val="single" w:sz="4" w:space="0" w:color="ADD6EA"/>
              <w:right w:val="nil"/>
            </w:tcBorders>
            <w:shd w:val="clear" w:color="auto" w:fill="auto"/>
            <w:vAlign w:val="bottom"/>
            <w:hideMark/>
          </w:tcPr>
          <w:p w14:paraId="6E71B1AA"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1AB9BB93"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30</w:t>
            </w:r>
          </w:p>
        </w:tc>
      </w:tr>
      <w:tr w:rsidR="00802C50" w:rsidRPr="00442A3B" w14:paraId="74143D0E" w14:textId="77777777" w:rsidTr="00C70A52">
        <w:trPr>
          <w:trHeight w:val="315"/>
        </w:trPr>
        <w:tc>
          <w:tcPr>
            <w:tcW w:w="3780" w:type="dxa"/>
            <w:tcBorders>
              <w:top w:val="nil"/>
              <w:left w:val="nil"/>
              <w:bottom w:val="single" w:sz="4" w:space="0" w:color="ADD6EA"/>
              <w:right w:val="nil"/>
            </w:tcBorders>
            <w:shd w:val="clear" w:color="auto" w:fill="auto"/>
            <w:vAlign w:val="bottom"/>
            <w:hideMark/>
          </w:tcPr>
          <w:p w14:paraId="3F536283" w14:textId="17B18D0D" w:rsidR="00802C50" w:rsidRPr="00442A3B" w:rsidRDefault="00802C50" w:rsidP="00B33810">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 xml:space="preserve">Quality Schools </w:t>
            </w:r>
            <w:r w:rsidR="001E583A" w:rsidRPr="00442A3B">
              <w:rPr>
                <w:rFonts w:eastAsia="Times New Roman" w:cs="Open Sans Light"/>
                <w:sz w:val="16"/>
                <w:szCs w:val="16"/>
                <w:lang w:eastAsia="en-AU"/>
              </w:rPr>
              <w:t>–</w:t>
            </w:r>
            <w:r w:rsidRPr="00442A3B">
              <w:rPr>
                <w:rFonts w:eastAsia="Times New Roman" w:cs="Open Sans Light"/>
                <w:sz w:val="16"/>
                <w:szCs w:val="16"/>
                <w:lang w:eastAsia="en-AU"/>
              </w:rPr>
              <w:t xml:space="preserve"> government</w:t>
            </w:r>
          </w:p>
        </w:tc>
        <w:tc>
          <w:tcPr>
            <w:tcW w:w="720" w:type="dxa"/>
            <w:tcBorders>
              <w:top w:val="nil"/>
              <w:left w:val="nil"/>
              <w:bottom w:val="single" w:sz="4" w:space="0" w:color="ADD6EA"/>
              <w:right w:val="nil"/>
            </w:tcBorders>
            <w:shd w:val="clear" w:color="auto" w:fill="auto"/>
            <w:vAlign w:val="bottom"/>
            <w:hideMark/>
          </w:tcPr>
          <w:p w14:paraId="7CF71979"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w:t>
            </w:r>
          </w:p>
        </w:tc>
        <w:tc>
          <w:tcPr>
            <w:tcW w:w="580" w:type="dxa"/>
            <w:tcBorders>
              <w:top w:val="nil"/>
              <w:left w:val="nil"/>
              <w:bottom w:val="single" w:sz="4" w:space="0" w:color="ADD6EA"/>
              <w:right w:val="nil"/>
            </w:tcBorders>
            <w:shd w:val="clear" w:color="auto" w:fill="auto"/>
            <w:vAlign w:val="bottom"/>
            <w:hideMark/>
          </w:tcPr>
          <w:p w14:paraId="2E9927A7"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24</w:t>
            </w:r>
          </w:p>
        </w:tc>
        <w:tc>
          <w:tcPr>
            <w:tcW w:w="640" w:type="dxa"/>
            <w:tcBorders>
              <w:top w:val="nil"/>
              <w:left w:val="nil"/>
              <w:bottom w:val="single" w:sz="4" w:space="0" w:color="ADD6EA"/>
              <w:right w:val="nil"/>
            </w:tcBorders>
            <w:shd w:val="clear" w:color="auto" w:fill="auto"/>
            <w:vAlign w:val="bottom"/>
            <w:hideMark/>
          </w:tcPr>
          <w:p w14:paraId="4492EC56"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w:t>
            </w:r>
          </w:p>
        </w:tc>
        <w:tc>
          <w:tcPr>
            <w:tcW w:w="620" w:type="dxa"/>
            <w:tcBorders>
              <w:top w:val="nil"/>
              <w:left w:val="nil"/>
              <w:bottom w:val="single" w:sz="4" w:space="0" w:color="ADD6EA"/>
              <w:right w:val="nil"/>
            </w:tcBorders>
            <w:shd w:val="clear" w:color="auto" w:fill="auto"/>
            <w:vAlign w:val="bottom"/>
            <w:hideMark/>
          </w:tcPr>
          <w:p w14:paraId="538181B2"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-17</w:t>
            </w:r>
          </w:p>
        </w:tc>
        <w:tc>
          <w:tcPr>
            <w:tcW w:w="560" w:type="dxa"/>
            <w:tcBorders>
              <w:top w:val="nil"/>
              <w:left w:val="nil"/>
              <w:bottom w:val="single" w:sz="4" w:space="0" w:color="ADD6EA"/>
              <w:right w:val="nil"/>
            </w:tcBorders>
            <w:shd w:val="clear" w:color="auto" w:fill="auto"/>
            <w:vAlign w:val="bottom"/>
            <w:hideMark/>
          </w:tcPr>
          <w:p w14:paraId="2A597D6E"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-7</w:t>
            </w:r>
          </w:p>
        </w:tc>
        <w:tc>
          <w:tcPr>
            <w:tcW w:w="620" w:type="dxa"/>
            <w:tcBorders>
              <w:top w:val="nil"/>
              <w:left w:val="nil"/>
              <w:bottom w:val="single" w:sz="4" w:space="0" w:color="ADD6EA"/>
              <w:right w:val="nil"/>
            </w:tcBorders>
            <w:shd w:val="clear" w:color="auto" w:fill="auto"/>
            <w:vAlign w:val="bottom"/>
            <w:hideMark/>
          </w:tcPr>
          <w:p w14:paraId="462DB0CA"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w:t>
            </w:r>
          </w:p>
        </w:tc>
        <w:tc>
          <w:tcPr>
            <w:tcW w:w="640" w:type="dxa"/>
            <w:tcBorders>
              <w:top w:val="nil"/>
              <w:left w:val="nil"/>
              <w:bottom w:val="single" w:sz="4" w:space="0" w:color="ADD6EA"/>
              <w:right w:val="nil"/>
            </w:tcBorders>
            <w:shd w:val="clear" w:color="auto" w:fill="auto"/>
            <w:vAlign w:val="bottom"/>
            <w:hideMark/>
          </w:tcPr>
          <w:p w14:paraId="61E40854"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w:t>
            </w:r>
          </w:p>
        </w:tc>
        <w:tc>
          <w:tcPr>
            <w:tcW w:w="560" w:type="dxa"/>
            <w:tcBorders>
              <w:top w:val="nil"/>
              <w:left w:val="nil"/>
              <w:bottom w:val="single" w:sz="4" w:space="0" w:color="ADD6EA"/>
              <w:right w:val="nil"/>
            </w:tcBorders>
            <w:shd w:val="clear" w:color="auto" w:fill="auto"/>
            <w:vAlign w:val="bottom"/>
            <w:hideMark/>
          </w:tcPr>
          <w:p w14:paraId="04205B48"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vAlign w:val="bottom"/>
            <w:hideMark/>
          </w:tcPr>
          <w:p w14:paraId="685A87AF"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27</w:t>
            </w:r>
          </w:p>
        </w:tc>
      </w:tr>
      <w:tr w:rsidR="00802C50" w:rsidRPr="00442A3B" w14:paraId="5491D7CD" w14:textId="77777777" w:rsidTr="00C70A52">
        <w:trPr>
          <w:trHeight w:val="315"/>
        </w:trPr>
        <w:tc>
          <w:tcPr>
            <w:tcW w:w="3780" w:type="dxa"/>
            <w:tcBorders>
              <w:top w:val="nil"/>
              <w:left w:val="nil"/>
              <w:bottom w:val="single" w:sz="4" w:space="0" w:color="ADD6EA"/>
              <w:right w:val="nil"/>
            </w:tcBorders>
            <w:shd w:val="clear" w:color="auto" w:fill="auto"/>
            <w:vAlign w:val="bottom"/>
            <w:hideMark/>
          </w:tcPr>
          <w:p w14:paraId="47774549" w14:textId="77777777" w:rsidR="00802C50" w:rsidRPr="00442A3B" w:rsidRDefault="00802C50" w:rsidP="00B33810">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Other</w:t>
            </w:r>
          </w:p>
        </w:tc>
        <w:tc>
          <w:tcPr>
            <w:tcW w:w="720" w:type="dxa"/>
            <w:tcBorders>
              <w:top w:val="nil"/>
              <w:left w:val="nil"/>
              <w:bottom w:val="single" w:sz="4" w:space="0" w:color="ADD6EA"/>
              <w:right w:val="nil"/>
            </w:tcBorders>
            <w:shd w:val="clear" w:color="auto" w:fill="auto"/>
            <w:vAlign w:val="bottom"/>
            <w:hideMark/>
          </w:tcPr>
          <w:p w14:paraId="45A9DD75"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w:t>
            </w:r>
          </w:p>
        </w:tc>
        <w:tc>
          <w:tcPr>
            <w:tcW w:w="580" w:type="dxa"/>
            <w:tcBorders>
              <w:top w:val="nil"/>
              <w:left w:val="nil"/>
              <w:bottom w:val="single" w:sz="4" w:space="0" w:color="ADD6EA"/>
              <w:right w:val="nil"/>
            </w:tcBorders>
            <w:shd w:val="clear" w:color="auto" w:fill="auto"/>
            <w:vAlign w:val="bottom"/>
            <w:hideMark/>
          </w:tcPr>
          <w:p w14:paraId="20A1A67A"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w:t>
            </w:r>
          </w:p>
        </w:tc>
        <w:tc>
          <w:tcPr>
            <w:tcW w:w="640" w:type="dxa"/>
            <w:tcBorders>
              <w:top w:val="nil"/>
              <w:left w:val="nil"/>
              <w:bottom w:val="single" w:sz="4" w:space="0" w:color="ADD6EA"/>
              <w:right w:val="nil"/>
            </w:tcBorders>
            <w:shd w:val="clear" w:color="auto" w:fill="auto"/>
            <w:vAlign w:val="bottom"/>
            <w:hideMark/>
          </w:tcPr>
          <w:p w14:paraId="747C490B"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-12</w:t>
            </w:r>
          </w:p>
        </w:tc>
        <w:tc>
          <w:tcPr>
            <w:tcW w:w="620" w:type="dxa"/>
            <w:tcBorders>
              <w:top w:val="nil"/>
              <w:left w:val="nil"/>
              <w:bottom w:val="single" w:sz="4" w:space="0" w:color="ADD6EA"/>
              <w:right w:val="nil"/>
            </w:tcBorders>
            <w:shd w:val="clear" w:color="auto" w:fill="auto"/>
            <w:vAlign w:val="bottom"/>
            <w:hideMark/>
          </w:tcPr>
          <w:p w14:paraId="5F0B2A13"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w:t>
            </w:r>
          </w:p>
        </w:tc>
        <w:tc>
          <w:tcPr>
            <w:tcW w:w="560" w:type="dxa"/>
            <w:tcBorders>
              <w:top w:val="nil"/>
              <w:left w:val="nil"/>
              <w:bottom w:val="single" w:sz="4" w:space="0" w:color="ADD6EA"/>
              <w:right w:val="nil"/>
            </w:tcBorders>
            <w:shd w:val="clear" w:color="auto" w:fill="auto"/>
            <w:vAlign w:val="bottom"/>
            <w:hideMark/>
          </w:tcPr>
          <w:p w14:paraId="4A59F724"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w:t>
            </w:r>
          </w:p>
        </w:tc>
        <w:tc>
          <w:tcPr>
            <w:tcW w:w="620" w:type="dxa"/>
            <w:tcBorders>
              <w:top w:val="nil"/>
              <w:left w:val="nil"/>
              <w:bottom w:val="single" w:sz="4" w:space="0" w:color="ADD6EA"/>
              <w:right w:val="nil"/>
            </w:tcBorders>
            <w:shd w:val="clear" w:color="auto" w:fill="auto"/>
            <w:vAlign w:val="bottom"/>
            <w:hideMark/>
          </w:tcPr>
          <w:p w14:paraId="786AEA8E"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-11</w:t>
            </w:r>
          </w:p>
        </w:tc>
        <w:tc>
          <w:tcPr>
            <w:tcW w:w="640" w:type="dxa"/>
            <w:tcBorders>
              <w:top w:val="nil"/>
              <w:left w:val="nil"/>
              <w:bottom w:val="single" w:sz="4" w:space="0" w:color="ADD6EA"/>
              <w:right w:val="nil"/>
            </w:tcBorders>
            <w:shd w:val="clear" w:color="auto" w:fill="auto"/>
            <w:vAlign w:val="bottom"/>
            <w:hideMark/>
          </w:tcPr>
          <w:p w14:paraId="38B5388E"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w:t>
            </w:r>
          </w:p>
        </w:tc>
        <w:tc>
          <w:tcPr>
            <w:tcW w:w="560" w:type="dxa"/>
            <w:tcBorders>
              <w:top w:val="nil"/>
              <w:left w:val="nil"/>
              <w:bottom w:val="single" w:sz="4" w:space="0" w:color="ADD6EA"/>
              <w:right w:val="nil"/>
            </w:tcBorders>
            <w:shd w:val="clear" w:color="auto" w:fill="auto"/>
            <w:vAlign w:val="bottom"/>
            <w:hideMark/>
          </w:tcPr>
          <w:p w14:paraId="1B4779E1"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26</w:t>
            </w:r>
          </w:p>
        </w:tc>
        <w:tc>
          <w:tcPr>
            <w:tcW w:w="760" w:type="dxa"/>
            <w:tcBorders>
              <w:top w:val="nil"/>
              <w:left w:val="nil"/>
              <w:bottom w:val="single" w:sz="4" w:space="0" w:color="ADD6EA"/>
              <w:right w:val="nil"/>
            </w:tcBorders>
            <w:shd w:val="clear" w:color="auto" w:fill="auto"/>
            <w:vAlign w:val="bottom"/>
            <w:hideMark/>
          </w:tcPr>
          <w:p w14:paraId="201B5B7F" w14:textId="77777777" w:rsidR="00802C50" w:rsidRPr="00442A3B" w:rsidRDefault="00802C50" w:rsidP="00B33810">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33</w:t>
            </w:r>
          </w:p>
        </w:tc>
      </w:tr>
      <w:tr w:rsidR="00802C50" w:rsidRPr="00442A3B" w14:paraId="641598E7" w14:textId="77777777" w:rsidTr="00C70A52">
        <w:trPr>
          <w:trHeight w:val="315"/>
        </w:trPr>
        <w:tc>
          <w:tcPr>
            <w:tcW w:w="3780" w:type="dxa"/>
            <w:tcBorders>
              <w:top w:val="nil"/>
              <w:left w:val="nil"/>
              <w:bottom w:val="single" w:sz="4" w:space="0" w:color="ADD6EA"/>
              <w:right w:val="nil"/>
            </w:tcBorders>
            <w:shd w:val="clear" w:color="000000" w:fill="D6E7F0"/>
            <w:vAlign w:val="bottom"/>
            <w:hideMark/>
          </w:tcPr>
          <w:p w14:paraId="7A10A3F1" w14:textId="77777777" w:rsidR="00802C50" w:rsidRPr="00442A3B" w:rsidRDefault="00802C50" w:rsidP="00B33810">
            <w:pPr>
              <w:keepNext/>
              <w:keepLines/>
              <w:tabs>
                <w:tab w:val="clear" w:pos="567"/>
              </w:tabs>
              <w:spacing w:before="0" w:line="240" w:lineRule="auto"/>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Total</w:t>
            </w:r>
          </w:p>
        </w:tc>
        <w:tc>
          <w:tcPr>
            <w:tcW w:w="720" w:type="dxa"/>
            <w:tcBorders>
              <w:top w:val="nil"/>
              <w:left w:val="nil"/>
              <w:bottom w:val="single" w:sz="4" w:space="0" w:color="ADD6EA"/>
              <w:right w:val="nil"/>
            </w:tcBorders>
            <w:shd w:val="clear" w:color="000000" w:fill="D6E7F0"/>
            <w:vAlign w:val="bottom"/>
            <w:hideMark/>
          </w:tcPr>
          <w:p w14:paraId="6B6E57E6" w14:textId="77777777" w:rsidR="00802C50" w:rsidRPr="00442A3B" w:rsidRDefault="00802C50" w:rsidP="00B33810">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77</w:t>
            </w:r>
          </w:p>
        </w:tc>
        <w:tc>
          <w:tcPr>
            <w:tcW w:w="580" w:type="dxa"/>
            <w:tcBorders>
              <w:top w:val="nil"/>
              <w:left w:val="nil"/>
              <w:bottom w:val="single" w:sz="4" w:space="0" w:color="ADD6EA"/>
              <w:right w:val="nil"/>
            </w:tcBorders>
            <w:shd w:val="clear" w:color="000000" w:fill="D6E7F0"/>
            <w:vAlign w:val="bottom"/>
            <w:hideMark/>
          </w:tcPr>
          <w:p w14:paraId="032EFC6F" w14:textId="77777777" w:rsidR="00802C50" w:rsidRPr="00442A3B" w:rsidRDefault="00802C50" w:rsidP="00B33810">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58</w:t>
            </w:r>
          </w:p>
        </w:tc>
        <w:tc>
          <w:tcPr>
            <w:tcW w:w="640" w:type="dxa"/>
            <w:tcBorders>
              <w:top w:val="nil"/>
              <w:left w:val="nil"/>
              <w:bottom w:val="single" w:sz="4" w:space="0" w:color="ADD6EA"/>
              <w:right w:val="nil"/>
            </w:tcBorders>
            <w:shd w:val="clear" w:color="000000" w:fill="D6E7F0"/>
            <w:vAlign w:val="bottom"/>
            <w:hideMark/>
          </w:tcPr>
          <w:p w14:paraId="3C96D4C3" w14:textId="77777777" w:rsidR="00802C50" w:rsidRPr="00442A3B" w:rsidRDefault="00802C50" w:rsidP="00B33810">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-92</w:t>
            </w:r>
          </w:p>
        </w:tc>
        <w:tc>
          <w:tcPr>
            <w:tcW w:w="620" w:type="dxa"/>
            <w:tcBorders>
              <w:top w:val="nil"/>
              <w:left w:val="nil"/>
              <w:bottom w:val="single" w:sz="4" w:space="0" w:color="ADD6EA"/>
              <w:right w:val="nil"/>
            </w:tcBorders>
            <w:shd w:val="clear" w:color="000000" w:fill="D6E7F0"/>
            <w:vAlign w:val="bottom"/>
            <w:hideMark/>
          </w:tcPr>
          <w:p w14:paraId="016D1DA7" w14:textId="77777777" w:rsidR="00802C50" w:rsidRPr="00442A3B" w:rsidRDefault="00802C50" w:rsidP="00B33810">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-72</w:t>
            </w:r>
          </w:p>
        </w:tc>
        <w:tc>
          <w:tcPr>
            <w:tcW w:w="560" w:type="dxa"/>
            <w:tcBorders>
              <w:top w:val="nil"/>
              <w:left w:val="nil"/>
              <w:bottom w:val="single" w:sz="4" w:space="0" w:color="ADD6EA"/>
              <w:right w:val="nil"/>
            </w:tcBorders>
            <w:shd w:val="clear" w:color="000000" w:fill="D6E7F0"/>
            <w:vAlign w:val="bottom"/>
            <w:hideMark/>
          </w:tcPr>
          <w:p w14:paraId="52174DDC" w14:textId="77777777" w:rsidR="00802C50" w:rsidRPr="00442A3B" w:rsidRDefault="00802C50" w:rsidP="00B33810">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31</w:t>
            </w:r>
          </w:p>
        </w:tc>
        <w:tc>
          <w:tcPr>
            <w:tcW w:w="620" w:type="dxa"/>
            <w:tcBorders>
              <w:top w:val="nil"/>
              <w:left w:val="nil"/>
              <w:bottom w:val="single" w:sz="4" w:space="0" w:color="ADD6EA"/>
              <w:right w:val="nil"/>
            </w:tcBorders>
            <w:shd w:val="clear" w:color="000000" w:fill="D6E7F0"/>
            <w:vAlign w:val="bottom"/>
            <w:hideMark/>
          </w:tcPr>
          <w:p w14:paraId="6312C19E" w14:textId="77777777" w:rsidR="00802C50" w:rsidRPr="00442A3B" w:rsidRDefault="00802C50" w:rsidP="00B33810">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1</w:t>
            </w:r>
          </w:p>
        </w:tc>
        <w:tc>
          <w:tcPr>
            <w:tcW w:w="640" w:type="dxa"/>
            <w:tcBorders>
              <w:top w:val="nil"/>
              <w:left w:val="nil"/>
              <w:bottom w:val="single" w:sz="4" w:space="0" w:color="ADD6EA"/>
              <w:right w:val="nil"/>
            </w:tcBorders>
            <w:shd w:val="clear" w:color="000000" w:fill="D6E7F0"/>
            <w:vAlign w:val="bottom"/>
            <w:hideMark/>
          </w:tcPr>
          <w:p w14:paraId="619AC7C0" w14:textId="77777777" w:rsidR="00802C50" w:rsidRPr="00442A3B" w:rsidRDefault="00802C50" w:rsidP="00B33810">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-8</w:t>
            </w:r>
          </w:p>
        </w:tc>
        <w:tc>
          <w:tcPr>
            <w:tcW w:w="560" w:type="dxa"/>
            <w:tcBorders>
              <w:top w:val="nil"/>
              <w:left w:val="nil"/>
              <w:bottom w:val="single" w:sz="4" w:space="0" w:color="ADD6EA"/>
              <w:right w:val="nil"/>
            </w:tcBorders>
            <w:shd w:val="clear" w:color="000000" w:fill="D6E7F0"/>
            <w:vAlign w:val="bottom"/>
            <w:hideMark/>
          </w:tcPr>
          <w:p w14:paraId="09EE0C89" w14:textId="77777777" w:rsidR="00802C50" w:rsidRPr="00442A3B" w:rsidRDefault="00802C50" w:rsidP="00B33810">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6</w:t>
            </w:r>
          </w:p>
        </w:tc>
        <w:tc>
          <w:tcPr>
            <w:tcW w:w="760" w:type="dxa"/>
            <w:tcBorders>
              <w:top w:val="nil"/>
              <w:left w:val="nil"/>
              <w:bottom w:val="single" w:sz="4" w:space="0" w:color="ADD6EA"/>
              <w:right w:val="nil"/>
            </w:tcBorders>
            <w:shd w:val="clear" w:color="000000" w:fill="D6E7F0"/>
            <w:vAlign w:val="bottom"/>
            <w:hideMark/>
          </w:tcPr>
          <w:p w14:paraId="0C6399F2" w14:textId="77777777" w:rsidR="00802C50" w:rsidRPr="00442A3B" w:rsidRDefault="00802C50" w:rsidP="00B33810">
            <w:pPr>
              <w:keepNext/>
              <w:keepLines/>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173</w:t>
            </w:r>
          </w:p>
        </w:tc>
      </w:tr>
    </w:tbl>
    <w:p w14:paraId="5019173C" w14:textId="0F47C514" w:rsidR="00165998" w:rsidRPr="00442A3B" w:rsidRDefault="00165998" w:rsidP="00B33810">
      <w:pPr>
        <w:pStyle w:val="CGCTablenote"/>
        <w:widowControl w:val="0"/>
      </w:pPr>
      <w:r w:rsidRPr="00442A3B">
        <w:t>Source:</w:t>
      </w:r>
      <w:r w:rsidRPr="00442A3B">
        <w:tab/>
        <w:t>Commission calculation.</w:t>
      </w:r>
    </w:p>
    <w:p w14:paraId="6D9D3854" w14:textId="1CC54F48" w:rsidR="00165998" w:rsidRPr="00442A3B" w:rsidRDefault="006A5739" w:rsidP="009F63EE">
      <w:pPr>
        <w:pStyle w:val="Heading5"/>
        <w:keepLines/>
        <w:widowControl w:val="0"/>
      </w:pPr>
      <w:r w:rsidRPr="00442A3B">
        <w:lastRenderedPageBreak/>
        <w:t>Drivers of change in spending requirements</w:t>
      </w:r>
    </w:p>
    <w:p w14:paraId="59F7A098" w14:textId="480495B7" w:rsidR="00910502" w:rsidRPr="00442A3B" w:rsidRDefault="00910502" w:rsidP="009F63EE">
      <w:pPr>
        <w:pStyle w:val="CGCParaNumber"/>
        <w:keepNext/>
        <w:keepLines/>
        <w:ind w:left="567" w:hanging="567"/>
        <w:rPr>
          <w:rStyle w:val="Heading6Char"/>
          <w:rFonts w:ascii="Open Sans Light" w:eastAsiaTheme="minorEastAsia" w:hAnsi="Open Sans Light" w:cstheme="minorBidi"/>
          <w:i w:val="0"/>
          <w:color w:val="auto"/>
        </w:rPr>
      </w:pPr>
      <w:bookmarkStart w:id="116" w:name="_Ref64982861"/>
      <w:bookmarkStart w:id="117" w:name="_Ref62827700"/>
      <w:r w:rsidRPr="00442A3B">
        <w:rPr>
          <w:rStyle w:val="Heading6Char"/>
        </w:rPr>
        <w:t>Growth in expenses.</w:t>
      </w:r>
      <w:r w:rsidRPr="00442A3B">
        <w:rPr>
          <w:rStyle w:val="Heading6Char"/>
          <w:rFonts w:ascii="Open Sans Light" w:eastAsiaTheme="minorEastAsia" w:hAnsi="Open Sans Light" w:cstheme="minorBidi"/>
          <w:i w:val="0"/>
          <w:color w:val="auto"/>
        </w:rPr>
        <w:t xml:space="preserve"> States with above average expense needs</w:t>
      </w:r>
      <w:r w:rsidRPr="00442A3B">
        <w:t xml:space="preserve"> —</w:t>
      </w:r>
      <w:r w:rsidRPr="00442A3B" w:rsidDel="00EC10CD">
        <w:t xml:space="preserve"> </w:t>
      </w:r>
      <w:r w:rsidRPr="00442A3B">
        <w:rPr>
          <w:rStyle w:val="Heading6Char"/>
          <w:rFonts w:ascii="Open Sans Light" w:eastAsiaTheme="minorEastAsia" w:hAnsi="Open Sans Light" w:cstheme="minorBidi"/>
          <w:i w:val="0"/>
          <w:color w:val="auto"/>
        </w:rPr>
        <w:t>Queensland, Western</w:t>
      </w:r>
      <w:r w:rsidR="002875B1" w:rsidRPr="00442A3B">
        <w:rPr>
          <w:rStyle w:val="Heading6Char"/>
          <w:rFonts w:ascii="Open Sans Light" w:eastAsiaTheme="minorEastAsia" w:hAnsi="Open Sans Light" w:cstheme="minorBidi"/>
          <w:i w:val="0"/>
          <w:color w:val="auto"/>
        </w:rPr>
        <w:t> </w:t>
      </w:r>
      <w:r w:rsidRPr="00442A3B">
        <w:rPr>
          <w:rStyle w:val="Heading6Char"/>
          <w:rFonts w:ascii="Open Sans Light" w:eastAsiaTheme="minorEastAsia" w:hAnsi="Open Sans Light" w:cstheme="minorBidi"/>
          <w:i w:val="0"/>
          <w:color w:val="auto"/>
        </w:rPr>
        <w:t xml:space="preserve">Australia, </w:t>
      </w:r>
      <w:r w:rsidR="00403A9F" w:rsidRPr="00442A3B">
        <w:rPr>
          <w:rStyle w:val="Heading6Char"/>
          <w:rFonts w:ascii="Open Sans Light" w:eastAsiaTheme="minorEastAsia" w:hAnsi="Open Sans Light" w:cstheme="minorBidi"/>
          <w:i w:val="0"/>
          <w:color w:val="auto"/>
        </w:rPr>
        <w:t xml:space="preserve">South Australia, </w:t>
      </w:r>
      <w:r w:rsidRPr="00442A3B">
        <w:rPr>
          <w:rStyle w:val="Heading6Char"/>
          <w:rFonts w:ascii="Open Sans Light" w:eastAsiaTheme="minorEastAsia" w:hAnsi="Open Sans Light" w:cstheme="minorBidi"/>
          <w:i w:val="0"/>
          <w:color w:val="auto"/>
        </w:rPr>
        <w:t xml:space="preserve">Tasmania and the Northern Territory </w:t>
      </w:r>
      <w:r w:rsidRPr="00442A3B">
        <w:t xml:space="preserve">— </w:t>
      </w:r>
      <w:r w:rsidRPr="00442A3B">
        <w:rPr>
          <w:rStyle w:val="Heading6Char"/>
          <w:rFonts w:ascii="Open Sans Light" w:eastAsiaTheme="minorEastAsia" w:hAnsi="Open Sans Light" w:cstheme="minorBidi"/>
          <w:i w:val="0"/>
          <w:color w:val="auto"/>
        </w:rPr>
        <w:t xml:space="preserve">require more </w:t>
      </w:r>
      <w:r w:rsidR="000D6411" w:rsidRPr="00442A3B">
        <w:rPr>
          <w:rStyle w:val="Heading6Char"/>
          <w:rFonts w:ascii="Open Sans Light" w:eastAsiaTheme="minorEastAsia" w:hAnsi="Open Sans Light" w:cstheme="minorBidi"/>
          <w:i w:val="0"/>
          <w:color w:val="auto"/>
        </w:rPr>
        <w:t xml:space="preserve">of the </w:t>
      </w:r>
      <w:r w:rsidRPr="00442A3B">
        <w:rPr>
          <w:rStyle w:val="Heading6Char"/>
          <w:rFonts w:ascii="Open Sans Light" w:eastAsiaTheme="minorEastAsia" w:hAnsi="Open Sans Light" w:cstheme="minorBidi"/>
          <w:i w:val="0"/>
          <w:color w:val="auto"/>
        </w:rPr>
        <w:t xml:space="preserve">GST </w:t>
      </w:r>
      <w:r w:rsidR="000D6411" w:rsidRPr="00442A3B">
        <w:rPr>
          <w:rStyle w:val="Heading6Char"/>
          <w:rFonts w:ascii="Open Sans Light" w:eastAsiaTheme="minorEastAsia" w:hAnsi="Open Sans Light" w:cstheme="minorBidi"/>
          <w:i w:val="0"/>
          <w:color w:val="auto"/>
        </w:rPr>
        <w:t>pool</w:t>
      </w:r>
      <w:r w:rsidRPr="00442A3B">
        <w:rPr>
          <w:rStyle w:val="Heading6Char"/>
          <w:rFonts w:ascii="Open Sans Light" w:eastAsiaTheme="minorEastAsia" w:hAnsi="Open Sans Light" w:cstheme="minorBidi"/>
          <w:i w:val="0"/>
          <w:color w:val="auto"/>
        </w:rPr>
        <w:t xml:space="preserve"> per capita, while those with below average expense needs </w:t>
      </w:r>
      <w:r w:rsidRPr="00442A3B">
        <w:t>—</w:t>
      </w:r>
      <w:r w:rsidRPr="00442A3B">
        <w:rPr>
          <w:rStyle w:val="Heading6Char"/>
          <w:rFonts w:ascii="Open Sans Light" w:eastAsiaTheme="minorEastAsia" w:hAnsi="Open Sans Light" w:cstheme="minorBidi"/>
          <w:i w:val="0"/>
          <w:color w:val="auto"/>
        </w:rPr>
        <w:t xml:space="preserve"> New South Wales, Victoria</w:t>
      </w:r>
      <w:r w:rsidR="00403A9F" w:rsidRPr="00442A3B">
        <w:rPr>
          <w:rStyle w:val="Heading6Char"/>
          <w:rFonts w:ascii="Open Sans Light" w:eastAsiaTheme="minorEastAsia" w:hAnsi="Open Sans Light" w:cstheme="minorBidi"/>
          <w:i w:val="0"/>
          <w:color w:val="auto"/>
        </w:rPr>
        <w:t xml:space="preserve"> </w:t>
      </w:r>
      <w:r w:rsidRPr="00442A3B">
        <w:rPr>
          <w:rStyle w:val="Heading6Char"/>
          <w:rFonts w:ascii="Open Sans Light" w:eastAsiaTheme="minorEastAsia" w:hAnsi="Open Sans Light" w:cstheme="minorBidi"/>
          <w:i w:val="0"/>
          <w:color w:val="auto"/>
        </w:rPr>
        <w:t>and the ACT </w:t>
      </w:r>
      <w:r w:rsidRPr="00442A3B">
        <w:t>—</w:t>
      </w:r>
      <w:r w:rsidRPr="00442A3B">
        <w:rPr>
          <w:rStyle w:val="Heading6Char"/>
          <w:rFonts w:ascii="Open Sans Light" w:eastAsiaTheme="minorEastAsia" w:hAnsi="Open Sans Light" w:cstheme="minorBidi"/>
          <w:i w:val="0"/>
          <w:color w:val="auto"/>
        </w:rPr>
        <w:t xml:space="preserve"> require less </w:t>
      </w:r>
      <w:r w:rsidR="00FD297F" w:rsidRPr="00442A3B">
        <w:rPr>
          <w:rStyle w:val="Heading6Char"/>
          <w:rFonts w:ascii="Open Sans Light" w:eastAsiaTheme="minorEastAsia" w:hAnsi="Open Sans Light" w:cstheme="minorBidi"/>
          <w:i w:val="0"/>
          <w:color w:val="auto"/>
        </w:rPr>
        <w:t xml:space="preserve">of the </w:t>
      </w:r>
      <w:r w:rsidRPr="00442A3B">
        <w:rPr>
          <w:rStyle w:val="Heading6Char"/>
          <w:rFonts w:ascii="Open Sans Light" w:eastAsiaTheme="minorEastAsia" w:hAnsi="Open Sans Light" w:cstheme="minorBidi"/>
          <w:i w:val="0"/>
          <w:color w:val="auto"/>
        </w:rPr>
        <w:t xml:space="preserve">GST </w:t>
      </w:r>
      <w:r w:rsidR="00FD297F" w:rsidRPr="00442A3B">
        <w:rPr>
          <w:rStyle w:val="Heading6Char"/>
          <w:rFonts w:ascii="Open Sans Light" w:eastAsiaTheme="minorEastAsia" w:hAnsi="Open Sans Light" w:cstheme="minorBidi"/>
          <w:i w:val="0"/>
          <w:color w:val="auto"/>
        </w:rPr>
        <w:t xml:space="preserve">pool </w:t>
      </w:r>
      <w:r w:rsidRPr="00442A3B">
        <w:rPr>
          <w:rStyle w:val="Heading6Char"/>
          <w:rFonts w:ascii="Open Sans Light" w:eastAsiaTheme="minorEastAsia" w:hAnsi="Open Sans Light" w:cstheme="minorBidi"/>
          <w:i w:val="0"/>
          <w:color w:val="auto"/>
        </w:rPr>
        <w:t>per capita</w:t>
      </w:r>
      <w:r w:rsidR="00C80D2D" w:rsidRPr="00442A3B">
        <w:rPr>
          <w:rStyle w:val="Heading6Char"/>
          <w:rFonts w:ascii="Open Sans Light" w:eastAsiaTheme="minorEastAsia" w:hAnsi="Open Sans Light" w:cstheme="minorBidi"/>
          <w:i w:val="0"/>
          <w:color w:val="auto"/>
        </w:rPr>
        <w:t xml:space="preserve"> (see </w:t>
      </w:r>
      <w:r w:rsidR="00C80D2D" w:rsidRPr="00442A3B">
        <w:rPr>
          <w:rStyle w:val="Heading6Char"/>
          <w:rFonts w:ascii="Open Sans Light" w:eastAsiaTheme="minorEastAsia" w:hAnsi="Open Sans Light" w:cstheme="minorBidi"/>
          <w:i w:val="0"/>
          <w:color w:val="auto"/>
        </w:rPr>
        <w:fldChar w:fldCharType="begin"/>
      </w:r>
      <w:r w:rsidR="00C80D2D" w:rsidRPr="00442A3B">
        <w:rPr>
          <w:rStyle w:val="Heading6Char"/>
          <w:rFonts w:ascii="Open Sans Light" w:eastAsiaTheme="minorEastAsia" w:hAnsi="Open Sans Light" w:cstheme="minorBidi"/>
          <w:i w:val="0"/>
          <w:color w:val="auto"/>
        </w:rPr>
        <w:instrText xml:space="preserve"> REF _Ref52542097 \h </w:instrText>
      </w:r>
      <w:r w:rsidR="00442A3B">
        <w:rPr>
          <w:rStyle w:val="Heading6Char"/>
          <w:rFonts w:ascii="Open Sans Light" w:eastAsiaTheme="minorEastAsia" w:hAnsi="Open Sans Light" w:cstheme="minorBidi"/>
          <w:i w:val="0"/>
          <w:color w:val="auto"/>
        </w:rPr>
        <w:instrText xml:space="preserve"> \* MERGEFORMAT </w:instrText>
      </w:r>
      <w:r w:rsidR="00C80D2D" w:rsidRPr="00442A3B">
        <w:rPr>
          <w:rStyle w:val="Heading6Char"/>
          <w:rFonts w:ascii="Open Sans Light" w:eastAsiaTheme="minorEastAsia" w:hAnsi="Open Sans Light" w:cstheme="minorBidi"/>
          <w:i w:val="0"/>
          <w:color w:val="auto"/>
        </w:rPr>
      </w:r>
      <w:r w:rsidR="00C80D2D" w:rsidRPr="00442A3B">
        <w:rPr>
          <w:rStyle w:val="Heading6Char"/>
          <w:rFonts w:ascii="Open Sans Light" w:eastAsiaTheme="minorEastAsia" w:hAnsi="Open Sans Light" w:cstheme="minorBidi"/>
          <w:i w:val="0"/>
          <w:color w:val="auto"/>
        </w:rPr>
        <w:fldChar w:fldCharType="separate"/>
      </w:r>
      <w:r w:rsidR="00FC3D3D" w:rsidRPr="00442A3B">
        <w:t>Table 2</w:t>
      </w:r>
      <w:r w:rsidR="00FC3D3D" w:rsidRPr="00442A3B">
        <w:noBreakHyphen/>
      </w:r>
      <w:r w:rsidR="00FC3D3D">
        <w:t>7</w:t>
      </w:r>
      <w:r w:rsidR="00C80D2D" w:rsidRPr="00442A3B">
        <w:rPr>
          <w:rStyle w:val="Heading6Char"/>
          <w:rFonts w:ascii="Open Sans Light" w:eastAsiaTheme="minorEastAsia" w:hAnsi="Open Sans Light" w:cstheme="minorBidi"/>
          <w:i w:val="0"/>
          <w:color w:val="auto"/>
        </w:rPr>
        <w:fldChar w:fldCharType="end"/>
      </w:r>
      <w:r w:rsidR="00C80D2D" w:rsidRPr="00442A3B">
        <w:rPr>
          <w:rStyle w:val="Heading6Char"/>
          <w:rFonts w:ascii="Open Sans Light" w:eastAsiaTheme="minorEastAsia" w:hAnsi="Open Sans Light" w:cstheme="minorBidi"/>
          <w:i w:val="0"/>
          <w:color w:val="auto"/>
        </w:rPr>
        <w:t xml:space="preserve"> in the section below)</w:t>
      </w:r>
      <w:r w:rsidR="00FD297F" w:rsidRPr="00442A3B">
        <w:rPr>
          <w:rStyle w:val="Heading6Char"/>
          <w:rFonts w:ascii="Open Sans Light" w:eastAsiaTheme="minorEastAsia" w:hAnsi="Open Sans Light" w:cstheme="minorBidi"/>
          <w:i w:val="0"/>
          <w:color w:val="auto"/>
        </w:rPr>
        <w:t>.</w:t>
      </w:r>
      <w:bookmarkEnd w:id="116"/>
    </w:p>
    <w:p w14:paraId="0BD8E028" w14:textId="10BD0557" w:rsidR="00910502" w:rsidRPr="00442A3B" w:rsidRDefault="00910502" w:rsidP="00910502">
      <w:pPr>
        <w:pStyle w:val="CGCParaNumber"/>
        <w:ind w:left="567" w:hanging="567"/>
        <w:rPr>
          <w:rStyle w:val="Heading6Char"/>
          <w:rFonts w:ascii="Open Sans Light" w:eastAsiaTheme="minorEastAsia" w:hAnsi="Open Sans Light" w:cstheme="minorBidi"/>
          <w:i w:val="0"/>
          <w:color w:val="auto"/>
        </w:rPr>
      </w:pPr>
      <w:bookmarkStart w:id="118" w:name="_Ref64382543"/>
      <w:bookmarkEnd w:id="117"/>
      <w:r w:rsidRPr="00442A3B">
        <w:rPr>
          <w:rStyle w:val="Heading6Char"/>
          <w:rFonts w:ascii="Open Sans Light" w:eastAsiaTheme="minorEastAsia" w:hAnsi="Open Sans Light" w:cstheme="minorBidi"/>
          <w:i w:val="0"/>
          <w:color w:val="auto"/>
        </w:rPr>
        <w:t xml:space="preserve">In this update, between 2016-17 and 2019-20, </w:t>
      </w:r>
      <w:r w:rsidR="008726A7" w:rsidRPr="00442A3B">
        <w:rPr>
          <w:rStyle w:val="Heading6Char"/>
          <w:rFonts w:ascii="Open Sans Light" w:eastAsiaTheme="minorEastAsia" w:hAnsi="Open Sans Light" w:cstheme="minorBidi"/>
          <w:i w:val="0"/>
          <w:color w:val="auto"/>
        </w:rPr>
        <w:t>expenses grew,</w:t>
      </w:r>
      <w:r w:rsidRPr="00442A3B" w:rsidDel="00A65478">
        <w:rPr>
          <w:rStyle w:val="Heading6Char"/>
          <w:rFonts w:ascii="Open Sans Light" w:eastAsiaTheme="minorEastAsia" w:hAnsi="Open Sans Light" w:cstheme="minorBidi"/>
          <w:i w:val="0"/>
          <w:color w:val="auto"/>
        </w:rPr>
        <w:t xml:space="preserve"> </w:t>
      </w:r>
      <w:r w:rsidRPr="00442A3B">
        <w:rPr>
          <w:rStyle w:val="Heading6Char"/>
          <w:rFonts w:ascii="Open Sans Light" w:eastAsiaTheme="minorEastAsia" w:hAnsi="Open Sans Light" w:cstheme="minorBidi"/>
          <w:i w:val="0"/>
          <w:color w:val="auto"/>
        </w:rPr>
        <w:t>on average</w:t>
      </w:r>
      <w:r w:rsidR="008726A7" w:rsidRPr="00442A3B">
        <w:rPr>
          <w:rStyle w:val="Heading6Char"/>
          <w:rFonts w:ascii="Open Sans Light" w:eastAsiaTheme="minorEastAsia" w:hAnsi="Open Sans Light" w:cstheme="minorBidi"/>
          <w:i w:val="0"/>
          <w:color w:val="auto"/>
        </w:rPr>
        <w:t>,</w:t>
      </w:r>
      <w:r w:rsidRPr="00442A3B">
        <w:rPr>
          <w:rStyle w:val="Heading6Char"/>
          <w:rFonts w:ascii="Open Sans Light" w:eastAsiaTheme="minorEastAsia" w:hAnsi="Open Sans Light" w:cstheme="minorBidi"/>
          <w:i w:val="0"/>
          <w:color w:val="auto"/>
        </w:rPr>
        <w:t xml:space="preserve"> significantly faster than the GST pool</w:t>
      </w:r>
      <w:r w:rsidRPr="00442A3B">
        <w:t xml:space="preserve"> — </w:t>
      </w:r>
      <w:r w:rsidRPr="00442A3B">
        <w:rPr>
          <w:rStyle w:val="Heading6Char"/>
          <w:rFonts w:ascii="Open Sans Light" w:eastAsiaTheme="minorEastAsia" w:hAnsi="Open Sans Light" w:cstheme="minorBidi"/>
          <w:i w:val="0"/>
          <w:color w:val="auto"/>
        </w:rPr>
        <w:t>18% and 1%, respectively. Because of the relatively slow growth in the GST pool</w:t>
      </w:r>
      <w:r w:rsidRPr="00442A3B">
        <w:rPr>
          <w:rStyle w:val="FootnoteReference"/>
          <w:rFonts w:eastAsiaTheme="minorEastAsia"/>
          <w:iCs/>
        </w:rPr>
        <w:footnoteReference w:id="18"/>
      </w:r>
      <w:r w:rsidRPr="00442A3B">
        <w:rPr>
          <w:rStyle w:val="Heading6Char"/>
          <w:rFonts w:ascii="Open Sans Light" w:eastAsiaTheme="minorEastAsia" w:hAnsi="Open Sans Light" w:cstheme="minorBidi"/>
          <w:i w:val="0"/>
          <w:color w:val="auto"/>
        </w:rPr>
        <w:t>, differential State expense requirements bec</w:t>
      </w:r>
      <w:r w:rsidR="008726A7" w:rsidRPr="00442A3B">
        <w:rPr>
          <w:rStyle w:val="Heading6Char"/>
          <w:rFonts w:ascii="Open Sans Light" w:eastAsiaTheme="minorEastAsia" w:hAnsi="Open Sans Light" w:cstheme="minorBidi"/>
          <w:i w:val="0"/>
          <w:color w:val="auto"/>
        </w:rPr>
        <w:t>a</w:t>
      </w:r>
      <w:r w:rsidRPr="00442A3B">
        <w:rPr>
          <w:rStyle w:val="Heading6Char"/>
          <w:rFonts w:ascii="Open Sans Light" w:eastAsiaTheme="minorEastAsia" w:hAnsi="Open Sans Light" w:cstheme="minorBidi"/>
          <w:i w:val="0"/>
          <w:color w:val="auto"/>
        </w:rPr>
        <w:t>me larger as a proportion of the GST pool.</w:t>
      </w:r>
      <w:bookmarkEnd w:id="118"/>
    </w:p>
    <w:p w14:paraId="6459D614" w14:textId="77777777" w:rsidR="001D6C4A" w:rsidRPr="00442A3B" w:rsidRDefault="00876F6E" w:rsidP="001D6C4A">
      <w:pPr>
        <w:pStyle w:val="CGCParaNumber"/>
        <w:ind w:left="567" w:hanging="567"/>
      </w:pPr>
      <w:bookmarkStart w:id="119" w:name="_Ref64035937"/>
      <w:r w:rsidRPr="00442A3B">
        <w:t>New South Wales has below average needs in most expense components, and most components gr</w:t>
      </w:r>
      <w:r w:rsidR="008726A7" w:rsidRPr="00442A3B">
        <w:t>ew</w:t>
      </w:r>
      <w:r w:rsidRPr="00442A3B">
        <w:t xml:space="preserve"> faster than the GST pool. </w:t>
      </w:r>
      <w:r w:rsidR="00593660" w:rsidRPr="00442A3B">
        <w:t>E</w:t>
      </w:r>
      <w:r w:rsidRPr="00442A3B">
        <w:t>xcluding urban transport</w:t>
      </w:r>
      <w:r w:rsidR="00CC0E55" w:rsidRPr="00442A3B">
        <w:t>,</w:t>
      </w:r>
      <w:r w:rsidRPr="00442A3B">
        <w:t xml:space="preserve"> </w:t>
      </w:r>
      <w:r w:rsidR="00593660" w:rsidRPr="00442A3B">
        <w:t>this</w:t>
      </w:r>
      <w:r w:rsidRPr="00442A3B">
        <w:t xml:space="preserve"> redistributed $48</w:t>
      </w:r>
      <w:r w:rsidR="008726A7" w:rsidRPr="00442A3B">
        <w:t> </w:t>
      </w:r>
      <w:r w:rsidRPr="00442A3B">
        <w:t>million away from New South Wales. However, urban transport, for which New</w:t>
      </w:r>
      <w:r w:rsidR="001563BC" w:rsidRPr="00442A3B">
        <w:t> </w:t>
      </w:r>
      <w:r w:rsidRPr="00442A3B">
        <w:t>South</w:t>
      </w:r>
      <w:r w:rsidR="001563BC" w:rsidRPr="00442A3B">
        <w:t> </w:t>
      </w:r>
      <w:r w:rsidRPr="00442A3B">
        <w:t>Wales has well above average needs, grew much faster than most other expense components at 30%</w:t>
      </w:r>
      <w:r w:rsidR="00AA7A9C" w:rsidRPr="00442A3B">
        <w:t xml:space="preserve"> between 2016</w:t>
      </w:r>
      <w:r w:rsidR="00AA7A9C" w:rsidRPr="00442A3B">
        <w:noBreakHyphen/>
        <w:t>17 and 2019</w:t>
      </w:r>
      <w:r w:rsidR="00AA7A9C" w:rsidRPr="00442A3B">
        <w:noBreakHyphen/>
        <w:t>20</w:t>
      </w:r>
      <w:r w:rsidRPr="00442A3B">
        <w:t xml:space="preserve">. </w:t>
      </w:r>
    </w:p>
    <w:p w14:paraId="44E22DF8" w14:textId="3C9EDE0F" w:rsidR="001923CC" w:rsidRPr="00442A3B" w:rsidRDefault="00876F6E" w:rsidP="001D6C4A">
      <w:pPr>
        <w:pStyle w:val="CGCParaNumber"/>
        <w:ind w:left="567" w:hanging="567"/>
      </w:pPr>
      <w:r w:rsidRPr="00442A3B">
        <w:t xml:space="preserve">The growth in urban transport expense redistributed $101 million towards New South Wales. As such, the overall effect of the growth in expenses for New South Wales was a GST </w:t>
      </w:r>
      <w:r w:rsidR="00336253" w:rsidRPr="00442A3B">
        <w:t xml:space="preserve">pool </w:t>
      </w:r>
      <w:r w:rsidRPr="00442A3B">
        <w:t xml:space="preserve">redistribution towards it of $52 million. </w:t>
      </w:r>
      <w:r w:rsidR="008A2FB8" w:rsidRPr="00442A3B">
        <w:t>South Australia has this situation in reverse</w:t>
      </w:r>
      <w:r w:rsidR="00FE3837" w:rsidRPr="00442A3B">
        <w:t xml:space="preserve">, with </w:t>
      </w:r>
      <w:r w:rsidR="00984100" w:rsidRPr="00442A3B">
        <w:t xml:space="preserve">above average expense needs but </w:t>
      </w:r>
      <w:r w:rsidR="00FE3837" w:rsidRPr="00442A3B">
        <w:t xml:space="preserve">low requirements </w:t>
      </w:r>
      <w:r w:rsidR="0042575E" w:rsidRPr="00442A3B">
        <w:t xml:space="preserve">for </w:t>
      </w:r>
      <w:r w:rsidR="006025F8" w:rsidRPr="00442A3B">
        <w:t>urban transport</w:t>
      </w:r>
      <w:r w:rsidR="008A2FB8" w:rsidRPr="00442A3B">
        <w:t>.</w:t>
      </w:r>
      <w:r w:rsidRPr="00442A3B">
        <w:rPr>
          <w:i/>
        </w:rPr>
        <w:t xml:space="preserve"> </w:t>
      </w:r>
      <w:r w:rsidR="00001BD0" w:rsidRPr="00442A3B">
        <w:t xml:space="preserve">The </w:t>
      </w:r>
      <w:r w:rsidR="006025F8" w:rsidRPr="00442A3B">
        <w:t xml:space="preserve">faster growth in urban transport expenses explains </w:t>
      </w:r>
      <w:r w:rsidR="002003BB" w:rsidRPr="00442A3B">
        <w:t xml:space="preserve">the </w:t>
      </w:r>
      <w:bookmarkEnd w:id="119"/>
      <w:r w:rsidR="00C01332" w:rsidRPr="00442A3B">
        <w:t xml:space="preserve">redistribution </w:t>
      </w:r>
      <w:r w:rsidR="00C01332" w:rsidRPr="00442A3B">
        <w:rPr>
          <w:i/>
        </w:rPr>
        <w:t>away</w:t>
      </w:r>
      <w:r w:rsidR="00C01332" w:rsidRPr="00442A3B">
        <w:t xml:space="preserve"> from</w:t>
      </w:r>
      <w:r w:rsidR="002003BB" w:rsidRPr="00442A3B">
        <w:t xml:space="preserve"> </w:t>
      </w:r>
      <w:r w:rsidR="003947E3" w:rsidRPr="00442A3B">
        <w:t>South Australia</w:t>
      </w:r>
      <w:r w:rsidR="000B72AF" w:rsidRPr="00442A3B">
        <w:t xml:space="preserve"> </w:t>
      </w:r>
      <w:r w:rsidR="005F1BD7" w:rsidRPr="00442A3B">
        <w:t xml:space="preserve">due to </w:t>
      </w:r>
      <w:r w:rsidR="00444858" w:rsidRPr="00442A3B">
        <w:t>growth in expenses</w:t>
      </w:r>
      <w:r w:rsidR="00DD5529" w:rsidRPr="00442A3B">
        <w:t>, although this was not a large driver for this State</w:t>
      </w:r>
      <w:r w:rsidR="003947E3" w:rsidRPr="00442A3B">
        <w:t>.</w:t>
      </w:r>
    </w:p>
    <w:p w14:paraId="3791E43E" w14:textId="5518F4CC" w:rsidR="00165998" w:rsidRPr="00442A3B" w:rsidRDefault="007C7021" w:rsidP="00B33810">
      <w:pPr>
        <w:pStyle w:val="CGCParaNumber"/>
        <w:keepNext/>
        <w:keepLines/>
        <w:ind w:left="567" w:hanging="567"/>
      </w:pPr>
      <w:r w:rsidRPr="00442A3B">
        <w:rPr>
          <w:rStyle w:val="Heading6Char"/>
        </w:rPr>
        <w:t>Capital requirement</w:t>
      </w:r>
      <w:r w:rsidR="00EC3D4D" w:rsidRPr="00442A3B">
        <w:rPr>
          <w:rStyle w:val="Heading6Char"/>
        </w:rPr>
        <w:t>s</w:t>
      </w:r>
      <w:r w:rsidRPr="00442A3B">
        <w:rPr>
          <w:rStyle w:val="Heading6Char"/>
        </w:rPr>
        <w:t>.</w:t>
      </w:r>
      <w:r w:rsidRPr="00442A3B">
        <w:t xml:space="preserve"> </w:t>
      </w:r>
      <w:r w:rsidR="00E964BB" w:rsidRPr="00442A3B">
        <w:t xml:space="preserve">The Commission assesses States with faster growth in </w:t>
      </w:r>
      <w:r w:rsidR="00217896" w:rsidRPr="00442A3B">
        <w:t>service user</w:t>
      </w:r>
      <w:r w:rsidR="00A561AB" w:rsidRPr="00442A3B">
        <w:t xml:space="preserve"> population</w:t>
      </w:r>
      <w:r w:rsidR="00217896" w:rsidRPr="00442A3B">
        <w:t xml:space="preserve">s to need </w:t>
      </w:r>
      <w:r w:rsidR="00A31C81" w:rsidRPr="00442A3B">
        <w:t xml:space="preserve">more </w:t>
      </w:r>
      <w:r w:rsidR="00342617" w:rsidRPr="00442A3B">
        <w:t xml:space="preserve">of the </w:t>
      </w:r>
      <w:r w:rsidR="00A31C81" w:rsidRPr="00442A3B">
        <w:t>GST</w:t>
      </w:r>
      <w:r w:rsidR="00413F81" w:rsidRPr="00442A3B">
        <w:t xml:space="preserve"> </w:t>
      </w:r>
      <w:r w:rsidR="00342617" w:rsidRPr="00442A3B">
        <w:t xml:space="preserve">pool </w:t>
      </w:r>
      <w:r w:rsidR="00413F81" w:rsidRPr="00442A3B">
        <w:t>per capita</w:t>
      </w:r>
      <w:r w:rsidR="00A31C81" w:rsidRPr="00442A3B">
        <w:t xml:space="preserve">. </w:t>
      </w:r>
      <w:r w:rsidR="00165998" w:rsidRPr="00442A3B">
        <w:t>Between 201</w:t>
      </w:r>
      <w:r w:rsidR="00851024" w:rsidRPr="00442A3B">
        <w:t>6</w:t>
      </w:r>
      <w:r w:rsidR="00165998" w:rsidRPr="00442A3B">
        <w:noBreakHyphen/>
        <w:t>1</w:t>
      </w:r>
      <w:r w:rsidR="00851024" w:rsidRPr="00442A3B">
        <w:t>7</w:t>
      </w:r>
      <w:r w:rsidR="00165998" w:rsidRPr="00442A3B">
        <w:t xml:space="preserve"> and 201</w:t>
      </w:r>
      <w:r w:rsidR="00851024" w:rsidRPr="00442A3B">
        <w:t>9</w:t>
      </w:r>
      <w:r w:rsidR="00165998" w:rsidRPr="00442A3B">
        <w:noBreakHyphen/>
      </w:r>
      <w:r w:rsidR="00851024" w:rsidRPr="00442A3B">
        <w:t>20</w:t>
      </w:r>
      <w:r w:rsidR="00165998" w:rsidRPr="00442A3B">
        <w:t xml:space="preserve">, the </w:t>
      </w:r>
      <w:r w:rsidR="00874B31" w:rsidRPr="00442A3B">
        <w:t xml:space="preserve">ACT and the </w:t>
      </w:r>
      <w:r w:rsidR="00165998" w:rsidRPr="00442A3B">
        <w:t>Northern Territory’s population growth slowed</w:t>
      </w:r>
      <w:r w:rsidR="002A1F1F" w:rsidRPr="00442A3B">
        <w:t xml:space="preserve"> considerably</w:t>
      </w:r>
      <w:r w:rsidR="00165998" w:rsidRPr="00442A3B">
        <w:t xml:space="preserve">. This translated into much slower growth, or even decline, in user populations for most services. Consequently, </w:t>
      </w:r>
      <w:r w:rsidR="002F10EF" w:rsidRPr="00442A3B">
        <w:t>their</w:t>
      </w:r>
      <w:r w:rsidR="00165998" w:rsidRPr="00442A3B">
        <w:t xml:space="preserve"> assessed capital requirements were lower in 201</w:t>
      </w:r>
      <w:r w:rsidR="002F10EF" w:rsidRPr="00442A3B">
        <w:t>9</w:t>
      </w:r>
      <w:r w:rsidR="00165998" w:rsidRPr="00442A3B">
        <w:noBreakHyphen/>
      </w:r>
      <w:r w:rsidR="002F10EF" w:rsidRPr="00442A3B">
        <w:t>20</w:t>
      </w:r>
      <w:r w:rsidR="00165998" w:rsidRPr="00442A3B">
        <w:t xml:space="preserve"> than in 201</w:t>
      </w:r>
      <w:r w:rsidR="002F10EF" w:rsidRPr="00442A3B">
        <w:t>6</w:t>
      </w:r>
      <w:r w:rsidR="00165998" w:rsidRPr="00442A3B">
        <w:noBreakHyphen/>
        <w:t>1</w:t>
      </w:r>
      <w:r w:rsidR="002F10EF" w:rsidRPr="00442A3B">
        <w:t>7</w:t>
      </w:r>
      <w:r w:rsidR="00165998" w:rsidRPr="00442A3B">
        <w:t>.</w:t>
      </w:r>
      <w:r w:rsidR="00FD74EC" w:rsidRPr="00442A3B">
        <w:t xml:space="preserve"> </w:t>
      </w:r>
      <w:r w:rsidR="002A2B0E" w:rsidRPr="00442A3B">
        <w:t>New</w:t>
      </w:r>
      <w:r w:rsidR="00BE56DC" w:rsidRPr="00442A3B">
        <w:t> </w:t>
      </w:r>
      <w:r w:rsidR="002A2B0E" w:rsidRPr="00442A3B">
        <w:t>South</w:t>
      </w:r>
      <w:r w:rsidR="00BE56DC" w:rsidRPr="00442A3B">
        <w:t> </w:t>
      </w:r>
      <w:r w:rsidR="002A2B0E" w:rsidRPr="00442A3B">
        <w:t xml:space="preserve">Wales and Victoria also had slowing population growth. </w:t>
      </w:r>
      <w:r w:rsidR="008F17AB" w:rsidRPr="00442A3B">
        <w:t xml:space="preserve">Other States, especially Western Australia, experienced </w:t>
      </w:r>
      <w:r w:rsidR="000E5763" w:rsidRPr="00442A3B">
        <w:t xml:space="preserve">increasing population growth, and hence increased </w:t>
      </w:r>
      <w:r w:rsidR="00310F9B" w:rsidRPr="00442A3B">
        <w:t xml:space="preserve">growth in </w:t>
      </w:r>
      <w:r w:rsidR="00283AF5" w:rsidRPr="00442A3B">
        <w:t xml:space="preserve">service </w:t>
      </w:r>
      <w:r w:rsidR="00310F9B" w:rsidRPr="00442A3B">
        <w:t xml:space="preserve">user populations and </w:t>
      </w:r>
      <w:r w:rsidR="00BC6027" w:rsidRPr="00442A3B">
        <w:t xml:space="preserve">in </w:t>
      </w:r>
      <w:r w:rsidR="00844418" w:rsidRPr="00442A3B">
        <w:t>capital requirements</w:t>
      </w:r>
      <w:r w:rsidR="000E5763" w:rsidRPr="00442A3B">
        <w:t xml:space="preserve">. </w:t>
      </w:r>
    </w:p>
    <w:p w14:paraId="0CEC7487" w14:textId="4D1AD10A" w:rsidR="00BA7CC1" w:rsidRPr="00442A3B" w:rsidRDefault="00165998" w:rsidP="0079422D">
      <w:pPr>
        <w:pStyle w:val="CGCParaNumber"/>
        <w:ind w:left="567" w:hanging="567"/>
      </w:pPr>
      <w:r w:rsidRPr="00442A3B">
        <w:t>Capital requirements in relation to urban transport investment also changed between 201</w:t>
      </w:r>
      <w:r w:rsidR="008C0BF5" w:rsidRPr="00442A3B">
        <w:t>6</w:t>
      </w:r>
      <w:r w:rsidR="006F2ACF" w:rsidRPr="00442A3B">
        <w:noBreakHyphen/>
      </w:r>
      <w:r w:rsidRPr="00442A3B">
        <w:t>1</w:t>
      </w:r>
      <w:r w:rsidR="008C0BF5" w:rsidRPr="00442A3B">
        <w:t>7</w:t>
      </w:r>
      <w:r w:rsidRPr="00442A3B">
        <w:t xml:space="preserve"> and 201</w:t>
      </w:r>
      <w:r w:rsidR="008C0BF5" w:rsidRPr="00442A3B">
        <w:t>9</w:t>
      </w:r>
      <w:r w:rsidRPr="00442A3B">
        <w:t>-</w:t>
      </w:r>
      <w:r w:rsidR="008C0BF5" w:rsidRPr="00442A3B">
        <w:t>20</w:t>
      </w:r>
      <w:r w:rsidRPr="00442A3B">
        <w:t xml:space="preserve">. New South Wales had a slight decline in its share of urban transport </w:t>
      </w:r>
      <w:r w:rsidR="00C317B6" w:rsidRPr="00442A3B">
        <w:t xml:space="preserve">investment </w:t>
      </w:r>
      <w:r w:rsidRPr="00442A3B">
        <w:t>needs over the period</w:t>
      </w:r>
      <w:r w:rsidR="000A209B" w:rsidRPr="00442A3B">
        <w:t xml:space="preserve"> because </w:t>
      </w:r>
      <w:r w:rsidR="00053AED" w:rsidRPr="00442A3B">
        <w:t xml:space="preserve">of a relatively slow increase in </w:t>
      </w:r>
      <w:r w:rsidR="000A209B" w:rsidRPr="00442A3B">
        <w:t xml:space="preserve">Sydney’s </w:t>
      </w:r>
      <w:r w:rsidR="00053AED" w:rsidRPr="00442A3B">
        <w:t>population</w:t>
      </w:r>
      <w:r w:rsidR="000A209B" w:rsidRPr="00442A3B">
        <w:t xml:space="preserve"> density</w:t>
      </w:r>
      <w:r w:rsidR="00AB3C63" w:rsidRPr="00442A3B">
        <w:t>.</w:t>
      </w:r>
      <w:r w:rsidRPr="00442A3B">
        <w:t xml:space="preserve"> Victoria’s </w:t>
      </w:r>
      <w:r w:rsidR="00A561AB" w:rsidRPr="00442A3B">
        <w:t xml:space="preserve">GST </w:t>
      </w:r>
      <w:r w:rsidR="007A52A7" w:rsidRPr="00442A3B">
        <w:t>pool</w:t>
      </w:r>
      <w:r w:rsidR="00A561AB" w:rsidRPr="00442A3B">
        <w:t xml:space="preserve"> share grew because of a strong increase in Melbourne’s population density, and</w:t>
      </w:r>
      <w:r w:rsidRPr="00442A3B">
        <w:t xml:space="preserve"> Queensland’s </w:t>
      </w:r>
      <w:r w:rsidR="00AB3C63" w:rsidRPr="00442A3B">
        <w:t xml:space="preserve">GST </w:t>
      </w:r>
      <w:r w:rsidR="00703155" w:rsidRPr="00442A3B">
        <w:t xml:space="preserve">pool </w:t>
      </w:r>
      <w:r w:rsidRPr="00442A3B">
        <w:t>share grew</w:t>
      </w:r>
      <w:r w:rsidR="00AB3C63" w:rsidRPr="00442A3B">
        <w:t xml:space="preserve"> </w:t>
      </w:r>
      <w:r w:rsidR="006E1656" w:rsidRPr="00442A3B">
        <w:t xml:space="preserve">because of </w:t>
      </w:r>
      <w:r w:rsidR="005745C5" w:rsidRPr="00442A3B">
        <w:t xml:space="preserve">relatively </w:t>
      </w:r>
      <w:r w:rsidR="00D735D6" w:rsidRPr="00442A3B">
        <w:t>strong population growth</w:t>
      </w:r>
      <w:r w:rsidRPr="00442A3B">
        <w:t>.</w:t>
      </w:r>
      <w:r w:rsidR="00BA7CC1" w:rsidRPr="00442A3B">
        <w:t xml:space="preserve"> </w:t>
      </w:r>
    </w:p>
    <w:p w14:paraId="07763104" w14:textId="38FAB688" w:rsidR="00DA392B" w:rsidRPr="00442A3B" w:rsidRDefault="00DA392B" w:rsidP="00025F20">
      <w:pPr>
        <w:pStyle w:val="CGCParaNumber"/>
        <w:keepNext/>
        <w:keepLines/>
        <w:ind w:left="567" w:hanging="567"/>
        <w:rPr>
          <w:rStyle w:val="Heading6Char"/>
          <w:rFonts w:ascii="Open Sans Light" w:eastAsiaTheme="minorHAnsi" w:hAnsi="Open Sans Light" w:cstheme="minorBidi"/>
          <w:i w:val="0"/>
          <w:iCs w:val="0"/>
          <w:color w:val="auto"/>
        </w:rPr>
      </w:pPr>
      <w:r w:rsidRPr="00442A3B">
        <w:rPr>
          <w:rStyle w:val="Heading6Char"/>
        </w:rPr>
        <w:lastRenderedPageBreak/>
        <w:t xml:space="preserve">Net borrowing. </w:t>
      </w:r>
      <w:r w:rsidRPr="00442A3B">
        <w:t xml:space="preserve">Between 2016-17 and 2019-20, total State net debt increased more than threefold, from $86 billion to over $300 billion. This increased the amount of borrowing required to achieve the same net financial worth per capita, assuming States began the year with the average value of net financial worth. </w:t>
      </w:r>
      <w:r w:rsidRPr="00442A3B">
        <w:rPr>
          <w:rStyle w:val="Heading6Char"/>
          <w:rFonts w:ascii="Open Sans Light" w:eastAsiaTheme="minorEastAsia" w:hAnsi="Open Sans Light" w:cstheme="minorBidi"/>
          <w:i w:val="0"/>
          <w:color w:val="auto"/>
        </w:rPr>
        <w:t xml:space="preserve">This </w:t>
      </w:r>
      <w:r w:rsidR="00176A0F" w:rsidRPr="00442A3B">
        <w:rPr>
          <w:rStyle w:val="Heading6Char"/>
          <w:rFonts w:ascii="Open Sans Light" w:eastAsiaTheme="minorEastAsia" w:hAnsi="Open Sans Light" w:cstheme="minorBidi"/>
          <w:i w:val="0"/>
          <w:color w:val="auto"/>
        </w:rPr>
        <w:t xml:space="preserve">reduced the </w:t>
      </w:r>
      <w:r w:rsidRPr="00442A3B">
        <w:rPr>
          <w:rStyle w:val="Heading6Char"/>
          <w:rFonts w:ascii="Open Sans Light" w:eastAsiaTheme="minorEastAsia" w:hAnsi="Open Sans Light" w:cstheme="minorBidi"/>
          <w:i w:val="0"/>
          <w:color w:val="auto"/>
        </w:rPr>
        <w:t xml:space="preserve">GST </w:t>
      </w:r>
      <w:r w:rsidR="007425A4" w:rsidRPr="00442A3B">
        <w:rPr>
          <w:rStyle w:val="Heading6Char"/>
          <w:rFonts w:ascii="Open Sans Light" w:eastAsiaTheme="minorEastAsia" w:hAnsi="Open Sans Light" w:cstheme="minorBidi"/>
          <w:i w:val="0"/>
          <w:color w:val="auto"/>
        </w:rPr>
        <w:t xml:space="preserve">pool </w:t>
      </w:r>
      <w:r w:rsidR="00176A0F" w:rsidRPr="00442A3B">
        <w:rPr>
          <w:rStyle w:val="Heading6Char"/>
          <w:rFonts w:ascii="Open Sans Light" w:eastAsiaTheme="minorEastAsia" w:hAnsi="Open Sans Light" w:cstheme="minorBidi"/>
          <w:i w:val="0"/>
          <w:color w:val="auto"/>
        </w:rPr>
        <w:t xml:space="preserve">shares of </w:t>
      </w:r>
      <w:r w:rsidRPr="00442A3B">
        <w:t>States</w:t>
      </w:r>
      <w:r w:rsidRPr="00442A3B">
        <w:rPr>
          <w:rStyle w:val="Heading6Char"/>
          <w:rFonts w:ascii="Open Sans Light" w:eastAsiaTheme="minorEastAsia" w:hAnsi="Open Sans Light" w:cstheme="minorBidi"/>
          <w:i w:val="0"/>
          <w:color w:val="auto"/>
        </w:rPr>
        <w:t xml:space="preserve"> with above average population growth (Victoria and Queensland).</w:t>
      </w:r>
    </w:p>
    <w:p w14:paraId="18EB9407" w14:textId="1657E80A" w:rsidR="00C3325E" w:rsidRPr="00442A3B" w:rsidRDefault="00C3325E" w:rsidP="00025F20">
      <w:pPr>
        <w:pStyle w:val="CGCParaNumber"/>
        <w:keepNext/>
        <w:keepLines/>
        <w:ind w:left="567" w:hanging="567"/>
        <w:rPr>
          <w:rFonts w:eastAsiaTheme="minorEastAsia"/>
          <w:iCs/>
        </w:rPr>
      </w:pPr>
      <w:r w:rsidRPr="00442A3B">
        <w:rPr>
          <w:rFonts w:eastAsiaTheme="minorEastAsia"/>
          <w:iCs/>
        </w:rPr>
        <w:t xml:space="preserve">Western Australia’s increasing, but still below average, population growth meant the redistribution </w:t>
      </w:r>
      <w:r w:rsidRPr="00442A3B">
        <w:t>toward</w:t>
      </w:r>
      <w:r w:rsidRPr="00442A3B">
        <w:rPr>
          <w:rFonts w:eastAsiaTheme="minorEastAsia"/>
          <w:iCs/>
        </w:rPr>
        <w:t xml:space="preserve"> it was less in 2019-20 than in 2016-17. This reduced Western Australia’s GST </w:t>
      </w:r>
      <w:r w:rsidR="00990C2E" w:rsidRPr="00442A3B">
        <w:rPr>
          <w:rFonts w:eastAsiaTheme="minorEastAsia"/>
          <w:iCs/>
        </w:rPr>
        <w:t xml:space="preserve">pool </w:t>
      </w:r>
      <w:r w:rsidRPr="00442A3B">
        <w:rPr>
          <w:rFonts w:eastAsiaTheme="minorEastAsia"/>
          <w:iCs/>
        </w:rPr>
        <w:t>share.</w:t>
      </w:r>
    </w:p>
    <w:p w14:paraId="68F4A71B" w14:textId="325970AE" w:rsidR="00BA7CC1" w:rsidRPr="00442A3B" w:rsidRDefault="003E2955" w:rsidP="00BA7CC1">
      <w:pPr>
        <w:pStyle w:val="Heading3"/>
      </w:pPr>
      <w:bookmarkStart w:id="120" w:name="_Toc65050530"/>
      <w:r w:rsidRPr="00442A3B">
        <w:t>Why</w:t>
      </w:r>
      <w:r w:rsidR="00BA7CC1" w:rsidRPr="00442A3B">
        <w:t xml:space="preserve"> State fiscal capacities</w:t>
      </w:r>
      <w:r w:rsidRPr="00442A3B">
        <w:t xml:space="preserve"> differ from each other</w:t>
      </w:r>
      <w:bookmarkEnd w:id="120"/>
    </w:p>
    <w:p w14:paraId="0CBBA149" w14:textId="58FC3A6E" w:rsidR="00BA7CC1" w:rsidRPr="00442A3B" w:rsidRDefault="00BA7CC1" w:rsidP="000361EA">
      <w:pPr>
        <w:pStyle w:val="CGCParaNumber"/>
        <w:ind w:left="567" w:hanging="567"/>
      </w:pPr>
      <w:r w:rsidRPr="00442A3B">
        <w:t xml:space="preserve">Differences between the States </w:t>
      </w:r>
      <w:r w:rsidR="006B1212" w:rsidRPr="00442A3B">
        <w:t xml:space="preserve">in terms of </w:t>
      </w:r>
      <w:r w:rsidRPr="00442A3B">
        <w:t>economic, social and demographic characteristics affect their expenditures and revenues, and contribute to differences in fiscal capacities.</w:t>
      </w:r>
      <w:r w:rsidRPr="00442A3B">
        <w:rPr>
          <w:rStyle w:val="FootnoteReference"/>
        </w:rPr>
        <w:footnoteReference w:id="19"/>
      </w:r>
      <w:r w:rsidRPr="00442A3B">
        <w:t xml:space="preserve"> </w:t>
      </w:r>
      <w:r w:rsidR="00990B45" w:rsidRPr="00442A3B">
        <w:fldChar w:fldCharType="begin"/>
      </w:r>
      <w:r w:rsidR="00990B45" w:rsidRPr="00442A3B">
        <w:instrText xml:space="preserve"> REF _Ref52542097 \h </w:instrText>
      </w:r>
      <w:r w:rsidR="00442A3B">
        <w:instrText xml:space="preserve"> \* MERGEFORMAT </w:instrText>
      </w:r>
      <w:r w:rsidR="00990B45" w:rsidRPr="00442A3B">
        <w:fldChar w:fldCharType="separate"/>
      </w:r>
      <w:r w:rsidR="00FC3D3D" w:rsidRPr="00442A3B">
        <w:t>Table 2</w:t>
      </w:r>
      <w:r w:rsidR="00FC3D3D" w:rsidRPr="00442A3B">
        <w:noBreakHyphen/>
      </w:r>
      <w:r w:rsidR="00FC3D3D">
        <w:t>7</w:t>
      </w:r>
      <w:r w:rsidR="00990B45" w:rsidRPr="00442A3B">
        <w:fldChar w:fldCharType="end"/>
      </w:r>
      <w:r w:rsidR="00990B45" w:rsidRPr="00442A3B">
        <w:t xml:space="preserve"> </w:t>
      </w:r>
      <w:r w:rsidRPr="00442A3B">
        <w:t>shows how these differences contribute</w:t>
      </w:r>
      <w:r w:rsidR="00683115" w:rsidRPr="00442A3B">
        <w:t>d</w:t>
      </w:r>
      <w:r w:rsidRPr="00442A3B">
        <w:t xml:space="preserve"> to differences </w:t>
      </w:r>
      <w:r w:rsidR="008E5F23" w:rsidRPr="00442A3B">
        <w:t xml:space="preserve">between </w:t>
      </w:r>
      <w:r w:rsidRPr="00442A3B">
        <w:t xml:space="preserve">the recommended GST </w:t>
      </w:r>
      <w:r w:rsidR="007263A3" w:rsidRPr="00442A3B">
        <w:t xml:space="preserve">pool </w:t>
      </w:r>
      <w:r w:rsidRPr="00442A3B">
        <w:t>distribution</w:t>
      </w:r>
      <w:r w:rsidR="008E5F23" w:rsidRPr="00442A3B">
        <w:t xml:space="preserve"> and an equal per capita allocation of the GST pool.</w:t>
      </w:r>
    </w:p>
    <w:p w14:paraId="15272545" w14:textId="328F416A" w:rsidR="00BA7CC1" w:rsidRPr="00442A3B" w:rsidRDefault="00BA7CC1" w:rsidP="005E724E">
      <w:pPr>
        <w:pStyle w:val="Caption"/>
      </w:pPr>
      <w:bookmarkStart w:id="121" w:name="_Ref30604727"/>
      <w:bookmarkStart w:id="122" w:name="_Ref32934048"/>
      <w:bookmarkStart w:id="123" w:name="_Ref52542097"/>
      <w:bookmarkStart w:id="124" w:name="_Toc62487279"/>
      <w:bookmarkStart w:id="125" w:name="_Toc62723810"/>
      <w:r w:rsidRPr="00442A3B">
        <w:t>Table </w:t>
      </w:r>
      <w:r w:rsidR="00D6468F" w:rsidRPr="00442A3B">
        <w:t>2</w:t>
      </w:r>
      <w:r w:rsidRPr="00442A3B">
        <w:noBreakHyphen/>
      </w:r>
      <w:bookmarkEnd w:id="121"/>
      <w:bookmarkEnd w:id="122"/>
      <w:r w:rsidR="00D6468F" w:rsidRPr="00442A3B">
        <w:fldChar w:fldCharType="begin"/>
      </w:r>
      <w:r w:rsidR="00D6468F" w:rsidRPr="00442A3B">
        <w:instrText xml:space="preserve"> SEQ Table \* ARABIC </w:instrText>
      </w:r>
      <w:r w:rsidR="00D6468F" w:rsidRPr="00442A3B">
        <w:fldChar w:fldCharType="separate"/>
      </w:r>
      <w:r w:rsidR="00FC3D3D">
        <w:rPr>
          <w:noProof/>
        </w:rPr>
        <w:t>7</w:t>
      </w:r>
      <w:r w:rsidR="00D6468F" w:rsidRPr="00442A3B">
        <w:fldChar w:fldCharType="end"/>
      </w:r>
      <w:bookmarkEnd w:id="123"/>
      <w:r w:rsidRPr="00442A3B">
        <w:tab/>
        <w:t>Difference from an equal per capita distribution of GST, 2021</w:t>
      </w:r>
      <w:r w:rsidRPr="00442A3B">
        <w:noBreakHyphen/>
        <w:t>22</w:t>
      </w:r>
      <w:bookmarkEnd w:id="124"/>
      <w:bookmarkEnd w:id="125"/>
    </w:p>
    <w:tbl>
      <w:tblPr>
        <w:tblW w:w="8900" w:type="dxa"/>
        <w:tblCellMar>
          <w:left w:w="28" w:type="dxa"/>
          <w:right w:w="28" w:type="dxa"/>
        </w:tblCellMar>
        <w:tblLook w:val="04A0" w:firstRow="1" w:lastRow="0" w:firstColumn="1" w:lastColumn="0" w:noHBand="0" w:noVBand="1"/>
      </w:tblPr>
      <w:tblGrid>
        <w:gridCol w:w="2700"/>
        <w:gridCol w:w="680"/>
        <w:gridCol w:w="680"/>
        <w:gridCol w:w="680"/>
        <w:gridCol w:w="680"/>
        <w:gridCol w:w="680"/>
        <w:gridCol w:w="680"/>
        <w:gridCol w:w="680"/>
        <w:gridCol w:w="680"/>
        <w:gridCol w:w="760"/>
      </w:tblGrid>
      <w:tr w:rsidR="0095502F" w:rsidRPr="00442A3B" w14:paraId="190B55D8" w14:textId="77777777" w:rsidTr="007E7EE4">
        <w:trPr>
          <w:trHeight w:val="375"/>
        </w:trPr>
        <w:tc>
          <w:tcPr>
            <w:tcW w:w="2700" w:type="dxa"/>
            <w:tcBorders>
              <w:top w:val="single" w:sz="4" w:space="0" w:color="ADD6EA"/>
              <w:left w:val="nil"/>
              <w:bottom w:val="single" w:sz="4" w:space="0" w:color="ADD6EA"/>
              <w:right w:val="nil"/>
            </w:tcBorders>
            <w:shd w:val="clear" w:color="000000" w:fill="006991"/>
            <w:vAlign w:val="center"/>
            <w:hideMark/>
          </w:tcPr>
          <w:p w14:paraId="0FDF8B3B" w14:textId="77777777" w:rsidR="0095502F" w:rsidRPr="00442A3B" w:rsidRDefault="0095502F" w:rsidP="00500284">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 </w:t>
            </w:r>
          </w:p>
        </w:tc>
        <w:tc>
          <w:tcPr>
            <w:tcW w:w="680" w:type="dxa"/>
            <w:tcBorders>
              <w:top w:val="single" w:sz="4" w:space="0" w:color="ADD6EA"/>
              <w:left w:val="nil"/>
              <w:bottom w:val="single" w:sz="4" w:space="0" w:color="ADD6EA"/>
              <w:right w:val="nil"/>
            </w:tcBorders>
            <w:shd w:val="clear" w:color="000000" w:fill="006991"/>
            <w:vAlign w:val="center"/>
            <w:hideMark/>
          </w:tcPr>
          <w:p w14:paraId="0DED1D3F" w14:textId="77777777" w:rsidR="0095502F" w:rsidRPr="00442A3B" w:rsidRDefault="0095502F" w:rsidP="003B16F2">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NSW</w:t>
            </w:r>
          </w:p>
        </w:tc>
        <w:tc>
          <w:tcPr>
            <w:tcW w:w="680" w:type="dxa"/>
            <w:tcBorders>
              <w:top w:val="single" w:sz="4" w:space="0" w:color="ADD6EA"/>
              <w:left w:val="nil"/>
              <w:bottom w:val="single" w:sz="4" w:space="0" w:color="ADD6EA"/>
              <w:right w:val="nil"/>
            </w:tcBorders>
            <w:shd w:val="clear" w:color="000000" w:fill="006991"/>
            <w:vAlign w:val="center"/>
            <w:hideMark/>
          </w:tcPr>
          <w:p w14:paraId="5C879FF3" w14:textId="77777777" w:rsidR="0095502F" w:rsidRPr="00442A3B" w:rsidRDefault="0095502F" w:rsidP="003B16F2">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Vic</w:t>
            </w:r>
          </w:p>
        </w:tc>
        <w:tc>
          <w:tcPr>
            <w:tcW w:w="680" w:type="dxa"/>
            <w:tcBorders>
              <w:top w:val="single" w:sz="4" w:space="0" w:color="ADD6EA"/>
              <w:left w:val="nil"/>
              <w:bottom w:val="single" w:sz="4" w:space="0" w:color="ADD6EA"/>
              <w:right w:val="nil"/>
            </w:tcBorders>
            <w:shd w:val="clear" w:color="000000" w:fill="006991"/>
            <w:vAlign w:val="center"/>
            <w:hideMark/>
          </w:tcPr>
          <w:p w14:paraId="5A10119B" w14:textId="77777777" w:rsidR="0095502F" w:rsidRPr="00442A3B" w:rsidRDefault="0095502F" w:rsidP="003B16F2">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Qld</w:t>
            </w:r>
          </w:p>
        </w:tc>
        <w:tc>
          <w:tcPr>
            <w:tcW w:w="680" w:type="dxa"/>
            <w:tcBorders>
              <w:top w:val="single" w:sz="4" w:space="0" w:color="ADD6EA"/>
              <w:left w:val="nil"/>
              <w:bottom w:val="single" w:sz="4" w:space="0" w:color="ADD6EA"/>
              <w:right w:val="nil"/>
            </w:tcBorders>
            <w:shd w:val="clear" w:color="000000" w:fill="006991"/>
            <w:vAlign w:val="center"/>
            <w:hideMark/>
          </w:tcPr>
          <w:p w14:paraId="35804977" w14:textId="77777777" w:rsidR="0095502F" w:rsidRPr="00442A3B" w:rsidRDefault="0095502F" w:rsidP="003B16F2">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WA</w:t>
            </w:r>
          </w:p>
        </w:tc>
        <w:tc>
          <w:tcPr>
            <w:tcW w:w="680" w:type="dxa"/>
            <w:tcBorders>
              <w:top w:val="single" w:sz="4" w:space="0" w:color="ADD6EA"/>
              <w:left w:val="nil"/>
              <w:bottom w:val="single" w:sz="4" w:space="0" w:color="ADD6EA"/>
              <w:right w:val="nil"/>
            </w:tcBorders>
            <w:shd w:val="clear" w:color="000000" w:fill="006991"/>
            <w:vAlign w:val="center"/>
            <w:hideMark/>
          </w:tcPr>
          <w:p w14:paraId="158F3220" w14:textId="77777777" w:rsidR="0095502F" w:rsidRPr="00442A3B" w:rsidRDefault="0095502F" w:rsidP="003B16F2">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SA</w:t>
            </w:r>
          </w:p>
        </w:tc>
        <w:tc>
          <w:tcPr>
            <w:tcW w:w="680" w:type="dxa"/>
            <w:tcBorders>
              <w:top w:val="single" w:sz="4" w:space="0" w:color="ADD6EA"/>
              <w:left w:val="nil"/>
              <w:bottom w:val="single" w:sz="4" w:space="0" w:color="ADD6EA"/>
              <w:right w:val="nil"/>
            </w:tcBorders>
            <w:shd w:val="clear" w:color="000000" w:fill="006991"/>
            <w:vAlign w:val="center"/>
            <w:hideMark/>
          </w:tcPr>
          <w:p w14:paraId="3182AB93" w14:textId="77777777" w:rsidR="0095502F" w:rsidRPr="00442A3B" w:rsidRDefault="0095502F" w:rsidP="003B16F2">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Tas</w:t>
            </w:r>
          </w:p>
        </w:tc>
        <w:tc>
          <w:tcPr>
            <w:tcW w:w="680" w:type="dxa"/>
            <w:tcBorders>
              <w:top w:val="single" w:sz="4" w:space="0" w:color="ADD6EA"/>
              <w:left w:val="nil"/>
              <w:bottom w:val="single" w:sz="4" w:space="0" w:color="ADD6EA"/>
              <w:right w:val="nil"/>
            </w:tcBorders>
            <w:shd w:val="clear" w:color="000000" w:fill="006991"/>
            <w:vAlign w:val="center"/>
            <w:hideMark/>
          </w:tcPr>
          <w:p w14:paraId="7CFCF7D9" w14:textId="77777777" w:rsidR="0095502F" w:rsidRPr="00442A3B" w:rsidRDefault="0095502F" w:rsidP="003B16F2">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ACT</w:t>
            </w:r>
          </w:p>
        </w:tc>
        <w:tc>
          <w:tcPr>
            <w:tcW w:w="680" w:type="dxa"/>
            <w:tcBorders>
              <w:top w:val="single" w:sz="4" w:space="0" w:color="ADD6EA"/>
              <w:left w:val="nil"/>
              <w:bottom w:val="single" w:sz="4" w:space="0" w:color="ADD6EA"/>
              <w:right w:val="nil"/>
            </w:tcBorders>
            <w:shd w:val="clear" w:color="000000" w:fill="006991"/>
            <w:vAlign w:val="center"/>
            <w:hideMark/>
          </w:tcPr>
          <w:p w14:paraId="0FBD2AAF" w14:textId="77777777" w:rsidR="0095502F" w:rsidRPr="00442A3B" w:rsidRDefault="0095502F" w:rsidP="003B16F2">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NT</w:t>
            </w:r>
          </w:p>
        </w:tc>
        <w:tc>
          <w:tcPr>
            <w:tcW w:w="760" w:type="dxa"/>
            <w:tcBorders>
              <w:top w:val="single" w:sz="4" w:space="0" w:color="ADD6EA"/>
              <w:left w:val="nil"/>
              <w:bottom w:val="single" w:sz="4" w:space="0" w:color="ADD6EA"/>
              <w:right w:val="nil"/>
            </w:tcBorders>
            <w:shd w:val="clear" w:color="000000" w:fill="006991"/>
            <w:vAlign w:val="center"/>
            <w:hideMark/>
          </w:tcPr>
          <w:p w14:paraId="671B2FF2" w14:textId="77777777" w:rsidR="0095502F" w:rsidRPr="00442A3B" w:rsidRDefault="0095502F" w:rsidP="003B16F2">
            <w:pPr>
              <w:keepNext/>
              <w:keepLines/>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Redist</w:t>
            </w:r>
          </w:p>
        </w:tc>
      </w:tr>
      <w:tr w:rsidR="0095502F" w:rsidRPr="00442A3B" w14:paraId="64B520F0" w14:textId="77777777" w:rsidTr="007E7EE4">
        <w:trPr>
          <w:trHeight w:val="259"/>
        </w:trPr>
        <w:tc>
          <w:tcPr>
            <w:tcW w:w="2700" w:type="dxa"/>
            <w:tcBorders>
              <w:top w:val="nil"/>
              <w:left w:val="nil"/>
              <w:bottom w:val="single" w:sz="4" w:space="0" w:color="ADD6EA"/>
              <w:right w:val="nil"/>
            </w:tcBorders>
            <w:shd w:val="clear" w:color="000000" w:fill="B6D5E4"/>
            <w:vAlign w:val="bottom"/>
            <w:hideMark/>
          </w:tcPr>
          <w:p w14:paraId="62E90DC4" w14:textId="77777777" w:rsidR="0095502F" w:rsidRPr="00442A3B" w:rsidRDefault="0095502F" w:rsidP="0095502F">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442A3B">
              <w:rPr>
                <w:rFonts w:ascii="Open Sans Semibold" w:eastAsia="Times New Roman" w:hAnsi="Open Sans Semibold" w:cs="Open Sans Semibold"/>
                <w:sz w:val="16"/>
                <w:szCs w:val="16"/>
                <w:lang w:eastAsia="en-AU"/>
              </w:rPr>
              <w:t> </w:t>
            </w:r>
          </w:p>
        </w:tc>
        <w:tc>
          <w:tcPr>
            <w:tcW w:w="680" w:type="dxa"/>
            <w:tcBorders>
              <w:top w:val="nil"/>
              <w:left w:val="nil"/>
              <w:bottom w:val="single" w:sz="4" w:space="0" w:color="ADD6EA"/>
              <w:right w:val="nil"/>
            </w:tcBorders>
            <w:shd w:val="clear" w:color="000000" w:fill="B6D5E4"/>
            <w:vAlign w:val="bottom"/>
            <w:hideMark/>
          </w:tcPr>
          <w:p w14:paraId="21C2114A" w14:textId="77777777" w:rsidR="0095502F" w:rsidRPr="00442A3B" w:rsidRDefault="0095502F" w:rsidP="00500284">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680" w:type="dxa"/>
            <w:tcBorders>
              <w:top w:val="nil"/>
              <w:left w:val="nil"/>
              <w:bottom w:val="single" w:sz="4" w:space="0" w:color="ADD6EA"/>
              <w:right w:val="nil"/>
            </w:tcBorders>
            <w:shd w:val="clear" w:color="000000" w:fill="B6D5E4"/>
            <w:vAlign w:val="bottom"/>
            <w:hideMark/>
          </w:tcPr>
          <w:p w14:paraId="2D1E0BBE" w14:textId="77777777" w:rsidR="0095502F" w:rsidRPr="00442A3B" w:rsidRDefault="0095502F" w:rsidP="003B16F2">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680" w:type="dxa"/>
            <w:tcBorders>
              <w:top w:val="nil"/>
              <w:left w:val="nil"/>
              <w:bottom w:val="single" w:sz="4" w:space="0" w:color="ADD6EA"/>
              <w:right w:val="nil"/>
            </w:tcBorders>
            <w:shd w:val="clear" w:color="000000" w:fill="B6D5E4"/>
            <w:vAlign w:val="bottom"/>
            <w:hideMark/>
          </w:tcPr>
          <w:p w14:paraId="74B532EA" w14:textId="77777777" w:rsidR="0095502F" w:rsidRPr="00442A3B" w:rsidRDefault="0095502F" w:rsidP="003B16F2">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680" w:type="dxa"/>
            <w:tcBorders>
              <w:top w:val="nil"/>
              <w:left w:val="nil"/>
              <w:bottom w:val="single" w:sz="4" w:space="0" w:color="ADD6EA"/>
              <w:right w:val="nil"/>
            </w:tcBorders>
            <w:shd w:val="clear" w:color="000000" w:fill="B6D5E4"/>
            <w:vAlign w:val="bottom"/>
            <w:hideMark/>
          </w:tcPr>
          <w:p w14:paraId="666F325E" w14:textId="77777777" w:rsidR="0095502F" w:rsidRPr="00442A3B" w:rsidRDefault="0095502F" w:rsidP="003B16F2">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680" w:type="dxa"/>
            <w:tcBorders>
              <w:top w:val="nil"/>
              <w:left w:val="nil"/>
              <w:bottom w:val="single" w:sz="4" w:space="0" w:color="ADD6EA"/>
              <w:right w:val="nil"/>
            </w:tcBorders>
            <w:shd w:val="clear" w:color="000000" w:fill="B6D5E4"/>
            <w:vAlign w:val="bottom"/>
            <w:hideMark/>
          </w:tcPr>
          <w:p w14:paraId="52EC27A0" w14:textId="77777777" w:rsidR="0095502F" w:rsidRPr="00442A3B" w:rsidRDefault="0095502F" w:rsidP="003B16F2">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680" w:type="dxa"/>
            <w:tcBorders>
              <w:top w:val="nil"/>
              <w:left w:val="nil"/>
              <w:bottom w:val="single" w:sz="4" w:space="0" w:color="ADD6EA"/>
              <w:right w:val="nil"/>
            </w:tcBorders>
            <w:shd w:val="clear" w:color="000000" w:fill="B6D5E4"/>
            <w:vAlign w:val="bottom"/>
            <w:hideMark/>
          </w:tcPr>
          <w:p w14:paraId="48B8F90B" w14:textId="77777777" w:rsidR="0095502F" w:rsidRPr="00442A3B" w:rsidRDefault="0095502F" w:rsidP="003B16F2">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680" w:type="dxa"/>
            <w:tcBorders>
              <w:top w:val="nil"/>
              <w:left w:val="nil"/>
              <w:bottom w:val="single" w:sz="4" w:space="0" w:color="ADD6EA"/>
              <w:right w:val="nil"/>
            </w:tcBorders>
            <w:shd w:val="clear" w:color="000000" w:fill="B6D5E4"/>
            <w:vAlign w:val="bottom"/>
            <w:hideMark/>
          </w:tcPr>
          <w:p w14:paraId="7B37059E" w14:textId="77777777" w:rsidR="0095502F" w:rsidRPr="00442A3B" w:rsidRDefault="0095502F" w:rsidP="003B16F2">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680" w:type="dxa"/>
            <w:tcBorders>
              <w:top w:val="nil"/>
              <w:left w:val="nil"/>
              <w:bottom w:val="single" w:sz="4" w:space="0" w:color="ADD6EA"/>
              <w:right w:val="nil"/>
            </w:tcBorders>
            <w:shd w:val="clear" w:color="000000" w:fill="B6D5E4"/>
            <w:vAlign w:val="bottom"/>
            <w:hideMark/>
          </w:tcPr>
          <w:p w14:paraId="08DF6A73" w14:textId="77777777" w:rsidR="0095502F" w:rsidRPr="00442A3B" w:rsidRDefault="0095502F" w:rsidP="003B16F2">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vAlign w:val="bottom"/>
            <w:hideMark/>
          </w:tcPr>
          <w:p w14:paraId="7E036E8D" w14:textId="77777777" w:rsidR="0095502F" w:rsidRPr="00442A3B" w:rsidRDefault="0095502F" w:rsidP="003B16F2">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$m</w:t>
            </w:r>
          </w:p>
        </w:tc>
      </w:tr>
      <w:tr w:rsidR="0095502F" w:rsidRPr="00442A3B" w14:paraId="45094669" w14:textId="77777777" w:rsidTr="007E7EE4">
        <w:trPr>
          <w:trHeight w:val="315"/>
        </w:trPr>
        <w:tc>
          <w:tcPr>
            <w:tcW w:w="2700" w:type="dxa"/>
            <w:tcBorders>
              <w:top w:val="nil"/>
              <w:left w:val="nil"/>
              <w:bottom w:val="single" w:sz="4" w:space="0" w:color="ADD6EA"/>
              <w:right w:val="nil"/>
            </w:tcBorders>
            <w:shd w:val="clear" w:color="auto" w:fill="auto"/>
            <w:noWrap/>
            <w:vAlign w:val="bottom"/>
            <w:hideMark/>
          </w:tcPr>
          <w:p w14:paraId="13BD91FF" w14:textId="77777777" w:rsidR="0095502F" w:rsidRPr="00442A3B" w:rsidRDefault="0095502F" w:rsidP="0095502F">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Expense requirement</w:t>
            </w:r>
          </w:p>
        </w:tc>
        <w:tc>
          <w:tcPr>
            <w:tcW w:w="680" w:type="dxa"/>
            <w:tcBorders>
              <w:top w:val="nil"/>
              <w:left w:val="nil"/>
              <w:bottom w:val="single" w:sz="4" w:space="0" w:color="ADD6EA"/>
              <w:right w:val="nil"/>
            </w:tcBorders>
            <w:shd w:val="clear" w:color="auto" w:fill="auto"/>
            <w:noWrap/>
            <w:vAlign w:val="bottom"/>
            <w:hideMark/>
          </w:tcPr>
          <w:p w14:paraId="6A96B24F" w14:textId="77777777" w:rsidR="0095502F" w:rsidRPr="00442A3B" w:rsidRDefault="0095502F" w:rsidP="00500284">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-1,068</w:t>
            </w:r>
          </w:p>
        </w:tc>
        <w:tc>
          <w:tcPr>
            <w:tcW w:w="680" w:type="dxa"/>
            <w:tcBorders>
              <w:top w:val="nil"/>
              <w:left w:val="nil"/>
              <w:bottom w:val="single" w:sz="4" w:space="0" w:color="ADD6EA"/>
              <w:right w:val="nil"/>
            </w:tcBorders>
            <w:shd w:val="clear" w:color="auto" w:fill="auto"/>
            <w:noWrap/>
            <w:vAlign w:val="bottom"/>
            <w:hideMark/>
          </w:tcPr>
          <w:p w14:paraId="32437643"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-4,848</w:t>
            </w:r>
          </w:p>
        </w:tc>
        <w:tc>
          <w:tcPr>
            <w:tcW w:w="680" w:type="dxa"/>
            <w:tcBorders>
              <w:top w:val="nil"/>
              <w:left w:val="nil"/>
              <w:bottom w:val="single" w:sz="4" w:space="0" w:color="ADD6EA"/>
              <w:right w:val="nil"/>
            </w:tcBorders>
            <w:shd w:val="clear" w:color="auto" w:fill="auto"/>
            <w:noWrap/>
            <w:vAlign w:val="bottom"/>
            <w:hideMark/>
          </w:tcPr>
          <w:p w14:paraId="611CC1F4"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1,302</w:t>
            </w:r>
          </w:p>
        </w:tc>
        <w:tc>
          <w:tcPr>
            <w:tcW w:w="680" w:type="dxa"/>
            <w:tcBorders>
              <w:top w:val="nil"/>
              <w:left w:val="nil"/>
              <w:bottom w:val="single" w:sz="4" w:space="0" w:color="ADD6EA"/>
              <w:right w:val="nil"/>
            </w:tcBorders>
            <w:shd w:val="clear" w:color="auto" w:fill="auto"/>
            <w:noWrap/>
            <w:vAlign w:val="bottom"/>
            <w:hideMark/>
          </w:tcPr>
          <w:p w14:paraId="274990C6"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1,469</w:t>
            </w:r>
          </w:p>
        </w:tc>
        <w:tc>
          <w:tcPr>
            <w:tcW w:w="680" w:type="dxa"/>
            <w:tcBorders>
              <w:top w:val="nil"/>
              <w:left w:val="nil"/>
              <w:bottom w:val="single" w:sz="4" w:space="0" w:color="ADD6EA"/>
              <w:right w:val="nil"/>
            </w:tcBorders>
            <w:shd w:val="clear" w:color="auto" w:fill="auto"/>
            <w:noWrap/>
            <w:vAlign w:val="bottom"/>
            <w:hideMark/>
          </w:tcPr>
          <w:p w14:paraId="4C43BB52"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159</w:t>
            </w:r>
          </w:p>
        </w:tc>
        <w:tc>
          <w:tcPr>
            <w:tcW w:w="680" w:type="dxa"/>
            <w:tcBorders>
              <w:top w:val="nil"/>
              <w:left w:val="nil"/>
              <w:bottom w:val="single" w:sz="4" w:space="0" w:color="ADD6EA"/>
              <w:right w:val="nil"/>
            </w:tcBorders>
            <w:shd w:val="clear" w:color="auto" w:fill="auto"/>
            <w:noWrap/>
            <w:vAlign w:val="bottom"/>
            <w:hideMark/>
          </w:tcPr>
          <w:p w14:paraId="5D7605E4"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834</w:t>
            </w:r>
          </w:p>
        </w:tc>
        <w:tc>
          <w:tcPr>
            <w:tcW w:w="680" w:type="dxa"/>
            <w:tcBorders>
              <w:top w:val="nil"/>
              <w:left w:val="nil"/>
              <w:bottom w:val="single" w:sz="4" w:space="0" w:color="ADD6EA"/>
              <w:right w:val="nil"/>
            </w:tcBorders>
            <w:shd w:val="clear" w:color="auto" w:fill="auto"/>
            <w:noWrap/>
            <w:vAlign w:val="bottom"/>
            <w:hideMark/>
          </w:tcPr>
          <w:p w14:paraId="13CCD226"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-191</w:t>
            </w:r>
          </w:p>
        </w:tc>
        <w:tc>
          <w:tcPr>
            <w:tcW w:w="680" w:type="dxa"/>
            <w:tcBorders>
              <w:top w:val="nil"/>
              <w:left w:val="nil"/>
              <w:bottom w:val="single" w:sz="4" w:space="0" w:color="ADD6EA"/>
              <w:right w:val="nil"/>
            </w:tcBorders>
            <w:shd w:val="clear" w:color="auto" w:fill="auto"/>
            <w:noWrap/>
            <w:vAlign w:val="bottom"/>
            <w:hideMark/>
          </w:tcPr>
          <w:p w14:paraId="33A6B8DF"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2,342</w:t>
            </w:r>
          </w:p>
        </w:tc>
        <w:tc>
          <w:tcPr>
            <w:tcW w:w="760" w:type="dxa"/>
            <w:tcBorders>
              <w:top w:val="nil"/>
              <w:left w:val="nil"/>
              <w:bottom w:val="single" w:sz="4" w:space="0" w:color="ADD6EA"/>
              <w:right w:val="nil"/>
            </w:tcBorders>
            <w:shd w:val="clear" w:color="auto" w:fill="auto"/>
            <w:noWrap/>
            <w:vAlign w:val="bottom"/>
            <w:hideMark/>
          </w:tcPr>
          <w:p w14:paraId="1E0F1E47"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6,107</w:t>
            </w:r>
          </w:p>
        </w:tc>
      </w:tr>
      <w:tr w:rsidR="0095502F" w:rsidRPr="00442A3B" w14:paraId="053ED7B2" w14:textId="77777777" w:rsidTr="007E7EE4">
        <w:trPr>
          <w:trHeight w:val="315"/>
        </w:trPr>
        <w:tc>
          <w:tcPr>
            <w:tcW w:w="2700" w:type="dxa"/>
            <w:tcBorders>
              <w:top w:val="nil"/>
              <w:left w:val="nil"/>
              <w:bottom w:val="single" w:sz="4" w:space="0" w:color="ADD6EA"/>
              <w:right w:val="nil"/>
            </w:tcBorders>
            <w:shd w:val="clear" w:color="auto" w:fill="auto"/>
            <w:noWrap/>
            <w:vAlign w:val="bottom"/>
            <w:hideMark/>
          </w:tcPr>
          <w:p w14:paraId="0FDF01F7" w14:textId="77777777" w:rsidR="0095502F" w:rsidRPr="00442A3B" w:rsidRDefault="0095502F" w:rsidP="0095502F">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Investment requirement</w:t>
            </w:r>
          </w:p>
        </w:tc>
        <w:tc>
          <w:tcPr>
            <w:tcW w:w="680" w:type="dxa"/>
            <w:tcBorders>
              <w:top w:val="nil"/>
              <w:left w:val="nil"/>
              <w:bottom w:val="single" w:sz="4" w:space="0" w:color="ADD6EA"/>
              <w:right w:val="nil"/>
            </w:tcBorders>
            <w:shd w:val="clear" w:color="auto" w:fill="auto"/>
            <w:noWrap/>
            <w:vAlign w:val="bottom"/>
            <w:hideMark/>
          </w:tcPr>
          <w:p w14:paraId="795B0FB5" w14:textId="77777777" w:rsidR="0095502F" w:rsidRPr="00442A3B" w:rsidRDefault="0095502F" w:rsidP="00500284">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-59</w:t>
            </w:r>
          </w:p>
        </w:tc>
        <w:tc>
          <w:tcPr>
            <w:tcW w:w="680" w:type="dxa"/>
            <w:tcBorders>
              <w:top w:val="nil"/>
              <w:left w:val="nil"/>
              <w:bottom w:val="single" w:sz="4" w:space="0" w:color="ADD6EA"/>
              <w:right w:val="nil"/>
            </w:tcBorders>
            <w:shd w:val="clear" w:color="auto" w:fill="auto"/>
            <w:noWrap/>
            <w:vAlign w:val="bottom"/>
            <w:hideMark/>
          </w:tcPr>
          <w:p w14:paraId="35768EB0"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73</w:t>
            </w:r>
          </w:p>
        </w:tc>
        <w:tc>
          <w:tcPr>
            <w:tcW w:w="680" w:type="dxa"/>
            <w:tcBorders>
              <w:top w:val="nil"/>
              <w:left w:val="nil"/>
              <w:bottom w:val="single" w:sz="4" w:space="0" w:color="ADD6EA"/>
              <w:right w:val="nil"/>
            </w:tcBorders>
            <w:shd w:val="clear" w:color="auto" w:fill="auto"/>
            <w:noWrap/>
            <w:vAlign w:val="bottom"/>
            <w:hideMark/>
          </w:tcPr>
          <w:p w14:paraId="204CBA33"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105</w:t>
            </w:r>
          </w:p>
        </w:tc>
        <w:tc>
          <w:tcPr>
            <w:tcW w:w="680" w:type="dxa"/>
            <w:tcBorders>
              <w:top w:val="nil"/>
              <w:left w:val="nil"/>
              <w:bottom w:val="single" w:sz="4" w:space="0" w:color="ADD6EA"/>
              <w:right w:val="nil"/>
            </w:tcBorders>
            <w:shd w:val="clear" w:color="auto" w:fill="auto"/>
            <w:noWrap/>
            <w:vAlign w:val="bottom"/>
            <w:hideMark/>
          </w:tcPr>
          <w:p w14:paraId="3A8FFC36"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164</w:t>
            </w:r>
          </w:p>
        </w:tc>
        <w:tc>
          <w:tcPr>
            <w:tcW w:w="680" w:type="dxa"/>
            <w:tcBorders>
              <w:top w:val="nil"/>
              <w:left w:val="nil"/>
              <w:bottom w:val="single" w:sz="4" w:space="0" w:color="ADD6EA"/>
              <w:right w:val="nil"/>
            </w:tcBorders>
            <w:shd w:val="clear" w:color="auto" w:fill="auto"/>
            <w:noWrap/>
            <w:vAlign w:val="bottom"/>
            <w:hideMark/>
          </w:tcPr>
          <w:p w14:paraId="40CB7A9C"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-411</w:t>
            </w:r>
          </w:p>
        </w:tc>
        <w:tc>
          <w:tcPr>
            <w:tcW w:w="680" w:type="dxa"/>
            <w:tcBorders>
              <w:top w:val="nil"/>
              <w:left w:val="nil"/>
              <w:bottom w:val="single" w:sz="4" w:space="0" w:color="ADD6EA"/>
              <w:right w:val="nil"/>
            </w:tcBorders>
            <w:shd w:val="clear" w:color="auto" w:fill="auto"/>
            <w:noWrap/>
            <w:vAlign w:val="bottom"/>
            <w:hideMark/>
          </w:tcPr>
          <w:p w14:paraId="592B8817"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-131</w:t>
            </w:r>
          </w:p>
        </w:tc>
        <w:tc>
          <w:tcPr>
            <w:tcW w:w="680" w:type="dxa"/>
            <w:tcBorders>
              <w:top w:val="nil"/>
              <w:left w:val="nil"/>
              <w:bottom w:val="single" w:sz="4" w:space="0" w:color="ADD6EA"/>
              <w:right w:val="nil"/>
            </w:tcBorders>
            <w:shd w:val="clear" w:color="auto" w:fill="auto"/>
            <w:noWrap/>
            <w:vAlign w:val="bottom"/>
            <w:hideMark/>
          </w:tcPr>
          <w:p w14:paraId="7610B6E4"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-144</w:t>
            </w:r>
          </w:p>
        </w:tc>
        <w:tc>
          <w:tcPr>
            <w:tcW w:w="680" w:type="dxa"/>
            <w:tcBorders>
              <w:top w:val="nil"/>
              <w:left w:val="nil"/>
              <w:bottom w:val="single" w:sz="4" w:space="0" w:color="ADD6EA"/>
              <w:right w:val="nil"/>
            </w:tcBorders>
            <w:shd w:val="clear" w:color="auto" w:fill="auto"/>
            <w:noWrap/>
            <w:vAlign w:val="bottom"/>
            <w:hideMark/>
          </w:tcPr>
          <w:p w14:paraId="7A452F2D"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403</w:t>
            </w:r>
          </w:p>
        </w:tc>
        <w:tc>
          <w:tcPr>
            <w:tcW w:w="760" w:type="dxa"/>
            <w:tcBorders>
              <w:top w:val="nil"/>
              <w:left w:val="nil"/>
              <w:bottom w:val="single" w:sz="4" w:space="0" w:color="ADD6EA"/>
              <w:right w:val="nil"/>
            </w:tcBorders>
            <w:shd w:val="clear" w:color="auto" w:fill="auto"/>
            <w:noWrap/>
            <w:vAlign w:val="bottom"/>
            <w:hideMark/>
          </w:tcPr>
          <w:p w14:paraId="4B2FD658"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745</w:t>
            </w:r>
          </w:p>
        </w:tc>
      </w:tr>
      <w:tr w:rsidR="0095502F" w:rsidRPr="00442A3B" w14:paraId="5E1BFE57" w14:textId="77777777" w:rsidTr="007E7EE4">
        <w:trPr>
          <w:trHeight w:val="315"/>
        </w:trPr>
        <w:tc>
          <w:tcPr>
            <w:tcW w:w="2700" w:type="dxa"/>
            <w:tcBorders>
              <w:top w:val="nil"/>
              <w:left w:val="nil"/>
              <w:bottom w:val="single" w:sz="4" w:space="0" w:color="ADD6EA"/>
              <w:right w:val="nil"/>
            </w:tcBorders>
            <w:shd w:val="clear" w:color="auto" w:fill="auto"/>
            <w:noWrap/>
            <w:vAlign w:val="bottom"/>
            <w:hideMark/>
          </w:tcPr>
          <w:p w14:paraId="56E58674" w14:textId="77777777" w:rsidR="0095502F" w:rsidRPr="00442A3B" w:rsidRDefault="0095502F" w:rsidP="0095502F">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Net borrowing</w:t>
            </w:r>
          </w:p>
        </w:tc>
        <w:tc>
          <w:tcPr>
            <w:tcW w:w="680" w:type="dxa"/>
            <w:tcBorders>
              <w:top w:val="nil"/>
              <w:left w:val="nil"/>
              <w:bottom w:val="single" w:sz="4" w:space="0" w:color="ADD6EA"/>
              <w:right w:val="nil"/>
            </w:tcBorders>
            <w:shd w:val="clear" w:color="auto" w:fill="auto"/>
            <w:noWrap/>
            <w:vAlign w:val="bottom"/>
            <w:hideMark/>
          </w:tcPr>
          <w:p w14:paraId="3E63F239" w14:textId="77777777" w:rsidR="0095502F" w:rsidRPr="00442A3B" w:rsidRDefault="0095502F" w:rsidP="00500284">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114</w:t>
            </w:r>
          </w:p>
        </w:tc>
        <w:tc>
          <w:tcPr>
            <w:tcW w:w="680" w:type="dxa"/>
            <w:tcBorders>
              <w:top w:val="nil"/>
              <w:left w:val="nil"/>
              <w:bottom w:val="single" w:sz="4" w:space="0" w:color="ADD6EA"/>
              <w:right w:val="nil"/>
            </w:tcBorders>
            <w:shd w:val="clear" w:color="auto" w:fill="auto"/>
            <w:noWrap/>
            <w:vAlign w:val="bottom"/>
            <w:hideMark/>
          </w:tcPr>
          <w:p w14:paraId="1B5045A2"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-245</w:t>
            </w:r>
          </w:p>
        </w:tc>
        <w:tc>
          <w:tcPr>
            <w:tcW w:w="680" w:type="dxa"/>
            <w:tcBorders>
              <w:top w:val="nil"/>
              <w:left w:val="nil"/>
              <w:bottom w:val="single" w:sz="4" w:space="0" w:color="ADD6EA"/>
              <w:right w:val="nil"/>
            </w:tcBorders>
            <w:shd w:val="clear" w:color="auto" w:fill="auto"/>
            <w:noWrap/>
            <w:vAlign w:val="bottom"/>
            <w:hideMark/>
          </w:tcPr>
          <w:p w14:paraId="718C11EB"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-50</w:t>
            </w:r>
          </w:p>
        </w:tc>
        <w:tc>
          <w:tcPr>
            <w:tcW w:w="680" w:type="dxa"/>
            <w:tcBorders>
              <w:top w:val="nil"/>
              <w:left w:val="nil"/>
              <w:bottom w:val="single" w:sz="4" w:space="0" w:color="ADD6EA"/>
              <w:right w:val="nil"/>
            </w:tcBorders>
            <w:shd w:val="clear" w:color="auto" w:fill="auto"/>
            <w:noWrap/>
            <w:vAlign w:val="bottom"/>
            <w:hideMark/>
          </w:tcPr>
          <w:p w14:paraId="25985BCF"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62</w:t>
            </w:r>
          </w:p>
        </w:tc>
        <w:tc>
          <w:tcPr>
            <w:tcW w:w="680" w:type="dxa"/>
            <w:tcBorders>
              <w:top w:val="nil"/>
              <w:left w:val="nil"/>
              <w:bottom w:val="single" w:sz="4" w:space="0" w:color="ADD6EA"/>
              <w:right w:val="nil"/>
            </w:tcBorders>
            <w:shd w:val="clear" w:color="auto" w:fill="auto"/>
            <w:noWrap/>
            <w:vAlign w:val="bottom"/>
            <w:hideMark/>
          </w:tcPr>
          <w:p w14:paraId="6106DC5A"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76</w:t>
            </w:r>
          </w:p>
        </w:tc>
        <w:tc>
          <w:tcPr>
            <w:tcW w:w="680" w:type="dxa"/>
            <w:tcBorders>
              <w:top w:val="nil"/>
              <w:left w:val="nil"/>
              <w:bottom w:val="single" w:sz="4" w:space="0" w:color="ADD6EA"/>
              <w:right w:val="nil"/>
            </w:tcBorders>
            <w:shd w:val="clear" w:color="auto" w:fill="auto"/>
            <w:noWrap/>
            <w:vAlign w:val="bottom"/>
            <w:hideMark/>
          </w:tcPr>
          <w:p w14:paraId="5F4065D3"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13</w:t>
            </w:r>
          </w:p>
        </w:tc>
        <w:tc>
          <w:tcPr>
            <w:tcW w:w="680" w:type="dxa"/>
            <w:tcBorders>
              <w:top w:val="nil"/>
              <w:left w:val="nil"/>
              <w:bottom w:val="single" w:sz="4" w:space="0" w:color="ADD6EA"/>
              <w:right w:val="nil"/>
            </w:tcBorders>
            <w:shd w:val="clear" w:color="auto" w:fill="auto"/>
            <w:noWrap/>
            <w:vAlign w:val="bottom"/>
            <w:hideMark/>
          </w:tcPr>
          <w:p w14:paraId="448F3687"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w:t>
            </w:r>
          </w:p>
        </w:tc>
        <w:tc>
          <w:tcPr>
            <w:tcW w:w="680" w:type="dxa"/>
            <w:tcBorders>
              <w:top w:val="nil"/>
              <w:left w:val="nil"/>
              <w:bottom w:val="single" w:sz="4" w:space="0" w:color="ADD6EA"/>
              <w:right w:val="nil"/>
            </w:tcBorders>
            <w:shd w:val="clear" w:color="auto" w:fill="auto"/>
            <w:noWrap/>
            <w:vAlign w:val="bottom"/>
            <w:hideMark/>
          </w:tcPr>
          <w:p w14:paraId="452BC1F1"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28</w:t>
            </w:r>
          </w:p>
        </w:tc>
        <w:tc>
          <w:tcPr>
            <w:tcW w:w="760" w:type="dxa"/>
            <w:tcBorders>
              <w:top w:val="nil"/>
              <w:left w:val="nil"/>
              <w:bottom w:val="single" w:sz="4" w:space="0" w:color="ADD6EA"/>
              <w:right w:val="nil"/>
            </w:tcBorders>
            <w:shd w:val="clear" w:color="auto" w:fill="auto"/>
            <w:noWrap/>
            <w:vAlign w:val="bottom"/>
            <w:hideMark/>
          </w:tcPr>
          <w:p w14:paraId="3ABC1FC8"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295</w:t>
            </w:r>
          </w:p>
        </w:tc>
      </w:tr>
      <w:tr w:rsidR="0095502F" w:rsidRPr="00442A3B" w14:paraId="65F454DF" w14:textId="77777777" w:rsidTr="007E7EE4">
        <w:trPr>
          <w:trHeight w:val="315"/>
        </w:trPr>
        <w:tc>
          <w:tcPr>
            <w:tcW w:w="2700" w:type="dxa"/>
            <w:tcBorders>
              <w:top w:val="nil"/>
              <w:left w:val="nil"/>
              <w:bottom w:val="single" w:sz="4" w:space="0" w:color="ADD6EA"/>
              <w:right w:val="nil"/>
            </w:tcBorders>
            <w:shd w:val="clear" w:color="auto" w:fill="auto"/>
            <w:noWrap/>
            <w:vAlign w:val="bottom"/>
            <w:hideMark/>
          </w:tcPr>
          <w:p w14:paraId="72F942C4" w14:textId="25ED5A03" w:rsidR="0095502F" w:rsidRPr="00442A3B" w:rsidRDefault="0095502F" w:rsidP="0095502F">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 xml:space="preserve">Revenue raising capacity </w:t>
            </w:r>
          </w:p>
        </w:tc>
        <w:tc>
          <w:tcPr>
            <w:tcW w:w="680" w:type="dxa"/>
            <w:tcBorders>
              <w:top w:val="nil"/>
              <w:left w:val="nil"/>
              <w:bottom w:val="single" w:sz="4" w:space="0" w:color="ADD6EA"/>
              <w:right w:val="nil"/>
            </w:tcBorders>
            <w:shd w:val="clear" w:color="auto" w:fill="auto"/>
            <w:noWrap/>
            <w:vAlign w:val="bottom"/>
            <w:hideMark/>
          </w:tcPr>
          <w:p w14:paraId="5F83605F" w14:textId="77777777" w:rsidR="0095502F" w:rsidRPr="00442A3B" w:rsidRDefault="0095502F" w:rsidP="00500284">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-153</w:t>
            </w:r>
          </w:p>
        </w:tc>
        <w:tc>
          <w:tcPr>
            <w:tcW w:w="680" w:type="dxa"/>
            <w:tcBorders>
              <w:top w:val="nil"/>
              <w:left w:val="nil"/>
              <w:bottom w:val="single" w:sz="4" w:space="0" w:color="ADD6EA"/>
              <w:right w:val="nil"/>
            </w:tcBorders>
            <w:shd w:val="clear" w:color="auto" w:fill="auto"/>
            <w:noWrap/>
            <w:vAlign w:val="bottom"/>
            <w:hideMark/>
          </w:tcPr>
          <w:p w14:paraId="4E15106D"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2,650</w:t>
            </w:r>
          </w:p>
        </w:tc>
        <w:tc>
          <w:tcPr>
            <w:tcW w:w="680" w:type="dxa"/>
            <w:tcBorders>
              <w:top w:val="nil"/>
              <w:left w:val="nil"/>
              <w:bottom w:val="single" w:sz="4" w:space="0" w:color="ADD6EA"/>
              <w:right w:val="nil"/>
            </w:tcBorders>
            <w:shd w:val="clear" w:color="auto" w:fill="auto"/>
            <w:noWrap/>
            <w:vAlign w:val="bottom"/>
            <w:hideMark/>
          </w:tcPr>
          <w:p w14:paraId="1923FF5D"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564</w:t>
            </w:r>
          </w:p>
        </w:tc>
        <w:tc>
          <w:tcPr>
            <w:tcW w:w="680" w:type="dxa"/>
            <w:tcBorders>
              <w:top w:val="nil"/>
              <w:left w:val="nil"/>
              <w:bottom w:val="single" w:sz="4" w:space="0" w:color="ADD6EA"/>
              <w:right w:val="nil"/>
            </w:tcBorders>
            <w:shd w:val="clear" w:color="auto" w:fill="auto"/>
            <w:noWrap/>
            <w:vAlign w:val="bottom"/>
            <w:hideMark/>
          </w:tcPr>
          <w:p w14:paraId="15085D7E"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-6,287</w:t>
            </w:r>
          </w:p>
        </w:tc>
        <w:tc>
          <w:tcPr>
            <w:tcW w:w="680" w:type="dxa"/>
            <w:tcBorders>
              <w:top w:val="nil"/>
              <w:left w:val="nil"/>
              <w:bottom w:val="single" w:sz="4" w:space="0" w:color="ADD6EA"/>
              <w:right w:val="nil"/>
            </w:tcBorders>
            <w:shd w:val="clear" w:color="auto" w:fill="auto"/>
            <w:noWrap/>
            <w:vAlign w:val="bottom"/>
            <w:hideMark/>
          </w:tcPr>
          <w:p w14:paraId="7CF761EB"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2,031</w:t>
            </w:r>
          </w:p>
        </w:tc>
        <w:tc>
          <w:tcPr>
            <w:tcW w:w="680" w:type="dxa"/>
            <w:tcBorders>
              <w:top w:val="nil"/>
              <w:left w:val="nil"/>
              <w:bottom w:val="single" w:sz="4" w:space="0" w:color="ADD6EA"/>
              <w:right w:val="nil"/>
            </w:tcBorders>
            <w:shd w:val="clear" w:color="auto" w:fill="auto"/>
            <w:noWrap/>
            <w:vAlign w:val="bottom"/>
            <w:hideMark/>
          </w:tcPr>
          <w:p w14:paraId="39746896"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752</w:t>
            </w:r>
          </w:p>
        </w:tc>
        <w:tc>
          <w:tcPr>
            <w:tcW w:w="680" w:type="dxa"/>
            <w:tcBorders>
              <w:top w:val="nil"/>
              <w:left w:val="nil"/>
              <w:bottom w:val="single" w:sz="4" w:space="0" w:color="ADD6EA"/>
              <w:right w:val="nil"/>
            </w:tcBorders>
            <w:shd w:val="clear" w:color="auto" w:fill="auto"/>
            <w:noWrap/>
            <w:vAlign w:val="bottom"/>
            <w:hideMark/>
          </w:tcPr>
          <w:p w14:paraId="41DD11D7"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447</w:t>
            </w:r>
          </w:p>
        </w:tc>
        <w:tc>
          <w:tcPr>
            <w:tcW w:w="680" w:type="dxa"/>
            <w:tcBorders>
              <w:top w:val="nil"/>
              <w:left w:val="nil"/>
              <w:bottom w:val="single" w:sz="4" w:space="0" w:color="ADD6EA"/>
              <w:right w:val="nil"/>
            </w:tcBorders>
            <w:shd w:val="clear" w:color="auto" w:fill="auto"/>
            <w:noWrap/>
            <w:vAlign w:val="bottom"/>
            <w:hideMark/>
          </w:tcPr>
          <w:p w14:paraId="59024CA8"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w:t>
            </w:r>
          </w:p>
        </w:tc>
        <w:tc>
          <w:tcPr>
            <w:tcW w:w="760" w:type="dxa"/>
            <w:tcBorders>
              <w:top w:val="nil"/>
              <w:left w:val="nil"/>
              <w:bottom w:val="single" w:sz="4" w:space="0" w:color="ADD6EA"/>
              <w:right w:val="nil"/>
            </w:tcBorders>
            <w:shd w:val="clear" w:color="auto" w:fill="auto"/>
            <w:noWrap/>
            <w:vAlign w:val="bottom"/>
            <w:hideMark/>
          </w:tcPr>
          <w:p w14:paraId="4843A3EB"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6,445</w:t>
            </w:r>
          </w:p>
        </w:tc>
      </w:tr>
      <w:tr w:rsidR="0095502F" w:rsidRPr="00442A3B" w14:paraId="59C8EA96" w14:textId="77777777" w:rsidTr="007E7EE4">
        <w:trPr>
          <w:trHeight w:val="315"/>
        </w:trPr>
        <w:tc>
          <w:tcPr>
            <w:tcW w:w="2700" w:type="dxa"/>
            <w:tcBorders>
              <w:top w:val="nil"/>
              <w:left w:val="nil"/>
              <w:bottom w:val="single" w:sz="4" w:space="0" w:color="ADD6EA"/>
              <w:right w:val="nil"/>
            </w:tcBorders>
            <w:shd w:val="clear" w:color="auto" w:fill="auto"/>
            <w:noWrap/>
            <w:vAlign w:val="bottom"/>
            <w:hideMark/>
          </w:tcPr>
          <w:p w14:paraId="6968DB6E" w14:textId="7DCB35A3" w:rsidR="0095502F" w:rsidRPr="00442A3B" w:rsidRDefault="0095502F" w:rsidP="0095502F">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Commonwealth payments</w:t>
            </w:r>
            <w:r w:rsidR="00FB7100" w:rsidRPr="00442A3B">
              <w:rPr>
                <w:rFonts w:eastAsia="Times New Roman" w:cs="Open Sans Light"/>
                <w:sz w:val="16"/>
                <w:szCs w:val="16"/>
                <w:lang w:eastAsia="en-AU"/>
              </w:rPr>
              <w:t xml:space="preserve"> (a)</w:t>
            </w:r>
          </w:p>
        </w:tc>
        <w:tc>
          <w:tcPr>
            <w:tcW w:w="680" w:type="dxa"/>
            <w:tcBorders>
              <w:top w:val="nil"/>
              <w:left w:val="nil"/>
              <w:bottom w:val="single" w:sz="4" w:space="0" w:color="ADD6EA"/>
              <w:right w:val="nil"/>
            </w:tcBorders>
            <w:shd w:val="clear" w:color="auto" w:fill="auto"/>
            <w:noWrap/>
            <w:vAlign w:val="bottom"/>
            <w:hideMark/>
          </w:tcPr>
          <w:p w14:paraId="76B704CB" w14:textId="77777777" w:rsidR="0095502F" w:rsidRPr="00442A3B" w:rsidRDefault="0095502F" w:rsidP="00500284">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450</w:t>
            </w:r>
          </w:p>
        </w:tc>
        <w:tc>
          <w:tcPr>
            <w:tcW w:w="680" w:type="dxa"/>
            <w:tcBorders>
              <w:top w:val="nil"/>
              <w:left w:val="nil"/>
              <w:bottom w:val="single" w:sz="4" w:space="0" w:color="ADD6EA"/>
              <w:right w:val="nil"/>
            </w:tcBorders>
            <w:shd w:val="clear" w:color="auto" w:fill="auto"/>
            <w:noWrap/>
            <w:vAlign w:val="bottom"/>
            <w:hideMark/>
          </w:tcPr>
          <w:p w14:paraId="663FC6EC"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1,201</w:t>
            </w:r>
          </w:p>
        </w:tc>
        <w:tc>
          <w:tcPr>
            <w:tcW w:w="680" w:type="dxa"/>
            <w:tcBorders>
              <w:top w:val="nil"/>
              <w:left w:val="nil"/>
              <w:bottom w:val="single" w:sz="4" w:space="0" w:color="ADD6EA"/>
              <w:right w:val="nil"/>
            </w:tcBorders>
            <w:shd w:val="clear" w:color="auto" w:fill="auto"/>
            <w:noWrap/>
            <w:vAlign w:val="bottom"/>
            <w:hideMark/>
          </w:tcPr>
          <w:p w14:paraId="37BF2A38"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-974</w:t>
            </w:r>
          </w:p>
        </w:tc>
        <w:tc>
          <w:tcPr>
            <w:tcW w:w="680" w:type="dxa"/>
            <w:tcBorders>
              <w:top w:val="nil"/>
              <w:left w:val="nil"/>
              <w:bottom w:val="single" w:sz="4" w:space="0" w:color="ADD6EA"/>
              <w:right w:val="nil"/>
            </w:tcBorders>
            <w:shd w:val="clear" w:color="auto" w:fill="auto"/>
            <w:noWrap/>
            <w:vAlign w:val="bottom"/>
            <w:hideMark/>
          </w:tcPr>
          <w:p w14:paraId="3BC3820E"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-71</w:t>
            </w:r>
          </w:p>
        </w:tc>
        <w:tc>
          <w:tcPr>
            <w:tcW w:w="680" w:type="dxa"/>
            <w:tcBorders>
              <w:top w:val="nil"/>
              <w:left w:val="nil"/>
              <w:bottom w:val="single" w:sz="4" w:space="0" w:color="ADD6EA"/>
              <w:right w:val="nil"/>
            </w:tcBorders>
            <w:shd w:val="clear" w:color="auto" w:fill="auto"/>
            <w:noWrap/>
            <w:vAlign w:val="bottom"/>
            <w:hideMark/>
          </w:tcPr>
          <w:p w14:paraId="56613983"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-204</w:t>
            </w:r>
          </w:p>
        </w:tc>
        <w:tc>
          <w:tcPr>
            <w:tcW w:w="680" w:type="dxa"/>
            <w:tcBorders>
              <w:top w:val="nil"/>
              <w:left w:val="nil"/>
              <w:bottom w:val="single" w:sz="4" w:space="0" w:color="ADD6EA"/>
              <w:right w:val="nil"/>
            </w:tcBorders>
            <w:shd w:val="clear" w:color="auto" w:fill="auto"/>
            <w:noWrap/>
            <w:vAlign w:val="bottom"/>
            <w:hideMark/>
          </w:tcPr>
          <w:p w14:paraId="6AE83C0A"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-88</w:t>
            </w:r>
          </w:p>
        </w:tc>
        <w:tc>
          <w:tcPr>
            <w:tcW w:w="680" w:type="dxa"/>
            <w:tcBorders>
              <w:top w:val="nil"/>
              <w:left w:val="nil"/>
              <w:bottom w:val="single" w:sz="4" w:space="0" w:color="ADD6EA"/>
              <w:right w:val="nil"/>
            </w:tcBorders>
            <w:shd w:val="clear" w:color="auto" w:fill="auto"/>
            <w:noWrap/>
            <w:vAlign w:val="bottom"/>
            <w:hideMark/>
          </w:tcPr>
          <w:p w14:paraId="6A544996"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81</w:t>
            </w:r>
          </w:p>
        </w:tc>
        <w:tc>
          <w:tcPr>
            <w:tcW w:w="680" w:type="dxa"/>
            <w:tcBorders>
              <w:top w:val="nil"/>
              <w:left w:val="nil"/>
              <w:bottom w:val="single" w:sz="4" w:space="0" w:color="ADD6EA"/>
              <w:right w:val="nil"/>
            </w:tcBorders>
            <w:shd w:val="clear" w:color="auto" w:fill="auto"/>
            <w:noWrap/>
            <w:vAlign w:val="bottom"/>
            <w:hideMark/>
          </w:tcPr>
          <w:p w14:paraId="3E97E65F"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-395</w:t>
            </w:r>
          </w:p>
        </w:tc>
        <w:tc>
          <w:tcPr>
            <w:tcW w:w="760" w:type="dxa"/>
            <w:tcBorders>
              <w:top w:val="nil"/>
              <w:left w:val="nil"/>
              <w:bottom w:val="single" w:sz="4" w:space="0" w:color="ADD6EA"/>
              <w:right w:val="nil"/>
            </w:tcBorders>
            <w:shd w:val="clear" w:color="auto" w:fill="auto"/>
            <w:noWrap/>
            <w:vAlign w:val="bottom"/>
            <w:hideMark/>
          </w:tcPr>
          <w:p w14:paraId="646D8D0C" w14:textId="77777777" w:rsidR="0095502F" w:rsidRPr="00442A3B" w:rsidRDefault="0095502F" w:rsidP="003B16F2">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1,733</w:t>
            </w:r>
          </w:p>
        </w:tc>
      </w:tr>
      <w:tr w:rsidR="0095502F" w:rsidRPr="00442A3B" w14:paraId="0BF17CD6" w14:textId="77777777" w:rsidTr="007E7EE4">
        <w:trPr>
          <w:trHeight w:val="315"/>
        </w:trPr>
        <w:tc>
          <w:tcPr>
            <w:tcW w:w="2700" w:type="dxa"/>
            <w:tcBorders>
              <w:top w:val="nil"/>
              <w:left w:val="nil"/>
              <w:bottom w:val="single" w:sz="4" w:space="0" w:color="ADD6EA"/>
              <w:right w:val="nil"/>
            </w:tcBorders>
            <w:shd w:val="clear" w:color="000000" w:fill="D6E7F0"/>
            <w:vAlign w:val="bottom"/>
            <w:hideMark/>
          </w:tcPr>
          <w:p w14:paraId="0BDC658C" w14:textId="77777777" w:rsidR="0095502F" w:rsidRPr="00442A3B" w:rsidRDefault="0095502F" w:rsidP="0095502F">
            <w:pPr>
              <w:keepNext/>
              <w:keepLines/>
              <w:tabs>
                <w:tab w:val="clear" w:pos="567"/>
              </w:tabs>
              <w:spacing w:before="0" w:line="240" w:lineRule="auto"/>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Total</w:t>
            </w:r>
          </w:p>
        </w:tc>
        <w:tc>
          <w:tcPr>
            <w:tcW w:w="680" w:type="dxa"/>
            <w:tcBorders>
              <w:top w:val="nil"/>
              <w:left w:val="nil"/>
              <w:bottom w:val="single" w:sz="4" w:space="0" w:color="ADD6EA"/>
              <w:right w:val="nil"/>
            </w:tcBorders>
            <w:shd w:val="clear" w:color="000000" w:fill="D6E7F0"/>
            <w:noWrap/>
            <w:vAlign w:val="bottom"/>
            <w:hideMark/>
          </w:tcPr>
          <w:p w14:paraId="2130524D" w14:textId="77777777" w:rsidR="0095502F" w:rsidRPr="00442A3B" w:rsidRDefault="0095502F" w:rsidP="00500284">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-715</w:t>
            </w:r>
          </w:p>
        </w:tc>
        <w:tc>
          <w:tcPr>
            <w:tcW w:w="680" w:type="dxa"/>
            <w:tcBorders>
              <w:top w:val="nil"/>
              <w:left w:val="nil"/>
              <w:bottom w:val="single" w:sz="4" w:space="0" w:color="ADD6EA"/>
              <w:right w:val="nil"/>
            </w:tcBorders>
            <w:shd w:val="clear" w:color="000000" w:fill="D6E7F0"/>
            <w:noWrap/>
            <w:vAlign w:val="bottom"/>
            <w:hideMark/>
          </w:tcPr>
          <w:p w14:paraId="55D20E6A" w14:textId="77777777" w:rsidR="0095502F" w:rsidRPr="00442A3B" w:rsidRDefault="0095502F" w:rsidP="003B16F2">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-1,168</w:t>
            </w:r>
          </w:p>
        </w:tc>
        <w:tc>
          <w:tcPr>
            <w:tcW w:w="680" w:type="dxa"/>
            <w:tcBorders>
              <w:top w:val="nil"/>
              <w:left w:val="nil"/>
              <w:bottom w:val="single" w:sz="4" w:space="0" w:color="ADD6EA"/>
              <w:right w:val="nil"/>
            </w:tcBorders>
            <w:shd w:val="clear" w:color="000000" w:fill="D6E7F0"/>
            <w:noWrap/>
            <w:vAlign w:val="bottom"/>
            <w:hideMark/>
          </w:tcPr>
          <w:p w14:paraId="767FEC6B" w14:textId="77777777" w:rsidR="0095502F" w:rsidRPr="00442A3B" w:rsidRDefault="0095502F" w:rsidP="003B16F2">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947</w:t>
            </w:r>
          </w:p>
        </w:tc>
        <w:tc>
          <w:tcPr>
            <w:tcW w:w="680" w:type="dxa"/>
            <w:tcBorders>
              <w:top w:val="nil"/>
              <w:left w:val="nil"/>
              <w:bottom w:val="single" w:sz="4" w:space="0" w:color="ADD6EA"/>
              <w:right w:val="nil"/>
            </w:tcBorders>
            <w:shd w:val="clear" w:color="000000" w:fill="D6E7F0"/>
            <w:noWrap/>
            <w:vAlign w:val="bottom"/>
            <w:hideMark/>
          </w:tcPr>
          <w:p w14:paraId="249DC500" w14:textId="77777777" w:rsidR="0095502F" w:rsidRPr="00442A3B" w:rsidRDefault="0095502F" w:rsidP="003B16F2">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-4,664</w:t>
            </w:r>
          </w:p>
        </w:tc>
        <w:tc>
          <w:tcPr>
            <w:tcW w:w="680" w:type="dxa"/>
            <w:tcBorders>
              <w:top w:val="nil"/>
              <w:left w:val="nil"/>
              <w:bottom w:val="single" w:sz="4" w:space="0" w:color="ADD6EA"/>
              <w:right w:val="nil"/>
            </w:tcBorders>
            <w:shd w:val="clear" w:color="000000" w:fill="D6E7F0"/>
            <w:noWrap/>
            <w:vAlign w:val="bottom"/>
            <w:hideMark/>
          </w:tcPr>
          <w:p w14:paraId="539B5BDA" w14:textId="77777777" w:rsidR="0095502F" w:rsidRPr="00442A3B" w:rsidRDefault="0095502F" w:rsidP="003B16F2">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1,650</w:t>
            </w:r>
          </w:p>
        </w:tc>
        <w:tc>
          <w:tcPr>
            <w:tcW w:w="680" w:type="dxa"/>
            <w:tcBorders>
              <w:top w:val="nil"/>
              <w:left w:val="nil"/>
              <w:bottom w:val="single" w:sz="4" w:space="0" w:color="ADD6EA"/>
              <w:right w:val="nil"/>
            </w:tcBorders>
            <w:shd w:val="clear" w:color="000000" w:fill="D6E7F0"/>
            <w:noWrap/>
            <w:vAlign w:val="bottom"/>
            <w:hideMark/>
          </w:tcPr>
          <w:p w14:paraId="0A1FA5A5" w14:textId="77777777" w:rsidR="0095502F" w:rsidRPr="00442A3B" w:rsidRDefault="0095502F" w:rsidP="003B16F2">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1,381</w:t>
            </w:r>
          </w:p>
        </w:tc>
        <w:tc>
          <w:tcPr>
            <w:tcW w:w="680" w:type="dxa"/>
            <w:tcBorders>
              <w:top w:val="nil"/>
              <w:left w:val="nil"/>
              <w:bottom w:val="single" w:sz="4" w:space="0" w:color="ADD6EA"/>
              <w:right w:val="nil"/>
            </w:tcBorders>
            <w:shd w:val="clear" w:color="000000" w:fill="D6E7F0"/>
            <w:noWrap/>
            <w:vAlign w:val="bottom"/>
            <w:hideMark/>
          </w:tcPr>
          <w:p w14:paraId="7B22708C" w14:textId="77777777" w:rsidR="0095502F" w:rsidRPr="00442A3B" w:rsidRDefault="0095502F" w:rsidP="003B16F2">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195</w:t>
            </w:r>
          </w:p>
        </w:tc>
        <w:tc>
          <w:tcPr>
            <w:tcW w:w="680" w:type="dxa"/>
            <w:tcBorders>
              <w:top w:val="nil"/>
              <w:left w:val="nil"/>
              <w:bottom w:val="single" w:sz="4" w:space="0" w:color="ADD6EA"/>
              <w:right w:val="nil"/>
            </w:tcBorders>
            <w:shd w:val="clear" w:color="000000" w:fill="D6E7F0"/>
            <w:noWrap/>
            <w:vAlign w:val="bottom"/>
            <w:hideMark/>
          </w:tcPr>
          <w:p w14:paraId="7344A13E" w14:textId="77777777" w:rsidR="0095502F" w:rsidRPr="00442A3B" w:rsidRDefault="0095502F" w:rsidP="003B16F2">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2,374</w:t>
            </w:r>
          </w:p>
        </w:tc>
        <w:tc>
          <w:tcPr>
            <w:tcW w:w="760" w:type="dxa"/>
            <w:tcBorders>
              <w:top w:val="nil"/>
              <w:left w:val="nil"/>
              <w:bottom w:val="single" w:sz="4" w:space="0" w:color="ADD6EA"/>
              <w:right w:val="nil"/>
            </w:tcBorders>
            <w:shd w:val="clear" w:color="000000" w:fill="D6E7F0"/>
            <w:noWrap/>
            <w:vAlign w:val="bottom"/>
            <w:hideMark/>
          </w:tcPr>
          <w:p w14:paraId="2AEAC76D" w14:textId="77777777" w:rsidR="0095502F" w:rsidRPr="00442A3B" w:rsidRDefault="0095502F" w:rsidP="003B16F2">
            <w:pPr>
              <w:keepNext/>
              <w:keepLines/>
              <w:tabs>
                <w:tab w:val="clear" w:pos="567"/>
              </w:tabs>
              <w:spacing w:before="0" w:line="240" w:lineRule="auto"/>
              <w:jc w:val="right"/>
              <w:rPr>
                <w:rFonts w:ascii="Open Sans Semibold" w:eastAsia="MS Mincho" w:hAnsi="Open Sans Semibold" w:cs="Open Sans Semibold"/>
                <w:sz w:val="16"/>
                <w:szCs w:val="16"/>
                <w:lang w:eastAsia="en-AU"/>
              </w:rPr>
            </w:pPr>
            <w:r w:rsidRPr="00442A3B">
              <w:rPr>
                <w:rFonts w:ascii="Open Sans Semibold" w:eastAsia="MS Mincho" w:hAnsi="Open Sans Semibold" w:cs="Open Sans Semibold"/>
                <w:sz w:val="16"/>
                <w:szCs w:val="16"/>
                <w:lang w:eastAsia="en-AU"/>
              </w:rPr>
              <w:t>6,547</w:t>
            </w:r>
          </w:p>
        </w:tc>
      </w:tr>
    </w:tbl>
    <w:p w14:paraId="41666CAD" w14:textId="6BDB7AE4" w:rsidR="00BA7CC1" w:rsidRPr="00442A3B" w:rsidRDefault="00BA7CC1" w:rsidP="0095502F">
      <w:pPr>
        <w:pStyle w:val="CGCTablenote"/>
        <w:keepNext/>
        <w:keepLines/>
      </w:pPr>
      <w:r w:rsidRPr="00442A3B">
        <w:t>(a)</w:t>
      </w:r>
      <w:r w:rsidRPr="00442A3B">
        <w:tab/>
        <w:t>Includes the impact on the revenue side only. The impact on the expense side is incorporated in the expense requirement and investment requirement lines.</w:t>
      </w:r>
    </w:p>
    <w:p w14:paraId="1163F308" w14:textId="77777777" w:rsidR="00BA7CC1" w:rsidRPr="00442A3B" w:rsidRDefault="00BA7CC1" w:rsidP="00500284">
      <w:pPr>
        <w:pStyle w:val="CGCTablenote"/>
        <w:keepNext/>
        <w:keepLines/>
      </w:pPr>
      <w:r w:rsidRPr="00442A3B">
        <w:t>Source:</w:t>
      </w:r>
      <w:r w:rsidRPr="00442A3B">
        <w:tab/>
        <w:t>Commission calculation.</w:t>
      </w:r>
    </w:p>
    <w:p w14:paraId="426F26A3" w14:textId="09C22708" w:rsidR="00BA7CC1" w:rsidRPr="00442A3B" w:rsidRDefault="00BA7CC1" w:rsidP="000361EA">
      <w:pPr>
        <w:pStyle w:val="CGCParaNumber"/>
        <w:ind w:left="567" w:hanging="567"/>
      </w:pPr>
      <w:bookmarkStart w:id="126" w:name="_Hlk63239775"/>
      <w:r w:rsidRPr="00442A3B">
        <w:t xml:space="preserve">The main </w:t>
      </w:r>
      <w:r w:rsidR="005329DF" w:rsidRPr="00442A3B">
        <w:t>drivers of the</w:t>
      </w:r>
      <w:r w:rsidRPr="00442A3B">
        <w:t xml:space="preserve"> economic and demographic factors causing differences in State fiscal capacities are shown in</w:t>
      </w:r>
      <w:r w:rsidR="00990B45" w:rsidRPr="00442A3B">
        <w:t xml:space="preserve"> </w:t>
      </w:r>
      <w:r w:rsidR="00990B45" w:rsidRPr="00442A3B">
        <w:fldChar w:fldCharType="begin"/>
      </w:r>
      <w:r w:rsidR="00990B45" w:rsidRPr="00442A3B">
        <w:instrText xml:space="preserve"> REF _Ref52542135 \h </w:instrText>
      </w:r>
      <w:r w:rsidR="00442A3B">
        <w:instrText xml:space="preserve"> \* MERGEFORMAT </w:instrText>
      </w:r>
      <w:r w:rsidR="00990B45" w:rsidRPr="00442A3B">
        <w:fldChar w:fldCharType="separate"/>
      </w:r>
      <w:r w:rsidR="00FC3D3D" w:rsidRPr="00442A3B">
        <w:t>Table 2</w:t>
      </w:r>
      <w:r w:rsidR="00FC3D3D" w:rsidRPr="00442A3B">
        <w:noBreakHyphen/>
      </w:r>
      <w:r w:rsidR="00FC3D3D">
        <w:t>8</w:t>
      </w:r>
      <w:r w:rsidR="00990B45" w:rsidRPr="00442A3B">
        <w:fldChar w:fldCharType="end"/>
      </w:r>
      <w:r w:rsidRPr="00442A3B">
        <w:t xml:space="preserve">. </w:t>
      </w:r>
      <w:r w:rsidR="00484281" w:rsidRPr="00442A3B">
        <w:t>F</w:t>
      </w:r>
      <w:r w:rsidRPr="00442A3B">
        <w:t xml:space="preserve">or example, Victoria </w:t>
      </w:r>
      <w:r w:rsidR="003F5A11" w:rsidRPr="00442A3B">
        <w:t>require</w:t>
      </w:r>
      <w:r w:rsidR="00683115" w:rsidRPr="00442A3B">
        <w:t>d</w:t>
      </w:r>
      <w:r w:rsidRPr="00442A3B">
        <w:t xml:space="preserve"> an additional $3,</w:t>
      </w:r>
      <w:r w:rsidR="00B4448B" w:rsidRPr="00442A3B">
        <w:t>913</w:t>
      </w:r>
      <w:r w:rsidRPr="00442A3B">
        <w:t xml:space="preserve"> million in GST above an </w:t>
      </w:r>
      <w:r w:rsidR="001130A5" w:rsidRPr="00442A3B">
        <w:t xml:space="preserve">equal per capita </w:t>
      </w:r>
      <w:r w:rsidRPr="00442A3B">
        <w:t xml:space="preserve">share to recognise its below average capacity to raise revenue from mining, while Western Australia </w:t>
      </w:r>
      <w:r w:rsidR="003E7451" w:rsidRPr="00442A3B">
        <w:t>require</w:t>
      </w:r>
      <w:r w:rsidR="00683115" w:rsidRPr="00442A3B">
        <w:t>d</w:t>
      </w:r>
      <w:r w:rsidRPr="00442A3B">
        <w:t xml:space="preserve"> $</w:t>
      </w:r>
      <w:r w:rsidR="00350F01" w:rsidRPr="00442A3B">
        <w:t>6,417</w:t>
      </w:r>
      <w:r w:rsidRPr="00442A3B">
        <w:t xml:space="preserve"> million less than an </w:t>
      </w:r>
      <w:r w:rsidR="001C3EA5" w:rsidRPr="00442A3B">
        <w:t xml:space="preserve">equal per capita </w:t>
      </w:r>
      <w:r w:rsidRPr="00442A3B">
        <w:t xml:space="preserve">share of GST due to its high capacity to raise mining revenue. </w:t>
      </w:r>
      <w:r w:rsidR="00ED2D92" w:rsidRPr="00442A3B">
        <w:t xml:space="preserve">On the other hand, </w:t>
      </w:r>
      <w:r w:rsidR="006C4C55" w:rsidRPr="00442A3B">
        <w:t xml:space="preserve">Western Australia’s dispersed population </w:t>
      </w:r>
      <w:r w:rsidR="00DD6006" w:rsidRPr="00442A3B">
        <w:t xml:space="preserve">means it </w:t>
      </w:r>
      <w:r w:rsidR="00AC0EBE" w:rsidRPr="00442A3B">
        <w:t>require</w:t>
      </w:r>
      <w:r w:rsidR="00683115" w:rsidRPr="00442A3B">
        <w:t>d</w:t>
      </w:r>
      <w:r w:rsidR="00DD6006" w:rsidRPr="00442A3B">
        <w:t xml:space="preserve"> $5</w:t>
      </w:r>
      <w:r w:rsidR="00765390" w:rsidRPr="00442A3B">
        <w:t>38</w:t>
      </w:r>
      <w:r w:rsidR="00DD6006" w:rsidRPr="00442A3B">
        <w:t xml:space="preserve"> million more than </w:t>
      </w:r>
      <w:r w:rsidR="00FD2235" w:rsidRPr="00442A3B">
        <w:t xml:space="preserve">an equal per capita share of GST </w:t>
      </w:r>
      <w:r w:rsidR="00B7311D" w:rsidRPr="00442A3B">
        <w:t xml:space="preserve">to fund </w:t>
      </w:r>
      <w:r w:rsidR="00867332" w:rsidRPr="00442A3B">
        <w:t xml:space="preserve">services, while Victoria </w:t>
      </w:r>
      <w:r w:rsidR="0068660E" w:rsidRPr="00442A3B">
        <w:t>require</w:t>
      </w:r>
      <w:r w:rsidR="00683115" w:rsidRPr="00442A3B">
        <w:t>d</w:t>
      </w:r>
      <w:r w:rsidR="00867332" w:rsidRPr="00442A3B">
        <w:t xml:space="preserve"> </w:t>
      </w:r>
      <w:r w:rsidR="00103FDD" w:rsidRPr="00442A3B">
        <w:t>$1,</w:t>
      </w:r>
      <w:r w:rsidR="00FE1074" w:rsidRPr="00442A3B">
        <w:t>39</w:t>
      </w:r>
      <w:r w:rsidR="00765390" w:rsidRPr="00442A3B">
        <w:t>5</w:t>
      </w:r>
      <w:r w:rsidR="00FE1074" w:rsidRPr="00442A3B">
        <w:t xml:space="preserve"> million less to fund services </w:t>
      </w:r>
      <w:r w:rsidR="00525C00" w:rsidRPr="00442A3B">
        <w:t>given</w:t>
      </w:r>
      <w:r w:rsidR="00FE1074" w:rsidRPr="00442A3B">
        <w:t xml:space="preserve"> its </w:t>
      </w:r>
      <w:r w:rsidR="006955C6" w:rsidRPr="00442A3B">
        <w:t xml:space="preserve">less </w:t>
      </w:r>
      <w:r w:rsidR="001A44A0" w:rsidRPr="00442A3B">
        <w:t>dispersed population.</w:t>
      </w:r>
    </w:p>
    <w:p w14:paraId="3D2A25EA" w14:textId="34D643D2" w:rsidR="00BA7CC1" w:rsidRPr="00442A3B" w:rsidRDefault="00BA7CC1" w:rsidP="00295AE4">
      <w:pPr>
        <w:pStyle w:val="Caption"/>
      </w:pPr>
      <w:bookmarkStart w:id="127" w:name="_Ref30526286"/>
      <w:bookmarkStart w:id="128" w:name="_Ref52542135"/>
      <w:bookmarkStart w:id="129" w:name="_Toc62487280"/>
      <w:bookmarkStart w:id="130" w:name="_Toc62723811"/>
      <w:bookmarkEnd w:id="126"/>
      <w:r w:rsidRPr="00442A3B">
        <w:lastRenderedPageBreak/>
        <w:t xml:space="preserve">Table </w:t>
      </w:r>
      <w:r w:rsidR="00D6468F" w:rsidRPr="00442A3B">
        <w:t>2</w:t>
      </w:r>
      <w:r w:rsidRPr="00442A3B">
        <w:noBreakHyphen/>
      </w:r>
      <w:bookmarkEnd w:id="127"/>
      <w:r w:rsidR="00D6468F" w:rsidRPr="00442A3B">
        <w:fldChar w:fldCharType="begin"/>
      </w:r>
      <w:r w:rsidR="00D6468F" w:rsidRPr="00442A3B">
        <w:instrText xml:space="preserve"> SEQ Table \* ARABIC </w:instrText>
      </w:r>
      <w:r w:rsidR="00D6468F" w:rsidRPr="00442A3B">
        <w:fldChar w:fldCharType="separate"/>
      </w:r>
      <w:r w:rsidR="00FC3D3D">
        <w:rPr>
          <w:noProof/>
        </w:rPr>
        <w:t>8</w:t>
      </w:r>
      <w:r w:rsidR="00D6468F" w:rsidRPr="00442A3B">
        <w:fldChar w:fldCharType="end"/>
      </w:r>
      <w:bookmarkEnd w:id="128"/>
      <w:r w:rsidRPr="00442A3B">
        <w:tab/>
        <w:t xml:space="preserve">Drivers of difference from an equal per capita distribution of GST, </w:t>
      </w:r>
      <w:r w:rsidR="00183CAD" w:rsidRPr="00442A3B">
        <w:t>2021-22</w:t>
      </w:r>
      <w:bookmarkEnd w:id="129"/>
      <w:bookmarkEnd w:id="130"/>
    </w:p>
    <w:tbl>
      <w:tblPr>
        <w:tblW w:w="8963" w:type="dxa"/>
        <w:tblCellMar>
          <w:left w:w="28" w:type="dxa"/>
          <w:right w:w="28" w:type="dxa"/>
        </w:tblCellMar>
        <w:tblLook w:val="04A0" w:firstRow="1" w:lastRow="0" w:firstColumn="1" w:lastColumn="0" w:noHBand="0" w:noVBand="1"/>
      </w:tblPr>
      <w:tblGrid>
        <w:gridCol w:w="3103"/>
        <w:gridCol w:w="680"/>
        <w:gridCol w:w="680"/>
        <w:gridCol w:w="680"/>
        <w:gridCol w:w="680"/>
        <w:gridCol w:w="660"/>
        <w:gridCol w:w="660"/>
        <w:gridCol w:w="580"/>
        <w:gridCol w:w="660"/>
        <w:gridCol w:w="580"/>
      </w:tblGrid>
      <w:tr w:rsidR="00295AE4" w:rsidRPr="00442A3B" w14:paraId="5E959C5F" w14:textId="77777777" w:rsidTr="003D12D7">
        <w:trPr>
          <w:trHeight w:val="375"/>
        </w:trPr>
        <w:tc>
          <w:tcPr>
            <w:tcW w:w="3103" w:type="dxa"/>
            <w:tcBorders>
              <w:top w:val="single" w:sz="8" w:space="0" w:color="ADD6EA"/>
              <w:left w:val="nil"/>
              <w:bottom w:val="single" w:sz="8" w:space="0" w:color="ADD6EA"/>
              <w:right w:val="nil"/>
            </w:tcBorders>
            <w:shd w:val="clear" w:color="000000" w:fill="006991"/>
            <w:noWrap/>
            <w:vAlign w:val="center"/>
            <w:hideMark/>
          </w:tcPr>
          <w:p w14:paraId="73215C32"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b/>
                <w:bCs/>
                <w:color w:val="FFFFFF"/>
                <w:sz w:val="16"/>
                <w:szCs w:val="16"/>
                <w:lang w:eastAsia="en-AU"/>
              </w:rPr>
            </w:pPr>
            <w:r w:rsidRPr="00442A3B">
              <w:rPr>
                <w:rFonts w:ascii="Open Sans Semibold" w:eastAsia="Times New Roman" w:hAnsi="Open Sans Semibold" w:cs="Open Sans Semibold"/>
                <w:b/>
                <w:bCs/>
                <w:color w:val="FFFFFF"/>
                <w:sz w:val="16"/>
                <w:szCs w:val="16"/>
                <w:lang w:eastAsia="en-AU"/>
              </w:rPr>
              <w:t> </w:t>
            </w:r>
          </w:p>
        </w:tc>
        <w:tc>
          <w:tcPr>
            <w:tcW w:w="680" w:type="dxa"/>
            <w:tcBorders>
              <w:top w:val="single" w:sz="8" w:space="0" w:color="ADD6EA"/>
              <w:left w:val="nil"/>
              <w:bottom w:val="single" w:sz="8" w:space="0" w:color="ADD6EA"/>
              <w:right w:val="nil"/>
            </w:tcBorders>
            <w:shd w:val="clear" w:color="000000" w:fill="006991"/>
            <w:noWrap/>
            <w:vAlign w:val="center"/>
            <w:hideMark/>
          </w:tcPr>
          <w:p w14:paraId="61DAE6EB"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NSW</w:t>
            </w:r>
          </w:p>
        </w:tc>
        <w:tc>
          <w:tcPr>
            <w:tcW w:w="680" w:type="dxa"/>
            <w:tcBorders>
              <w:top w:val="single" w:sz="8" w:space="0" w:color="ADD6EA"/>
              <w:left w:val="nil"/>
              <w:bottom w:val="single" w:sz="8" w:space="0" w:color="ADD6EA"/>
              <w:right w:val="nil"/>
            </w:tcBorders>
            <w:shd w:val="clear" w:color="000000" w:fill="006991"/>
            <w:noWrap/>
            <w:vAlign w:val="center"/>
            <w:hideMark/>
          </w:tcPr>
          <w:p w14:paraId="25D9AFD9"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Vic</w:t>
            </w:r>
          </w:p>
        </w:tc>
        <w:tc>
          <w:tcPr>
            <w:tcW w:w="680" w:type="dxa"/>
            <w:tcBorders>
              <w:top w:val="single" w:sz="8" w:space="0" w:color="ADD6EA"/>
              <w:left w:val="nil"/>
              <w:bottom w:val="single" w:sz="8" w:space="0" w:color="ADD6EA"/>
              <w:right w:val="nil"/>
            </w:tcBorders>
            <w:shd w:val="clear" w:color="000000" w:fill="006991"/>
            <w:noWrap/>
            <w:vAlign w:val="center"/>
            <w:hideMark/>
          </w:tcPr>
          <w:p w14:paraId="2B3BCF95"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Qld</w:t>
            </w:r>
          </w:p>
        </w:tc>
        <w:tc>
          <w:tcPr>
            <w:tcW w:w="680" w:type="dxa"/>
            <w:tcBorders>
              <w:top w:val="single" w:sz="8" w:space="0" w:color="ADD6EA"/>
              <w:left w:val="nil"/>
              <w:bottom w:val="single" w:sz="8" w:space="0" w:color="ADD6EA"/>
              <w:right w:val="nil"/>
            </w:tcBorders>
            <w:shd w:val="clear" w:color="000000" w:fill="006991"/>
            <w:noWrap/>
            <w:vAlign w:val="center"/>
            <w:hideMark/>
          </w:tcPr>
          <w:p w14:paraId="30974000"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WA</w:t>
            </w:r>
          </w:p>
        </w:tc>
        <w:tc>
          <w:tcPr>
            <w:tcW w:w="660" w:type="dxa"/>
            <w:tcBorders>
              <w:top w:val="single" w:sz="8" w:space="0" w:color="ADD6EA"/>
              <w:left w:val="nil"/>
              <w:bottom w:val="single" w:sz="8" w:space="0" w:color="ADD6EA"/>
              <w:right w:val="nil"/>
            </w:tcBorders>
            <w:shd w:val="clear" w:color="000000" w:fill="006991"/>
            <w:noWrap/>
            <w:vAlign w:val="center"/>
            <w:hideMark/>
          </w:tcPr>
          <w:p w14:paraId="357F14AC"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SA</w:t>
            </w:r>
          </w:p>
        </w:tc>
        <w:tc>
          <w:tcPr>
            <w:tcW w:w="660" w:type="dxa"/>
            <w:tcBorders>
              <w:top w:val="single" w:sz="8" w:space="0" w:color="ADD6EA"/>
              <w:left w:val="nil"/>
              <w:bottom w:val="single" w:sz="8" w:space="0" w:color="ADD6EA"/>
              <w:right w:val="nil"/>
            </w:tcBorders>
            <w:shd w:val="clear" w:color="000000" w:fill="006991"/>
            <w:noWrap/>
            <w:vAlign w:val="center"/>
            <w:hideMark/>
          </w:tcPr>
          <w:p w14:paraId="6748C7B3"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Tas</w:t>
            </w:r>
          </w:p>
        </w:tc>
        <w:tc>
          <w:tcPr>
            <w:tcW w:w="580" w:type="dxa"/>
            <w:tcBorders>
              <w:top w:val="single" w:sz="8" w:space="0" w:color="ADD6EA"/>
              <w:left w:val="nil"/>
              <w:bottom w:val="single" w:sz="8" w:space="0" w:color="ADD6EA"/>
              <w:right w:val="nil"/>
            </w:tcBorders>
            <w:shd w:val="clear" w:color="000000" w:fill="006991"/>
            <w:noWrap/>
            <w:vAlign w:val="center"/>
            <w:hideMark/>
          </w:tcPr>
          <w:p w14:paraId="6E220739"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ACT</w:t>
            </w:r>
          </w:p>
        </w:tc>
        <w:tc>
          <w:tcPr>
            <w:tcW w:w="660" w:type="dxa"/>
            <w:tcBorders>
              <w:top w:val="single" w:sz="8" w:space="0" w:color="ADD6EA"/>
              <w:left w:val="nil"/>
              <w:bottom w:val="single" w:sz="8" w:space="0" w:color="ADD6EA"/>
              <w:right w:val="nil"/>
            </w:tcBorders>
            <w:shd w:val="clear" w:color="000000" w:fill="006991"/>
            <w:noWrap/>
            <w:vAlign w:val="center"/>
            <w:hideMark/>
          </w:tcPr>
          <w:p w14:paraId="2A7C16CF"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NT</w:t>
            </w:r>
          </w:p>
        </w:tc>
        <w:tc>
          <w:tcPr>
            <w:tcW w:w="580" w:type="dxa"/>
            <w:tcBorders>
              <w:top w:val="single" w:sz="8" w:space="0" w:color="ADD6EA"/>
              <w:left w:val="nil"/>
              <w:bottom w:val="single" w:sz="8" w:space="0" w:color="ADD6EA"/>
              <w:right w:val="nil"/>
            </w:tcBorders>
            <w:shd w:val="clear" w:color="000000" w:fill="006991"/>
            <w:noWrap/>
            <w:vAlign w:val="center"/>
            <w:hideMark/>
          </w:tcPr>
          <w:p w14:paraId="7583DBD6"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Redist</w:t>
            </w:r>
          </w:p>
        </w:tc>
      </w:tr>
      <w:tr w:rsidR="00295AE4" w:rsidRPr="00442A3B" w14:paraId="7B1EACB9" w14:textId="77777777" w:rsidTr="003D12D7">
        <w:trPr>
          <w:trHeight w:val="259"/>
        </w:trPr>
        <w:tc>
          <w:tcPr>
            <w:tcW w:w="3103" w:type="dxa"/>
            <w:tcBorders>
              <w:top w:val="nil"/>
              <w:left w:val="nil"/>
              <w:bottom w:val="single" w:sz="8" w:space="0" w:color="ADD6EA"/>
              <w:right w:val="nil"/>
            </w:tcBorders>
            <w:shd w:val="clear" w:color="000000" w:fill="B6D5E4"/>
            <w:noWrap/>
            <w:vAlign w:val="center"/>
            <w:hideMark/>
          </w:tcPr>
          <w:p w14:paraId="2C9CDDA0" w14:textId="77777777" w:rsidR="00295AE4" w:rsidRPr="00442A3B" w:rsidRDefault="00295AE4" w:rsidP="00295AE4">
            <w:pPr>
              <w:keepNext/>
              <w:keepLines/>
              <w:tabs>
                <w:tab w:val="clear" w:pos="567"/>
              </w:tabs>
              <w:spacing w:before="0" w:line="240" w:lineRule="auto"/>
              <w:rPr>
                <w:rFonts w:ascii="Calibri" w:eastAsia="Times New Roman" w:hAnsi="Calibri" w:cs="Calibri"/>
                <w:color w:val="000000"/>
                <w:sz w:val="22"/>
                <w:lang w:eastAsia="en-AU"/>
              </w:rPr>
            </w:pPr>
            <w:r w:rsidRPr="00442A3B">
              <w:rPr>
                <w:rFonts w:ascii="Calibri" w:eastAsia="Times New Roman" w:hAnsi="Calibri" w:cs="Calibri"/>
                <w:color w:val="000000"/>
                <w:sz w:val="22"/>
                <w:lang w:eastAsia="en-AU"/>
              </w:rPr>
              <w:t> </w:t>
            </w:r>
          </w:p>
        </w:tc>
        <w:tc>
          <w:tcPr>
            <w:tcW w:w="680" w:type="dxa"/>
            <w:tcBorders>
              <w:top w:val="nil"/>
              <w:left w:val="nil"/>
              <w:bottom w:val="single" w:sz="8" w:space="0" w:color="ADD6EA"/>
              <w:right w:val="nil"/>
            </w:tcBorders>
            <w:shd w:val="clear" w:color="000000" w:fill="B6D5E4"/>
            <w:noWrap/>
            <w:vAlign w:val="center"/>
            <w:hideMark/>
          </w:tcPr>
          <w:p w14:paraId="18EF194C"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$m</w:t>
            </w:r>
          </w:p>
        </w:tc>
        <w:tc>
          <w:tcPr>
            <w:tcW w:w="680" w:type="dxa"/>
            <w:tcBorders>
              <w:top w:val="nil"/>
              <w:left w:val="nil"/>
              <w:bottom w:val="single" w:sz="8" w:space="0" w:color="ADD6EA"/>
              <w:right w:val="nil"/>
            </w:tcBorders>
            <w:shd w:val="clear" w:color="000000" w:fill="B6D5E4"/>
            <w:noWrap/>
            <w:vAlign w:val="center"/>
            <w:hideMark/>
          </w:tcPr>
          <w:p w14:paraId="27AA27BE"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$m</w:t>
            </w:r>
          </w:p>
        </w:tc>
        <w:tc>
          <w:tcPr>
            <w:tcW w:w="680" w:type="dxa"/>
            <w:tcBorders>
              <w:top w:val="nil"/>
              <w:left w:val="nil"/>
              <w:bottom w:val="single" w:sz="8" w:space="0" w:color="ADD6EA"/>
              <w:right w:val="nil"/>
            </w:tcBorders>
            <w:shd w:val="clear" w:color="000000" w:fill="B6D5E4"/>
            <w:noWrap/>
            <w:vAlign w:val="center"/>
            <w:hideMark/>
          </w:tcPr>
          <w:p w14:paraId="45C3612A"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$m</w:t>
            </w:r>
          </w:p>
        </w:tc>
        <w:tc>
          <w:tcPr>
            <w:tcW w:w="680" w:type="dxa"/>
            <w:tcBorders>
              <w:top w:val="nil"/>
              <w:left w:val="nil"/>
              <w:bottom w:val="single" w:sz="8" w:space="0" w:color="ADD6EA"/>
              <w:right w:val="nil"/>
            </w:tcBorders>
            <w:shd w:val="clear" w:color="000000" w:fill="B6D5E4"/>
            <w:noWrap/>
            <w:vAlign w:val="center"/>
            <w:hideMark/>
          </w:tcPr>
          <w:p w14:paraId="73736A7C"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$m</w:t>
            </w:r>
          </w:p>
        </w:tc>
        <w:tc>
          <w:tcPr>
            <w:tcW w:w="660" w:type="dxa"/>
            <w:tcBorders>
              <w:top w:val="nil"/>
              <w:left w:val="nil"/>
              <w:bottom w:val="single" w:sz="8" w:space="0" w:color="ADD6EA"/>
              <w:right w:val="nil"/>
            </w:tcBorders>
            <w:shd w:val="clear" w:color="000000" w:fill="B6D5E4"/>
            <w:noWrap/>
            <w:vAlign w:val="center"/>
            <w:hideMark/>
          </w:tcPr>
          <w:p w14:paraId="2DC91C45"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$m</w:t>
            </w:r>
          </w:p>
        </w:tc>
        <w:tc>
          <w:tcPr>
            <w:tcW w:w="660" w:type="dxa"/>
            <w:tcBorders>
              <w:top w:val="nil"/>
              <w:left w:val="nil"/>
              <w:bottom w:val="single" w:sz="8" w:space="0" w:color="ADD6EA"/>
              <w:right w:val="nil"/>
            </w:tcBorders>
            <w:shd w:val="clear" w:color="000000" w:fill="B6D5E4"/>
            <w:noWrap/>
            <w:vAlign w:val="center"/>
            <w:hideMark/>
          </w:tcPr>
          <w:p w14:paraId="174E5B69"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$m</w:t>
            </w:r>
          </w:p>
        </w:tc>
        <w:tc>
          <w:tcPr>
            <w:tcW w:w="580" w:type="dxa"/>
            <w:tcBorders>
              <w:top w:val="nil"/>
              <w:left w:val="nil"/>
              <w:bottom w:val="single" w:sz="8" w:space="0" w:color="ADD6EA"/>
              <w:right w:val="nil"/>
            </w:tcBorders>
            <w:shd w:val="clear" w:color="000000" w:fill="B6D5E4"/>
            <w:noWrap/>
            <w:vAlign w:val="center"/>
            <w:hideMark/>
          </w:tcPr>
          <w:p w14:paraId="3415848A"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$m</w:t>
            </w:r>
          </w:p>
        </w:tc>
        <w:tc>
          <w:tcPr>
            <w:tcW w:w="660" w:type="dxa"/>
            <w:tcBorders>
              <w:top w:val="nil"/>
              <w:left w:val="nil"/>
              <w:bottom w:val="single" w:sz="8" w:space="0" w:color="ADD6EA"/>
              <w:right w:val="nil"/>
            </w:tcBorders>
            <w:shd w:val="clear" w:color="000000" w:fill="B6D5E4"/>
            <w:noWrap/>
            <w:vAlign w:val="center"/>
            <w:hideMark/>
          </w:tcPr>
          <w:p w14:paraId="388A8138"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$m</w:t>
            </w:r>
          </w:p>
        </w:tc>
        <w:tc>
          <w:tcPr>
            <w:tcW w:w="580" w:type="dxa"/>
            <w:tcBorders>
              <w:top w:val="nil"/>
              <w:left w:val="nil"/>
              <w:bottom w:val="single" w:sz="8" w:space="0" w:color="ADD6EA"/>
              <w:right w:val="nil"/>
            </w:tcBorders>
            <w:shd w:val="clear" w:color="000000" w:fill="B6D5E4"/>
            <w:noWrap/>
            <w:vAlign w:val="center"/>
            <w:hideMark/>
          </w:tcPr>
          <w:p w14:paraId="348C0814"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$m</w:t>
            </w:r>
          </w:p>
        </w:tc>
      </w:tr>
      <w:tr w:rsidR="00295AE4" w:rsidRPr="00442A3B" w14:paraId="0CC059D7" w14:textId="77777777" w:rsidTr="003D12D7">
        <w:trPr>
          <w:trHeight w:val="315"/>
        </w:trPr>
        <w:tc>
          <w:tcPr>
            <w:tcW w:w="3783" w:type="dxa"/>
            <w:gridSpan w:val="2"/>
            <w:tcBorders>
              <w:top w:val="single" w:sz="8" w:space="0" w:color="ADD6EA"/>
              <w:left w:val="nil"/>
              <w:bottom w:val="single" w:sz="4" w:space="0" w:color="ADD6EA"/>
              <w:right w:val="nil"/>
            </w:tcBorders>
            <w:shd w:val="clear" w:color="auto" w:fill="auto"/>
            <w:noWrap/>
            <w:vAlign w:val="bottom"/>
            <w:hideMark/>
          </w:tcPr>
          <w:p w14:paraId="62D51DA8"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EFFECTS OF REVENUE RAISING CAPACITY</w:t>
            </w:r>
          </w:p>
        </w:tc>
        <w:tc>
          <w:tcPr>
            <w:tcW w:w="680" w:type="dxa"/>
            <w:tcBorders>
              <w:top w:val="nil"/>
              <w:left w:val="nil"/>
              <w:bottom w:val="single" w:sz="4" w:space="0" w:color="ADD6EA"/>
              <w:right w:val="nil"/>
            </w:tcBorders>
            <w:shd w:val="clear" w:color="auto" w:fill="auto"/>
            <w:noWrap/>
            <w:vAlign w:val="bottom"/>
            <w:hideMark/>
          </w:tcPr>
          <w:p w14:paraId="24DF97F7"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w:t>
            </w:r>
          </w:p>
        </w:tc>
        <w:tc>
          <w:tcPr>
            <w:tcW w:w="680" w:type="dxa"/>
            <w:tcBorders>
              <w:top w:val="nil"/>
              <w:left w:val="nil"/>
              <w:bottom w:val="single" w:sz="4" w:space="0" w:color="ADD6EA"/>
              <w:right w:val="nil"/>
            </w:tcBorders>
            <w:shd w:val="clear" w:color="auto" w:fill="auto"/>
            <w:noWrap/>
            <w:vAlign w:val="bottom"/>
            <w:hideMark/>
          </w:tcPr>
          <w:p w14:paraId="30D5A1B8"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w:t>
            </w:r>
          </w:p>
        </w:tc>
        <w:tc>
          <w:tcPr>
            <w:tcW w:w="680" w:type="dxa"/>
            <w:tcBorders>
              <w:top w:val="nil"/>
              <w:left w:val="nil"/>
              <w:bottom w:val="single" w:sz="4" w:space="0" w:color="ADD6EA"/>
              <w:right w:val="nil"/>
            </w:tcBorders>
            <w:shd w:val="clear" w:color="auto" w:fill="auto"/>
            <w:noWrap/>
            <w:vAlign w:val="bottom"/>
            <w:hideMark/>
          </w:tcPr>
          <w:p w14:paraId="0EA9D229"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w:t>
            </w:r>
          </w:p>
        </w:tc>
        <w:tc>
          <w:tcPr>
            <w:tcW w:w="660" w:type="dxa"/>
            <w:tcBorders>
              <w:top w:val="nil"/>
              <w:left w:val="nil"/>
              <w:bottom w:val="single" w:sz="4" w:space="0" w:color="ADD6EA"/>
              <w:right w:val="nil"/>
            </w:tcBorders>
            <w:shd w:val="clear" w:color="auto" w:fill="auto"/>
            <w:noWrap/>
            <w:vAlign w:val="bottom"/>
            <w:hideMark/>
          </w:tcPr>
          <w:p w14:paraId="23F018DB"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w:t>
            </w:r>
          </w:p>
        </w:tc>
        <w:tc>
          <w:tcPr>
            <w:tcW w:w="660" w:type="dxa"/>
            <w:tcBorders>
              <w:top w:val="nil"/>
              <w:left w:val="nil"/>
              <w:bottom w:val="single" w:sz="4" w:space="0" w:color="ADD6EA"/>
              <w:right w:val="nil"/>
            </w:tcBorders>
            <w:shd w:val="clear" w:color="auto" w:fill="auto"/>
            <w:noWrap/>
            <w:vAlign w:val="bottom"/>
            <w:hideMark/>
          </w:tcPr>
          <w:p w14:paraId="4CF6589C"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w:t>
            </w:r>
          </w:p>
        </w:tc>
        <w:tc>
          <w:tcPr>
            <w:tcW w:w="580" w:type="dxa"/>
            <w:tcBorders>
              <w:top w:val="nil"/>
              <w:left w:val="nil"/>
              <w:bottom w:val="single" w:sz="4" w:space="0" w:color="ADD6EA"/>
              <w:right w:val="nil"/>
            </w:tcBorders>
            <w:shd w:val="clear" w:color="auto" w:fill="auto"/>
            <w:noWrap/>
            <w:vAlign w:val="bottom"/>
            <w:hideMark/>
          </w:tcPr>
          <w:p w14:paraId="21B2245A"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w:t>
            </w:r>
          </w:p>
        </w:tc>
        <w:tc>
          <w:tcPr>
            <w:tcW w:w="660" w:type="dxa"/>
            <w:tcBorders>
              <w:top w:val="nil"/>
              <w:left w:val="nil"/>
              <w:bottom w:val="single" w:sz="4" w:space="0" w:color="ADD6EA"/>
              <w:right w:val="nil"/>
            </w:tcBorders>
            <w:shd w:val="clear" w:color="auto" w:fill="auto"/>
            <w:noWrap/>
            <w:vAlign w:val="bottom"/>
            <w:hideMark/>
          </w:tcPr>
          <w:p w14:paraId="4A2955B4"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w:t>
            </w:r>
          </w:p>
        </w:tc>
        <w:tc>
          <w:tcPr>
            <w:tcW w:w="580" w:type="dxa"/>
            <w:tcBorders>
              <w:top w:val="nil"/>
              <w:left w:val="nil"/>
              <w:bottom w:val="single" w:sz="4" w:space="0" w:color="ADD6EA"/>
              <w:right w:val="nil"/>
            </w:tcBorders>
            <w:shd w:val="clear" w:color="auto" w:fill="auto"/>
            <w:noWrap/>
            <w:vAlign w:val="bottom"/>
            <w:hideMark/>
          </w:tcPr>
          <w:p w14:paraId="2EC9BF65"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w:t>
            </w:r>
          </w:p>
        </w:tc>
      </w:tr>
      <w:tr w:rsidR="00295AE4" w:rsidRPr="00442A3B" w14:paraId="3E389527" w14:textId="77777777" w:rsidTr="003D12D7">
        <w:trPr>
          <w:trHeight w:val="315"/>
        </w:trPr>
        <w:tc>
          <w:tcPr>
            <w:tcW w:w="3103" w:type="dxa"/>
            <w:tcBorders>
              <w:top w:val="nil"/>
              <w:left w:val="nil"/>
              <w:bottom w:val="nil"/>
              <w:right w:val="nil"/>
            </w:tcBorders>
            <w:shd w:val="clear" w:color="auto" w:fill="auto"/>
            <w:noWrap/>
            <w:vAlign w:val="bottom"/>
            <w:hideMark/>
          </w:tcPr>
          <w:p w14:paraId="4A433FE8" w14:textId="77777777" w:rsidR="00295AE4" w:rsidRPr="00442A3B" w:rsidRDefault="00295AE4" w:rsidP="00295AE4">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442A3B">
              <w:rPr>
                <w:rFonts w:eastAsia="Times New Roman" w:cs="Open Sans Light"/>
                <w:color w:val="000000"/>
                <w:sz w:val="16"/>
                <w:szCs w:val="16"/>
                <w:lang w:eastAsia="en-AU"/>
              </w:rPr>
              <w:t>Mining</w:t>
            </w:r>
          </w:p>
        </w:tc>
        <w:tc>
          <w:tcPr>
            <w:tcW w:w="680" w:type="dxa"/>
            <w:tcBorders>
              <w:top w:val="nil"/>
              <w:left w:val="nil"/>
              <w:bottom w:val="nil"/>
              <w:right w:val="nil"/>
            </w:tcBorders>
            <w:shd w:val="clear" w:color="auto" w:fill="auto"/>
            <w:noWrap/>
            <w:vAlign w:val="bottom"/>
            <w:hideMark/>
          </w:tcPr>
          <w:p w14:paraId="10F786F8"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2,852</w:t>
            </w:r>
          </w:p>
        </w:tc>
        <w:tc>
          <w:tcPr>
            <w:tcW w:w="680" w:type="dxa"/>
            <w:tcBorders>
              <w:top w:val="nil"/>
              <w:left w:val="nil"/>
              <w:bottom w:val="nil"/>
              <w:right w:val="nil"/>
            </w:tcBorders>
            <w:shd w:val="clear" w:color="auto" w:fill="auto"/>
            <w:noWrap/>
            <w:vAlign w:val="bottom"/>
            <w:hideMark/>
          </w:tcPr>
          <w:p w14:paraId="030189DA"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3,913</w:t>
            </w:r>
          </w:p>
        </w:tc>
        <w:tc>
          <w:tcPr>
            <w:tcW w:w="680" w:type="dxa"/>
            <w:tcBorders>
              <w:top w:val="nil"/>
              <w:left w:val="nil"/>
              <w:bottom w:val="nil"/>
              <w:right w:val="nil"/>
            </w:tcBorders>
            <w:shd w:val="clear" w:color="auto" w:fill="auto"/>
            <w:noWrap/>
            <w:vAlign w:val="bottom"/>
            <w:hideMark/>
          </w:tcPr>
          <w:p w14:paraId="6D1214AF"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-1,534</w:t>
            </w:r>
          </w:p>
        </w:tc>
        <w:tc>
          <w:tcPr>
            <w:tcW w:w="680" w:type="dxa"/>
            <w:tcBorders>
              <w:top w:val="nil"/>
              <w:left w:val="nil"/>
              <w:bottom w:val="nil"/>
              <w:right w:val="nil"/>
            </w:tcBorders>
            <w:shd w:val="clear" w:color="auto" w:fill="auto"/>
            <w:noWrap/>
            <w:vAlign w:val="bottom"/>
            <w:hideMark/>
          </w:tcPr>
          <w:p w14:paraId="69B06906"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-6,417</w:t>
            </w:r>
          </w:p>
        </w:tc>
        <w:tc>
          <w:tcPr>
            <w:tcW w:w="660" w:type="dxa"/>
            <w:tcBorders>
              <w:top w:val="nil"/>
              <w:left w:val="nil"/>
              <w:bottom w:val="nil"/>
              <w:right w:val="nil"/>
            </w:tcBorders>
            <w:shd w:val="clear" w:color="auto" w:fill="auto"/>
            <w:noWrap/>
            <w:vAlign w:val="bottom"/>
            <w:hideMark/>
          </w:tcPr>
          <w:p w14:paraId="2FB9E7DE"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743</w:t>
            </w:r>
          </w:p>
        </w:tc>
        <w:tc>
          <w:tcPr>
            <w:tcW w:w="660" w:type="dxa"/>
            <w:tcBorders>
              <w:top w:val="nil"/>
              <w:left w:val="nil"/>
              <w:bottom w:val="nil"/>
              <w:right w:val="nil"/>
            </w:tcBorders>
            <w:shd w:val="clear" w:color="auto" w:fill="auto"/>
            <w:noWrap/>
            <w:vAlign w:val="bottom"/>
            <w:hideMark/>
          </w:tcPr>
          <w:p w14:paraId="0A00FD94"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254</w:t>
            </w:r>
          </w:p>
        </w:tc>
        <w:tc>
          <w:tcPr>
            <w:tcW w:w="580" w:type="dxa"/>
            <w:tcBorders>
              <w:top w:val="nil"/>
              <w:left w:val="nil"/>
              <w:bottom w:val="nil"/>
              <w:right w:val="nil"/>
            </w:tcBorders>
            <w:shd w:val="clear" w:color="auto" w:fill="auto"/>
            <w:noWrap/>
            <w:vAlign w:val="bottom"/>
            <w:hideMark/>
          </w:tcPr>
          <w:p w14:paraId="630CC6A5"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266</w:t>
            </w:r>
          </w:p>
        </w:tc>
        <w:tc>
          <w:tcPr>
            <w:tcW w:w="660" w:type="dxa"/>
            <w:tcBorders>
              <w:top w:val="nil"/>
              <w:left w:val="nil"/>
              <w:bottom w:val="nil"/>
              <w:right w:val="nil"/>
            </w:tcBorders>
            <w:shd w:val="clear" w:color="auto" w:fill="auto"/>
            <w:noWrap/>
            <w:vAlign w:val="bottom"/>
            <w:hideMark/>
          </w:tcPr>
          <w:p w14:paraId="7C2D8466"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-77</w:t>
            </w:r>
          </w:p>
        </w:tc>
        <w:tc>
          <w:tcPr>
            <w:tcW w:w="580" w:type="dxa"/>
            <w:tcBorders>
              <w:top w:val="nil"/>
              <w:left w:val="nil"/>
              <w:bottom w:val="nil"/>
              <w:right w:val="nil"/>
            </w:tcBorders>
            <w:shd w:val="clear" w:color="auto" w:fill="auto"/>
            <w:noWrap/>
            <w:vAlign w:val="bottom"/>
            <w:hideMark/>
          </w:tcPr>
          <w:p w14:paraId="793D42CC"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8,029</w:t>
            </w:r>
          </w:p>
        </w:tc>
      </w:tr>
      <w:tr w:rsidR="00295AE4" w:rsidRPr="00442A3B" w14:paraId="42ED0C27" w14:textId="77777777" w:rsidTr="003D12D7">
        <w:trPr>
          <w:trHeight w:val="315"/>
        </w:trPr>
        <w:tc>
          <w:tcPr>
            <w:tcW w:w="3103" w:type="dxa"/>
            <w:tcBorders>
              <w:top w:val="single" w:sz="4" w:space="0" w:color="ADD6EA"/>
              <w:left w:val="nil"/>
              <w:bottom w:val="nil"/>
              <w:right w:val="nil"/>
            </w:tcBorders>
            <w:shd w:val="clear" w:color="auto" w:fill="auto"/>
            <w:noWrap/>
            <w:vAlign w:val="bottom"/>
            <w:hideMark/>
          </w:tcPr>
          <w:p w14:paraId="1BBEDB8D" w14:textId="77777777" w:rsidR="00295AE4" w:rsidRPr="00442A3B" w:rsidRDefault="00295AE4" w:rsidP="00295AE4">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442A3B">
              <w:rPr>
                <w:rFonts w:eastAsia="Times New Roman" w:cs="Open Sans Light"/>
                <w:color w:val="000000"/>
                <w:sz w:val="16"/>
                <w:szCs w:val="16"/>
                <w:lang w:eastAsia="en-AU"/>
              </w:rPr>
              <w:t>Property sales</w:t>
            </w:r>
          </w:p>
        </w:tc>
        <w:tc>
          <w:tcPr>
            <w:tcW w:w="680" w:type="dxa"/>
            <w:tcBorders>
              <w:top w:val="single" w:sz="4" w:space="0" w:color="ADD6EA"/>
              <w:left w:val="nil"/>
              <w:bottom w:val="nil"/>
              <w:right w:val="nil"/>
            </w:tcBorders>
            <w:shd w:val="clear" w:color="auto" w:fill="auto"/>
            <w:noWrap/>
            <w:vAlign w:val="bottom"/>
            <w:hideMark/>
          </w:tcPr>
          <w:p w14:paraId="03F976A9"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-1,517</w:t>
            </w:r>
          </w:p>
        </w:tc>
        <w:tc>
          <w:tcPr>
            <w:tcW w:w="680" w:type="dxa"/>
            <w:tcBorders>
              <w:top w:val="single" w:sz="4" w:space="0" w:color="ADD6EA"/>
              <w:left w:val="nil"/>
              <w:bottom w:val="nil"/>
              <w:right w:val="nil"/>
            </w:tcBorders>
            <w:shd w:val="clear" w:color="auto" w:fill="auto"/>
            <w:noWrap/>
            <w:vAlign w:val="bottom"/>
            <w:hideMark/>
          </w:tcPr>
          <w:p w14:paraId="1449DAFC"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-928</w:t>
            </w:r>
          </w:p>
        </w:tc>
        <w:tc>
          <w:tcPr>
            <w:tcW w:w="680" w:type="dxa"/>
            <w:tcBorders>
              <w:top w:val="single" w:sz="4" w:space="0" w:color="ADD6EA"/>
              <w:left w:val="nil"/>
              <w:bottom w:val="nil"/>
              <w:right w:val="nil"/>
            </w:tcBorders>
            <w:shd w:val="clear" w:color="auto" w:fill="auto"/>
            <w:noWrap/>
            <w:vAlign w:val="bottom"/>
            <w:hideMark/>
          </w:tcPr>
          <w:p w14:paraId="7062A1C0"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799</w:t>
            </w:r>
          </w:p>
        </w:tc>
        <w:tc>
          <w:tcPr>
            <w:tcW w:w="680" w:type="dxa"/>
            <w:tcBorders>
              <w:top w:val="single" w:sz="4" w:space="0" w:color="ADD6EA"/>
              <w:left w:val="nil"/>
              <w:bottom w:val="nil"/>
              <w:right w:val="nil"/>
            </w:tcBorders>
            <w:shd w:val="clear" w:color="auto" w:fill="auto"/>
            <w:noWrap/>
            <w:vAlign w:val="bottom"/>
            <w:hideMark/>
          </w:tcPr>
          <w:p w14:paraId="12E44966"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830</w:t>
            </w:r>
          </w:p>
        </w:tc>
        <w:tc>
          <w:tcPr>
            <w:tcW w:w="660" w:type="dxa"/>
            <w:tcBorders>
              <w:top w:val="single" w:sz="4" w:space="0" w:color="ADD6EA"/>
              <w:left w:val="nil"/>
              <w:bottom w:val="nil"/>
              <w:right w:val="nil"/>
            </w:tcBorders>
            <w:shd w:val="clear" w:color="auto" w:fill="auto"/>
            <w:noWrap/>
            <w:vAlign w:val="bottom"/>
            <w:hideMark/>
          </w:tcPr>
          <w:p w14:paraId="5AE09144"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553</w:t>
            </w:r>
          </w:p>
        </w:tc>
        <w:tc>
          <w:tcPr>
            <w:tcW w:w="660" w:type="dxa"/>
            <w:tcBorders>
              <w:top w:val="single" w:sz="4" w:space="0" w:color="ADD6EA"/>
              <w:left w:val="nil"/>
              <w:bottom w:val="nil"/>
              <w:right w:val="nil"/>
            </w:tcBorders>
            <w:shd w:val="clear" w:color="auto" w:fill="auto"/>
            <w:noWrap/>
            <w:vAlign w:val="bottom"/>
            <w:hideMark/>
          </w:tcPr>
          <w:p w14:paraId="7431B4EB"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163</w:t>
            </w:r>
          </w:p>
        </w:tc>
        <w:tc>
          <w:tcPr>
            <w:tcW w:w="580" w:type="dxa"/>
            <w:tcBorders>
              <w:top w:val="single" w:sz="4" w:space="0" w:color="ADD6EA"/>
              <w:left w:val="nil"/>
              <w:bottom w:val="nil"/>
              <w:right w:val="nil"/>
            </w:tcBorders>
            <w:shd w:val="clear" w:color="auto" w:fill="auto"/>
            <w:noWrap/>
            <w:vAlign w:val="bottom"/>
            <w:hideMark/>
          </w:tcPr>
          <w:p w14:paraId="31F685B2"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8</w:t>
            </w:r>
          </w:p>
        </w:tc>
        <w:tc>
          <w:tcPr>
            <w:tcW w:w="660" w:type="dxa"/>
            <w:tcBorders>
              <w:top w:val="single" w:sz="4" w:space="0" w:color="ADD6EA"/>
              <w:left w:val="nil"/>
              <w:bottom w:val="nil"/>
              <w:right w:val="nil"/>
            </w:tcBorders>
            <w:shd w:val="clear" w:color="auto" w:fill="auto"/>
            <w:noWrap/>
            <w:vAlign w:val="bottom"/>
            <w:hideMark/>
          </w:tcPr>
          <w:p w14:paraId="5973CDE9"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91</w:t>
            </w:r>
          </w:p>
        </w:tc>
        <w:tc>
          <w:tcPr>
            <w:tcW w:w="580" w:type="dxa"/>
            <w:tcBorders>
              <w:top w:val="single" w:sz="4" w:space="0" w:color="ADD6EA"/>
              <w:left w:val="nil"/>
              <w:bottom w:val="nil"/>
              <w:right w:val="nil"/>
            </w:tcBorders>
            <w:shd w:val="clear" w:color="auto" w:fill="auto"/>
            <w:noWrap/>
            <w:vAlign w:val="bottom"/>
            <w:hideMark/>
          </w:tcPr>
          <w:p w14:paraId="4AAF5217"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2,444</w:t>
            </w:r>
          </w:p>
        </w:tc>
      </w:tr>
      <w:tr w:rsidR="00295AE4" w:rsidRPr="00442A3B" w14:paraId="31CB8E11" w14:textId="77777777" w:rsidTr="003D12D7">
        <w:trPr>
          <w:trHeight w:val="315"/>
        </w:trPr>
        <w:tc>
          <w:tcPr>
            <w:tcW w:w="3103" w:type="dxa"/>
            <w:tcBorders>
              <w:top w:val="single" w:sz="4" w:space="0" w:color="ADD6EA"/>
              <w:left w:val="nil"/>
              <w:bottom w:val="nil"/>
              <w:right w:val="nil"/>
            </w:tcBorders>
            <w:shd w:val="clear" w:color="auto" w:fill="auto"/>
            <w:noWrap/>
            <w:vAlign w:val="bottom"/>
            <w:hideMark/>
          </w:tcPr>
          <w:p w14:paraId="1AF81F2B" w14:textId="77777777" w:rsidR="00295AE4" w:rsidRPr="00442A3B" w:rsidRDefault="00295AE4" w:rsidP="00295AE4">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442A3B">
              <w:rPr>
                <w:rFonts w:eastAsia="Times New Roman" w:cs="Open Sans Light"/>
                <w:color w:val="000000"/>
                <w:sz w:val="16"/>
                <w:szCs w:val="16"/>
                <w:lang w:eastAsia="en-AU"/>
              </w:rPr>
              <w:t>Taxable land values</w:t>
            </w:r>
          </w:p>
        </w:tc>
        <w:tc>
          <w:tcPr>
            <w:tcW w:w="680" w:type="dxa"/>
            <w:tcBorders>
              <w:top w:val="single" w:sz="4" w:space="0" w:color="ADD6EA"/>
              <w:left w:val="nil"/>
              <w:bottom w:val="nil"/>
              <w:right w:val="nil"/>
            </w:tcBorders>
            <w:shd w:val="clear" w:color="auto" w:fill="auto"/>
            <w:noWrap/>
            <w:vAlign w:val="bottom"/>
            <w:hideMark/>
          </w:tcPr>
          <w:p w14:paraId="3BD076C9"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-1,139</w:t>
            </w:r>
          </w:p>
        </w:tc>
        <w:tc>
          <w:tcPr>
            <w:tcW w:w="680" w:type="dxa"/>
            <w:tcBorders>
              <w:top w:val="single" w:sz="4" w:space="0" w:color="ADD6EA"/>
              <w:left w:val="nil"/>
              <w:bottom w:val="nil"/>
              <w:right w:val="nil"/>
            </w:tcBorders>
            <w:shd w:val="clear" w:color="auto" w:fill="auto"/>
            <w:noWrap/>
            <w:vAlign w:val="bottom"/>
            <w:hideMark/>
          </w:tcPr>
          <w:p w14:paraId="4769BF68"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-536</w:t>
            </w:r>
          </w:p>
        </w:tc>
        <w:tc>
          <w:tcPr>
            <w:tcW w:w="680" w:type="dxa"/>
            <w:tcBorders>
              <w:top w:val="single" w:sz="4" w:space="0" w:color="ADD6EA"/>
              <w:left w:val="nil"/>
              <w:bottom w:val="nil"/>
              <w:right w:val="nil"/>
            </w:tcBorders>
            <w:shd w:val="clear" w:color="auto" w:fill="auto"/>
            <w:noWrap/>
            <w:vAlign w:val="bottom"/>
            <w:hideMark/>
          </w:tcPr>
          <w:p w14:paraId="3EE0D013"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829</w:t>
            </w:r>
          </w:p>
        </w:tc>
        <w:tc>
          <w:tcPr>
            <w:tcW w:w="680" w:type="dxa"/>
            <w:tcBorders>
              <w:top w:val="single" w:sz="4" w:space="0" w:color="ADD6EA"/>
              <w:left w:val="nil"/>
              <w:bottom w:val="nil"/>
              <w:right w:val="nil"/>
            </w:tcBorders>
            <w:shd w:val="clear" w:color="auto" w:fill="auto"/>
            <w:noWrap/>
            <w:vAlign w:val="bottom"/>
            <w:hideMark/>
          </w:tcPr>
          <w:p w14:paraId="519B33D4"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159</w:t>
            </w:r>
          </w:p>
        </w:tc>
        <w:tc>
          <w:tcPr>
            <w:tcW w:w="660" w:type="dxa"/>
            <w:tcBorders>
              <w:top w:val="single" w:sz="4" w:space="0" w:color="ADD6EA"/>
              <w:left w:val="nil"/>
              <w:bottom w:val="nil"/>
              <w:right w:val="nil"/>
            </w:tcBorders>
            <w:shd w:val="clear" w:color="auto" w:fill="auto"/>
            <w:noWrap/>
            <w:vAlign w:val="bottom"/>
            <w:hideMark/>
          </w:tcPr>
          <w:p w14:paraId="4A203E6E"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417</w:t>
            </w:r>
          </w:p>
        </w:tc>
        <w:tc>
          <w:tcPr>
            <w:tcW w:w="660" w:type="dxa"/>
            <w:tcBorders>
              <w:top w:val="single" w:sz="4" w:space="0" w:color="ADD6EA"/>
              <w:left w:val="nil"/>
              <w:bottom w:val="nil"/>
              <w:right w:val="nil"/>
            </w:tcBorders>
            <w:shd w:val="clear" w:color="auto" w:fill="auto"/>
            <w:noWrap/>
            <w:vAlign w:val="bottom"/>
            <w:hideMark/>
          </w:tcPr>
          <w:p w14:paraId="5207E9D0"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154</w:t>
            </w:r>
          </w:p>
        </w:tc>
        <w:tc>
          <w:tcPr>
            <w:tcW w:w="580" w:type="dxa"/>
            <w:tcBorders>
              <w:top w:val="single" w:sz="4" w:space="0" w:color="ADD6EA"/>
              <w:left w:val="nil"/>
              <w:bottom w:val="nil"/>
              <w:right w:val="nil"/>
            </w:tcBorders>
            <w:shd w:val="clear" w:color="auto" w:fill="auto"/>
            <w:noWrap/>
            <w:vAlign w:val="bottom"/>
            <w:hideMark/>
          </w:tcPr>
          <w:p w14:paraId="14A1A0F7"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100</w:t>
            </w:r>
          </w:p>
        </w:tc>
        <w:tc>
          <w:tcPr>
            <w:tcW w:w="660" w:type="dxa"/>
            <w:tcBorders>
              <w:top w:val="single" w:sz="4" w:space="0" w:color="ADD6EA"/>
              <w:left w:val="nil"/>
              <w:bottom w:val="nil"/>
              <w:right w:val="nil"/>
            </w:tcBorders>
            <w:shd w:val="clear" w:color="auto" w:fill="auto"/>
            <w:noWrap/>
            <w:vAlign w:val="bottom"/>
            <w:hideMark/>
          </w:tcPr>
          <w:p w14:paraId="17A8D363"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16</w:t>
            </w:r>
          </w:p>
        </w:tc>
        <w:tc>
          <w:tcPr>
            <w:tcW w:w="580" w:type="dxa"/>
            <w:tcBorders>
              <w:top w:val="single" w:sz="4" w:space="0" w:color="ADD6EA"/>
              <w:left w:val="nil"/>
              <w:bottom w:val="nil"/>
              <w:right w:val="nil"/>
            </w:tcBorders>
            <w:shd w:val="clear" w:color="auto" w:fill="auto"/>
            <w:noWrap/>
            <w:vAlign w:val="bottom"/>
            <w:hideMark/>
          </w:tcPr>
          <w:p w14:paraId="42C24486"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1,676</w:t>
            </w:r>
          </w:p>
        </w:tc>
      </w:tr>
      <w:tr w:rsidR="00295AE4" w:rsidRPr="00442A3B" w14:paraId="0B02E7F6" w14:textId="77777777" w:rsidTr="003D12D7">
        <w:trPr>
          <w:trHeight w:val="315"/>
        </w:trPr>
        <w:tc>
          <w:tcPr>
            <w:tcW w:w="3103" w:type="dxa"/>
            <w:tcBorders>
              <w:top w:val="single" w:sz="4" w:space="0" w:color="ADD6EA"/>
              <w:left w:val="nil"/>
              <w:bottom w:val="nil"/>
              <w:right w:val="nil"/>
            </w:tcBorders>
            <w:shd w:val="clear" w:color="auto" w:fill="auto"/>
            <w:noWrap/>
            <w:vAlign w:val="bottom"/>
            <w:hideMark/>
          </w:tcPr>
          <w:p w14:paraId="6915DD4B" w14:textId="77777777" w:rsidR="00295AE4" w:rsidRPr="00442A3B" w:rsidRDefault="00295AE4" w:rsidP="00295AE4">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442A3B">
              <w:rPr>
                <w:rFonts w:eastAsia="Times New Roman" w:cs="Open Sans Light"/>
                <w:color w:val="000000"/>
                <w:sz w:val="16"/>
                <w:szCs w:val="16"/>
                <w:lang w:eastAsia="en-AU"/>
              </w:rPr>
              <w:t>Taxable payrolls</w:t>
            </w:r>
          </w:p>
        </w:tc>
        <w:tc>
          <w:tcPr>
            <w:tcW w:w="680" w:type="dxa"/>
            <w:tcBorders>
              <w:top w:val="single" w:sz="4" w:space="0" w:color="ADD6EA"/>
              <w:left w:val="nil"/>
              <w:bottom w:val="nil"/>
              <w:right w:val="nil"/>
            </w:tcBorders>
            <w:shd w:val="clear" w:color="auto" w:fill="auto"/>
            <w:noWrap/>
            <w:vAlign w:val="bottom"/>
            <w:hideMark/>
          </w:tcPr>
          <w:p w14:paraId="06D76C27"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-472</w:t>
            </w:r>
          </w:p>
        </w:tc>
        <w:tc>
          <w:tcPr>
            <w:tcW w:w="680" w:type="dxa"/>
            <w:tcBorders>
              <w:top w:val="single" w:sz="4" w:space="0" w:color="ADD6EA"/>
              <w:left w:val="nil"/>
              <w:bottom w:val="nil"/>
              <w:right w:val="nil"/>
            </w:tcBorders>
            <w:shd w:val="clear" w:color="auto" w:fill="auto"/>
            <w:noWrap/>
            <w:vAlign w:val="bottom"/>
            <w:hideMark/>
          </w:tcPr>
          <w:p w14:paraId="115CC8D9"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79</w:t>
            </w:r>
          </w:p>
        </w:tc>
        <w:tc>
          <w:tcPr>
            <w:tcW w:w="680" w:type="dxa"/>
            <w:tcBorders>
              <w:top w:val="single" w:sz="4" w:space="0" w:color="ADD6EA"/>
              <w:left w:val="nil"/>
              <w:bottom w:val="nil"/>
              <w:right w:val="nil"/>
            </w:tcBorders>
            <w:shd w:val="clear" w:color="auto" w:fill="auto"/>
            <w:noWrap/>
            <w:vAlign w:val="bottom"/>
            <w:hideMark/>
          </w:tcPr>
          <w:p w14:paraId="2F91D48C"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532</w:t>
            </w:r>
          </w:p>
        </w:tc>
        <w:tc>
          <w:tcPr>
            <w:tcW w:w="680" w:type="dxa"/>
            <w:tcBorders>
              <w:top w:val="single" w:sz="4" w:space="0" w:color="ADD6EA"/>
              <w:left w:val="nil"/>
              <w:bottom w:val="nil"/>
              <w:right w:val="nil"/>
            </w:tcBorders>
            <w:shd w:val="clear" w:color="auto" w:fill="auto"/>
            <w:noWrap/>
            <w:vAlign w:val="bottom"/>
            <w:hideMark/>
          </w:tcPr>
          <w:p w14:paraId="0893BCAE"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-753</w:t>
            </w:r>
          </w:p>
        </w:tc>
        <w:tc>
          <w:tcPr>
            <w:tcW w:w="660" w:type="dxa"/>
            <w:tcBorders>
              <w:top w:val="single" w:sz="4" w:space="0" w:color="ADD6EA"/>
              <w:left w:val="nil"/>
              <w:bottom w:val="nil"/>
              <w:right w:val="nil"/>
            </w:tcBorders>
            <w:shd w:val="clear" w:color="auto" w:fill="auto"/>
            <w:noWrap/>
            <w:vAlign w:val="bottom"/>
            <w:hideMark/>
          </w:tcPr>
          <w:p w14:paraId="26BA0D12"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427</w:t>
            </w:r>
          </w:p>
        </w:tc>
        <w:tc>
          <w:tcPr>
            <w:tcW w:w="660" w:type="dxa"/>
            <w:tcBorders>
              <w:top w:val="single" w:sz="4" w:space="0" w:color="ADD6EA"/>
              <w:left w:val="nil"/>
              <w:bottom w:val="nil"/>
              <w:right w:val="nil"/>
            </w:tcBorders>
            <w:shd w:val="clear" w:color="auto" w:fill="auto"/>
            <w:noWrap/>
            <w:vAlign w:val="bottom"/>
            <w:hideMark/>
          </w:tcPr>
          <w:p w14:paraId="4A94254F"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192</w:t>
            </w:r>
          </w:p>
        </w:tc>
        <w:tc>
          <w:tcPr>
            <w:tcW w:w="580" w:type="dxa"/>
            <w:tcBorders>
              <w:top w:val="single" w:sz="4" w:space="0" w:color="ADD6EA"/>
              <w:left w:val="nil"/>
              <w:bottom w:val="nil"/>
              <w:right w:val="nil"/>
            </w:tcBorders>
            <w:shd w:val="clear" w:color="auto" w:fill="auto"/>
            <w:noWrap/>
            <w:vAlign w:val="bottom"/>
            <w:hideMark/>
          </w:tcPr>
          <w:p w14:paraId="30682343"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37</w:t>
            </w:r>
          </w:p>
        </w:tc>
        <w:tc>
          <w:tcPr>
            <w:tcW w:w="660" w:type="dxa"/>
            <w:tcBorders>
              <w:top w:val="single" w:sz="4" w:space="0" w:color="ADD6EA"/>
              <w:left w:val="nil"/>
              <w:bottom w:val="nil"/>
              <w:right w:val="nil"/>
            </w:tcBorders>
            <w:shd w:val="clear" w:color="auto" w:fill="auto"/>
            <w:noWrap/>
            <w:vAlign w:val="bottom"/>
            <w:hideMark/>
          </w:tcPr>
          <w:p w14:paraId="261D99D5"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-42</w:t>
            </w:r>
          </w:p>
        </w:tc>
        <w:tc>
          <w:tcPr>
            <w:tcW w:w="580" w:type="dxa"/>
            <w:tcBorders>
              <w:top w:val="single" w:sz="4" w:space="0" w:color="ADD6EA"/>
              <w:left w:val="nil"/>
              <w:bottom w:val="nil"/>
              <w:right w:val="nil"/>
            </w:tcBorders>
            <w:shd w:val="clear" w:color="auto" w:fill="auto"/>
            <w:noWrap/>
            <w:vAlign w:val="bottom"/>
            <w:hideMark/>
          </w:tcPr>
          <w:p w14:paraId="58A347B6"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1,266</w:t>
            </w:r>
          </w:p>
        </w:tc>
      </w:tr>
      <w:tr w:rsidR="00295AE4" w:rsidRPr="00442A3B" w14:paraId="1477B33A" w14:textId="77777777" w:rsidTr="003D12D7">
        <w:trPr>
          <w:trHeight w:val="315"/>
        </w:trPr>
        <w:tc>
          <w:tcPr>
            <w:tcW w:w="3103" w:type="dxa"/>
            <w:tcBorders>
              <w:top w:val="single" w:sz="4" w:space="0" w:color="ADD6EA"/>
              <w:left w:val="nil"/>
              <w:bottom w:val="nil"/>
              <w:right w:val="nil"/>
            </w:tcBorders>
            <w:shd w:val="clear" w:color="auto" w:fill="auto"/>
            <w:noWrap/>
            <w:vAlign w:val="bottom"/>
            <w:hideMark/>
          </w:tcPr>
          <w:p w14:paraId="09898FDA" w14:textId="77777777" w:rsidR="00295AE4" w:rsidRPr="00442A3B" w:rsidRDefault="00295AE4" w:rsidP="00295AE4">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442A3B">
              <w:rPr>
                <w:rFonts w:eastAsia="Times New Roman" w:cs="Open Sans Light"/>
                <w:color w:val="000000"/>
                <w:sz w:val="16"/>
                <w:szCs w:val="16"/>
                <w:lang w:eastAsia="en-AU"/>
              </w:rPr>
              <w:t>Other revenue effects</w:t>
            </w:r>
          </w:p>
        </w:tc>
        <w:tc>
          <w:tcPr>
            <w:tcW w:w="680" w:type="dxa"/>
            <w:tcBorders>
              <w:top w:val="single" w:sz="4" w:space="0" w:color="ADD6EA"/>
              <w:left w:val="nil"/>
              <w:bottom w:val="nil"/>
              <w:right w:val="nil"/>
            </w:tcBorders>
            <w:shd w:val="clear" w:color="auto" w:fill="auto"/>
            <w:noWrap/>
            <w:vAlign w:val="bottom"/>
            <w:hideMark/>
          </w:tcPr>
          <w:p w14:paraId="7D605C9B"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123</w:t>
            </w:r>
          </w:p>
        </w:tc>
        <w:tc>
          <w:tcPr>
            <w:tcW w:w="680" w:type="dxa"/>
            <w:tcBorders>
              <w:top w:val="single" w:sz="4" w:space="0" w:color="ADD6EA"/>
              <w:left w:val="nil"/>
              <w:bottom w:val="nil"/>
              <w:right w:val="nil"/>
            </w:tcBorders>
            <w:shd w:val="clear" w:color="auto" w:fill="auto"/>
            <w:noWrap/>
            <w:vAlign w:val="bottom"/>
            <w:hideMark/>
          </w:tcPr>
          <w:p w14:paraId="74CDB246"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122</w:t>
            </w:r>
          </w:p>
        </w:tc>
        <w:tc>
          <w:tcPr>
            <w:tcW w:w="680" w:type="dxa"/>
            <w:tcBorders>
              <w:top w:val="single" w:sz="4" w:space="0" w:color="ADD6EA"/>
              <w:left w:val="nil"/>
              <w:bottom w:val="nil"/>
              <w:right w:val="nil"/>
            </w:tcBorders>
            <w:shd w:val="clear" w:color="auto" w:fill="auto"/>
            <w:noWrap/>
            <w:vAlign w:val="bottom"/>
            <w:hideMark/>
          </w:tcPr>
          <w:p w14:paraId="123D0CF6"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-61</w:t>
            </w:r>
          </w:p>
        </w:tc>
        <w:tc>
          <w:tcPr>
            <w:tcW w:w="680" w:type="dxa"/>
            <w:tcBorders>
              <w:top w:val="single" w:sz="4" w:space="0" w:color="ADD6EA"/>
              <w:left w:val="nil"/>
              <w:bottom w:val="nil"/>
              <w:right w:val="nil"/>
            </w:tcBorders>
            <w:shd w:val="clear" w:color="auto" w:fill="auto"/>
            <w:noWrap/>
            <w:vAlign w:val="bottom"/>
            <w:hideMark/>
          </w:tcPr>
          <w:p w14:paraId="4B26F1A3"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-107</w:t>
            </w:r>
          </w:p>
        </w:tc>
        <w:tc>
          <w:tcPr>
            <w:tcW w:w="660" w:type="dxa"/>
            <w:tcBorders>
              <w:top w:val="single" w:sz="4" w:space="0" w:color="ADD6EA"/>
              <w:left w:val="nil"/>
              <w:bottom w:val="nil"/>
              <w:right w:val="nil"/>
            </w:tcBorders>
            <w:shd w:val="clear" w:color="auto" w:fill="auto"/>
            <w:noWrap/>
            <w:vAlign w:val="bottom"/>
            <w:hideMark/>
          </w:tcPr>
          <w:p w14:paraId="3010E3DD"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-109</w:t>
            </w:r>
          </w:p>
        </w:tc>
        <w:tc>
          <w:tcPr>
            <w:tcW w:w="660" w:type="dxa"/>
            <w:tcBorders>
              <w:top w:val="single" w:sz="4" w:space="0" w:color="ADD6EA"/>
              <w:left w:val="nil"/>
              <w:bottom w:val="nil"/>
              <w:right w:val="nil"/>
            </w:tcBorders>
            <w:shd w:val="clear" w:color="auto" w:fill="auto"/>
            <w:noWrap/>
            <w:vAlign w:val="bottom"/>
            <w:hideMark/>
          </w:tcPr>
          <w:p w14:paraId="13027379"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-11</w:t>
            </w:r>
          </w:p>
        </w:tc>
        <w:tc>
          <w:tcPr>
            <w:tcW w:w="580" w:type="dxa"/>
            <w:tcBorders>
              <w:top w:val="single" w:sz="4" w:space="0" w:color="ADD6EA"/>
              <w:left w:val="nil"/>
              <w:bottom w:val="nil"/>
              <w:right w:val="nil"/>
            </w:tcBorders>
            <w:shd w:val="clear" w:color="auto" w:fill="auto"/>
            <w:noWrap/>
            <w:vAlign w:val="bottom"/>
            <w:hideMark/>
          </w:tcPr>
          <w:p w14:paraId="6014A8CB"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36</w:t>
            </w:r>
          </w:p>
        </w:tc>
        <w:tc>
          <w:tcPr>
            <w:tcW w:w="660" w:type="dxa"/>
            <w:tcBorders>
              <w:top w:val="single" w:sz="4" w:space="0" w:color="ADD6EA"/>
              <w:left w:val="nil"/>
              <w:bottom w:val="nil"/>
              <w:right w:val="nil"/>
            </w:tcBorders>
            <w:shd w:val="clear" w:color="auto" w:fill="auto"/>
            <w:noWrap/>
            <w:vAlign w:val="bottom"/>
            <w:hideMark/>
          </w:tcPr>
          <w:p w14:paraId="139C6AA9"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7</w:t>
            </w:r>
          </w:p>
        </w:tc>
        <w:tc>
          <w:tcPr>
            <w:tcW w:w="580" w:type="dxa"/>
            <w:tcBorders>
              <w:top w:val="single" w:sz="4" w:space="0" w:color="ADD6EA"/>
              <w:left w:val="nil"/>
              <w:bottom w:val="nil"/>
              <w:right w:val="nil"/>
            </w:tcBorders>
            <w:shd w:val="clear" w:color="auto" w:fill="auto"/>
            <w:noWrap/>
            <w:vAlign w:val="bottom"/>
            <w:hideMark/>
          </w:tcPr>
          <w:p w14:paraId="72B492FC"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288</w:t>
            </w:r>
          </w:p>
        </w:tc>
      </w:tr>
      <w:tr w:rsidR="00295AE4" w:rsidRPr="00442A3B" w14:paraId="70EB79B3" w14:textId="77777777" w:rsidTr="003D12D7">
        <w:trPr>
          <w:trHeight w:val="315"/>
        </w:trPr>
        <w:tc>
          <w:tcPr>
            <w:tcW w:w="3103" w:type="dxa"/>
            <w:tcBorders>
              <w:top w:val="single" w:sz="4" w:space="0" w:color="ADD6EA"/>
              <w:left w:val="nil"/>
              <w:bottom w:val="single" w:sz="4" w:space="0" w:color="ADD6EA"/>
              <w:right w:val="nil"/>
            </w:tcBorders>
            <w:shd w:val="clear" w:color="000000" w:fill="D6E7F0"/>
            <w:noWrap/>
            <w:vAlign w:val="bottom"/>
            <w:hideMark/>
          </w:tcPr>
          <w:p w14:paraId="4F237E47" w14:textId="77777777" w:rsidR="00295AE4" w:rsidRPr="00442A3B" w:rsidRDefault="00295AE4" w:rsidP="00295AE4">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TOTAL REVENUE</w:t>
            </w:r>
          </w:p>
        </w:tc>
        <w:tc>
          <w:tcPr>
            <w:tcW w:w="680" w:type="dxa"/>
            <w:tcBorders>
              <w:top w:val="single" w:sz="4" w:space="0" w:color="ADD6EA"/>
              <w:left w:val="nil"/>
              <w:bottom w:val="single" w:sz="4" w:space="0" w:color="ADD6EA"/>
              <w:right w:val="nil"/>
            </w:tcBorders>
            <w:shd w:val="clear" w:color="000000" w:fill="D6E7F0"/>
            <w:noWrap/>
            <w:vAlign w:val="bottom"/>
            <w:hideMark/>
          </w:tcPr>
          <w:p w14:paraId="1FB04B34"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-153</w:t>
            </w:r>
          </w:p>
        </w:tc>
        <w:tc>
          <w:tcPr>
            <w:tcW w:w="680" w:type="dxa"/>
            <w:tcBorders>
              <w:top w:val="single" w:sz="4" w:space="0" w:color="ADD6EA"/>
              <w:left w:val="nil"/>
              <w:bottom w:val="single" w:sz="4" w:space="0" w:color="ADD6EA"/>
              <w:right w:val="nil"/>
            </w:tcBorders>
            <w:shd w:val="clear" w:color="000000" w:fill="D6E7F0"/>
            <w:noWrap/>
            <w:vAlign w:val="bottom"/>
            <w:hideMark/>
          </w:tcPr>
          <w:p w14:paraId="4941C276"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2,650</w:t>
            </w:r>
          </w:p>
        </w:tc>
        <w:tc>
          <w:tcPr>
            <w:tcW w:w="680" w:type="dxa"/>
            <w:tcBorders>
              <w:top w:val="single" w:sz="4" w:space="0" w:color="ADD6EA"/>
              <w:left w:val="nil"/>
              <w:bottom w:val="single" w:sz="4" w:space="0" w:color="ADD6EA"/>
              <w:right w:val="nil"/>
            </w:tcBorders>
            <w:shd w:val="clear" w:color="000000" w:fill="D6E7F0"/>
            <w:noWrap/>
            <w:vAlign w:val="bottom"/>
            <w:hideMark/>
          </w:tcPr>
          <w:p w14:paraId="7ACE0806"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564</w:t>
            </w:r>
          </w:p>
        </w:tc>
        <w:tc>
          <w:tcPr>
            <w:tcW w:w="680" w:type="dxa"/>
            <w:tcBorders>
              <w:top w:val="single" w:sz="4" w:space="0" w:color="ADD6EA"/>
              <w:left w:val="nil"/>
              <w:bottom w:val="single" w:sz="4" w:space="0" w:color="ADD6EA"/>
              <w:right w:val="nil"/>
            </w:tcBorders>
            <w:shd w:val="clear" w:color="000000" w:fill="D6E7F0"/>
            <w:noWrap/>
            <w:vAlign w:val="bottom"/>
            <w:hideMark/>
          </w:tcPr>
          <w:p w14:paraId="4D16C23E"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-6,287</w:t>
            </w:r>
          </w:p>
        </w:tc>
        <w:tc>
          <w:tcPr>
            <w:tcW w:w="660" w:type="dxa"/>
            <w:tcBorders>
              <w:top w:val="single" w:sz="4" w:space="0" w:color="ADD6EA"/>
              <w:left w:val="nil"/>
              <w:bottom w:val="single" w:sz="4" w:space="0" w:color="ADD6EA"/>
              <w:right w:val="nil"/>
            </w:tcBorders>
            <w:shd w:val="clear" w:color="000000" w:fill="D6E7F0"/>
            <w:noWrap/>
            <w:vAlign w:val="bottom"/>
            <w:hideMark/>
          </w:tcPr>
          <w:p w14:paraId="7D26AC4C"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2,031</w:t>
            </w:r>
          </w:p>
        </w:tc>
        <w:tc>
          <w:tcPr>
            <w:tcW w:w="660" w:type="dxa"/>
            <w:tcBorders>
              <w:top w:val="single" w:sz="4" w:space="0" w:color="ADD6EA"/>
              <w:left w:val="nil"/>
              <w:bottom w:val="single" w:sz="4" w:space="0" w:color="ADD6EA"/>
              <w:right w:val="nil"/>
            </w:tcBorders>
            <w:shd w:val="clear" w:color="000000" w:fill="D6E7F0"/>
            <w:noWrap/>
            <w:vAlign w:val="bottom"/>
            <w:hideMark/>
          </w:tcPr>
          <w:p w14:paraId="4FACCF67"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752</w:t>
            </w:r>
          </w:p>
        </w:tc>
        <w:tc>
          <w:tcPr>
            <w:tcW w:w="580" w:type="dxa"/>
            <w:tcBorders>
              <w:top w:val="single" w:sz="4" w:space="0" w:color="ADD6EA"/>
              <w:left w:val="nil"/>
              <w:bottom w:val="single" w:sz="4" w:space="0" w:color="ADD6EA"/>
              <w:right w:val="nil"/>
            </w:tcBorders>
            <w:shd w:val="clear" w:color="000000" w:fill="D6E7F0"/>
            <w:noWrap/>
            <w:vAlign w:val="bottom"/>
            <w:hideMark/>
          </w:tcPr>
          <w:p w14:paraId="339D7C8F"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447</w:t>
            </w:r>
          </w:p>
        </w:tc>
        <w:tc>
          <w:tcPr>
            <w:tcW w:w="660" w:type="dxa"/>
            <w:tcBorders>
              <w:top w:val="single" w:sz="4" w:space="0" w:color="ADD6EA"/>
              <w:left w:val="nil"/>
              <w:bottom w:val="single" w:sz="4" w:space="0" w:color="ADD6EA"/>
              <w:right w:val="nil"/>
            </w:tcBorders>
            <w:shd w:val="clear" w:color="000000" w:fill="D6E7F0"/>
            <w:noWrap/>
            <w:vAlign w:val="bottom"/>
            <w:hideMark/>
          </w:tcPr>
          <w:p w14:paraId="3BC04122"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-5</w:t>
            </w:r>
          </w:p>
        </w:tc>
        <w:tc>
          <w:tcPr>
            <w:tcW w:w="580" w:type="dxa"/>
            <w:tcBorders>
              <w:top w:val="single" w:sz="4" w:space="0" w:color="ADD6EA"/>
              <w:left w:val="nil"/>
              <w:bottom w:val="single" w:sz="4" w:space="0" w:color="ADD6EA"/>
              <w:right w:val="nil"/>
            </w:tcBorders>
            <w:shd w:val="clear" w:color="000000" w:fill="D6E7F0"/>
            <w:noWrap/>
            <w:vAlign w:val="bottom"/>
            <w:hideMark/>
          </w:tcPr>
          <w:p w14:paraId="598F7E41"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6,445</w:t>
            </w:r>
          </w:p>
        </w:tc>
      </w:tr>
      <w:tr w:rsidR="00295AE4" w:rsidRPr="00442A3B" w14:paraId="2C667E34" w14:textId="77777777" w:rsidTr="003D12D7">
        <w:trPr>
          <w:trHeight w:val="315"/>
        </w:trPr>
        <w:tc>
          <w:tcPr>
            <w:tcW w:w="3103" w:type="dxa"/>
            <w:tcBorders>
              <w:top w:val="single" w:sz="8" w:space="0" w:color="ADD6EA"/>
              <w:left w:val="nil"/>
              <w:bottom w:val="single" w:sz="4" w:space="0" w:color="ADD6EA"/>
              <w:right w:val="nil"/>
            </w:tcBorders>
            <w:shd w:val="clear" w:color="auto" w:fill="auto"/>
            <w:noWrap/>
            <w:vAlign w:val="bottom"/>
            <w:hideMark/>
          </w:tcPr>
          <w:p w14:paraId="14A8AC0F"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EFFECTS OF EXPENSE REQUIREMENTS</w:t>
            </w:r>
          </w:p>
        </w:tc>
        <w:tc>
          <w:tcPr>
            <w:tcW w:w="680" w:type="dxa"/>
            <w:tcBorders>
              <w:top w:val="single" w:sz="8" w:space="0" w:color="ADD6EA"/>
              <w:left w:val="nil"/>
              <w:bottom w:val="single" w:sz="4" w:space="0" w:color="ADD6EA"/>
              <w:right w:val="nil"/>
            </w:tcBorders>
            <w:shd w:val="clear" w:color="auto" w:fill="auto"/>
            <w:noWrap/>
            <w:vAlign w:val="bottom"/>
            <w:hideMark/>
          </w:tcPr>
          <w:p w14:paraId="25DD81CF"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w:t>
            </w:r>
          </w:p>
        </w:tc>
        <w:tc>
          <w:tcPr>
            <w:tcW w:w="680" w:type="dxa"/>
            <w:tcBorders>
              <w:top w:val="single" w:sz="8" w:space="0" w:color="ADD6EA"/>
              <w:left w:val="nil"/>
              <w:bottom w:val="single" w:sz="4" w:space="0" w:color="ADD6EA"/>
              <w:right w:val="nil"/>
            </w:tcBorders>
            <w:shd w:val="clear" w:color="auto" w:fill="auto"/>
            <w:noWrap/>
            <w:vAlign w:val="bottom"/>
            <w:hideMark/>
          </w:tcPr>
          <w:p w14:paraId="3DC9AB2E"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w:t>
            </w:r>
          </w:p>
        </w:tc>
        <w:tc>
          <w:tcPr>
            <w:tcW w:w="680" w:type="dxa"/>
            <w:tcBorders>
              <w:top w:val="single" w:sz="8" w:space="0" w:color="ADD6EA"/>
              <w:left w:val="nil"/>
              <w:bottom w:val="single" w:sz="4" w:space="0" w:color="ADD6EA"/>
              <w:right w:val="nil"/>
            </w:tcBorders>
            <w:shd w:val="clear" w:color="auto" w:fill="auto"/>
            <w:noWrap/>
            <w:vAlign w:val="bottom"/>
            <w:hideMark/>
          </w:tcPr>
          <w:p w14:paraId="7CB8DA66"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w:t>
            </w:r>
          </w:p>
        </w:tc>
        <w:tc>
          <w:tcPr>
            <w:tcW w:w="680" w:type="dxa"/>
            <w:tcBorders>
              <w:top w:val="single" w:sz="8" w:space="0" w:color="ADD6EA"/>
              <w:left w:val="nil"/>
              <w:bottom w:val="single" w:sz="4" w:space="0" w:color="ADD6EA"/>
              <w:right w:val="nil"/>
            </w:tcBorders>
            <w:shd w:val="clear" w:color="auto" w:fill="auto"/>
            <w:noWrap/>
            <w:vAlign w:val="bottom"/>
            <w:hideMark/>
          </w:tcPr>
          <w:p w14:paraId="5A9F8153"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w:t>
            </w:r>
          </w:p>
        </w:tc>
        <w:tc>
          <w:tcPr>
            <w:tcW w:w="660" w:type="dxa"/>
            <w:tcBorders>
              <w:top w:val="single" w:sz="8" w:space="0" w:color="ADD6EA"/>
              <w:left w:val="nil"/>
              <w:bottom w:val="single" w:sz="4" w:space="0" w:color="ADD6EA"/>
              <w:right w:val="nil"/>
            </w:tcBorders>
            <w:shd w:val="clear" w:color="auto" w:fill="auto"/>
            <w:noWrap/>
            <w:vAlign w:val="bottom"/>
            <w:hideMark/>
          </w:tcPr>
          <w:p w14:paraId="34313A2D"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w:t>
            </w:r>
          </w:p>
        </w:tc>
        <w:tc>
          <w:tcPr>
            <w:tcW w:w="660" w:type="dxa"/>
            <w:tcBorders>
              <w:top w:val="single" w:sz="8" w:space="0" w:color="ADD6EA"/>
              <w:left w:val="nil"/>
              <w:bottom w:val="single" w:sz="4" w:space="0" w:color="ADD6EA"/>
              <w:right w:val="nil"/>
            </w:tcBorders>
            <w:shd w:val="clear" w:color="auto" w:fill="auto"/>
            <w:noWrap/>
            <w:vAlign w:val="bottom"/>
            <w:hideMark/>
          </w:tcPr>
          <w:p w14:paraId="5F918ED6"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w:t>
            </w:r>
          </w:p>
        </w:tc>
        <w:tc>
          <w:tcPr>
            <w:tcW w:w="580" w:type="dxa"/>
            <w:tcBorders>
              <w:top w:val="single" w:sz="8" w:space="0" w:color="ADD6EA"/>
              <w:left w:val="nil"/>
              <w:bottom w:val="single" w:sz="4" w:space="0" w:color="ADD6EA"/>
              <w:right w:val="nil"/>
            </w:tcBorders>
            <w:shd w:val="clear" w:color="auto" w:fill="auto"/>
            <w:noWrap/>
            <w:vAlign w:val="bottom"/>
            <w:hideMark/>
          </w:tcPr>
          <w:p w14:paraId="6E219450"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w:t>
            </w:r>
          </w:p>
        </w:tc>
        <w:tc>
          <w:tcPr>
            <w:tcW w:w="660" w:type="dxa"/>
            <w:tcBorders>
              <w:top w:val="single" w:sz="8" w:space="0" w:color="ADD6EA"/>
              <w:left w:val="nil"/>
              <w:bottom w:val="single" w:sz="4" w:space="0" w:color="ADD6EA"/>
              <w:right w:val="nil"/>
            </w:tcBorders>
            <w:shd w:val="clear" w:color="auto" w:fill="auto"/>
            <w:noWrap/>
            <w:vAlign w:val="bottom"/>
            <w:hideMark/>
          </w:tcPr>
          <w:p w14:paraId="1943A279"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w:t>
            </w:r>
          </w:p>
        </w:tc>
        <w:tc>
          <w:tcPr>
            <w:tcW w:w="580" w:type="dxa"/>
            <w:tcBorders>
              <w:top w:val="single" w:sz="8" w:space="0" w:color="ADD6EA"/>
              <w:left w:val="nil"/>
              <w:bottom w:val="single" w:sz="4" w:space="0" w:color="ADD6EA"/>
              <w:right w:val="nil"/>
            </w:tcBorders>
            <w:shd w:val="clear" w:color="auto" w:fill="auto"/>
            <w:noWrap/>
            <w:vAlign w:val="bottom"/>
            <w:hideMark/>
          </w:tcPr>
          <w:p w14:paraId="52BCB487"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w:t>
            </w:r>
          </w:p>
        </w:tc>
      </w:tr>
      <w:tr w:rsidR="00295AE4" w:rsidRPr="00442A3B" w14:paraId="784F1F69" w14:textId="77777777" w:rsidTr="003D12D7">
        <w:trPr>
          <w:trHeight w:val="315"/>
        </w:trPr>
        <w:tc>
          <w:tcPr>
            <w:tcW w:w="3103" w:type="dxa"/>
            <w:tcBorders>
              <w:top w:val="nil"/>
              <w:left w:val="nil"/>
              <w:bottom w:val="nil"/>
              <w:right w:val="nil"/>
            </w:tcBorders>
            <w:shd w:val="clear" w:color="auto" w:fill="auto"/>
            <w:noWrap/>
            <w:vAlign w:val="bottom"/>
            <w:hideMark/>
          </w:tcPr>
          <w:p w14:paraId="73045E97" w14:textId="0C8488DC" w:rsidR="00295AE4" w:rsidRPr="00442A3B" w:rsidRDefault="00295AE4" w:rsidP="00295AE4">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442A3B">
              <w:rPr>
                <w:rFonts w:eastAsia="Times New Roman" w:cs="Open Sans Light"/>
                <w:color w:val="000000"/>
                <w:sz w:val="16"/>
                <w:szCs w:val="16"/>
                <w:lang w:eastAsia="en-AU"/>
              </w:rPr>
              <w:t>Sociodemographic composition (SDC)</w:t>
            </w:r>
          </w:p>
        </w:tc>
        <w:tc>
          <w:tcPr>
            <w:tcW w:w="680" w:type="dxa"/>
            <w:tcBorders>
              <w:top w:val="nil"/>
              <w:left w:val="nil"/>
              <w:bottom w:val="nil"/>
              <w:right w:val="nil"/>
            </w:tcBorders>
            <w:shd w:val="clear" w:color="auto" w:fill="auto"/>
            <w:noWrap/>
            <w:vAlign w:val="bottom"/>
            <w:hideMark/>
          </w:tcPr>
          <w:p w14:paraId="09ADAE8F" w14:textId="77777777" w:rsidR="00295AE4" w:rsidRPr="00442A3B" w:rsidRDefault="00295AE4" w:rsidP="00295AE4">
            <w:pPr>
              <w:keepNext/>
              <w:keepLines/>
              <w:tabs>
                <w:tab w:val="clear" w:pos="567"/>
              </w:tabs>
              <w:spacing w:before="0" w:line="240" w:lineRule="auto"/>
              <w:ind w:firstLineChars="100" w:firstLine="160"/>
              <w:rPr>
                <w:rFonts w:eastAsia="Times New Roman" w:cs="Open Sans Light"/>
                <w:color w:val="000000"/>
                <w:sz w:val="16"/>
                <w:szCs w:val="16"/>
                <w:lang w:eastAsia="en-AU"/>
              </w:rPr>
            </w:pPr>
          </w:p>
        </w:tc>
        <w:tc>
          <w:tcPr>
            <w:tcW w:w="680" w:type="dxa"/>
            <w:tcBorders>
              <w:top w:val="nil"/>
              <w:left w:val="nil"/>
              <w:bottom w:val="nil"/>
              <w:right w:val="nil"/>
            </w:tcBorders>
            <w:shd w:val="clear" w:color="auto" w:fill="auto"/>
            <w:noWrap/>
            <w:vAlign w:val="bottom"/>
            <w:hideMark/>
          </w:tcPr>
          <w:p w14:paraId="670E6669" w14:textId="77777777" w:rsidR="00295AE4" w:rsidRPr="00442A3B" w:rsidRDefault="00295AE4" w:rsidP="00295AE4">
            <w:pPr>
              <w:keepNext/>
              <w:keepLines/>
              <w:tabs>
                <w:tab w:val="clear" w:pos="567"/>
              </w:tabs>
              <w:spacing w:before="0" w:line="240" w:lineRule="auto"/>
              <w:rPr>
                <w:rFonts w:ascii="Times New Roman" w:eastAsia="Times New Roman" w:hAnsi="Times New Roman" w:cs="Times New Roman"/>
                <w:szCs w:val="20"/>
                <w:lang w:eastAsia="en-AU"/>
              </w:rPr>
            </w:pPr>
          </w:p>
        </w:tc>
        <w:tc>
          <w:tcPr>
            <w:tcW w:w="680" w:type="dxa"/>
            <w:tcBorders>
              <w:top w:val="nil"/>
              <w:left w:val="nil"/>
              <w:bottom w:val="nil"/>
              <w:right w:val="nil"/>
            </w:tcBorders>
            <w:shd w:val="clear" w:color="auto" w:fill="auto"/>
            <w:noWrap/>
            <w:vAlign w:val="bottom"/>
            <w:hideMark/>
          </w:tcPr>
          <w:p w14:paraId="2E7BA868" w14:textId="77777777" w:rsidR="00295AE4" w:rsidRPr="00442A3B" w:rsidRDefault="00295AE4" w:rsidP="00295AE4">
            <w:pPr>
              <w:keepNext/>
              <w:keepLines/>
              <w:tabs>
                <w:tab w:val="clear" w:pos="567"/>
              </w:tabs>
              <w:spacing w:before="0" w:line="240" w:lineRule="auto"/>
              <w:rPr>
                <w:rFonts w:ascii="Times New Roman" w:eastAsia="Times New Roman" w:hAnsi="Times New Roman" w:cs="Times New Roman"/>
                <w:szCs w:val="20"/>
                <w:lang w:eastAsia="en-AU"/>
              </w:rPr>
            </w:pPr>
          </w:p>
        </w:tc>
        <w:tc>
          <w:tcPr>
            <w:tcW w:w="680" w:type="dxa"/>
            <w:tcBorders>
              <w:top w:val="nil"/>
              <w:left w:val="nil"/>
              <w:bottom w:val="nil"/>
              <w:right w:val="nil"/>
            </w:tcBorders>
            <w:shd w:val="clear" w:color="auto" w:fill="auto"/>
            <w:noWrap/>
            <w:vAlign w:val="bottom"/>
            <w:hideMark/>
          </w:tcPr>
          <w:p w14:paraId="58F86496" w14:textId="77777777" w:rsidR="00295AE4" w:rsidRPr="00442A3B" w:rsidRDefault="00295AE4" w:rsidP="00295AE4">
            <w:pPr>
              <w:keepNext/>
              <w:keepLines/>
              <w:tabs>
                <w:tab w:val="clear" w:pos="567"/>
              </w:tabs>
              <w:spacing w:before="0" w:line="240" w:lineRule="auto"/>
              <w:rPr>
                <w:rFonts w:ascii="Times New Roman" w:eastAsia="Times New Roman" w:hAnsi="Times New Roman" w:cs="Times New Roman"/>
                <w:szCs w:val="20"/>
                <w:lang w:eastAsia="en-AU"/>
              </w:rPr>
            </w:pPr>
          </w:p>
        </w:tc>
        <w:tc>
          <w:tcPr>
            <w:tcW w:w="660" w:type="dxa"/>
            <w:tcBorders>
              <w:top w:val="nil"/>
              <w:left w:val="nil"/>
              <w:bottom w:val="nil"/>
              <w:right w:val="nil"/>
            </w:tcBorders>
            <w:shd w:val="clear" w:color="auto" w:fill="auto"/>
            <w:noWrap/>
            <w:vAlign w:val="bottom"/>
            <w:hideMark/>
          </w:tcPr>
          <w:p w14:paraId="4C37C148" w14:textId="77777777" w:rsidR="00295AE4" w:rsidRPr="00442A3B" w:rsidRDefault="00295AE4" w:rsidP="00295AE4">
            <w:pPr>
              <w:keepNext/>
              <w:keepLines/>
              <w:tabs>
                <w:tab w:val="clear" w:pos="567"/>
              </w:tabs>
              <w:spacing w:before="0" w:line="240" w:lineRule="auto"/>
              <w:rPr>
                <w:rFonts w:ascii="Times New Roman" w:eastAsia="Times New Roman" w:hAnsi="Times New Roman" w:cs="Times New Roman"/>
                <w:szCs w:val="20"/>
                <w:lang w:eastAsia="en-AU"/>
              </w:rPr>
            </w:pPr>
          </w:p>
        </w:tc>
        <w:tc>
          <w:tcPr>
            <w:tcW w:w="660" w:type="dxa"/>
            <w:tcBorders>
              <w:top w:val="nil"/>
              <w:left w:val="nil"/>
              <w:bottom w:val="nil"/>
              <w:right w:val="nil"/>
            </w:tcBorders>
            <w:shd w:val="clear" w:color="auto" w:fill="auto"/>
            <w:noWrap/>
            <w:vAlign w:val="bottom"/>
            <w:hideMark/>
          </w:tcPr>
          <w:p w14:paraId="11FECB7D" w14:textId="77777777" w:rsidR="00295AE4" w:rsidRPr="00442A3B" w:rsidRDefault="00295AE4" w:rsidP="00295AE4">
            <w:pPr>
              <w:keepNext/>
              <w:keepLines/>
              <w:tabs>
                <w:tab w:val="clear" w:pos="567"/>
              </w:tabs>
              <w:spacing w:before="0" w:line="240" w:lineRule="auto"/>
              <w:rPr>
                <w:rFonts w:ascii="Times New Roman" w:eastAsia="Times New Roman" w:hAnsi="Times New Roman" w:cs="Times New Roman"/>
                <w:szCs w:val="20"/>
                <w:lang w:eastAsia="en-AU"/>
              </w:rPr>
            </w:pPr>
          </w:p>
        </w:tc>
        <w:tc>
          <w:tcPr>
            <w:tcW w:w="580" w:type="dxa"/>
            <w:tcBorders>
              <w:top w:val="nil"/>
              <w:left w:val="nil"/>
              <w:bottom w:val="nil"/>
              <w:right w:val="nil"/>
            </w:tcBorders>
            <w:shd w:val="clear" w:color="auto" w:fill="auto"/>
            <w:noWrap/>
            <w:vAlign w:val="bottom"/>
            <w:hideMark/>
          </w:tcPr>
          <w:p w14:paraId="76D13633" w14:textId="77777777" w:rsidR="00295AE4" w:rsidRPr="00442A3B" w:rsidRDefault="00295AE4" w:rsidP="00295AE4">
            <w:pPr>
              <w:keepNext/>
              <w:keepLines/>
              <w:tabs>
                <w:tab w:val="clear" w:pos="567"/>
              </w:tabs>
              <w:spacing w:before="0" w:line="240" w:lineRule="auto"/>
              <w:rPr>
                <w:rFonts w:ascii="Times New Roman" w:eastAsia="Times New Roman" w:hAnsi="Times New Roman" w:cs="Times New Roman"/>
                <w:szCs w:val="20"/>
                <w:lang w:eastAsia="en-AU"/>
              </w:rPr>
            </w:pPr>
          </w:p>
        </w:tc>
        <w:tc>
          <w:tcPr>
            <w:tcW w:w="660" w:type="dxa"/>
            <w:tcBorders>
              <w:top w:val="nil"/>
              <w:left w:val="nil"/>
              <w:bottom w:val="nil"/>
              <w:right w:val="nil"/>
            </w:tcBorders>
            <w:shd w:val="clear" w:color="auto" w:fill="auto"/>
            <w:noWrap/>
            <w:vAlign w:val="bottom"/>
            <w:hideMark/>
          </w:tcPr>
          <w:p w14:paraId="531940C8" w14:textId="77777777" w:rsidR="00295AE4" w:rsidRPr="00442A3B" w:rsidRDefault="00295AE4" w:rsidP="00295AE4">
            <w:pPr>
              <w:keepNext/>
              <w:keepLines/>
              <w:tabs>
                <w:tab w:val="clear" w:pos="567"/>
              </w:tabs>
              <w:spacing w:before="0" w:line="240" w:lineRule="auto"/>
              <w:rPr>
                <w:rFonts w:ascii="Times New Roman" w:eastAsia="Times New Roman" w:hAnsi="Times New Roman" w:cs="Times New Roman"/>
                <w:szCs w:val="20"/>
                <w:lang w:eastAsia="en-AU"/>
              </w:rPr>
            </w:pPr>
          </w:p>
        </w:tc>
        <w:tc>
          <w:tcPr>
            <w:tcW w:w="580" w:type="dxa"/>
            <w:tcBorders>
              <w:top w:val="nil"/>
              <w:left w:val="nil"/>
              <w:bottom w:val="nil"/>
              <w:right w:val="nil"/>
            </w:tcBorders>
            <w:shd w:val="clear" w:color="auto" w:fill="auto"/>
            <w:noWrap/>
            <w:vAlign w:val="bottom"/>
            <w:hideMark/>
          </w:tcPr>
          <w:p w14:paraId="0AD7150C" w14:textId="77777777" w:rsidR="00295AE4" w:rsidRPr="00442A3B" w:rsidRDefault="00295AE4" w:rsidP="00295AE4">
            <w:pPr>
              <w:keepNext/>
              <w:keepLines/>
              <w:tabs>
                <w:tab w:val="clear" w:pos="567"/>
              </w:tabs>
              <w:spacing w:before="0" w:line="240" w:lineRule="auto"/>
              <w:rPr>
                <w:rFonts w:ascii="Times New Roman" w:eastAsia="Times New Roman" w:hAnsi="Times New Roman" w:cs="Times New Roman"/>
                <w:szCs w:val="20"/>
                <w:lang w:eastAsia="en-AU"/>
              </w:rPr>
            </w:pPr>
          </w:p>
        </w:tc>
      </w:tr>
      <w:tr w:rsidR="00295AE4" w:rsidRPr="00442A3B" w14:paraId="288317BB" w14:textId="77777777" w:rsidTr="003D12D7">
        <w:trPr>
          <w:trHeight w:val="315"/>
        </w:trPr>
        <w:tc>
          <w:tcPr>
            <w:tcW w:w="3103" w:type="dxa"/>
            <w:tcBorders>
              <w:top w:val="single" w:sz="4" w:space="0" w:color="ADD6EA"/>
              <w:left w:val="nil"/>
              <w:bottom w:val="nil"/>
              <w:right w:val="nil"/>
            </w:tcBorders>
            <w:shd w:val="clear" w:color="auto" w:fill="auto"/>
            <w:noWrap/>
            <w:vAlign w:val="bottom"/>
            <w:hideMark/>
          </w:tcPr>
          <w:p w14:paraId="0E74E5E0" w14:textId="77777777" w:rsidR="00295AE4" w:rsidRPr="00442A3B" w:rsidRDefault="00295AE4" w:rsidP="00295AE4">
            <w:pPr>
              <w:keepNext/>
              <w:keepLines/>
              <w:tabs>
                <w:tab w:val="clear" w:pos="567"/>
              </w:tabs>
              <w:spacing w:before="0" w:line="240" w:lineRule="auto"/>
              <w:ind w:firstLineChars="200" w:firstLine="320"/>
              <w:rPr>
                <w:rFonts w:eastAsia="Times New Roman" w:cs="Open Sans Light"/>
                <w:color w:val="000000"/>
                <w:sz w:val="16"/>
                <w:szCs w:val="16"/>
                <w:lang w:eastAsia="en-AU"/>
              </w:rPr>
            </w:pPr>
            <w:r w:rsidRPr="00442A3B">
              <w:rPr>
                <w:rFonts w:eastAsia="Times New Roman" w:cs="Open Sans Light"/>
                <w:color w:val="000000"/>
                <w:sz w:val="16"/>
                <w:szCs w:val="16"/>
                <w:lang w:eastAsia="en-AU"/>
              </w:rPr>
              <w:t>Population dispersion</w:t>
            </w:r>
          </w:p>
        </w:tc>
        <w:tc>
          <w:tcPr>
            <w:tcW w:w="680" w:type="dxa"/>
            <w:tcBorders>
              <w:top w:val="single" w:sz="4" w:space="0" w:color="ADD6EA"/>
              <w:left w:val="nil"/>
              <w:bottom w:val="nil"/>
              <w:right w:val="nil"/>
            </w:tcBorders>
            <w:shd w:val="clear" w:color="auto" w:fill="auto"/>
            <w:noWrap/>
            <w:vAlign w:val="bottom"/>
            <w:hideMark/>
          </w:tcPr>
          <w:p w14:paraId="35A3770D"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-1,573</w:t>
            </w:r>
          </w:p>
        </w:tc>
        <w:tc>
          <w:tcPr>
            <w:tcW w:w="680" w:type="dxa"/>
            <w:tcBorders>
              <w:top w:val="single" w:sz="4" w:space="0" w:color="ADD6EA"/>
              <w:left w:val="nil"/>
              <w:bottom w:val="nil"/>
              <w:right w:val="nil"/>
            </w:tcBorders>
            <w:shd w:val="clear" w:color="auto" w:fill="auto"/>
            <w:noWrap/>
            <w:vAlign w:val="bottom"/>
            <w:hideMark/>
          </w:tcPr>
          <w:p w14:paraId="5B1AFBCC"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-1,395</w:t>
            </w:r>
          </w:p>
        </w:tc>
        <w:tc>
          <w:tcPr>
            <w:tcW w:w="680" w:type="dxa"/>
            <w:tcBorders>
              <w:top w:val="single" w:sz="4" w:space="0" w:color="ADD6EA"/>
              <w:left w:val="nil"/>
              <w:bottom w:val="nil"/>
              <w:right w:val="nil"/>
            </w:tcBorders>
            <w:shd w:val="clear" w:color="auto" w:fill="auto"/>
            <w:noWrap/>
            <w:vAlign w:val="bottom"/>
            <w:hideMark/>
          </w:tcPr>
          <w:p w14:paraId="353AA54A"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891</w:t>
            </w:r>
          </w:p>
        </w:tc>
        <w:tc>
          <w:tcPr>
            <w:tcW w:w="680" w:type="dxa"/>
            <w:tcBorders>
              <w:top w:val="single" w:sz="4" w:space="0" w:color="ADD6EA"/>
              <w:left w:val="nil"/>
              <w:bottom w:val="nil"/>
              <w:right w:val="nil"/>
            </w:tcBorders>
            <w:shd w:val="clear" w:color="auto" w:fill="auto"/>
            <w:noWrap/>
            <w:vAlign w:val="bottom"/>
            <w:hideMark/>
          </w:tcPr>
          <w:p w14:paraId="25E3DC1B"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538</w:t>
            </w:r>
          </w:p>
        </w:tc>
        <w:tc>
          <w:tcPr>
            <w:tcW w:w="660" w:type="dxa"/>
            <w:tcBorders>
              <w:top w:val="single" w:sz="4" w:space="0" w:color="ADD6EA"/>
              <w:left w:val="nil"/>
              <w:bottom w:val="nil"/>
              <w:right w:val="nil"/>
            </w:tcBorders>
            <w:shd w:val="clear" w:color="auto" w:fill="auto"/>
            <w:noWrap/>
            <w:vAlign w:val="bottom"/>
            <w:hideMark/>
          </w:tcPr>
          <w:p w14:paraId="317FB194"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93</w:t>
            </w:r>
          </w:p>
        </w:tc>
        <w:tc>
          <w:tcPr>
            <w:tcW w:w="660" w:type="dxa"/>
            <w:tcBorders>
              <w:top w:val="single" w:sz="4" w:space="0" w:color="ADD6EA"/>
              <w:left w:val="nil"/>
              <w:bottom w:val="nil"/>
              <w:right w:val="nil"/>
            </w:tcBorders>
            <w:shd w:val="clear" w:color="auto" w:fill="auto"/>
            <w:noWrap/>
            <w:vAlign w:val="bottom"/>
            <w:hideMark/>
          </w:tcPr>
          <w:p w14:paraId="0ACC5655"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506</w:t>
            </w:r>
          </w:p>
        </w:tc>
        <w:tc>
          <w:tcPr>
            <w:tcW w:w="580" w:type="dxa"/>
            <w:tcBorders>
              <w:top w:val="single" w:sz="4" w:space="0" w:color="ADD6EA"/>
              <w:left w:val="nil"/>
              <w:bottom w:val="nil"/>
              <w:right w:val="nil"/>
            </w:tcBorders>
            <w:shd w:val="clear" w:color="auto" w:fill="auto"/>
            <w:noWrap/>
            <w:vAlign w:val="bottom"/>
            <w:hideMark/>
          </w:tcPr>
          <w:p w14:paraId="5C18AD01"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-222</w:t>
            </w:r>
          </w:p>
        </w:tc>
        <w:tc>
          <w:tcPr>
            <w:tcW w:w="660" w:type="dxa"/>
            <w:tcBorders>
              <w:top w:val="single" w:sz="4" w:space="0" w:color="ADD6EA"/>
              <w:left w:val="nil"/>
              <w:bottom w:val="nil"/>
              <w:right w:val="nil"/>
            </w:tcBorders>
            <w:shd w:val="clear" w:color="auto" w:fill="auto"/>
            <w:noWrap/>
            <w:vAlign w:val="bottom"/>
            <w:hideMark/>
          </w:tcPr>
          <w:p w14:paraId="39B1ED0F"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1,162</w:t>
            </w:r>
          </w:p>
        </w:tc>
        <w:tc>
          <w:tcPr>
            <w:tcW w:w="580" w:type="dxa"/>
            <w:tcBorders>
              <w:top w:val="single" w:sz="4" w:space="0" w:color="ADD6EA"/>
              <w:left w:val="nil"/>
              <w:bottom w:val="nil"/>
              <w:right w:val="nil"/>
            </w:tcBorders>
            <w:shd w:val="clear" w:color="auto" w:fill="auto"/>
            <w:noWrap/>
            <w:vAlign w:val="bottom"/>
            <w:hideMark/>
          </w:tcPr>
          <w:p w14:paraId="79E02F4A"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3,190</w:t>
            </w:r>
          </w:p>
        </w:tc>
      </w:tr>
      <w:tr w:rsidR="00295AE4" w:rsidRPr="00442A3B" w14:paraId="5994C9F6" w14:textId="77777777" w:rsidTr="003D12D7">
        <w:trPr>
          <w:trHeight w:val="315"/>
        </w:trPr>
        <w:tc>
          <w:tcPr>
            <w:tcW w:w="3103" w:type="dxa"/>
            <w:tcBorders>
              <w:top w:val="single" w:sz="4" w:space="0" w:color="ADD6EA"/>
              <w:left w:val="nil"/>
              <w:bottom w:val="nil"/>
              <w:right w:val="nil"/>
            </w:tcBorders>
            <w:shd w:val="clear" w:color="auto" w:fill="auto"/>
            <w:noWrap/>
            <w:vAlign w:val="bottom"/>
            <w:hideMark/>
          </w:tcPr>
          <w:p w14:paraId="48321F80" w14:textId="77777777" w:rsidR="00295AE4" w:rsidRPr="00442A3B" w:rsidRDefault="00295AE4" w:rsidP="00295AE4">
            <w:pPr>
              <w:keepNext/>
              <w:keepLines/>
              <w:tabs>
                <w:tab w:val="clear" w:pos="567"/>
              </w:tabs>
              <w:spacing w:before="0" w:line="240" w:lineRule="auto"/>
              <w:ind w:firstLineChars="200" w:firstLine="320"/>
              <w:rPr>
                <w:rFonts w:eastAsia="Times New Roman" w:cs="Open Sans Light"/>
                <w:color w:val="000000"/>
                <w:sz w:val="16"/>
                <w:szCs w:val="16"/>
                <w:lang w:eastAsia="en-AU"/>
              </w:rPr>
            </w:pPr>
            <w:r w:rsidRPr="00442A3B">
              <w:rPr>
                <w:rFonts w:eastAsia="Times New Roman" w:cs="Open Sans Light"/>
                <w:color w:val="000000"/>
                <w:sz w:val="16"/>
                <w:szCs w:val="16"/>
                <w:lang w:eastAsia="en-AU"/>
              </w:rPr>
              <w:t>Indigenous status</w:t>
            </w:r>
          </w:p>
        </w:tc>
        <w:tc>
          <w:tcPr>
            <w:tcW w:w="680" w:type="dxa"/>
            <w:tcBorders>
              <w:top w:val="single" w:sz="4" w:space="0" w:color="ADD6EA"/>
              <w:left w:val="nil"/>
              <w:bottom w:val="nil"/>
              <w:right w:val="nil"/>
            </w:tcBorders>
            <w:shd w:val="clear" w:color="auto" w:fill="auto"/>
            <w:noWrap/>
            <w:vAlign w:val="bottom"/>
            <w:hideMark/>
          </w:tcPr>
          <w:p w14:paraId="45EF3EAD"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118</w:t>
            </w:r>
          </w:p>
        </w:tc>
        <w:tc>
          <w:tcPr>
            <w:tcW w:w="680" w:type="dxa"/>
            <w:tcBorders>
              <w:top w:val="single" w:sz="4" w:space="0" w:color="ADD6EA"/>
              <w:left w:val="nil"/>
              <w:bottom w:val="nil"/>
              <w:right w:val="nil"/>
            </w:tcBorders>
            <w:shd w:val="clear" w:color="auto" w:fill="auto"/>
            <w:noWrap/>
            <w:vAlign w:val="bottom"/>
            <w:hideMark/>
          </w:tcPr>
          <w:p w14:paraId="06445023"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-1,879</w:t>
            </w:r>
          </w:p>
        </w:tc>
        <w:tc>
          <w:tcPr>
            <w:tcW w:w="680" w:type="dxa"/>
            <w:tcBorders>
              <w:top w:val="single" w:sz="4" w:space="0" w:color="ADD6EA"/>
              <w:left w:val="nil"/>
              <w:bottom w:val="nil"/>
              <w:right w:val="nil"/>
            </w:tcBorders>
            <w:shd w:val="clear" w:color="auto" w:fill="auto"/>
            <w:noWrap/>
            <w:vAlign w:val="bottom"/>
            <w:hideMark/>
          </w:tcPr>
          <w:p w14:paraId="05C307AA"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818</w:t>
            </w:r>
          </w:p>
        </w:tc>
        <w:tc>
          <w:tcPr>
            <w:tcW w:w="680" w:type="dxa"/>
            <w:tcBorders>
              <w:top w:val="single" w:sz="4" w:space="0" w:color="ADD6EA"/>
              <w:left w:val="nil"/>
              <w:bottom w:val="nil"/>
              <w:right w:val="nil"/>
            </w:tcBorders>
            <w:shd w:val="clear" w:color="auto" w:fill="auto"/>
            <w:noWrap/>
            <w:vAlign w:val="bottom"/>
            <w:hideMark/>
          </w:tcPr>
          <w:p w14:paraId="2609BA09"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227</w:t>
            </w:r>
          </w:p>
        </w:tc>
        <w:tc>
          <w:tcPr>
            <w:tcW w:w="660" w:type="dxa"/>
            <w:tcBorders>
              <w:top w:val="single" w:sz="4" w:space="0" w:color="ADD6EA"/>
              <w:left w:val="nil"/>
              <w:bottom w:val="nil"/>
              <w:right w:val="nil"/>
            </w:tcBorders>
            <w:shd w:val="clear" w:color="auto" w:fill="auto"/>
            <w:noWrap/>
            <w:vAlign w:val="bottom"/>
            <w:hideMark/>
          </w:tcPr>
          <w:p w14:paraId="5E32A45D"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-160</w:t>
            </w:r>
          </w:p>
        </w:tc>
        <w:tc>
          <w:tcPr>
            <w:tcW w:w="660" w:type="dxa"/>
            <w:tcBorders>
              <w:top w:val="single" w:sz="4" w:space="0" w:color="ADD6EA"/>
              <w:left w:val="nil"/>
              <w:bottom w:val="nil"/>
              <w:right w:val="nil"/>
            </w:tcBorders>
            <w:shd w:val="clear" w:color="auto" w:fill="auto"/>
            <w:noWrap/>
            <w:vAlign w:val="bottom"/>
            <w:hideMark/>
          </w:tcPr>
          <w:p w14:paraId="57D86D5C"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139</w:t>
            </w:r>
          </w:p>
        </w:tc>
        <w:tc>
          <w:tcPr>
            <w:tcW w:w="580" w:type="dxa"/>
            <w:tcBorders>
              <w:top w:val="single" w:sz="4" w:space="0" w:color="ADD6EA"/>
              <w:left w:val="nil"/>
              <w:bottom w:val="nil"/>
              <w:right w:val="nil"/>
            </w:tcBorders>
            <w:shd w:val="clear" w:color="auto" w:fill="auto"/>
            <w:noWrap/>
            <w:vAlign w:val="bottom"/>
            <w:hideMark/>
          </w:tcPr>
          <w:p w14:paraId="24E839A4"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-73</w:t>
            </w:r>
          </w:p>
        </w:tc>
        <w:tc>
          <w:tcPr>
            <w:tcW w:w="660" w:type="dxa"/>
            <w:tcBorders>
              <w:top w:val="single" w:sz="4" w:space="0" w:color="ADD6EA"/>
              <w:left w:val="nil"/>
              <w:bottom w:val="nil"/>
              <w:right w:val="nil"/>
            </w:tcBorders>
            <w:shd w:val="clear" w:color="auto" w:fill="auto"/>
            <w:noWrap/>
            <w:vAlign w:val="bottom"/>
            <w:hideMark/>
          </w:tcPr>
          <w:p w14:paraId="7BF80C89"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810</w:t>
            </w:r>
          </w:p>
        </w:tc>
        <w:tc>
          <w:tcPr>
            <w:tcW w:w="580" w:type="dxa"/>
            <w:tcBorders>
              <w:top w:val="single" w:sz="4" w:space="0" w:color="ADD6EA"/>
              <w:left w:val="nil"/>
              <w:bottom w:val="nil"/>
              <w:right w:val="nil"/>
            </w:tcBorders>
            <w:shd w:val="clear" w:color="auto" w:fill="auto"/>
            <w:noWrap/>
            <w:vAlign w:val="bottom"/>
            <w:hideMark/>
          </w:tcPr>
          <w:p w14:paraId="7605DA4E"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2,112</w:t>
            </w:r>
          </w:p>
        </w:tc>
      </w:tr>
      <w:tr w:rsidR="00295AE4" w:rsidRPr="00442A3B" w14:paraId="5BEF381C" w14:textId="77777777" w:rsidTr="003D12D7">
        <w:trPr>
          <w:trHeight w:val="315"/>
        </w:trPr>
        <w:tc>
          <w:tcPr>
            <w:tcW w:w="3103" w:type="dxa"/>
            <w:tcBorders>
              <w:top w:val="single" w:sz="4" w:space="0" w:color="ADD6EA"/>
              <w:left w:val="nil"/>
              <w:bottom w:val="nil"/>
              <w:right w:val="nil"/>
            </w:tcBorders>
            <w:shd w:val="clear" w:color="auto" w:fill="auto"/>
            <w:noWrap/>
            <w:vAlign w:val="bottom"/>
            <w:hideMark/>
          </w:tcPr>
          <w:p w14:paraId="3C14C44D" w14:textId="77777777" w:rsidR="00295AE4" w:rsidRPr="00442A3B" w:rsidRDefault="00295AE4" w:rsidP="00295AE4">
            <w:pPr>
              <w:keepNext/>
              <w:keepLines/>
              <w:tabs>
                <w:tab w:val="clear" w:pos="567"/>
              </w:tabs>
              <w:spacing w:before="0" w:line="240" w:lineRule="auto"/>
              <w:ind w:firstLineChars="200" w:firstLine="320"/>
              <w:rPr>
                <w:rFonts w:eastAsia="Times New Roman" w:cs="Open Sans Light"/>
                <w:color w:val="000000"/>
                <w:sz w:val="16"/>
                <w:szCs w:val="16"/>
                <w:lang w:eastAsia="en-AU"/>
              </w:rPr>
            </w:pPr>
            <w:r w:rsidRPr="00442A3B">
              <w:rPr>
                <w:rFonts w:eastAsia="Times New Roman" w:cs="Open Sans Light"/>
                <w:color w:val="000000"/>
                <w:sz w:val="16"/>
                <w:szCs w:val="16"/>
                <w:lang w:eastAsia="en-AU"/>
              </w:rPr>
              <w:t>Non-Indigenous disadvantage</w:t>
            </w:r>
          </w:p>
        </w:tc>
        <w:tc>
          <w:tcPr>
            <w:tcW w:w="680" w:type="dxa"/>
            <w:tcBorders>
              <w:top w:val="single" w:sz="4" w:space="0" w:color="ADD6EA"/>
              <w:left w:val="nil"/>
              <w:bottom w:val="nil"/>
              <w:right w:val="nil"/>
            </w:tcBorders>
            <w:shd w:val="clear" w:color="auto" w:fill="auto"/>
            <w:noWrap/>
            <w:vAlign w:val="bottom"/>
            <w:hideMark/>
          </w:tcPr>
          <w:p w14:paraId="03BB80F6"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27</w:t>
            </w:r>
          </w:p>
        </w:tc>
        <w:tc>
          <w:tcPr>
            <w:tcW w:w="680" w:type="dxa"/>
            <w:tcBorders>
              <w:top w:val="single" w:sz="4" w:space="0" w:color="ADD6EA"/>
              <w:left w:val="nil"/>
              <w:bottom w:val="nil"/>
              <w:right w:val="nil"/>
            </w:tcBorders>
            <w:shd w:val="clear" w:color="auto" w:fill="auto"/>
            <w:noWrap/>
            <w:vAlign w:val="bottom"/>
            <w:hideMark/>
          </w:tcPr>
          <w:p w14:paraId="4B4F1FAE"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-193</w:t>
            </w:r>
          </w:p>
        </w:tc>
        <w:tc>
          <w:tcPr>
            <w:tcW w:w="680" w:type="dxa"/>
            <w:tcBorders>
              <w:top w:val="single" w:sz="4" w:space="0" w:color="ADD6EA"/>
              <w:left w:val="nil"/>
              <w:bottom w:val="nil"/>
              <w:right w:val="nil"/>
            </w:tcBorders>
            <w:shd w:val="clear" w:color="auto" w:fill="auto"/>
            <w:noWrap/>
            <w:vAlign w:val="bottom"/>
            <w:hideMark/>
          </w:tcPr>
          <w:p w14:paraId="357F2689"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209</w:t>
            </w:r>
          </w:p>
        </w:tc>
        <w:tc>
          <w:tcPr>
            <w:tcW w:w="680" w:type="dxa"/>
            <w:tcBorders>
              <w:top w:val="single" w:sz="4" w:space="0" w:color="ADD6EA"/>
              <w:left w:val="nil"/>
              <w:bottom w:val="nil"/>
              <w:right w:val="nil"/>
            </w:tcBorders>
            <w:shd w:val="clear" w:color="auto" w:fill="auto"/>
            <w:noWrap/>
            <w:vAlign w:val="bottom"/>
            <w:hideMark/>
          </w:tcPr>
          <w:p w14:paraId="69F624D1"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-204</w:t>
            </w:r>
          </w:p>
        </w:tc>
        <w:tc>
          <w:tcPr>
            <w:tcW w:w="660" w:type="dxa"/>
            <w:tcBorders>
              <w:top w:val="single" w:sz="4" w:space="0" w:color="ADD6EA"/>
              <w:left w:val="nil"/>
              <w:bottom w:val="nil"/>
              <w:right w:val="nil"/>
            </w:tcBorders>
            <w:shd w:val="clear" w:color="auto" w:fill="auto"/>
            <w:noWrap/>
            <w:vAlign w:val="bottom"/>
            <w:hideMark/>
          </w:tcPr>
          <w:p w14:paraId="22EF57F8"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392</w:t>
            </w:r>
          </w:p>
        </w:tc>
        <w:tc>
          <w:tcPr>
            <w:tcW w:w="660" w:type="dxa"/>
            <w:tcBorders>
              <w:top w:val="single" w:sz="4" w:space="0" w:color="ADD6EA"/>
              <w:left w:val="nil"/>
              <w:bottom w:val="nil"/>
              <w:right w:val="nil"/>
            </w:tcBorders>
            <w:shd w:val="clear" w:color="auto" w:fill="auto"/>
            <w:noWrap/>
            <w:vAlign w:val="bottom"/>
            <w:hideMark/>
          </w:tcPr>
          <w:p w14:paraId="530E8A1A"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140</w:t>
            </w:r>
          </w:p>
        </w:tc>
        <w:tc>
          <w:tcPr>
            <w:tcW w:w="580" w:type="dxa"/>
            <w:tcBorders>
              <w:top w:val="single" w:sz="4" w:space="0" w:color="ADD6EA"/>
              <w:left w:val="nil"/>
              <w:bottom w:val="nil"/>
              <w:right w:val="nil"/>
            </w:tcBorders>
            <w:shd w:val="clear" w:color="auto" w:fill="auto"/>
            <w:noWrap/>
            <w:vAlign w:val="bottom"/>
            <w:hideMark/>
          </w:tcPr>
          <w:p w14:paraId="6FD4EC72"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-259</w:t>
            </w:r>
          </w:p>
        </w:tc>
        <w:tc>
          <w:tcPr>
            <w:tcW w:w="660" w:type="dxa"/>
            <w:tcBorders>
              <w:top w:val="single" w:sz="4" w:space="0" w:color="ADD6EA"/>
              <w:left w:val="nil"/>
              <w:bottom w:val="nil"/>
              <w:right w:val="nil"/>
            </w:tcBorders>
            <w:shd w:val="clear" w:color="auto" w:fill="auto"/>
            <w:noWrap/>
            <w:vAlign w:val="bottom"/>
            <w:hideMark/>
          </w:tcPr>
          <w:p w14:paraId="567FCBEC"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-112</w:t>
            </w:r>
          </w:p>
        </w:tc>
        <w:tc>
          <w:tcPr>
            <w:tcW w:w="580" w:type="dxa"/>
            <w:tcBorders>
              <w:top w:val="single" w:sz="4" w:space="0" w:color="ADD6EA"/>
              <w:left w:val="nil"/>
              <w:bottom w:val="nil"/>
              <w:right w:val="nil"/>
            </w:tcBorders>
            <w:shd w:val="clear" w:color="auto" w:fill="auto"/>
            <w:noWrap/>
            <w:vAlign w:val="bottom"/>
            <w:hideMark/>
          </w:tcPr>
          <w:p w14:paraId="7FBEF5F8"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768</w:t>
            </w:r>
          </w:p>
        </w:tc>
      </w:tr>
      <w:tr w:rsidR="00295AE4" w:rsidRPr="00442A3B" w14:paraId="054DE6D4" w14:textId="77777777" w:rsidTr="003D12D7">
        <w:trPr>
          <w:trHeight w:val="315"/>
        </w:trPr>
        <w:tc>
          <w:tcPr>
            <w:tcW w:w="3103" w:type="dxa"/>
            <w:tcBorders>
              <w:top w:val="single" w:sz="4" w:space="0" w:color="ADD6EA"/>
              <w:left w:val="nil"/>
              <w:bottom w:val="nil"/>
              <w:right w:val="nil"/>
            </w:tcBorders>
            <w:shd w:val="clear" w:color="auto" w:fill="auto"/>
            <w:noWrap/>
            <w:vAlign w:val="bottom"/>
            <w:hideMark/>
          </w:tcPr>
          <w:p w14:paraId="03485E52" w14:textId="77777777" w:rsidR="00295AE4" w:rsidRPr="00442A3B" w:rsidRDefault="00295AE4" w:rsidP="00295AE4">
            <w:pPr>
              <w:keepNext/>
              <w:keepLines/>
              <w:tabs>
                <w:tab w:val="clear" w:pos="567"/>
              </w:tabs>
              <w:spacing w:before="0" w:line="240" w:lineRule="auto"/>
              <w:ind w:firstLineChars="200" w:firstLine="320"/>
              <w:rPr>
                <w:rFonts w:eastAsia="Times New Roman" w:cs="Open Sans Light"/>
                <w:color w:val="000000"/>
                <w:sz w:val="16"/>
                <w:szCs w:val="16"/>
                <w:lang w:eastAsia="en-AU"/>
              </w:rPr>
            </w:pPr>
            <w:r w:rsidRPr="00442A3B">
              <w:rPr>
                <w:rFonts w:eastAsia="Times New Roman" w:cs="Open Sans Light"/>
                <w:color w:val="000000"/>
                <w:sz w:val="16"/>
                <w:szCs w:val="16"/>
                <w:lang w:eastAsia="en-AU"/>
              </w:rPr>
              <w:t>Age</w:t>
            </w:r>
          </w:p>
        </w:tc>
        <w:tc>
          <w:tcPr>
            <w:tcW w:w="680" w:type="dxa"/>
            <w:tcBorders>
              <w:top w:val="single" w:sz="4" w:space="0" w:color="ADD6EA"/>
              <w:left w:val="nil"/>
              <w:bottom w:val="nil"/>
              <w:right w:val="nil"/>
            </w:tcBorders>
            <w:shd w:val="clear" w:color="auto" w:fill="auto"/>
            <w:noWrap/>
            <w:vAlign w:val="bottom"/>
            <w:hideMark/>
          </w:tcPr>
          <w:p w14:paraId="0A572298"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180</w:t>
            </w:r>
          </w:p>
        </w:tc>
        <w:tc>
          <w:tcPr>
            <w:tcW w:w="680" w:type="dxa"/>
            <w:tcBorders>
              <w:top w:val="single" w:sz="4" w:space="0" w:color="ADD6EA"/>
              <w:left w:val="nil"/>
              <w:bottom w:val="nil"/>
              <w:right w:val="nil"/>
            </w:tcBorders>
            <w:shd w:val="clear" w:color="auto" w:fill="auto"/>
            <w:noWrap/>
            <w:vAlign w:val="bottom"/>
            <w:hideMark/>
          </w:tcPr>
          <w:p w14:paraId="4BD6DA8A"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-66</w:t>
            </w:r>
          </w:p>
        </w:tc>
        <w:tc>
          <w:tcPr>
            <w:tcW w:w="680" w:type="dxa"/>
            <w:tcBorders>
              <w:top w:val="single" w:sz="4" w:space="0" w:color="ADD6EA"/>
              <w:left w:val="nil"/>
              <w:bottom w:val="nil"/>
              <w:right w:val="nil"/>
            </w:tcBorders>
            <w:shd w:val="clear" w:color="auto" w:fill="auto"/>
            <w:noWrap/>
            <w:vAlign w:val="bottom"/>
            <w:hideMark/>
          </w:tcPr>
          <w:p w14:paraId="0C8ACF3F"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-148</w:t>
            </w:r>
          </w:p>
        </w:tc>
        <w:tc>
          <w:tcPr>
            <w:tcW w:w="680" w:type="dxa"/>
            <w:tcBorders>
              <w:top w:val="single" w:sz="4" w:space="0" w:color="ADD6EA"/>
              <w:left w:val="nil"/>
              <w:bottom w:val="nil"/>
              <w:right w:val="nil"/>
            </w:tcBorders>
            <w:shd w:val="clear" w:color="auto" w:fill="auto"/>
            <w:noWrap/>
            <w:vAlign w:val="bottom"/>
            <w:hideMark/>
          </w:tcPr>
          <w:p w14:paraId="443D5663"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-64</w:t>
            </w:r>
          </w:p>
        </w:tc>
        <w:tc>
          <w:tcPr>
            <w:tcW w:w="660" w:type="dxa"/>
            <w:tcBorders>
              <w:top w:val="single" w:sz="4" w:space="0" w:color="ADD6EA"/>
              <w:left w:val="nil"/>
              <w:bottom w:val="nil"/>
              <w:right w:val="nil"/>
            </w:tcBorders>
            <w:shd w:val="clear" w:color="auto" w:fill="auto"/>
            <w:noWrap/>
            <w:vAlign w:val="bottom"/>
            <w:hideMark/>
          </w:tcPr>
          <w:p w14:paraId="0027FE24"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169</w:t>
            </w:r>
          </w:p>
        </w:tc>
        <w:tc>
          <w:tcPr>
            <w:tcW w:w="660" w:type="dxa"/>
            <w:tcBorders>
              <w:top w:val="single" w:sz="4" w:space="0" w:color="ADD6EA"/>
              <w:left w:val="nil"/>
              <w:bottom w:val="nil"/>
              <w:right w:val="nil"/>
            </w:tcBorders>
            <w:shd w:val="clear" w:color="auto" w:fill="auto"/>
            <w:noWrap/>
            <w:vAlign w:val="bottom"/>
            <w:hideMark/>
          </w:tcPr>
          <w:p w14:paraId="194D6D51"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-6</w:t>
            </w:r>
          </w:p>
        </w:tc>
        <w:tc>
          <w:tcPr>
            <w:tcW w:w="580" w:type="dxa"/>
            <w:tcBorders>
              <w:top w:val="single" w:sz="4" w:space="0" w:color="ADD6EA"/>
              <w:left w:val="nil"/>
              <w:bottom w:val="nil"/>
              <w:right w:val="nil"/>
            </w:tcBorders>
            <w:shd w:val="clear" w:color="auto" w:fill="auto"/>
            <w:noWrap/>
            <w:vAlign w:val="bottom"/>
            <w:hideMark/>
          </w:tcPr>
          <w:p w14:paraId="4A6785C8"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-18</w:t>
            </w:r>
          </w:p>
        </w:tc>
        <w:tc>
          <w:tcPr>
            <w:tcW w:w="660" w:type="dxa"/>
            <w:tcBorders>
              <w:top w:val="single" w:sz="4" w:space="0" w:color="ADD6EA"/>
              <w:left w:val="nil"/>
              <w:bottom w:val="nil"/>
              <w:right w:val="nil"/>
            </w:tcBorders>
            <w:shd w:val="clear" w:color="auto" w:fill="auto"/>
            <w:noWrap/>
            <w:vAlign w:val="bottom"/>
            <w:hideMark/>
          </w:tcPr>
          <w:p w14:paraId="00842B33"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-46</w:t>
            </w:r>
          </w:p>
        </w:tc>
        <w:tc>
          <w:tcPr>
            <w:tcW w:w="580" w:type="dxa"/>
            <w:tcBorders>
              <w:top w:val="single" w:sz="4" w:space="0" w:color="ADD6EA"/>
              <w:left w:val="nil"/>
              <w:bottom w:val="nil"/>
              <w:right w:val="nil"/>
            </w:tcBorders>
            <w:shd w:val="clear" w:color="auto" w:fill="auto"/>
            <w:noWrap/>
            <w:vAlign w:val="bottom"/>
            <w:hideMark/>
          </w:tcPr>
          <w:p w14:paraId="6979EB89"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349</w:t>
            </w:r>
          </w:p>
        </w:tc>
      </w:tr>
      <w:tr w:rsidR="00295AE4" w:rsidRPr="00442A3B" w14:paraId="78EF728C" w14:textId="77777777" w:rsidTr="003D12D7">
        <w:trPr>
          <w:trHeight w:val="315"/>
        </w:trPr>
        <w:tc>
          <w:tcPr>
            <w:tcW w:w="3103" w:type="dxa"/>
            <w:tcBorders>
              <w:top w:val="single" w:sz="4" w:space="0" w:color="ADD6EA"/>
              <w:left w:val="nil"/>
              <w:bottom w:val="nil"/>
              <w:right w:val="nil"/>
            </w:tcBorders>
            <w:shd w:val="clear" w:color="auto" w:fill="auto"/>
            <w:noWrap/>
            <w:vAlign w:val="bottom"/>
            <w:hideMark/>
          </w:tcPr>
          <w:p w14:paraId="189CFBDB" w14:textId="77777777" w:rsidR="00295AE4" w:rsidRPr="00442A3B" w:rsidRDefault="00295AE4" w:rsidP="00295AE4">
            <w:pPr>
              <w:keepNext/>
              <w:keepLines/>
              <w:tabs>
                <w:tab w:val="clear" w:pos="567"/>
              </w:tabs>
              <w:spacing w:before="0" w:line="240" w:lineRule="auto"/>
              <w:ind w:firstLineChars="200" w:firstLine="320"/>
              <w:rPr>
                <w:rFonts w:eastAsia="Times New Roman" w:cs="Open Sans Light"/>
                <w:color w:val="000000"/>
                <w:sz w:val="16"/>
                <w:szCs w:val="16"/>
                <w:lang w:eastAsia="en-AU"/>
              </w:rPr>
            </w:pPr>
            <w:r w:rsidRPr="00442A3B">
              <w:rPr>
                <w:rFonts w:eastAsia="Times New Roman" w:cs="Open Sans Light"/>
                <w:color w:val="000000"/>
                <w:sz w:val="16"/>
                <w:szCs w:val="16"/>
                <w:lang w:eastAsia="en-AU"/>
              </w:rPr>
              <w:t>Other SDC (a)</w:t>
            </w:r>
          </w:p>
        </w:tc>
        <w:tc>
          <w:tcPr>
            <w:tcW w:w="680" w:type="dxa"/>
            <w:tcBorders>
              <w:top w:val="single" w:sz="4" w:space="0" w:color="ADD6EA"/>
              <w:left w:val="nil"/>
              <w:bottom w:val="nil"/>
              <w:right w:val="nil"/>
            </w:tcBorders>
            <w:shd w:val="clear" w:color="auto" w:fill="auto"/>
            <w:noWrap/>
            <w:vAlign w:val="bottom"/>
            <w:hideMark/>
          </w:tcPr>
          <w:p w14:paraId="5976B3CF"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-33</w:t>
            </w:r>
          </w:p>
        </w:tc>
        <w:tc>
          <w:tcPr>
            <w:tcW w:w="680" w:type="dxa"/>
            <w:tcBorders>
              <w:top w:val="single" w:sz="4" w:space="0" w:color="ADD6EA"/>
              <w:left w:val="nil"/>
              <w:bottom w:val="nil"/>
              <w:right w:val="nil"/>
            </w:tcBorders>
            <w:shd w:val="clear" w:color="auto" w:fill="auto"/>
            <w:noWrap/>
            <w:vAlign w:val="bottom"/>
            <w:hideMark/>
          </w:tcPr>
          <w:p w14:paraId="39DCEF54"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-249</w:t>
            </w:r>
          </w:p>
        </w:tc>
        <w:tc>
          <w:tcPr>
            <w:tcW w:w="680" w:type="dxa"/>
            <w:tcBorders>
              <w:top w:val="single" w:sz="4" w:space="0" w:color="ADD6EA"/>
              <w:left w:val="nil"/>
              <w:bottom w:val="nil"/>
              <w:right w:val="nil"/>
            </w:tcBorders>
            <w:shd w:val="clear" w:color="auto" w:fill="auto"/>
            <w:noWrap/>
            <w:vAlign w:val="bottom"/>
            <w:hideMark/>
          </w:tcPr>
          <w:p w14:paraId="6BD64F44"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142</w:t>
            </w:r>
          </w:p>
        </w:tc>
        <w:tc>
          <w:tcPr>
            <w:tcW w:w="680" w:type="dxa"/>
            <w:tcBorders>
              <w:top w:val="single" w:sz="4" w:space="0" w:color="ADD6EA"/>
              <w:left w:val="nil"/>
              <w:bottom w:val="nil"/>
              <w:right w:val="nil"/>
            </w:tcBorders>
            <w:shd w:val="clear" w:color="auto" w:fill="auto"/>
            <w:noWrap/>
            <w:vAlign w:val="bottom"/>
            <w:hideMark/>
          </w:tcPr>
          <w:p w14:paraId="17ABD72C"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87</w:t>
            </w:r>
          </w:p>
        </w:tc>
        <w:tc>
          <w:tcPr>
            <w:tcW w:w="660" w:type="dxa"/>
            <w:tcBorders>
              <w:top w:val="single" w:sz="4" w:space="0" w:color="ADD6EA"/>
              <w:left w:val="nil"/>
              <w:bottom w:val="nil"/>
              <w:right w:val="nil"/>
            </w:tcBorders>
            <w:shd w:val="clear" w:color="auto" w:fill="auto"/>
            <w:noWrap/>
            <w:vAlign w:val="bottom"/>
            <w:hideMark/>
          </w:tcPr>
          <w:p w14:paraId="366A6304"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55</w:t>
            </w:r>
          </w:p>
        </w:tc>
        <w:tc>
          <w:tcPr>
            <w:tcW w:w="660" w:type="dxa"/>
            <w:tcBorders>
              <w:top w:val="single" w:sz="4" w:space="0" w:color="ADD6EA"/>
              <w:left w:val="nil"/>
              <w:bottom w:val="nil"/>
              <w:right w:val="nil"/>
            </w:tcBorders>
            <w:shd w:val="clear" w:color="auto" w:fill="auto"/>
            <w:noWrap/>
            <w:vAlign w:val="bottom"/>
            <w:hideMark/>
          </w:tcPr>
          <w:p w14:paraId="2A65547D"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-29</w:t>
            </w:r>
          </w:p>
        </w:tc>
        <w:tc>
          <w:tcPr>
            <w:tcW w:w="580" w:type="dxa"/>
            <w:tcBorders>
              <w:top w:val="single" w:sz="4" w:space="0" w:color="ADD6EA"/>
              <w:left w:val="nil"/>
              <w:bottom w:val="nil"/>
              <w:right w:val="nil"/>
            </w:tcBorders>
            <w:shd w:val="clear" w:color="auto" w:fill="auto"/>
            <w:noWrap/>
            <w:vAlign w:val="bottom"/>
            <w:hideMark/>
          </w:tcPr>
          <w:p w14:paraId="0C67168E"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-24</w:t>
            </w:r>
          </w:p>
        </w:tc>
        <w:tc>
          <w:tcPr>
            <w:tcW w:w="660" w:type="dxa"/>
            <w:tcBorders>
              <w:top w:val="single" w:sz="4" w:space="0" w:color="ADD6EA"/>
              <w:left w:val="nil"/>
              <w:bottom w:val="nil"/>
              <w:right w:val="nil"/>
            </w:tcBorders>
            <w:shd w:val="clear" w:color="auto" w:fill="auto"/>
            <w:noWrap/>
            <w:vAlign w:val="bottom"/>
            <w:hideMark/>
          </w:tcPr>
          <w:p w14:paraId="69D90293"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51</w:t>
            </w:r>
          </w:p>
        </w:tc>
        <w:tc>
          <w:tcPr>
            <w:tcW w:w="580" w:type="dxa"/>
            <w:tcBorders>
              <w:top w:val="single" w:sz="4" w:space="0" w:color="ADD6EA"/>
              <w:left w:val="nil"/>
              <w:bottom w:val="nil"/>
              <w:right w:val="nil"/>
            </w:tcBorders>
            <w:shd w:val="clear" w:color="auto" w:fill="auto"/>
            <w:noWrap/>
            <w:vAlign w:val="bottom"/>
            <w:hideMark/>
          </w:tcPr>
          <w:p w14:paraId="4544BC0F"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336</w:t>
            </w:r>
          </w:p>
        </w:tc>
      </w:tr>
      <w:tr w:rsidR="00295AE4" w:rsidRPr="00442A3B" w14:paraId="4E465D7B" w14:textId="77777777" w:rsidTr="003D12D7">
        <w:trPr>
          <w:trHeight w:val="315"/>
        </w:trPr>
        <w:tc>
          <w:tcPr>
            <w:tcW w:w="3103" w:type="dxa"/>
            <w:tcBorders>
              <w:top w:val="single" w:sz="4" w:space="0" w:color="ADD6EA"/>
              <w:left w:val="nil"/>
              <w:bottom w:val="single" w:sz="4" w:space="0" w:color="ADD6EA"/>
              <w:right w:val="nil"/>
            </w:tcBorders>
            <w:shd w:val="clear" w:color="000000" w:fill="D6E7F0"/>
            <w:noWrap/>
            <w:vAlign w:val="bottom"/>
            <w:hideMark/>
          </w:tcPr>
          <w:p w14:paraId="150A62AB" w14:textId="77777777" w:rsidR="00295AE4" w:rsidRPr="00442A3B" w:rsidRDefault="00295AE4" w:rsidP="00295AE4">
            <w:pPr>
              <w:keepNext/>
              <w:keepLines/>
              <w:tabs>
                <w:tab w:val="clear" w:pos="567"/>
              </w:tabs>
              <w:spacing w:before="0" w:line="240" w:lineRule="auto"/>
              <w:ind w:firstLineChars="200" w:firstLine="320"/>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Total SDC</w:t>
            </w:r>
          </w:p>
        </w:tc>
        <w:tc>
          <w:tcPr>
            <w:tcW w:w="680" w:type="dxa"/>
            <w:tcBorders>
              <w:top w:val="single" w:sz="4" w:space="0" w:color="ADD6EA"/>
              <w:left w:val="nil"/>
              <w:bottom w:val="single" w:sz="4" w:space="0" w:color="ADD6EA"/>
              <w:right w:val="nil"/>
            </w:tcBorders>
            <w:shd w:val="clear" w:color="000000" w:fill="D6E7F0"/>
            <w:noWrap/>
            <w:vAlign w:val="bottom"/>
            <w:hideMark/>
          </w:tcPr>
          <w:p w14:paraId="4A77ECB3"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-1,282</w:t>
            </w:r>
          </w:p>
        </w:tc>
        <w:tc>
          <w:tcPr>
            <w:tcW w:w="680" w:type="dxa"/>
            <w:tcBorders>
              <w:top w:val="single" w:sz="4" w:space="0" w:color="ADD6EA"/>
              <w:left w:val="nil"/>
              <w:bottom w:val="single" w:sz="4" w:space="0" w:color="ADD6EA"/>
              <w:right w:val="nil"/>
            </w:tcBorders>
            <w:shd w:val="clear" w:color="000000" w:fill="D6E7F0"/>
            <w:noWrap/>
            <w:vAlign w:val="bottom"/>
            <w:hideMark/>
          </w:tcPr>
          <w:p w14:paraId="75C059CE"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-3,784</w:t>
            </w:r>
          </w:p>
        </w:tc>
        <w:tc>
          <w:tcPr>
            <w:tcW w:w="680" w:type="dxa"/>
            <w:tcBorders>
              <w:top w:val="single" w:sz="4" w:space="0" w:color="ADD6EA"/>
              <w:left w:val="nil"/>
              <w:bottom w:val="single" w:sz="4" w:space="0" w:color="ADD6EA"/>
              <w:right w:val="nil"/>
            </w:tcBorders>
            <w:shd w:val="clear" w:color="000000" w:fill="D6E7F0"/>
            <w:noWrap/>
            <w:vAlign w:val="bottom"/>
            <w:hideMark/>
          </w:tcPr>
          <w:p w14:paraId="6F421850"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1,912</w:t>
            </w:r>
          </w:p>
        </w:tc>
        <w:tc>
          <w:tcPr>
            <w:tcW w:w="680" w:type="dxa"/>
            <w:tcBorders>
              <w:top w:val="single" w:sz="4" w:space="0" w:color="ADD6EA"/>
              <w:left w:val="nil"/>
              <w:bottom w:val="single" w:sz="4" w:space="0" w:color="ADD6EA"/>
              <w:right w:val="nil"/>
            </w:tcBorders>
            <w:shd w:val="clear" w:color="000000" w:fill="D6E7F0"/>
            <w:noWrap/>
            <w:vAlign w:val="bottom"/>
            <w:hideMark/>
          </w:tcPr>
          <w:p w14:paraId="55ABA53B"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584</w:t>
            </w:r>
          </w:p>
        </w:tc>
        <w:tc>
          <w:tcPr>
            <w:tcW w:w="660" w:type="dxa"/>
            <w:tcBorders>
              <w:top w:val="single" w:sz="4" w:space="0" w:color="ADD6EA"/>
              <w:left w:val="nil"/>
              <w:bottom w:val="single" w:sz="4" w:space="0" w:color="ADD6EA"/>
              <w:right w:val="nil"/>
            </w:tcBorders>
            <w:shd w:val="clear" w:color="000000" w:fill="D6E7F0"/>
            <w:noWrap/>
            <w:vAlign w:val="bottom"/>
            <w:hideMark/>
          </w:tcPr>
          <w:p w14:paraId="34EE9F20"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550</w:t>
            </w:r>
          </w:p>
        </w:tc>
        <w:tc>
          <w:tcPr>
            <w:tcW w:w="660" w:type="dxa"/>
            <w:tcBorders>
              <w:top w:val="single" w:sz="4" w:space="0" w:color="ADD6EA"/>
              <w:left w:val="nil"/>
              <w:bottom w:val="single" w:sz="4" w:space="0" w:color="ADD6EA"/>
              <w:right w:val="nil"/>
            </w:tcBorders>
            <w:shd w:val="clear" w:color="000000" w:fill="D6E7F0"/>
            <w:noWrap/>
            <w:vAlign w:val="bottom"/>
            <w:hideMark/>
          </w:tcPr>
          <w:p w14:paraId="415B6E89"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750</w:t>
            </w:r>
          </w:p>
        </w:tc>
        <w:tc>
          <w:tcPr>
            <w:tcW w:w="580" w:type="dxa"/>
            <w:tcBorders>
              <w:top w:val="single" w:sz="4" w:space="0" w:color="ADD6EA"/>
              <w:left w:val="nil"/>
              <w:bottom w:val="single" w:sz="4" w:space="0" w:color="ADD6EA"/>
              <w:right w:val="nil"/>
            </w:tcBorders>
            <w:shd w:val="clear" w:color="000000" w:fill="D6E7F0"/>
            <w:noWrap/>
            <w:vAlign w:val="bottom"/>
            <w:hideMark/>
          </w:tcPr>
          <w:p w14:paraId="6BAC446D"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-596</w:t>
            </w:r>
          </w:p>
        </w:tc>
        <w:tc>
          <w:tcPr>
            <w:tcW w:w="660" w:type="dxa"/>
            <w:tcBorders>
              <w:top w:val="single" w:sz="4" w:space="0" w:color="ADD6EA"/>
              <w:left w:val="nil"/>
              <w:bottom w:val="single" w:sz="4" w:space="0" w:color="ADD6EA"/>
              <w:right w:val="nil"/>
            </w:tcBorders>
            <w:shd w:val="clear" w:color="000000" w:fill="D6E7F0"/>
            <w:noWrap/>
            <w:vAlign w:val="bottom"/>
            <w:hideMark/>
          </w:tcPr>
          <w:p w14:paraId="4AC9EE73"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1,865</w:t>
            </w:r>
          </w:p>
        </w:tc>
        <w:tc>
          <w:tcPr>
            <w:tcW w:w="580" w:type="dxa"/>
            <w:tcBorders>
              <w:top w:val="single" w:sz="4" w:space="0" w:color="ADD6EA"/>
              <w:left w:val="nil"/>
              <w:bottom w:val="single" w:sz="4" w:space="0" w:color="ADD6EA"/>
              <w:right w:val="nil"/>
            </w:tcBorders>
            <w:shd w:val="clear" w:color="000000" w:fill="D6E7F0"/>
            <w:noWrap/>
            <w:vAlign w:val="bottom"/>
            <w:hideMark/>
          </w:tcPr>
          <w:p w14:paraId="3FCD9E80"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5,661</w:t>
            </w:r>
          </w:p>
        </w:tc>
      </w:tr>
      <w:tr w:rsidR="00295AE4" w:rsidRPr="00442A3B" w14:paraId="18988401" w14:textId="77777777" w:rsidTr="003D12D7">
        <w:trPr>
          <w:trHeight w:val="315"/>
        </w:trPr>
        <w:tc>
          <w:tcPr>
            <w:tcW w:w="3103" w:type="dxa"/>
            <w:tcBorders>
              <w:top w:val="nil"/>
              <w:left w:val="nil"/>
              <w:bottom w:val="nil"/>
              <w:right w:val="nil"/>
            </w:tcBorders>
            <w:shd w:val="clear" w:color="auto" w:fill="auto"/>
            <w:noWrap/>
            <w:vAlign w:val="bottom"/>
            <w:hideMark/>
          </w:tcPr>
          <w:p w14:paraId="7C7D0E5F" w14:textId="77777777" w:rsidR="00295AE4" w:rsidRPr="00442A3B" w:rsidRDefault="00295AE4" w:rsidP="00295AE4">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442A3B">
              <w:rPr>
                <w:rFonts w:eastAsia="Times New Roman" w:cs="Open Sans Light"/>
                <w:color w:val="000000"/>
                <w:sz w:val="16"/>
                <w:szCs w:val="16"/>
                <w:lang w:eastAsia="en-AU"/>
              </w:rPr>
              <w:t>Urban centre characteristics</w:t>
            </w:r>
          </w:p>
        </w:tc>
        <w:tc>
          <w:tcPr>
            <w:tcW w:w="680" w:type="dxa"/>
            <w:tcBorders>
              <w:top w:val="nil"/>
              <w:left w:val="nil"/>
              <w:bottom w:val="nil"/>
              <w:right w:val="nil"/>
            </w:tcBorders>
            <w:shd w:val="clear" w:color="auto" w:fill="auto"/>
            <w:noWrap/>
            <w:vAlign w:val="bottom"/>
            <w:hideMark/>
          </w:tcPr>
          <w:p w14:paraId="649D58C8"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1,153</w:t>
            </w:r>
          </w:p>
        </w:tc>
        <w:tc>
          <w:tcPr>
            <w:tcW w:w="680" w:type="dxa"/>
            <w:tcBorders>
              <w:top w:val="nil"/>
              <w:left w:val="nil"/>
              <w:bottom w:val="nil"/>
              <w:right w:val="nil"/>
            </w:tcBorders>
            <w:shd w:val="clear" w:color="auto" w:fill="auto"/>
            <w:noWrap/>
            <w:vAlign w:val="bottom"/>
            <w:hideMark/>
          </w:tcPr>
          <w:p w14:paraId="0363DDAE"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459</w:t>
            </w:r>
          </w:p>
        </w:tc>
        <w:tc>
          <w:tcPr>
            <w:tcW w:w="680" w:type="dxa"/>
            <w:tcBorders>
              <w:top w:val="nil"/>
              <w:left w:val="nil"/>
              <w:bottom w:val="nil"/>
              <w:right w:val="nil"/>
            </w:tcBorders>
            <w:shd w:val="clear" w:color="auto" w:fill="auto"/>
            <w:noWrap/>
            <w:vAlign w:val="bottom"/>
            <w:hideMark/>
          </w:tcPr>
          <w:p w14:paraId="293C1AB4"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-734</w:t>
            </w:r>
          </w:p>
        </w:tc>
        <w:tc>
          <w:tcPr>
            <w:tcW w:w="680" w:type="dxa"/>
            <w:tcBorders>
              <w:top w:val="nil"/>
              <w:left w:val="nil"/>
              <w:bottom w:val="nil"/>
              <w:right w:val="nil"/>
            </w:tcBorders>
            <w:shd w:val="clear" w:color="auto" w:fill="auto"/>
            <w:noWrap/>
            <w:vAlign w:val="bottom"/>
            <w:hideMark/>
          </w:tcPr>
          <w:p w14:paraId="01D9319A"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-281</w:t>
            </w:r>
          </w:p>
        </w:tc>
        <w:tc>
          <w:tcPr>
            <w:tcW w:w="660" w:type="dxa"/>
            <w:tcBorders>
              <w:top w:val="nil"/>
              <w:left w:val="nil"/>
              <w:bottom w:val="nil"/>
              <w:right w:val="nil"/>
            </w:tcBorders>
            <w:shd w:val="clear" w:color="auto" w:fill="auto"/>
            <w:noWrap/>
            <w:vAlign w:val="bottom"/>
            <w:hideMark/>
          </w:tcPr>
          <w:p w14:paraId="04509BFE"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-263</w:t>
            </w:r>
          </w:p>
        </w:tc>
        <w:tc>
          <w:tcPr>
            <w:tcW w:w="660" w:type="dxa"/>
            <w:tcBorders>
              <w:top w:val="nil"/>
              <w:left w:val="nil"/>
              <w:bottom w:val="nil"/>
              <w:right w:val="nil"/>
            </w:tcBorders>
            <w:shd w:val="clear" w:color="auto" w:fill="auto"/>
            <w:noWrap/>
            <w:vAlign w:val="bottom"/>
            <w:hideMark/>
          </w:tcPr>
          <w:p w14:paraId="237D17D9"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-195</w:t>
            </w:r>
          </w:p>
        </w:tc>
        <w:tc>
          <w:tcPr>
            <w:tcW w:w="580" w:type="dxa"/>
            <w:tcBorders>
              <w:top w:val="nil"/>
              <w:left w:val="nil"/>
              <w:bottom w:val="nil"/>
              <w:right w:val="nil"/>
            </w:tcBorders>
            <w:shd w:val="clear" w:color="auto" w:fill="auto"/>
            <w:noWrap/>
            <w:vAlign w:val="bottom"/>
            <w:hideMark/>
          </w:tcPr>
          <w:p w14:paraId="1108AFA0"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-59</w:t>
            </w:r>
          </w:p>
        </w:tc>
        <w:tc>
          <w:tcPr>
            <w:tcW w:w="660" w:type="dxa"/>
            <w:tcBorders>
              <w:top w:val="nil"/>
              <w:left w:val="nil"/>
              <w:bottom w:val="nil"/>
              <w:right w:val="nil"/>
            </w:tcBorders>
            <w:shd w:val="clear" w:color="auto" w:fill="auto"/>
            <w:noWrap/>
            <w:vAlign w:val="bottom"/>
            <w:hideMark/>
          </w:tcPr>
          <w:p w14:paraId="15464284"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-81</w:t>
            </w:r>
          </w:p>
        </w:tc>
        <w:tc>
          <w:tcPr>
            <w:tcW w:w="580" w:type="dxa"/>
            <w:tcBorders>
              <w:top w:val="nil"/>
              <w:left w:val="nil"/>
              <w:bottom w:val="nil"/>
              <w:right w:val="nil"/>
            </w:tcBorders>
            <w:shd w:val="clear" w:color="auto" w:fill="auto"/>
            <w:noWrap/>
            <w:vAlign w:val="bottom"/>
            <w:hideMark/>
          </w:tcPr>
          <w:p w14:paraId="43727252"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1,612</w:t>
            </w:r>
          </w:p>
        </w:tc>
      </w:tr>
      <w:tr w:rsidR="00295AE4" w:rsidRPr="00442A3B" w14:paraId="34254139" w14:textId="77777777" w:rsidTr="003D12D7">
        <w:trPr>
          <w:trHeight w:val="315"/>
        </w:trPr>
        <w:tc>
          <w:tcPr>
            <w:tcW w:w="3103" w:type="dxa"/>
            <w:tcBorders>
              <w:top w:val="single" w:sz="4" w:space="0" w:color="ADD6EA"/>
              <w:left w:val="nil"/>
              <w:bottom w:val="nil"/>
              <w:right w:val="nil"/>
            </w:tcBorders>
            <w:shd w:val="clear" w:color="auto" w:fill="auto"/>
            <w:noWrap/>
            <w:vAlign w:val="bottom"/>
            <w:hideMark/>
          </w:tcPr>
          <w:p w14:paraId="2E0CCBD1" w14:textId="77777777" w:rsidR="00295AE4" w:rsidRPr="00442A3B" w:rsidRDefault="00295AE4" w:rsidP="00295AE4">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442A3B">
              <w:rPr>
                <w:rFonts w:eastAsia="Times New Roman" w:cs="Open Sans Light"/>
                <w:color w:val="000000"/>
                <w:sz w:val="16"/>
                <w:szCs w:val="16"/>
                <w:lang w:eastAsia="en-AU"/>
              </w:rPr>
              <w:t>Administrative scale</w:t>
            </w:r>
          </w:p>
        </w:tc>
        <w:tc>
          <w:tcPr>
            <w:tcW w:w="680" w:type="dxa"/>
            <w:tcBorders>
              <w:top w:val="single" w:sz="4" w:space="0" w:color="ADD6EA"/>
              <w:left w:val="nil"/>
              <w:bottom w:val="nil"/>
              <w:right w:val="nil"/>
            </w:tcBorders>
            <w:shd w:val="clear" w:color="auto" w:fill="auto"/>
            <w:noWrap/>
            <w:vAlign w:val="bottom"/>
            <w:hideMark/>
          </w:tcPr>
          <w:p w14:paraId="3BF3E645"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-587</w:t>
            </w:r>
          </w:p>
        </w:tc>
        <w:tc>
          <w:tcPr>
            <w:tcW w:w="680" w:type="dxa"/>
            <w:tcBorders>
              <w:top w:val="single" w:sz="4" w:space="0" w:color="ADD6EA"/>
              <w:left w:val="nil"/>
              <w:bottom w:val="nil"/>
              <w:right w:val="nil"/>
            </w:tcBorders>
            <w:shd w:val="clear" w:color="auto" w:fill="auto"/>
            <w:noWrap/>
            <w:vAlign w:val="bottom"/>
            <w:hideMark/>
          </w:tcPr>
          <w:p w14:paraId="16D5BAA3"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-411</w:t>
            </w:r>
          </w:p>
        </w:tc>
        <w:tc>
          <w:tcPr>
            <w:tcW w:w="680" w:type="dxa"/>
            <w:tcBorders>
              <w:top w:val="single" w:sz="4" w:space="0" w:color="ADD6EA"/>
              <w:left w:val="nil"/>
              <w:bottom w:val="nil"/>
              <w:right w:val="nil"/>
            </w:tcBorders>
            <w:shd w:val="clear" w:color="auto" w:fill="auto"/>
            <w:noWrap/>
            <w:vAlign w:val="bottom"/>
            <w:hideMark/>
          </w:tcPr>
          <w:p w14:paraId="2065C354"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-230</w:t>
            </w:r>
          </w:p>
        </w:tc>
        <w:tc>
          <w:tcPr>
            <w:tcW w:w="680" w:type="dxa"/>
            <w:tcBorders>
              <w:top w:val="single" w:sz="4" w:space="0" w:color="ADD6EA"/>
              <w:left w:val="nil"/>
              <w:bottom w:val="nil"/>
              <w:right w:val="nil"/>
            </w:tcBorders>
            <w:shd w:val="clear" w:color="auto" w:fill="auto"/>
            <w:noWrap/>
            <w:vAlign w:val="bottom"/>
            <w:hideMark/>
          </w:tcPr>
          <w:p w14:paraId="7B032542"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69</w:t>
            </w:r>
          </w:p>
        </w:tc>
        <w:tc>
          <w:tcPr>
            <w:tcW w:w="660" w:type="dxa"/>
            <w:tcBorders>
              <w:top w:val="single" w:sz="4" w:space="0" w:color="ADD6EA"/>
              <w:left w:val="nil"/>
              <w:bottom w:val="nil"/>
              <w:right w:val="nil"/>
            </w:tcBorders>
            <w:shd w:val="clear" w:color="auto" w:fill="auto"/>
            <w:noWrap/>
            <w:vAlign w:val="bottom"/>
            <w:hideMark/>
          </w:tcPr>
          <w:p w14:paraId="42B95A93"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173</w:t>
            </w:r>
          </w:p>
        </w:tc>
        <w:tc>
          <w:tcPr>
            <w:tcW w:w="660" w:type="dxa"/>
            <w:tcBorders>
              <w:top w:val="single" w:sz="4" w:space="0" w:color="ADD6EA"/>
              <w:left w:val="nil"/>
              <w:bottom w:val="nil"/>
              <w:right w:val="nil"/>
            </w:tcBorders>
            <w:shd w:val="clear" w:color="auto" w:fill="auto"/>
            <w:noWrap/>
            <w:vAlign w:val="bottom"/>
            <w:hideMark/>
          </w:tcPr>
          <w:p w14:paraId="5BD48E25"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322</w:t>
            </w:r>
          </w:p>
        </w:tc>
        <w:tc>
          <w:tcPr>
            <w:tcW w:w="580" w:type="dxa"/>
            <w:tcBorders>
              <w:top w:val="single" w:sz="4" w:space="0" w:color="ADD6EA"/>
              <w:left w:val="nil"/>
              <w:bottom w:val="nil"/>
              <w:right w:val="nil"/>
            </w:tcBorders>
            <w:shd w:val="clear" w:color="auto" w:fill="auto"/>
            <w:noWrap/>
            <w:vAlign w:val="bottom"/>
            <w:hideMark/>
          </w:tcPr>
          <w:p w14:paraId="045E0BFE"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323</w:t>
            </w:r>
          </w:p>
        </w:tc>
        <w:tc>
          <w:tcPr>
            <w:tcW w:w="660" w:type="dxa"/>
            <w:tcBorders>
              <w:top w:val="single" w:sz="4" w:space="0" w:color="ADD6EA"/>
              <w:left w:val="nil"/>
              <w:bottom w:val="nil"/>
              <w:right w:val="nil"/>
            </w:tcBorders>
            <w:shd w:val="clear" w:color="auto" w:fill="auto"/>
            <w:noWrap/>
            <w:vAlign w:val="bottom"/>
            <w:hideMark/>
          </w:tcPr>
          <w:p w14:paraId="26FECDFE"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341</w:t>
            </w:r>
          </w:p>
        </w:tc>
        <w:tc>
          <w:tcPr>
            <w:tcW w:w="580" w:type="dxa"/>
            <w:tcBorders>
              <w:top w:val="single" w:sz="4" w:space="0" w:color="ADD6EA"/>
              <w:left w:val="nil"/>
              <w:bottom w:val="nil"/>
              <w:right w:val="nil"/>
            </w:tcBorders>
            <w:shd w:val="clear" w:color="auto" w:fill="auto"/>
            <w:noWrap/>
            <w:vAlign w:val="bottom"/>
            <w:hideMark/>
          </w:tcPr>
          <w:p w14:paraId="18313E07"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1,228</w:t>
            </w:r>
          </w:p>
        </w:tc>
      </w:tr>
      <w:tr w:rsidR="00295AE4" w:rsidRPr="00442A3B" w14:paraId="6EC5ACD7" w14:textId="77777777" w:rsidTr="003D12D7">
        <w:trPr>
          <w:trHeight w:val="315"/>
        </w:trPr>
        <w:tc>
          <w:tcPr>
            <w:tcW w:w="3103" w:type="dxa"/>
            <w:tcBorders>
              <w:top w:val="single" w:sz="4" w:space="0" w:color="ADD6EA"/>
              <w:left w:val="nil"/>
              <w:bottom w:val="nil"/>
              <w:right w:val="nil"/>
            </w:tcBorders>
            <w:shd w:val="clear" w:color="auto" w:fill="auto"/>
            <w:noWrap/>
            <w:vAlign w:val="bottom"/>
            <w:hideMark/>
          </w:tcPr>
          <w:p w14:paraId="144407C5" w14:textId="77777777" w:rsidR="00295AE4" w:rsidRPr="00442A3B" w:rsidRDefault="00295AE4" w:rsidP="00295AE4">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442A3B">
              <w:rPr>
                <w:rFonts w:eastAsia="Times New Roman" w:cs="Open Sans Light"/>
                <w:color w:val="000000"/>
                <w:sz w:val="16"/>
                <w:szCs w:val="16"/>
                <w:lang w:eastAsia="en-AU"/>
              </w:rPr>
              <w:t>Wage costs</w:t>
            </w:r>
          </w:p>
        </w:tc>
        <w:tc>
          <w:tcPr>
            <w:tcW w:w="680" w:type="dxa"/>
            <w:tcBorders>
              <w:top w:val="single" w:sz="4" w:space="0" w:color="ADD6EA"/>
              <w:left w:val="nil"/>
              <w:bottom w:val="nil"/>
              <w:right w:val="nil"/>
            </w:tcBorders>
            <w:shd w:val="clear" w:color="auto" w:fill="auto"/>
            <w:noWrap/>
            <w:vAlign w:val="bottom"/>
            <w:hideMark/>
          </w:tcPr>
          <w:p w14:paraId="10EABECD"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421</w:t>
            </w:r>
          </w:p>
        </w:tc>
        <w:tc>
          <w:tcPr>
            <w:tcW w:w="680" w:type="dxa"/>
            <w:tcBorders>
              <w:top w:val="single" w:sz="4" w:space="0" w:color="ADD6EA"/>
              <w:left w:val="nil"/>
              <w:bottom w:val="nil"/>
              <w:right w:val="nil"/>
            </w:tcBorders>
            <w:shd w:val="clear" w:color="auto" w:fill="auto"/>
            <w:noWrap/>
            <w:vAlign w:val="bottom"/>
            <w:hideMark/>
          </w:tcPr>
          <w:p w14:paraId="18A674B9"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-203</w:t>
            </w:r>
          </w:p>
        </w:tc>
        <w:tc>
          <w:tcPr>
            <w:tcW w:w="680" w:type="dxa"/>
            <w:tcBorders>
              <w:top w:val="single" w:sz="4" w:space="0" w:color="ADD6EA"/>
              <w:left w:val="nil"/>
              <w:bottom w:val="nil"/>
              <w:right w:val="nil"/>
            </w:tcBorders>
            <w:shd w:val="clear" w:color="auto" w:fill="auto"/>
            <w:noWrap/>
            <w:vAlign w:val="bottom"/>
            <w:hideMark/>
          </w:tcPr>
          <w:p w14:paraId="44D8A42A"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-220</w:t>
            </w:r>
          </w:p>
        </w:tc>
        <w:tc>
          <w:tcPr>
            <w:tcW w:w="680" w:type="dxa"/>
            <w:tcBorders>
              <w:top w:val="single" w:sz="4" w:space="0" w:color="ADD6EA"/>
              <w:left w:val="nil"/>
              <w:bottom w:val="nil"/>
              <w:right w:val="nil"/>
            </w:tcBorders>
            <w:shd w:val="clear" w:color="auto" w:fill="auto"/>
            <w:noWrap/>
            <w:vAlign w:val="bottom"/>
            <w:hideMark/>
          </w:tcPr>
          <w:p w14:paraId="461EB99F"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349</w:t>
            </w:r>
          </w:p>
        </w:tc>
        <w:tc>
          <w:tcPr>
            <w:tcW w:w="660" w:type="dxa"/>
            <w:tcBorders>
              <w:top w:val="single" w:sz="4" w:space="0" w:color="ADD6EA"/>
              <w:left w:val="nil"/>
              <w:bottom w:val="nil"/>
              <w:right w:val="nil"/>
            </w:tcBorders>
            <w:shd w:val="clear" w:color="auto" w:fill="auto"/>
            <w:noWrap/>
            <w:vAlign w:val="bottom"/>
            <w:hideMark/>
          </w:tcPr>
          <w:p w14:paraId="23C3E4DA"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-393</w:t>
            </w:r>
          </w:p>
        </w:tc>
        <w:tc>
          <w:tcPr>
            <w:tcW w:w="660" w:type="dxa"/>
            <w:tcBorders>
              <w:top w:val="single" w:sz="4" w:space="0" w:color="ADD6EA"/>
              <w:left w:val="nil"/>
              <w:bottom w:val="nil"/>
              <w:right w:val="nil"/>
            </w:tcBorders>
            <w:shd w:val="clear" w:color="auto" w:fill="auto"/>
            <w:noWrap/>
            <w:vAlign w:val="bottom"/>
            <w:hideMark/>
          </w:tcPr>
          <w:p w14:paraId="2D2F3BBD"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-158</w:t>
            </w:r>
          </w:p>
        </w:tc>
        <w:tc>
          <w:tcPr>
            <w:tcW w:w="580" w:type="dxa"/>
            <w:tcBorders>
              <w:top w:val="single" w:sz="4" w:space="0" w:color="ADD6EA"/>
              <w:left w:val="nil"/>
              <w:bottom w:val="nil"/>
              <w:right w:val="nil"/>
            </w:tcBorders>
            <w:shd w:val="clear" w:color="auto" w:fill="auto"/>
            <w:noWrap/>
            <w:vAlign w:val="bottom"/>
            <w:hideMark/>
          </w:tcPr>
          <w:p w14:paraId="08139283"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119</w:t>
            </w:r>
          </w:p>
        </w:tc>
        <w:tc>
          <w:tcPr>
            <w:tcW w:w="660" w:type="dxa"/>
            <w:tcBorders>
              <w:top w:val="single" w:sz="4" w:space="0" w:color="ADD6EA"/>
              <w:left w:val="nil"/>
              <w:bottom w:val="nil"/>
              <w:right w:val="nil"/>
            </w:tcBorders>
            <w:shd w:val="clear" w:color="auto" w:fill="auto"/>
            <w:noWrap/>
            <w:vAlign w:val="bottom"/>
            <w:hideMark/>
          </w:tcPr>
          <w:p w14:paraId="71E85EB0"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85</w:t>
            </w:r>
          </w:p>
        </w:tc>
        <w:tc>
          <w:tcPr>
            <w:tcW w:w="580" w:type="dxa"/>
            <w:tcBorders>
              <w:top w:val="single" w:sz="4" w:space="0" w:color="ADD6EA"/>
              <w:left w:val="nil"/>
              <w:bottom w:val="nil"/>
              <w:right w:val="nil"/>
            </w:tcBorders>
            <w:shd w:val="clear" w:color="auto" w:fill="auto"/>
            <w:noWrap/>
            <w:vAlign w:val="bottom"/>
            <w:hideMark/>
          </w:tcPr>
          <w:p w14:paraId="7A85817E"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975</w:t>
            </w:r>
          </w:p>
        </w:tc>
      </w:tr>
      <w:tr w:rsidR="00295AE4" w:rsidRPr="00442A3B" w14:paraId="35D0E257" w14:textId="77777777" w:rsidTr="003D12D7">
        <w:trPr>
          <w:trHeight w:val="315"/>
        </w:trPr>
        <w:tc>
          <w:tcPr>
            <w:tcW w:w="3103" w:type="dxa"/>
            <w:tcBorders>
              <w:top w:val="single" w:sz="4" w:space="0" w:color="ADD6EA"/>
              <w:left w:val="nil"/>
              <w:bottom w:val="nil"/>
              <w:right w:val="nil"/>
            </w:tcBorders>
            <w:shd w:val="clear" w:color="auto" w:fill="auto"/>
            <w:noWrap/>
            <w:vAlign w:val="bottom"/>
            <w:hideMark/>
          </w:tcPr>
          <w:p w14:paraId="3084ADDD" w14:textId="77777777" w:rsidR="00295AE4" w:rsidRPr="00442A3B" w:rsidRDefault="00295AE4" w:rsidP="00295AE4">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442A3B">
              <w:rPr>
                <w:rFonts w:eastAsia="Times New Roman" w:cs="Open Sans Light"/>
                <w:color w:val="000000"/>
                <w:sz w:val="16"/>
                <w:szCs w:val="16"/>
                <w:lang w:eastAsia="en-AU"/>
              </w:rPr>
              <w:t>Student populations (b)</w:t>
            </w:r>
          </w:p>
        </w:tc>
        <w:tc>
          <w:tcPr>
            <w:tcW w:w="680" w:type="dxa"/>
            <w:tcBorders>
              <w:top w:val="single" w:sz="4" w:space="0" w:color="ADD6EA"/>
              <w:left w:val="nil"/>
              <w:bottom w:val="nil"/>
              <w:right w:val="nil"/>
            </w:tcBorders>
            <w:shd w:val="clear" w:color="auto" w:fill="auto"/>
            <w:noWrap/>
            <w:vAlign w:val="bottom"/>
            <w:hideMark/>
          </w:tcPr>
          <w:p w14:paraId="6D0ED791"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-367</w:t>
            </w:r>
          </w:p>
        </w:tc>
        <w:tc>
          <w:tcPr>
            <w:tcW w:w="680" w:type="dxa"/>
            <w:tcBorders>
              <w:top w:val="single" w:sz="4" w:space="0" w:color="ADD6EA"/>
              <w:left w:val="nil"/>
              <w:bottom w:val="nil"/>
              <w:right w:val="nil"/>
            </w:tcBorders>
            <w:shd w:val="clear" w:color="auto" w:fill="auto"/>
            <w:noWrap/>
            <w:vAlign w:val="bottom"/>
            <w:hideMark/>
          </w:tcPr>
          <w:p w14:paraId="6D70BF2C"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-231</w:t>
            </w:r>
          </w:p>
        </w:tc>
        <w:tc>
          <w:tcPr>
            <w:tcW w:w="680" w:type="dxa"/>
            <w:tcBorders>
              <w:top w:val="single" w:sz="4" w:space="0" w:color="ADD6EA"/>
              <w:left w:val="nil"/>
              <w:bottom w:val="nil"/>
              <w:right w:val="nil"/>
            </w:tcBorders>
            <w:shd w:val="clear" w:color="auto" w:fill="auto"/>
            <w:noWrap/>
            <w:vAlign w:val="bottom"/>
            <w:hideMark/>
          </w:tcPr>
          <w:p w14:paraId="1962F199"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184</w:t>
            </w:r>
          </w:p>
        </w:tc>
        <w:tc>
          <w:tcPr>
            <w:tcW w:w="680" w:type="dxa"/>
            <w:tcBorders>
              <w:top w:val="single" w:sz="4" w:space="0" w:color="ADD6EA"/>
              <w:left w:val="nil"/>
              <w:bottom w:val="nil"/>
              <w:right w:val="nil"/>
            </w:tcBorders>
            <w:shd w:val="clear" w:color="auto" w:fill="auto"/>
            <w:noWrap/>
            <w:vAlign w:val="bottom"/>
            <w:hideMark/>
          </w:tcPr>
          <w:p w14:paraId="03DB42BE"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310</w:t>
            </w:r>
          </w:p>
        </w:tc>
        <w:tc>
          <w:tcPr>
            <w:tcW w:w="660" w:type="dxa"/>
            <w:tcBorders>
              <w:top w:val="single" w:sz="4" w:space="0" w:color="ADD6EA"/>
              <w:left w:val="nil"/>
              <w:bottom w:val="nil"/>
              <w:right w:val="nil"/>
            </w:tcBorders>
            <w:shd w:val="clear" w:color="auto" w:fill="auto"/>
            <w:noWrap/>
            <w:vAlign w:val="bottom"/>
            <w:hideMark/>
          </w:tcPr>
          <w:p w14:paraId="0D9C236E"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-19</w:t>
            </w:r>
          </w:p>
        </w:tc>
        <w:tc>
          <w:tcPr>
            <w:tcW w:w="660" w:type="dxa"/>
            <w:tcBorders>
              <w:top w:val="single" w:sz="4" w:space="0" w:color="ADD6EA"/>
              <w:left w:val="nil"/>
              <w:bottom w:val="nil"/>
              <w:right w:val="nil"/>
            </w:tcBorders>
            <w:shd w:val="clear" w:color="auto" w:fill="auto"/>
            <w:noWrap/>
            <w:vAlign w:val="bottom"/>
            <w:hideMark/>
          </w:tcPr>
          <w:p w14:paraId="3A07F37A"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35</w:t>
            </w:r>
          </w:p>
        </w:tc>
        <w:tc>
          <w:tcPr>
            <w:tcW w:w="580" w:type="dxa"/>
            <w:tcBorders>
              <w:top w:val="single" w:sz="4" w:space="0" w:color="ADD6EA"/>
              <w:left w:val="nil"/>
              <w:bottom w:val="nil"/>
              <w:right w:val="nil"/>
            </w:tcBorders>
            <w:shd w:val="clear" w:color="auto" w:fill="auto"/>
            <w:noWrap/>
            <w:vAlign w:val="bottom"/>
            <w:hideMark/>
          </w:tcPr>
          <w:p w14:paraId="5E1451DB"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100</w:t>
            </w:r>
          </w:p>
        </w:tc>
        <w:tc>
          <w:tcPr>
            <w:tcW w:w="660" w:type="dxa"/>
            <w:tcBorders>
              <w:top w:val="single" w:sz="4" w:space="0" w:color="ADD6EA"/>
              <w:left w:val="nil"/>
              <w:bottom w:val="nil"/>
              <w:right w:val="nil"/>
            </w:tcBorders>
            <w:shd w:val="clear" w:color="auto" w:fill="auto"/>
            <w:noWrap/>
            <w:vAlign w:val="bottom"/>
            <w:hideMark/>
          </w:tcPr>
          <w:p w14:paraId="4C9523C9"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-13</w:t>
            </w:r>
          </w:p>
        </w:tc>
        <w:tc>
          <w:tcPr>
            <w:tcW w:w="580" w:type="dxa"/>
            <w:tcBorders>
              <w:top w:val="single" w:sz="4" w:space="0" w:color="ADD6EA"/>
              <w:left w:val="nil"/>
              <w:bottom w:val="nil"/>
              <w:right w:val="nil"/>
            </w:tcBorders>
            <w:shd w:val="clear" w:color="auto" w:fill="auto"/>
            <w:noWrap/>
            <w:vAlign w:val="bottom"/>
            <w:hideMark/>
          </w:tcPr>
          <w:p w14:paraId="108ABF12"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630</w:t>
            </w:r>
          </w:p>
        </w:tc>
      </w:tr>
      <w:tr w:rsidR="00295AE4" w:rsidRPr="00442A3B" w14:paraId="209E13EE" w14:textId="77777777" w:rsidTr="003D12D7">
        <w:trPr>
          <w:trHeight w:val="315"/>
        </w:trPr>
        <w:tc>
          <w:tcPr>
            <w:tcW w:w="3103" w:type="dxa"/>
            <w:tcBorders>
              <w:top w:val="single" w:sz="4" w:space="0" w:color="ADD6EA"/>
              <w:left w:val="nil"/>
              <w:bottom w:val="nil"/>
              <w:right w:val="nil"/>
            </w:tcBorders>
            <w:shd w:val="clear" w:color="auto" w:fill="auto"/>
            <w:noWrap/>
            <w:vAlign w:val="bottom"/>
            <w:hideMark/>
          </w:tcPr>
          <w:p w14:paraId="2988046A" w14:textId="77777777" w:rsidR="00295AE4" w:rsidRPr="00442A3B" w:rsidRDefault="00295AE4" w:rsidP="00295AE4">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442A3B">
              <w:rPr>
                <w:rFonts w:eastAsia="Times New Roman" w:cs="Open Sans Light"/>
                <w:color w:val="000000"/>
                <w:sz w:val="16"/>
                <w:szCs w:val="16"/>
                <w:lang w:eastAsia="en-AU"/>
              </w:rPr>
              <w:t>Other expenses</w:t>
            </w:r>
          </w:p>
        </w:tc>
        <w:tc>
          <w:tcPr>
            <w:tcW w:w="680" w:type="dxa"/>
            <w:tcBorders>
              <w:top w:val="single" w:sz="4" w:space="0" w:color="ADD6EA"/>
              <w:left w:val="nil"/>
              <w:bottom w:val="nil"/>
              <w:right w:val="nil"/>
            </w:tcBorders>
            <w:shd w:val="clear" w:color="auto" w:fill="auto"/>
            <w:noWrap/>
            <w:vAlign w:val="bottom"/>
            <w:hideMark/>
          </w:tcPr>
          <w:p w14:paraId="621E240F"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-407</w:t>
            </w:r>
          </w:p>
        </w:tc>
        <w:tc>
          <w:tcPr>
            <w:tcW w:w="680" w:type="dxa"/>
            <w:tcBorders>
              <w:top w:val="single" w:sz="4" w:space="0" w:color="ADD6EA"/>
              <w:left w:val="nil"/>
              <w:bottom w:val="nil"/>
              <w:right w:val="nil"/>
            </w:tcBorders>
            <w:shd w:val="clear" w:color="auto" w:fill="auto"/>
            <w:noWrap/>
            <w:vAlign w:val="bottom"/>
            <w:hideMark/>
          </w:tcPr>
          <w:p w14:paraId="395A2D37"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-678</w:t>
            </w:r>
          </w:p>
        </w:tc>
        <w:tc>
          <w:tcPr>
            <w:tcW w:w="680" w:type="dxa"/>
            <w:tcBorders>
              <w:top w:val="single" w:sz="4" w:space="0" w:color="ADD6EA"/>
              <w:left w:val="nil"/>
              <w:bottom w:val="nil"/>
              <w:right w:val="nil"/>
            </w:tcBorders>
            <w:shd w:val="clear" w:color="auto" w:fill="auto"/>
            <w:noWrap/>
            <w:vAlign w:val="bottom"/>
            <w:hideMark/>
          </w:tcPr>
          <w:p w14:paraId="538561AF"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391</w:t>
            </w:r>
          </w:p>
        </w:tc>
        <w:tc>
          <w:tcPr>
            <w:tcW w:w="680" w:type="dxa"/>
            <w:tcBorders>
              <w:top w:val="single" w:sz="4" w:space="0" w:color="ADD6EA"/>
              <w:left w:val="nil"/>
              <w:bottom w:val="nil"/>
              <w:right w:val="nil"/>
            </w:tcBorders>
            <w:shd w:val="clear" w:color="auto" w:fill="auto"/>
            <w:noWrap/>
            <w:vAlign w:val="bottom"/>
            <w:hideMark/>
          </w:tcPr>
          <w:p w14:paraId="3F015416"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437</w:t>
            </w:r>
          </w:p>
        </w:tc>
        <w:tc>
          <w:tcPr>
            <w:tcW w:w="660" w:type="dxa"/>
            <w:tcBorders>
              <w:top w:val="single" w:sz="4" w:space="0" w:color="ADD6EA"/>
              <w:left w:val="nil"/>
              <w:bottom w:val="nil"/>
              <w:right w:val="nil"/>
            </w:tcBorders>
            <w:shd w:val="clear" w:color="auto" w:fill="auto"/>
            <w:noWrap/>
            <w:vAlign w:val="bottom"/>
            <w:hideMark/>
          </w:tcPr>
          <w:p w14:paraId="31039DD8"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111</w:t>
            </w:r>
          </w:p>
        </w:tc>
        <w:tc>
          <w:tcPr>
            <w:tcW w:w="660" w:type="dxa"/>
            <w:tcBorders>
              <w:top w:val="single" w:sz="4" w:space="0" w:color="ADD6EA"/>
              <w:left w:val="nil"/>
              <w:bottom w:val="nil"/>
              <w:right w:val="nil"/>
            </w:tcBorders>
            <w:shd w:val="clear" w:color="auto" w:fill="auto"/>
            <w:noWrap/>
            <w:vAlign w:val="bottom"/>
            <w:hideMark/>
          </w:tcPr>
          <w:p w14:paraId="72CB36BD"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80</w:t>
            </w:r>
          </w:p>
        </w:tc>
        <w:tc>
          <w:tcPr>
            <w:tcW w:w="580" w:type="dxa"/>
            <w:tcBorders>
              <w:top w:val="single" w:sz="4" w:space="0" w:color="ADD6EA"/>
              <w:left w:val="nil"/>
              <w:bottom w:val="nil"/>
              <w:right w:val="nil"/>
            </w:tcBorders>
            <w:shd w:val="clear" w:color="auto" w:fill="auto"/>
            <w:noWrap/>
            <w:vAlign w:val="bottom"/>
            <w:hideMark/>
          </w:tcPr>
          <w:p w14:paraId="78FFF79A"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-79</w:t>
            </w:r>
          </w:p>
        </w:tc>
        <w:tc>
          <w:tcPr>
            <w:tcW w:w="660" w:type="dxa"/>
            <w:tcBorders>
              <w:top w:val="single" w:sz="4" w:space="0" w:color="ADD6EA"/>
              <w:left w:val="nil"/>
              <w:bottom w:val="nil"/>
              <w:right w:val="nil"/>
            </w:tcBorders>
            <w:shd w:val="clear" w:color="auto" w:fill="auto"/>
            <w:noWrap/>
            <w:vAlign w:val="bottom"/>
            <w:hideMark/>
          </w:tcPr>
          <w:p w14:paraId="0ECAD465"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145</w:t>
            </w:r>
          </w:p>
        </w:tc>
        <w:tc>
          <w:tcPr>
            <w:tcW w:w="580" w:type="dxa"/>
            <w:tcBorders>
              <w:top w:val="single" w:sz="4" w:space="0" w:color="ADD6EA"/>
              <w:left w:val="nil"/>
              <w:bottom w:val="nil"/>
              <w:right w:val="nil"/>
            </w:tcBorders>
            <w:shd w:val="clear" w:color="auto" w:fill="auto"/>
            <w:noWrap/>
            <w:vAlign w:val="bottom"/>
            <w:hideMark/>
          </w:tcPr>
          <w:p w14:paraId="1642ED80"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1,164</w:t>
            </w:r>
          </w:p>
        </w:tc>
      </w:tr>
      <w:tr w:rsidR="00295AE4" w:rsidRPr="00442A3B" w14:paraId="1C9793D3" w14:textId="77777777" w:rsidTr="003D12D7">
        <w:trPr>
          <w:trHeight w:val="315"/>
        </w:trPr>
        <w:tc>
          <w:tcPr>
            <w:tcW w:w="3103" w:type="dxa"/>
            <w:tcBorders>
              <w:top w:val="single" w:sz="4" w:space="0" w:color="ADD6EA"/>
              <w:left w:val="nil"/>
              <w:bottom w:val="single" w:sz="4" w:space="0" w:color="ADD6EA"/>
              <w:right w:val="nil"/>
            </w:tcBorders>
            <w:shd w:val="clear" w:color="000000" w:fill="D6E7F0"/>
            <w:noWrap/>
            <w:vAlign w:val="bottom"/>
            <w:hideMark/>
          </w:tcPr>
          <w:p w14:paraId="6B6F4F6D" w14:textId="77777777" w:rsidR="00295AE4" w:rsidRPr="00442A3B" w:rsidRDefault="00295AE4" w:rsidP="00295AE4">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TOTAL EXPENSES</w:t>
            </w:r>
          </w:p>
        </w:tc>
        <w:tc>
          <w:tcPr>
            <w:tcW w:w="680" w:type="dxa"/>
            <w:tcBorders>
              <w:top w:val="single" w:sz="4" w:space="0" w:color="ADD6EA"/>
              <w:left w:val="nil"/>
              <w:bottom w:val="single" w:sz="4" w:space="0" w:color="ADD6EA"/>
              <w:right w:val="nil"/>
            </w:tcBorders>
            <w:shd w:val="clear" w:color="000000" w:fill="D6E7F0"/>
            <w:noWrap/>
            <w:vAlign w:val="bottom"/>
            <w:hideMark/>
          </w:tcPr>
          <w:p w14:paraId="2846EAC1"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-1,068</w:t>
            </w:r>
          </w:p>
        </w:tc>
        <w:tc>
          <w:tcPr>
            <w:tcW w:w="680" w:type="dxa"/>
            <w:tcBorders>
              <w:top w:val="single" w:sz="4" w:space="0" w:color="ADD6EA"/>
              <w:left w:val="nil"/>
              <w:bottom w:val="single" w:sz="4" w:space="0" w:color="ADD6EA"/>
              <w:right w:val="nil"/>
            </w:tcBorders>
            <w:shd w:val="clear" w:color="000000" w:fill="D6E7F0"/>
            <w:noWrap/>
            <w:vAlign w:val="bottom"/>
            <w:hideMark/>
          </w:tcPr>
          <w:p w14:paraId="43A8C627"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-4,848</w:t>
            </w:r>
          </w:p>
        </w:tc>
        <w:tc>
          <w:tcPr>
            <w:tcW w:w="680" w:type="dxa"/>
            <w:tcBorders>
              <w:top w:val="single" w:sz="4" w:space="0" w:color="ADD6EA"/>
              <w:left w:val="nil"/>
              <w:bottom w:val="single" w:sz="4" w:space="0" w:color="ADD6EA"/>
              <w:right w:val="nil"/>
            </w:tcBorders>
            <w:shd w:val="clear" w:color="000000" w:fill="D6E7F0"/>
            <w:noWrap/>
            <w:vAlign w:val="bottom"/>
            <w:hideMark/>
          </w:tcPr>
          <w:p w14:paraId="3CC6B06B"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1,302</w:t>
            </w:r>
          </w:p>
        </w:tc>
        <w:tc>
          <w:tcPr>
            <w:tcW w:w="680" w:type="dxa"/>
            <w:tcBorders>
              <w:top w:val="single" w:sz="4" w:space="0" w:color="ADD6EA"/>
              <w:left w:val="nil"/>
              <w:bottom w:val="single" w:sz="4" w:space="0" w:color="ADD6EA"/>
              <w:right w:val="nil"/>
            </w:tcBorders>
            <w:shd w:val="clear" w:color="000000" w:fill="D6E7F0"/>
            <w:noWrap/>
            <w:vAlign w:val="bottom"/>
            <w:hideMark/>
          </w:tcPr>
          <w:p w14:paraId="2D6AC214"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1,469</w:t>
            </w:r>
          </w:p>
        </w:tc>
        <w:tc>
          <w:tcPr>
            <w:tcW w:w="660" w:type="dxa"/>
            <w:tcBorders>
              <w:top w:val="single" w:sz="4" w:space="0" w:color="ADD6EA"/>
              <w:left w:val="nil"/>
              <w:bottom w:val="single" w:sz="4" w:space="0" w:color="ADD6EA"/>
              <w:right w:val="nil"/>
            </w:tcBorders>
            <w:shd w:val="clear" w:color="000000" w:fill="D6E7F0"/>
            <w:noWrap/>
            <w:vAlign w:val="bottom"/>
            <w:hideMark/>
          </w:tcPr>
          <w:p w14:paraId="73A43E7F"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159</w:t>
            </w:r>
          </w:p>
        </w:tc>
        <w:tc>
          <w:tcPr>
            <w:tcW w:w="660" w:type="dxa"/>
            <w:tcBorders>
              <w:top w:val="single" w:sz="4" w:space="0" w:color="ADD6EA"/>
              <w:left w:val="nil"/>
              <w:bottom w:val="single" w:sz="4" w:space="0" w:color="ADD6EA"/>
              <w:right w:val="nil"/>
            </w:tcBorders>
            <w:shd w:val="clear" w:color="000000" w:fill="D6E7F0"/>
            <w:noWrap/>
            <w:vAlign w:val="bottom"/>
            <w:hideMark/>
          </w:tcPr>
          <w:p w14:paraId="7EFE880B"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834</w:t>
            </w:r>
          </w:p>
        </w:tc>
        <w:tc>
          <w:tcPr>
            <w:tcW w:w="580" w:type="dxa"/>
            <w:tcBorders>
              <w:top w:val="single" w:sz="4" w:space="0" w:color="ADD6EA"/>
              <w:left w:val="nil"/>
              <w:bottom w:val="single" w:sz="4" w:space="0" w:color="ADD6EA"/>
              <w:right w:val="nil"/>
            </w:tcBorders>
            <w:shd w:val="clear" w:color="000000" w:fill="D6E7F0"/>
            <w:noWrap/>
            <w:vAlign w:val="bottom"/>
            <w:hideMark/>
          </w:tcPr>
          <w:p w14:paraId="05B5FC38"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-191</w:t>
            </w:r>
          </w:p>
        </w:tc>
        <w:tc>
          <w:tcPr>
            <w:tcW w:w="660" w:type="dxa"/>
            <w:tcBorders>
              <w:top w:val="single" w:sz="4" w:space="0" w:color="ADD6EA"/>
              <w:left w:val="nil"/>
              <w:bottom w:val="single" w:sz="4" w:space="0" w:color="ADD6EA"/>
              <w:right w:val="nil"/>
            </w:tcBorders>
            <w:shd w:val="clear" w:color="000000" w:fill="D6E7F0"/>
            <w:noWrap/>
            <w:vAlign w:val="bottom"/>
            <w:hideMark/>
          </w:tcPr>
          <w:p w14:paraId="3199AB50"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2,342</w:t>
            </w:r>
          </w:p>
        </w:tc>
        <w:tc>
          <w:tcPr>
            <w:tcW w:w="580" w:type="dxa"/>
            <w:tcBorders>
              <w:top w:val="single" w:sz="4" w:space="0" w:color="ADD6EA"/>
              <w:left w:val="nil"/>
              <w:bottom w:val="single" w:sz="4" w:space="0" w:color="ADD6EA"/>
              <w:right w:val="nil"/>
            </w:tcBorders>
            <w:shd w:val="clear" w:color="000000" w:fill="D6E7F0"/>
            <w:noWrap/>
            <w:vAlign w:val="bottom"/>
            <w:hideMark/>
          </w:tcPr>
          <w:p w14:paraId="6F4DF407"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6,107</w:t>
            </w:r>
          </w:p>
        </w:tc>
      </w:tr>
      <w:tr w:rsidR="00295AE4" w:rsidRPr="00442A3B" w14:paraId="01DBA916" w14:textId="77777777" w:rsidTr="003D12D7">
        <w:trPr>
          <w:trHeight w:val="315"/>
        </w:trPr>
        <w:tc>
          <w:tcPr>
            <w:tcW w:w="3103" w:type="dxa"/>
            <w:tcBorders>
              <w:top w:val="nil"/>
              <w:left w:val="nil"/>
              <w:bottom w:val="nil"/>
              <w:right w:val="nil"/>
            </w:tcBorders>
            <w:shd w:val="clear" w:color="auto" w:fill="auto"/>
            <w:noWrap/>
            <w:vAlign w:val="bottom"/>
            <w:hideMark/>
          </w:tcPr>
          <w:p w14:paraId="7E0ED30D"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INVESTMENT</w:t>
            </w:r>
          </w:p>
        </w:tc>
        <w:tc>
          <w:tcPr>
            <w:tcW w:w="680" w:type="dxa"/>
            <w:tcBorders>
              <w:top w:val="nil"/>
              <w:left w:val="nil"/>
              <w:bottom w:val="nil"/>
              <w:right w:val="nil"/>
            </w:tcBorders>
            <w:shd w:val="clear" w:color="auto" w:fill="auto"/>
            <w:noWrap/>
            <w:vAlign w:val="bottom"/>
            <w:hideMark/>
          </w:tcPr>
          <w:p w14:paraId="19C38BEB"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b/>
                <w:bCs/>
                <w:color w:val="000000"/>
                <w:sz w:val="16"/>
                <w:szCs w:val="16"/>
                <w:lang w:eastAsia="en-AU"/>
              </w:rPr>
            </w:pPr>
            <w:r w:rsidRPr="00442A3B">
              <w:rPr>
                <w:rFonts w:ascii="Open Sans Semibold" w:eastAsia="Times New Roman" w:hAnsi="Open Sans Semibold" w:cs="Open Sans Semibold"/>
                <w:b/>
                <w:bCs/>
                <w:color w:val="000000"/>
                <w:sz w:val="16"/>
                <w:szCs w:val="16"/>
                <w:lang w:eastAsia="en-AU"/>
              </w:rPr>
              <w:t> </w:t>
            </w:r>
          </w:p>
        </w:tc>
        <w:tc>
          <w:tcPr>
            <w:tcW w:w="680" w:type="dxa"/>
            <w:tcBorders>
              <w:top w:val="nil"/>
              <w:left w:val="nil"/>
              <w:bottom w:val="nil"/>
              <w:right w:val="nil"/>
            </w:tcBorders>
            <w:shd w:val="clear" w:color="auto" w:fill="auto"/>
            <w:noWrap/>
            <w:vAlign w:val="bottom"/>
            <w:hideMark/>
          </w:tcPr>
          <w:p w14:paraId="7DDB62F3"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b/>
                <w:bCs/>
                <w:color w:val="000000"/>
                <w:sz w:val="16"/>
                <w:szCs w:val="16"/>
                <w:lang w:eastAsia="en-AU"/>
              </w:rPr>
            </w:pPr>
            <w:r w:rsidRPr="00442A3B">
              <w:rPr>
                <w:rFonts w:ascii="Open Sans Semibold" w:eastAsia="Times New Roman" w:hAnsi="Open Sans Semibold" w:cs="Open Sans Semibold"/>
                <w:b/>
                <w:bCs/>
                <w:color w:val="000000"/>
                <w:sz w:val="16"/>
                <w:szCs w:val="16"/>
                <w:lang w:eastAsia="en-AU"/>
              </w:rPr>
              <w:t> </w:t>
            </w:r>
          </w:p>
        </w:tc>
        <w:tc>
          <w:tcPr>
            <w:tcW w:w="680" w:type="dxa"/>
            <w:tcBorders>
              <w:top w:val="nil"/>
              <w:left w:val="nil"/>
              <w:bottom w:val="nil"/>
              <w:right w:val="nil"/>
            </w:tcBorders>
            <w:shd w:val="clear" w:color="auto" w:fill="auto"/>
            <w:noWrap/>
            <w:vAlign w:val="bottom"/>
            <w:hideMark/>
          </w:tcPr>
          <w:p w14:paraId="64700766"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b/>
                <w:bCs/>
                <w:color w:val="000000"/>
                <w:sz w:val="16"/>
                <w:szCs w:val="16"/>
                <w:lang w:eastAsia="en-AU"/>
              </w:rPr>
            </w:pPr>
            <w:r w:rsidRPr="00442A3B">
              <w:rPr>
                <w:rFonts w:ascii="Open Sans Semibold" w:eastAsia="Times New Roman" w:hAnsi="Open Sans Semibold" w:cs="Open Sans Semibold"/>
                <w:b/>
                <w:bCs/>
                <w:color w:val="000000"/>
                <w:sz w:val="16"/>
                <w:szCs w:val="16"/>
                <w:lang w:eastAsia="en-AU"/>
              </w:rPr>
              <w:t> </w:t>
            </w:r>
          </w:p>
        </w:tc>
        <w:tc>
          <w:tcPr>
            <w:tcW w:w="680" w:type="dxa"/>
            <w:tcBorders>
              <w:top w:val="nil"/>
              <w:left w:val="nil"/>
              <w:bottom w:val="nil"/>
              <w:right w:val="nil"/>
            </w:tcBorders>
            <w:shd w:val="clear" w:color="auto" w:fill="auto"/>
            <w:noWrap/>
            <w:vAlign w:val="bottom"/>
            <w:hideMark/>
          </w:tcPr>
          <w:p w14:paraId="38D8CF76"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b/>
                <w:bCs/>
                <w:color w:val="000000"/>
                <w:sz w:val="16"/>
                <w:szCs w:val="16"/>
                <w:lang w:eastAsia="en-AU"/>
              </w:rPr>
            </w:pPr>
            <w:r w:rsidRPr="00442A3B">
              <w:rPr>
                <w:rFonts w:ascii="Open Sans Semibold" w:eastAsia="Times New Roman" w:hAnsi="Open Sans Semibold" w:cs="Open Sans Semibold"/>
                <w:b/>
                <w:bCs/>
                <w:color w:val="000000"/>
                <w:sz w:val="16"/>
                <w:szCs w:val="16"/>
                <w:lang w:eastAsia="en-AU"/>
              </w:rPr>
              <w:t> </w:t>
            </w:r>
          </w:p>
        </w:tc>
        <w:tc>
          <w:tcPr>
            <w:tcW w:w="660" w:type="dxa"/>
            <w:tcBorders>
              <w:top w:val="nil"/>
              <w:left w:val="nil"/>
              <w:bottom w:val="nil"/>
              <w:right w:val="nil"/>
            </w:tcBorders>
            <w:shd w:val="clear" w:color="auto" w:fill="auto"/>
            <w:noWrap/>
            <w:vAlign w:val="bottom"/>
            <w:hideMark/>
          </w:tcPr>
          <w:p w14:paraId="709BC1EC"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b/>
                <w:bCs/>
                <w:color w:val="000000"/>
                <w:sz w:val="16"/>
                <w:szCs w:val="16"/>
                <w:lang w:eastAsia="en-AU"/>
              </w:rPr>
            </w:pPr>
            <w:r w:rsidRPr="00442A3B">
              <w:rPr>
                <w:rFonts w:ascii="Open Sans Semibold" w:eastAsia="Times New Roman" w:hAnsi="Open Sans Semibold" w:cs="Open Sans Semibold"/>
                <w:b/>
                <w:bCs/>
                <w:color w:val="000000"/>
                <w:sz w:val="16"/>
                <w:szCs w:val="16"/>
                <w:lang w:eastAsia="en-AU"/>
              </w:rPr>
              <w:t> </w:t>
            </w:r>
          </w:p>
        </w:tc>
        <w:tc>
          <w:tcPr>
            <w:tcW w:w="660" w:type="dxa"/>
            <w:tcBorders>
              <w:top w:val="nil"/>
              <w:left w:val="nil"/>
              <w:bottom w:val="nil"/>
              <w:right w:val="nil"/>
            </w:tcBorders>
            <w:shd w:val="clear" w:color="auto" w:fill="auto"/>
            <w:noWrap/>
            <w:vAlign w:val="bottom"/>
            <w:hideMark/>
          </w:tcPr>
          <w:p w14:paraId="226B75B2"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b/>
                <w:bCs/>
                <w:color w:val="000000"/>
                <w:sz w:val="16"/>
                <w:szCs w:val="16"/>
                <w:lang w:eastAsia="en-AU"/>
              </w:rPr>
            </w:pPr>
            <w:r w:rsidRPr="00442A3B">
              <w:rPr>
                <w:rFonts w:ascii="Open Sans Semibold" w:eastAsia="Times New Roman" w:hAnsi="Open Sans Semibold" w:cs="Open Sans Semibold"/>
                <w:b/>
                <w:bCs/>
                <w:color w:val="000000"/>
                <w:sz w:val="16"/>
                <w:szCs w:val="16"/>
                <w:lang w:eastAsia="en-AU"/>
              </w:rPr>
              <w:t> </w:t>
            </w:r>
          </w:p>
        </w:tc>
        <w:tc>
          <w:tcPr>
            <w:tcW w:w="580" w:type="dxa"/>
            <w:tcBorders>
              <w:top w:val="nil"/>
              <w:left w:val="nil"/>
              <w:bottom w:val="nil"/>
              <w:right w:val="nil"/>
            </w:tcBorders>
            <w:shd w:val="clear" w:color="auto" w:fill="auto"/>
            <w:noWrap/>
            <w:vAlign w:val="bottom"/>
            <w:hideMark/>
          </w:tcPr>
          <w:p w14:paraId="0F8EE3FE"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b/>
                <w:bCs/>
                <w:color w:val="000000"/>
                <w:sz w:val="16"/>
                <w:szCs w:val="16"/>
                <w:lang w:eastAsia="en-AU"/>
              </w:rPr>
            </w:pPr>
            <w:r w:rsidRPr="00442A3B">
              <w:rPr>
                <w:rFonts w:ascii="Open Sans Semibold" w:eastAsia="Times New Roman" w:hAnsi="Open Sans Semibold" w:cs="Open Sans Semibold"/>
                <w:b/>
                <w:bCs/>
                <w:color w:val="000000"/>
                <w:sz w:val="16"/>
                <w:szCs w:val="16"/>
                <w:lang w:eastAsia="en-AU"/>
              </w:rPr>
              <w:t> </w:t>
            </w:r>
          </w:p>
        </w:tc>
        <w:tc>
          <w:tcPr>
            <w:tcW w:w="660" w:type="dxa"/>
            <w:tcBorders>
              <w:top w:val="nil"/>
              <w:left w:val="nil"/>
              <w:bottom w:val="nil"/>
              <w:right w:val="nil"/>
            </w:tcBorders>
            <w:shd w:val="clear" w:color="auto" w:fill="auto"/>
            <w:noWrap/>
            <w:vAlign w:val="bottom"/>
            <w:hideMark/>
          </w:tcPr>
          <w:p w14:paraId="77CD2ED5"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b/>
                <w:bCs/>
                <w:color w:val="000000"/>
                <w:sz w:val="16"/>
                <w:szCs w:val="16"/>
                <w:lang w:eastAsia="en-AU"/>
              </w:rPr>
            </w:pPr>
            <w:r w:rsidRPr="00442A3B">
              <w:rPr>
                <w:rFonts w:ascii="Open Sans Semibold" w:eastAsia="Times New Roman" w:hAnsi="Open Sans Semibold" w:cs="Open Sans Semibold"/>
                <w:b/>
                <w:bCs/>
                <w:color w:val="000000"/>
                <w:sz w:val="16"/>
                <w:szCs w:val="16"/>
                <w:lang w:eastAsia="en-AU"/>
              </w:rPr>
              <w:t> </w:t>
            </w:r>
          </w:p>
        </w:tc>
        <w:tc>
          <w:tcPr>
            <w:tcW w:w="580" w:type="dxa"/>
            <w:tcBorders>
              <w:top w:val="nil"/>
              <w:left w:val="nil"/>
              <w:bottom w:val="nil"/>
              <w:right w:val="nil"/>
            </w:tcBorders>
            <w:shd w:val="clear" w:color="auto" w:fill="auto"/>
            <w:noWrap/>
            <w:vAlign w:val="bottom"/>
            <w:hideMark/>
          </w:tcPr>
          <w:p w14:paraId="158A9DFD"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b/>
                <w:bCs/>
                <w:color w:val="000000"/>
                <w:sz w:val="16"/>
                <w:szCs w:val="16"/>
                <w:lang w:eastAsia="en-AU"/>
              </w:rPr>
            </w:pPr>
            <w:r w:rsidRPr="00442A3B">
              <w:rPr>
                <w:rFonts w:ascii="Open Sans Semibold" w:eastAsia="Times New Roman" w:hAnsi="Open Sans Semibold" w:cs="Open Sans Semibold"/>
                <w:b/>
                <w:bCs/>
                <w:color w:val="000000"/>
                <w:sz w:val="16"/>
                <w:szCs w:val="16"/>
                <w:lang w:eastAsia="en-AU"/>
              </w:rPr>
              <w:t> </w:t>
            </w:r>
          </w:p>
        </w:tc>
      </w:tr>
      <w:tr w:rsidR="00295AE4" w:rsidRPr="00442A3B" w14:paraId="40932305" w14:textId="77777777" w:rsidTr="003D12D7">
        <w:trPr>
          <w:trHeight w:val="315"/>
        </w:trPr>
        <w:tc>
          <w:tcPr>
            <w:tcW w:w="3103" w:type="dxa"/>
            <w:tcBorders>
              <w:top w:val="single" w:sz="4" w:space="0" w:color="ADD6EA"/>
              <w:left w:val="nil"/>
              <w:bottom w:val="nil"/>
              <w:right w:val="nil"/>
            </w:tcBorders>
            <w:shd w:val="clear" w:color="auto" w:fill="auto"/>
            <w:noWrap/>
            <w:vAlign w:val="bottom"/>
            <w:hideMark/>
          </w:tcPr>
          <w:p w14:paraId="62F270FB" w14:textId="77777777" w:rsidR="00295AE4" w:rsidRPr="00442A3B" w:rsidRDefault="00295AE4" w:rsidP="00295AE4">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442A3B">
              <w:rPr>
                <w:rFonts w:eastAsia="Times New Roman" w:cs="Open Sans Light"/>
                <w:color w:val="000000"/>
                <w:sz w:val="16"/>
                <w:szCs w:val="16"/>
                <w:lang w:eastAsia="en-AU"/>
              </w:rPr>
              <w:t>Capital requirement</w:t>
            </w:r>
          </w:p>
        </w:tc>
        <w:tc>
          <w:tcPr>
            <w:tcW w:w="680" w:type="dxa"/>
            <w:tcBorders>
              <w:top w:val="single" w:sz="4" w:space="0" w:color="ADD6EA"/>
              <w:left w:val="nil"/>
              <w:bottom w:val="nil"/>
              <w:right w:val="nil"/>
            </w:tcBorders>
            <w:shd w:val="clear" w:color="auto" w:fill="auto"/>
            <w:noWrap/>
            <w:vAlign w:val="bottom"/>
            <w:hideMark/>
          </w:tcPr>
          <w:p w14:paraId="09E52BAD"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-257</w:t>
            </w:r>
          </w:p>
        </w:tc>
        <w:tc>
          <w:tcPr>
            <w:tcW w:w="680" w:type="dxa"/>
            <w:tcBorders>
              <w:top w:val="single" w:sz="4" w:space="0" w:color="ADD6EA"/>
              <w:left w:val="nil"/>
              <w:bottom w:val="nil"/>
              <w:right w:val="nil"/>
            </w:tcBorders>
            <w:shd w:val="clear" w:color="auto" w:fill="auto"/>
            <w:noWrap/>
            <w:vAlign w:val="bottom"/>
            <w:hideMark/>
          </w:tcPr>
          <w:p w14:paraId="37C931D6"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1,085</w:t>
            </w:r>
          </w:p>
        </w:tc>
        <w:tc>
          <w:tcPr>
            <w:tcW w:w="680" w:type="dxa"/>
            <w:tcBorders>
              <w:top w:val="single" w:sz="4" w:space="0" w:color="ADD6EA"/>
              <w:left w:val="nil"/>
              <w:bottom w:val="nil"/>
              <w:right w:val="nil"/>
            </w:tcBorders>
            <w:shd w:val="clear" w:color="auto" w:fill="auto"/>
            <w:noWrap/>
            <w:vAlign w:val="bottom"/>
            <w:hideMark/>
          </w:tcPr>
          <w:p w14:paraId="3C89BC1A"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33</w:t>
            </w:r>
          </w:p>
        </w:tc>
        <w:tc>
          <w:tcPr>
            <w:tcW w:w="680" w:type="dxa"/>
            <w:tcBorders>
              <w:top w:val="single" w:sz="4" w:space="0" w:color="ADD6EA"/>
              <w:left w:val="nil"/>
              <w:bottom w:val="nil"/>
              <w:right w:val="nil"/>
            </w:tcBorders>
            <w:shd w:val="clear" w:color="auto" w:fill="auto"/>
            <w:noWrap/>
            <w:vAlign w:val="bottom"/>
            <w:hideMark/>
          </w:tcPr>
          <w:p w14:paraId="0B0217BA"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-363</w:t>
            </w:r>
          </w:p>
        </w:tc>
        <w:tc>
          <w:tcPr>
            <w:tcW w:w="660" w:type="dxa"/>
            <w:tcBorders>
              <w:top w:val="single" w:sz="4" w:space="0" w:color="ADD6EA"/>
              <w:left w:val="nil"/>
              <w:bottom w:val="nil"/>
              <w:right w:val="nil"/>
            </w:tcBorders>
            <w:shd w:val="clear" w:color="auto" w:fill="auto"/>
            <w:noWrap/>
            <w:vAlign w:val="bottom"/>
            <w:hideMark/>
          </w:tcPr>
          <w:p w14:paraId="6A54EBB9"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-349</w:t>
            </w:r>
          </w:p>
        </w:tc>
        <w:tc>
          <w:tcPr>
            <w:tcW w:w="660" w:type="dxa"/>
            <w:tcBorders>
              <w:top w:val="single" w:sz="4" w:space="0" w:color="ADD6EA"/>
              <w:left w:val="nil"/>
              <w:bottom w:val="nil"/>
              <w:right w:val="nil"/>
            </w:tcBorders>
            <w:shd w:val="clear" w:color="auto" w:fill="auto"/>
            <w:noWrap/>
            <w:vAlign w:val="bottom"/>
            <w:hideMark/>
          </w:tcPr>
          <w:p w14:paraId="56E3F80A"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-55</w:t>
            </w:r>
          </w:p>
        </w:tc>
        <w:tc>
          <w:tcPr>
            <w:tcW w:w="580" w:type="dxa"/>
            <w:tcBorders>
              <w:top w:val="single" w:sz="4" w:space="0" w:color="ADD6EA"/>
              <w:left w:val="nil"/>
              <w:bottom w:val="nil"/>
              <w:right w:val="nil"/>
            </w:tcBorders>
            <w:shd w:val="clear" w:color="auto" w:fill="auto"/>
            <w:noWrap/>
            <w:vAlign w:val="bottom"/>
            <w:hideMark/>
          </w:tcPr>
          <w:p w14:paraId="02AF7DB0"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-20</w:t>
            </w:r>
          </w:p>
        </w:tc>
        <w:tc>
          <w:tcPr>
            <w:tcW w:w="660" w:type="dxa"/>
            <w:tcBorders>
              <w:top w:val="single" w:sz="4" w:space="0" w:color="ADD6EA"/>
              <w:left w:val="nil"/>
              <w:bottom w:val="nil"/>
              <w:right w:val="nil"/>
            </w:tcBorders>
            <w:shd w:val="clear" w:color="auto" w:fill="auto"/>
            <w:noWrap/>
            <w:vAlign w:val="bottom"/>
            <w:hideMark/>
          </w:tcPr>
          <w:p w14:paraId="21758B8D"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-74</w:t>
            </w:r>
          </w:p>
        </w:tc>
        <w:tc>
          <w:tcPr>
            <w:tcW w:w="580" w:type="dxa"/>
            <w:tcBorders>
              <w:top w:val="single" w:sz="4" w:space="0" w:color="ADD6EA"/>
              <w:left w:val="nil"/>
              <w:bottom w:val="nil"/>
              <w:right w:val="nil"/>
            </w:tcBorders>
            <w:shd w:val="clear" w:color="auto" w:fill="auto"/>
            <w:noWrap/>
            <w:vAlign w:val="bottom"/>
            <w:hideMark/>
          </w:tcPr>
          <w:p w14:paraId="3577660F"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1,118</w:t>
            </w:r>
          </w:p>
        </w:tc>
      </w:tr>
      <w:tr w:rsidR="00295AE4" w:rsidRPr="00442A3B" w14:paraId="2E5403F7" w14:textId="77777777" w:rsidTr="003D12D7">
        <w:trPr>
          <w:trHeight w:val="315"/>
        </w:trPr>
        <w:tc>
          <w:tcPr>
            <w:tcW w:w="3103" w:type="dxa"/>
            <w:tcBorders>
              <w:top w:val="single" w:sz="4" w:space="0" w:color="ADD6EA"/>
              <w:left w:val="nil"/>
              <w:bottom w:val="nil"/>
              <w:right w:val="nil"/>
            </w:tcBorders>
            <w:shd w:val="clear" w:color="auto" w:fill="auto"/>
            <w:noWrap/>
            <w:vAlign w:val="bottom"/>
            <w:hideMark/>
          </w:tcPr>
          <w:p w14:paraId="67B33AED" w14:textId="77777777" w:rsidR="00295AE4" w:rsidRPr="00442A3B" w:rsidRDefault="00295AE4" w:rsidP="00295AE4">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442A3B">
              <w:rPr>
                <w:rFonts w:eastAsia="Times New Roman" w:cs="Open Sans Light"/>
                <w:color w:val="000000"/>
                <w:sz w:val="16"/>
                <w:szCs w:val="16"/>
                <w:lang w:eastAsia="en-AU"/>
              </w:rPr>
              <w:t>Capital improvements</w:t>
            </w:r>
          </w:p>
        </w:tc>
        <w:tc>
          <w:tcPr>
            <w:tcW w:w="680" w:type="dxa"/>
            <w:tcBorders>
              <w:top w:val="single" w:sz="4" w:space="0" w:color="ADD6EA"/>
              <w:left w:val="nil"/>
              <w:bottom w:val="nil"/>
              <w:right w:val="nil"/>
            </w:tcBorders>
            <w:shd w:val="clear" w:color="auto" w:fill="auto"/>
            <w:noWrap/>
            <w:vAlign w:val="bottom"/>
            <w:hideMark/>
          </w:tcPr>
          <w:p w14:paraId="61E87435"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86</w:t>
            </w:r>
          </w:p>
        </w:tc>
        <w:tc>
          <w:tcPr>
            <w:tcW w:w="680" w:type="dxa"/>
            <w:tcBorders>
              <w:top w:val="single" w:sz="4" w:space="0" w:color="ADD6EA"/>
              <w:left w:val="nil"/>
              <w:bottom w:val="nil"/>
              <w:right w:val="nil"/>
            </w:tcBorders>
            <w:shd w:val="clear" w:color="auto" w:fill="auto"/>
            <w:noWrap/>
            <w:vAlign w:val="bottom"/>
            <w:hideMark/>
          </w:tcPr>
          <w:p w14:paraId="2DBEF47D"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-495</w:t>
            </w:r>
          </w:p>
        </w:tc>
        <w:tc>
          <w:tcPr>
            <w:tcW w:w="680" w:type="dxa"/>
            <w:tcBorders>
              <w:top w:val="single" w:sz="4" w:space="0" w:color="ADD6EA"/>
              <w:left w:val="nil"/>
              <w:bottom w:val="nil"/>
              <w:right w:val="nil"/>
            </w:tcBorders>
            <w:shd w:val="clear" w:color="auto" w:fill="auto"/>
            <w:noWrap/>
            <w:vAlign w:val="bottom"/>
            <w:hideMark/>
          </w:tcPr>
          <w:p w14:paraId="11B63415"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84</w:t>
            </w:r>
          </w:p>
        </w:tc>
        <w:tc>
          <w:tcPr>
            <w:tcW w:w="680" w:type="dxa"/>
            <w:tcBorders>
              <w:top w:val="single" w:sz="4" w:space="0" w:color="ADD6EA"/>
              <w:left w:val="nil"/>
              <w:bottom w:val="nil"/>
              <w:right w:val="nil"/>
            </w:tcBorders>
            <w:shd w:val="clear" w:color="auto" w:fill="auto"/>
            <w:noWrap/>
            <w:vAlign w:val="bottom"/>
            <w:hideMark/>
          </w:tcPr>
          <w:p w14:paraId="15F8C6D9"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187</w:t>
            </w:r>
          </w:p>
        </w:tc>
        <w:tc>
          <w:tcPr>
            <w:tcW w:w="660" w:type="dxa"/>
            <w:tcBorders>
              <w:top w:val="single" w:sz="4" w:space="0" w:color="ADD6EA"/>
              <w:left w:val="nil"/>
              <w:bottom w:val="nil"/>
              <w:right w:val="nil"/>
            </w:tcBorders>
            <w:shd w:val="clear" w:color="auto" w:fill="auto"/>
            <w:noWrap/>
            <w:vAlign w:val="bottom"/>
            <w:hideMark/>
          </w:tcPr>
          <w:p w14:paraId="03F135AC"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-33</w:t>
            </w:r>
          </w:p>
        </w:tc>
        <w:tc>
          <w:tcPr>
            <w:tcW w:w="660" w:type="dxa"/>
            <w:tcBorders>
              <w:top w:val="single" w:sz="4" w:space="0" w:color="ADD6EA"/>
              <w:left w:val="nil"/>
              <w:bottom w:val="nil"/>
              <w:right w:val="nil"/>
            </w:tcBorders>
            <w:shd w:val="clear" w:color="auto" w:fill="auto"/>
            <w:noWrap/>
            <w:vAlign w:val="bottom"/>
            <w:hideMark/>
          </w:tcPr>
          <w:p w14:paraId="57A4BBDC"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-31</w:t>
            </w:r>
          </w:p>
        </w:tc>
        <w:tc>
          <w:tcPr>
            <w:tcW w:w="580" w:type="dxa"/>
            <w:tcBorders>
              <w:top w:val="single" w:sz="4" w:space="0" w:color="ADD6EA"/>
              <w:left w:val="nil"/>
              <w:bottom w:val="nil"/>
              <w:right w:val="nil"/>
            </w:tcBorders>
            <w:shd w:val="clear" w:color="auto" w:fill="auto"/>
            <w:noWrap/>
            <w:vAlign w:val="bottom"/>
            <w:hideMark/>
          </w:tcPr>
          <w:p w14:paraId="65C7BF7C"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-137</w:t>
            </w:r>
          </w:p>
        </w:tc>
        <w:tc>
          <w:tcPr>
            <w:tcW w:w="660" w:type="dxa"/>
            <w:tcBorders>
              <w:top w:val="single" w:sz="4" w:space="0" w:color="ADD6EA"/>
              <w:left w:val="nil"/>
              <w:bottom w:val="nil"/>
              <w:right w:val="nil"/>
            </w:tcBorders>
            <w:shd w:val="clear" w:color="auto" w:fill="auto"/>
            <w:noWrap/>
            <w:vAlign w:val="bottom"/>
            <w:hideMark/>
          </w:tcPr>
          <w:p w14:paraId="3B09ECB6"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338</w:t>
            </w:r>
          </w:p>
        </w:tc>
        <w:tc>
          <w:tcPr>
            <w:tcW w:w="580" w:type="dxa"/>
            <w:tcBorders>
              <w:top w:val="single" w:sz="4" w:space="0" w:color="ADD6EA"/>
              <w:left w:val="nil"/>
              <w:bottom w:val="nil"/>
              <w:right w:val="nil"/>
            </w:tcBorders>
            <w:shd w:val="clear" w:color="auto" w:fill="auto"/>
            <w:noWrap/>
            <w:vAlign w:val="bottom"/>
            <w:hideMark/>
          </w:tcPr>
          <w:p w14:paraId="06CAD4D8"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696</w:t>
            </w:r>
          </w:p>
        </w:tc>
      </w:tr>
      <w:tr w:rsidR="00295AE4" w:rsidRPr="00442A3B" w14:paraId="2ADDA218" w14:textId="77777777" w:rsidTr="003D12D7">
        <w:trPr>
          <w:trHeight w:val="315"/>
        </w:trPr>
        <w:tc>
          <w:tcPr>
            <w:tcW w:w="3103" w:type="dxa"/>
            <w:tcBorders>
              <w:top w:val="single" w:sz="4" w:space="0" w:color="ADD6EA"/>
              <w:left w:val="nil"/>
              <w:bottom w:val="nil"/>
              <w:right w:val="nil"/>
            </w:tcBorders>
            <w:shd w:val="clear" w:color="auto" w:fill="auto"/>
            <w:noWrap/>
            <w:vAlign w:val="bottom"/>
            <w:hideMark/>
          </w:tcPr>
          <w:p w14:paraId="6828D59F" w14:textId="77777777" w:rsidR="00295AE4" w:rsidRPr="00442A3B" w:rsidRDefault="00295AE4" w:rsidP="00295AE4">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442A3B">
              <w:rPr>
                <w:rFonts w:eastAsia="Times New Roman" w:cs="Open Sans Light"/>
                <w:color w:val="000000"/>
                <w:sz w:val="16"/>
                <w:szCs w:val="16"/>
                <w:lang w:eastAsia="en-AU"/>
              </w:rPr>
              <w:t>Cost of construction</w:t>
            </w:r>
          </w:p>
        </w:tc>
        <w:tc>
          <w:tcPr>
            <w:tcW w:w="680" w:type="dxa"/>
            <w:tcBorders>
              <w:top w:val="single" w:sz="4" w:space="0" w:color="ADD6EA"/>
              <w:left w:val="nil"/>
              <w:bottom w:val="nil"/>
              <w:right w:val="nil"/>
            </w:tcBorders>
            <w:shd w:val="clear" w:color="auto" w:fill="auto"/>
            <w:noWrap/>
            <w:vAlign w:val="bottom"/>
            <w:hideMark/>
          </w:tcPr>
          <w:p w14:paraId="01982C20"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112</w:t>
            </w:r>
          </w:p>
        </w:tc>
        <w:tc>
          <w:tcPr>
            <w:tcW w:w="680" w:type="dxa"/>
            <w:tcBorders>
              <w:top w:val="single" w:sz="4" w:space="0" w:color="ADD6EA"/>
              <w:left w:val="nil"/>
              <w:bottom w:val="nil"/>
              <w:right w:val="nil"/>
            </w:tcBorders>
            <w:shd w:val="clear" w:color="auto" w:fill="auto"/>
            <w:noWrap/>
            <w:vAlign w:val="bottom"/>
            <w:hideMark/>
          </w:tcPr>
          <w:p w14:paraId="45E188AA"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-517</w:t>
            </w:r>
          </w:p>
        </w:tc>
        <w:tc>
          <w:tcPr>
            <w:tcW w:w="680" w:type="dxa"/>
            <w:tcBorders>
              <w:top w:val="single" w:sz="4" w:space="0" w:color="ADD6EA"/>
              <w:left w:val="nil"/>
              <w:bottom w:val="nil"/>
              <w:right w:val="nil"/>
            </w:tcBorders>
            <w:shd w:val="clear" w:color="auto" w:fill="auto"/>
            <w:noWrap/>
            <w:vAlign w:val="bottom"/>
            <w:hideMark/>
          </w:tcPr>
          <w:p w14:paraId="7844AEB5"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-12</w:t>
            </w:r>
          </w:p>
        </w:tc>
        <w:tc>
          <w:tcPr>
            <w:tcW w:w="680" w:type="dxa"/>
            <w:tcBorders>
              <w:top w:val="single" w:sz="4" w:space="0" w:color="ADD6EA"/>
              <w:left w:val="nil"/>
              <w:bottom w:val="nil"/>
              <w:right w:val="nil"/>
            </w:tcBorders>
            <w:shd w:val="clear" w:color="auto" w:fill="auto"/>
            <w:noWrap/>
            <w:vAlign w:val="bottom"/>
            <w:hideMark/>
          </w:tcPr>
          <w:p w14:paraId="7DEF4FF5"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340</w:t>
            </w:r>
          </w:p>
        </w:tc>
        <w:tc>
          <w:tcPr>
            <w:tcW w:w="660" w:type="dxa"/>
            <w:tcBorders>
              <w:top w:val="single" w:sz="4" w:space="0" w:color="ADD6EA"/>
              <w:left w:val="nil"/>
              <w:bottom w:val="nil"/>
              <w:right w:val="nil"/>
            </w:tcBorders>
            <w:shd w:val="clear" w:color="auto" w:fill="auto"/>
            <w:noWrap/>
            <w:vAlign w:val="bottom"/>
            <w:hideMark/>
          </w:tcPr>
          <w:p w14:paraId="60DB7418"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-30</w:t>
            </w:r>
          </w:p>
        </w:tc>
        <w:tc>
          <w:tcPr>
            <w:tcW w:w="660" w:type="dxa"/>
            <w:tcBorders>
              <w:top w:val="single" w:sz="4" w:space="0" w:color="ADD6EA"/>
              <w:left w:val="nil"/>
              <w:bottom w:val="nil"/>
              <w:right w:val="nil"/>
            </w:tcBorders>
            <w:shd w:val="clear" w:color="auto" w:fill="auto"/>
            <w:noWrap/>
            <w:vAlign w:val="bottom"/>
            <w:hideMark/>
          </w:tcPr>
          <w:p w14:paraId="5E01B3EE"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-44</w:t>
            </w:r>
          </w:p>
        </w:tc>
        <w:tc>
          <w:tcPr>
            <w:tcW w:w="580" w:type="dxa"/>
            <w:tcBorders>
              <w:top w:val="single" w:sz="4" w:space="0" w:color="ADD6EA"/>
              <w:left w:val="nil"/>
              <w:bottom w:val="nil"/>
              <w:right w:val="nil"/>
            </w:tcBorders>
            <w:shd w:val="clear" w:color="auto" w:fill="auto"/>
            <w:noWrap/>
            <w:vAlign w:val="bottom"/>
            <w:hideMark/>
          </w:tcPr>
          <w:p w14:paraId="02608AEE"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12</w:t>
            </w:r>
          </w:p>
        </w:tc>
        <w:tc>
          <w:tcPr>
            <w:tcW w:w="660" w:type="dxa"/>
            <w:tcBorders>
              <w:top w:val="single" w:sz="4" w:space="0" w:color="ADD6EA"/>
              <w:left w:val="nil"/>
              <w:bottom w:val="nil"/>
              <w:right w:val="nil"/>
            </w:tcBorders>
            <w:shd w:val="clear" w:color="auto" w:fill="auto"/>
            <w:noWrap/>
            <w:vAlign w:val="bottom"/>
            <w:hideMark/>
          </w:tcPr>
          <w:p w14:paraId="4CBE7B4A"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139</w:t>
            </w:r>
          </w:p>
        </w:tc>
        <w:tc>
          <w:tcPr>
            <w:tcW w:w="580" w:type="dxa"/>
            <w:tcBorders>
              <w:top w:val="single" w:sz="4" w:space="0" w:color="ADD6EA"/>
              <w:left w:val="nil"/>
              <w:bottom w:val="nil"/>
              <w:right w:val="nil"/>
            </w:tcBorders>
            <w:shd w:val="clear" w:color="auto" w:fill="auto"/>
            <w:noWrap/>
            <w:vAlign w:val="bottom"/>
            <w:hideMark/>
          </w:tcPr>
          <w:p w14:paraId="428CB3E1"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603</w:t>
            </w:r>
          </w:p>
        </w:tc>
      </w:tr>
      <w:tr w:rsidR="00295AE4" w:rsidRPr="00442A3B" w14:paraId="47AB87D1" w14:textId="77777777" w:rsidTr="003D12D7">
        <w:trPr>
          <w:trHeight w:val="315"/>
        </w:trPr>
        <w:tc>
          <w:tcPr>
            <w:tcW w:w="3103" w:type="dxa"/>
            <w:tcBorders>
              <w:top w:val="single" w:sz="4" w:space="0" w:color="ADD6EA"/>
              <w:left w:val="nil"/>
              <w:bottom w:val="nil"/>
              <w:right w:val="nil"/>
            </w:tcBorders>
            <w:shd w:val="clear" w:color="auto" w:fill="auto"/>
            <w:noWrap/>
            <w:vAlign w:val="bottom"/>
            <w:hideMark/>
          </w:tcPr>
          <w:p w14:paraId="13A04704" w14:textId="77777777" w:rsidR="00295AE4" w:rsidRPr="00442A3B" w:rsidRDefault="00295AE4" w:rsidP="00295AE4">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442A3B">
              <w:rPr>
                <w:rFonts w:eastAsia="Times New Roman" w:cs="Open Sans Light"/>
                <w:color w:val="000000"/>
                <w:sz w:val="16"/>
                <w:szCs w:val="16"/>
                <w:lang w:eastAsia="en-AU"/>
              </w:rPr>
              <w:t>Net borrowing</w:t>
            </w:r>
          </w:p>
        </w:tc>
        <w:tc>
          <w:tcPr>
            <w:tcW w:w="680" w:type="dxa"/>
            <w:tcBorders>
              <w:top w:val="single" w:sz="4" w:space="0" w:color="ADD6EA"/>
              <w:left w:val="nil"/>
              <w:bottom w:val="nil"/>
              <w:right w:val="nil"/>
            </w:tcBorders>
            <w:shd w:val="clear" w:color="auto" w:fill="auto"/>
            <w:noWrap/>
            <w:vAlign w:val="bottom"/>
            <w:hideMark/>
          </w:tcPr>
          <w:p w14:paraId="06D12532"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114</w:t>
            </w:r>
          </w:p>
        </w:tc>
        <w:tc>
          <w:tcPr>
            <w:tcW w:w="680" w:type="dxa"/>
            <w:tcBorders>
              <w:top w:val="single" w:sz="4" w:space="0" w:color="ADD6EA"/>
              <w:left w:val="nil"/>
              <w:bottom w:val="nil"/>
              <w:right w:val="nil"/>
            </w:tcBorders>
            <w:shd w:val="clear" w:color="auto" w:fill="auto"/>
            <w:noWrap/>
            <w:vAlign w:val="bottom"/>
            <w:hideMark/>
          </w:tcPr>
          <w:p w14:paraId="208CA03F"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-245</w:t>
            </w:r>
          </w:p>
        </w:tc>
        <w:tc>
          <w:tcPr>
            <w:tcW w:w="680" w:type="dxa"/>
            <w:tcBorders>
              <w:top w:val="single" w:sz="4" w:space="0" w:color="ADD6EA"/>
              <w:left w:val="nil"/>
              <w:bottom w:val="nil"/>
              <w:right w:val="nil"/>
            </w:tcBorders>
            <w:shd w:val="clear" w:color="auto" w:fill="auto"/>
            <w:noWrap/>
            <w:vAlign w:val="bottom"/>
            <w:hideMark/>
          </w:tcPr>
          <w:p w14:paraId="4DEC4363"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-50</w:t>
            </w:r>
          </w:p>
        </w:tc>
        <w:tc>
          <w:tcPr>
            <w:tcW w:w="680" w:type="dxa"/>
            <w:tcBorders>
              <w:top w:val="single" w:sz="4" w:space="0" w:color="ADD6EA"/>
              <w:left w:val="nil"/>
              <w:bottom w:val="nil"/>
              <w:right w:val="nil"/>
            </w:tcBorders>
            <w:shd w:val="clear" w:color="auto" w:fill="auto"/>
            <w:noWrap/>
            <w:vAlign w:val="bottom"/>
            <w:hideMark/>
          </w:tcPr>
          <w:p w14:paraId="7BE21723"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62</w:t>
            </w:r>
          </w:p>
        </w:tc>
        <w:tc>
          <w:tcPr>
            <w:tcW w:w="660" w:type="dxa"/>
            <w:tcBorders>
              <w:top w:val="single" w:sz="4" w:space="0" w:color="ADD6EA"/>
              <w:left w:val="nil"/>
              <w:bottom w:val="nil"/>
              <w:right w:val="nil"/>
            </w:tcBorders>
            <w:shd w:val="clear" w:color="auto" w:fill="auto"/>
            <w:noWrap/>
            <w:vAlign w:val="bottom"/>
            <w:hideMark/>
          </w:tcPr>
          <w:p w14:paraId="2B9E8251"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76</w:t>
            </w:r>
          </w:p>
        </w:tc>
        <w:tc>
          <w:tcPr>
            <w:tcW w:w="660" w:type="dxa"/>
            <w:tcBorders>
              <w:top w:val="single" w:sz="4" w:space="0" w:color="ADD6EA"/>
              <w:left w:val="nil"/>
              <w:bottom w:val="nil"/>
              <w:right w:val="nil"/>
            </w:tcBorders>
            <w:shd w:val="clear" w:color="auto" w:fill="auto"/>
            <w:noWrap/>
            <w:vAlign w:val="bottom"/>
            <w:hideMark/>
          </w:tcPr>
          <w:p w14:paraId="7AFA26C7"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13</w:t>
            </w:r>
          </w:p>
        </w:tc>
        <w:tc>
          <w:tcPr>
            <w:tcW w:w="580" w:type="dxa"/>
            <w:tcBorders>
              <w:top w:val="single" w:sz="4" w:space="0" w:color="ADD6EA"/>
              <w:left w:val="nil"/>
              <w:bottom w:val="nil"/>
              <w:right w:val="nil"/>
            </w:tcBorders>
            <w:shd w:val="clear" w:color="auto" w:fill="auto"/>
            <w:noWrap/>
            <w:vAlign w:val="bottom"/>
            <w:hideMark/>
          </w:tcPr>
          <w:p w14:paraId="69AE99D3"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w:t>
            </w:r>
          </w:p>
        </w:tc>
        <w:tc>
          <w:tcPr>
            <w:tcW w:w="660" w:type="dxa"/>
            <w:tcBorders>
              <w:top w:val="single" w:sz="4" w:space="0" w:color="ADD6EA"/>
              <w:left w:val="nil"/>
              <w:bottom w:val="nil"/>
              <w:right w:val="nil"/>
            </w:tcBorders>
            <w:shd w:val="clear" w:color="auto" w:fill="auto"/>
            <w:noWrap/>
            <w:vAlign w:val="bottom"/>
            <w:hideMark/>
          </w:tcPr>
          <w:p w14:paraId="6A502577"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28</w:t>
            </w:r>
          </w:p>
        </w:tc>
        <w:tc>
          <w:tcPr>
            <w:tcW w:w="580" w:type="dxa"/>
            <w:tcBorders>
              <w:top w:val="single" w:sz="4" w:space="0" w:color="ADD6EA"/>
              <w:left w:val="nil"/>
              <w:bottom w:val="nil"/>
              <w:right w:val="nil"/>
            </w:tcBorders>
            <w:shd w:val="clear" w:color="auto" w:fill="auto"/>
            <w:noWrap/>
            <w:vAlign w:val="bottom"/>
            <w:hideMark/>
          </w:tcPr>
          <w:p w14:paraId="1FBA4310"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295</w:t>
            </w:r>
          </w:p>
        </w:tc>
      </w:tr>
      <w:tr w:rsidR="00295AE4" w:rsidRPr="00442A3B" w14:paraId="54CB29BE" w14:textId="77777777" w:rsidTr="003D12D7">
        <w:trPr>
          <w:trHeight w:val="315"/>
        </w:trPr>
        <w:tc>
          <w:tcPr>
            <w:tcW w:w="3103" w:type="dxa"/>
            <w:tcBorders>
              <w:top w:val="single" w:sz="4" w:space="0" w:color="ADD6EA"/>
              <w:left w:val="nil"/>
              <w:bottom w:val="single" w:sz="4" w:space="0" w:color="ADD6EA"/>
              <w:right w:val="nil"/>
            </w:tcBorders>
            <w:shd w:val="clear" w:color="000000" w:fill="D6E7F0"/>
            <w:noWrap/>
            <w:vAlign w:val="bottom"/>
            <w:hideMark/>
          </w:tcPr>
          <w:p w14:paraId="1A862FF3" w14:textId="77777777" w:rsidR="00295AE4" w:rsidRPr="00442A3B" w:rsidRDefault="00295AE4" w:rsidP="00295AE4">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TOTAL INVESTMENT</w:t>
            </w:r>
          </w:p>
        </w:tc>
        <w:tc>
          <w:tcPr>
            <w:tcW w:w="680" w:type="dxa"/>
            <w:tcBorders>
              <w:top w:val="single" w:sz="4" w:space="0" w:color="ADD6EA"/>
              <w:left w:val="nil"/>
              <w:bottom w:val="single" w:sz="4" w:space="0" w:color="ADD6EA"/>
              <w:right w:val="nil"/>
            </w:tcBorders>
            <w:shd w:val="clear" w:color="000000" w:fill="D6E7F0"/>
            <w:noWrap/>
            <w:vAlign w:val="bottom"/>
            <w:hideMark/>
          </w:tcPr>
          <w:p w14:paraId="28EA3AA5"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55</w:t>
            </w:r>
          </w:p>
        </w:tc>
        <w:tc>
          <w:tcPr>
            <w:tcW w:w="680" w:type="dxa"/>
            <w:tcBorders>
              <w:top w:val="single" w:sz="4" w:space="0" w:color="ADD6EA"/>
              <w:left w:val="nil"/>
              <w:bottom w:val="single" w:sz="4" w:space="0" w:color="ADD6EA"/>
              <w:right w:val="nil"/>
            </w:tcBorders>
            <w:shd w:val="clear" w:color="000000" w:fill="D6E7F0"/>
            <w:noWrap/>
            <w:vAlign w:val="bottom"/>
            <w:hideMark/>
          </w:tcPr>
          <w:p w14:paraId="3CD89CB7"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-171</w:t>
            </w:r>
          </w:p>
        </w:tc>
        <w:tc>
          <w:tcPr>
            <w:tcW w:w="680" w:type="dxa"/>
            <w:tcBorders>
              <w:top w:val="single" w:sz="4" w:space="0" w:color="ADD6EA"/>
              <w:left w:val="nil"/>
              <w:bottom w:val="single" w:sz="4" w:space="0" w:color="ADD6EA"/>
              <w:right w:val="nil"/>
            </w:tcBorders>
            <w:shd w:val="clear" w:color="000000" w:fill="D6E7F0"/>
            <w:noWrap/>
            <w:vAlign w:val="bottom"/>
            <w:hideMark/>
          </w:tcPr>
          <w:p w14:paraId="5D00EAFA"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55</w:t>
            </w:r>
          </w:p>
        </w:tc>
        <w:tc>
          <w:tcPr>
            <w:tcW w:w="680" w:type="dxa"/>
            <w:tcBorders>
              <w:top w:val="single" w:sz="4" w:space="0" w:color="ADD6EA"/>
              <w:left w:val="nil"/>
              <w:bottom w:val="single" w:sz="4" w:space="0" w:color="ADD6EA"/>
              <w:right w:val="nil"/>
            </w:tcBorders>
            <w:shd w:val="clear" w:color="000000" w:fill="D6E7F0"/>
            <w:noWrap/>
            <w:vAlign w:val="bottom"/>
            <w:hideMark/>
          </w:tcPr>
          <w:p w14:paraId="07435223"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225</w:t>
            </w:r>
          </w:p>
        </w:tc>
        <w:tc>
          <w:tcPr>
            <w:tcW w:w="660" w:type="dxa"/>
            <w:tcBorders>
              <w:top w:val="single" w:sz="4" w:space="0" w:color="ADD6EA"/>
              <w:left w:val="nil"/>
              <w:bottom w:val="single" w:sz="4" w:space="0" w:color="ADD6EA"/>
              <w:right w:val="nil"/>
            </w:tcBorders>
            <w:shd w:val="clear" w:color="000000" w:fill="D6E7F0"/>
            <w:noWrap/>
            <w:vAlign w:val="bottom"/>
            <w:hideMark/>
          </w:tcPr>
          <w:p w14:paraId="3CB2CFF9"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-336</w:t>
            </w:r>
          </w:p>
        </w:tc>
        <w:tc>
          <w:tcPr>
            <w:tcW w:w="660" w:type="dxa"/>
            <w:tcBorders>
              <w:top w:val="single" w:sz="4" w:space="0" w:color="ADD6EA"/>
              <w:left w:val="nil"/>
              <w:bottom w:val="single" w:sz="4" w:space="0" w:color="ADD6EA"/>
              <w:right w:val="nil"/>
            </w:tcBorders>
            <w:shd w:val="clear" w:color="000000" w:fill="D6E7F0"/>
            <w:noWrap/>
            <w:vAlign w:val="bottom"/>
            <w:hideMark/>
          </w:tcPr>
          <w:p w14:paraId="32E15355"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-118</w:t>
            </w:r>
          </w:p>
        </w:tc>
        <w:tc>
          <w:tcPr>
            <w:tcW w:w="580" w:type="dxa"/>
            <w:tcBorders>
              <w:top w:val="single" w:sz="4" w:space="0" w:color="ADD6EA"/>
              <w:left w:val="nil"/>
              <w:bottom w:val="single" w:sz="4" w:space="0" w:color="ADD6EA"/>
              <w:right w:val="nil"/>
            </w:tcBorders>
            <w:shd w:val="clear" w:color="000000" w:fill="D6E7F0"/>
            <w:noWrap/>
            <w:vAlign w:val="bottom"/>
            <w:hideMark/>
          </w:tcPr>
          <w:p w14:paraId="0946AF7C"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-142</w:t>
            </w:r>
          </w:p>
        </w:tc>
        <w:tc>
          <w:tcPr>
            <w:tcW w:w="660" w:type="dxa"/>
            <w:tcBorders>
              <w:top w:val="single" w:sz="4" w:space="0" w:color="ADD6EA"/>
              <w:left w:val="nil"/>
              <w:bottom w:val="single" w:sz="4" w:space="0" w:color="ADD6EA"/>
              <w:right w:val="nil"/>
            </w:tcBorders>
            <w:shd w:val="clear" w:color="000000" w:fill="D6E7F0"/>
            <w:noWrap/>
            <w:vAlign w:val="bottom"/>
            <w:hideMark/>
          </w:tcPr>
          <w:p w14:paraId="77C6E616"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432</w:t>
            </w:r>
          </w:p>
        </w:tc>
        <w:tc>
          <w:tcPr>
            <w:tcW w:w="580" w:type="dxa"/>
            <w:tcBorders>
              <w:top w:val="single" w:sz="4" w:space="0" w:color="ADD6EA"/>
              <w:left w:val="nil"/>
              <w:bottom w:val="single" w:sz="4" w:space="0" w:color="ADD6EA"/>
              <w:right w:val="nil"/>
            </w:tcBorders>
            <w:shd w:val="clear" w:color="000000" w:fill="D6E7F0"/>
            <w:noWrap/>
            <w:vAlign w:val="bottom"/>
            <w:hideMark/>
          </w:tcPr>
          <w:p w14:paraId="2475C31E"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767</w:t>
            </w:r>
          </w:p>
        </w:tc>
      </w:tr>
      <w:tr w:rsidR="00295AE4" w:rsidRPr="00442A3B" w14:paraId="1C94875D" w14:textId="77777777" w:rsidTr="003D12D7">
        <w:trPr>
          <w:trHeight w:val="315"/>
        </w:trPr>
        <w:tc>
          <w:tcPr>
            <w:tcW w:w="3103" w:type="dxa"/>
            <w:tcBorders>
              <w:top w:val="nil"/>
              <w:left w:val="nil"/>
              <w:bottom w:val="single" w:sz="4" w:space="0" w:color="ADD6EA"/>
              <w:right w:val="nil"/>
            </w:tcBorders>
            <w:shd w:val="clear" w:color="000000" w:fill="D6E7F0"/>
            <w:noWrap/>
            <w:vAlign w:val="bottom"/>
            <w:hideMark/>
          </w:tcPr>
          <w:p w14:paraId="110D41AE"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Total expense and investment</w:t>
            </w:r>
          </w:p>
        </w:tc>
        <w:tc>
          <w:tcPr>
            <w:tcW w:w="680" w:type="dxa"/>
            <w:tcBorders>
              <w:top w:val="nil"/>
              <w:left w:val="nil"/>
              <w:bottom w:val="single" w:sz="4" w:space="0" w:color="ADD6EA"/>
              <w:right w:val="nil"/>
            </w:tcBorders>
            <w:shd w:val="clear" w:color="000000" w:fill="D6E7F0"/>
            <w:noWrap/>
            <w:vAlign w:val="bottom"/>
            <w:hideMark/>
          </w:tcPr>
          <w:p w14:paraId="449D7A04"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-1,013</w:t>
            </w:r>
          </w:p>
        </w:tc>
        <w:tc>
          <w:tcPr>
            <w:tcW w:w="680" w:type="dxa"/>
            <w:tcBorders>
              <w:top w:val="nil"/>
              <w:left w:val="nil"/>
              <w:bottom w:val="single" w:sz="4" w:space="0" w:color="ADD6EA"/>
              <w:right w:val="nil"/>
            </w:tcBorders>
            <w:shd w:val="clear" w:color="000000" w:fill="D6E7F0"/>
            <w:noWrap/>
            <w:vAlign w:val="bottom"/>
            <w:hideMark/>
          </w:tcPr>
          <w:p w14:paraId="685EC211"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-5,019</w:t>
            </w:r>
          </w:p>
        </w:tc>
        <w:tc>
          <w:tcPr>
            <w:tcW w:w="680" w:type="dxa"/>
            <w:tcBorders>
              <w:top w:val="nil"/>
              <w:left w:val="nil"/>
              <w:bottom w:val="single" w:sz="4" w:space="0" w:color="ADD6EA"/>
              <w:right w:val="nil"/>
            </w:tcBorders>
            <w:shd w:val="clear" w:color="000000" w:fill="D6E7F0"/>
            <w:noWrap/>
            <w:vAlign w:val="bottom"/>
            <w:hideMark/>
          </w:tcPr>
          <w:p w14:paraId="1648057B"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1,358</w:t>
            </w:r>
          </w:p>
        </w:tc>
        <w:tc>
          <w:tcPr>
            <w:tcW w:w="680" w:type="dxa"/>
            <w:tcBorders>
              <w:top w:val="nil"/>
              <w:left w:val="nil"/>
              <w:bottom w:val="single" w:sz="4" w:space="0" w:color="ADD6EA"/>
              <w:right w:val="nil"/>
            </w:tcBorders>
            <w:shd w:val="clear" w:color="000000" w:fill="D6E7F0"/>
            <w:noWrap/>
            <w:vAlign w:val="bottom"/>
            <w:hideMark/>
          </w:tcPr>
          <w:p w14:paraId="64070A76"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1,694</w:t>
            </w:r>
          </w:p>
        </w:tc>
        <w:tc>
          <w:tcPr>
            <w:tcW w:w="660" w:type="dxa"/>
            <w:tcBorders>
              <w:top w:val="nil"/>
              <w:left w:val="nil"/>
              <w:bottom w:val="single" w:sz="4" w:space="0" w:color="ADD6EA"/>
              <w:right w:val="nil"/>
            </w:tcBorders>
            <w:shd w:val="clear" w:color="000000" w:fill="D6E7F0"/>
            <w:noWrap/>
            <w:vAlign w:val="bottom"/>
            <w:hideMark/>
          </w:tcPr>
          <w:p w14:paraId="7D293558"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-176</w:t>
            </w:r>
          </w:p>
        </w:tc>
        <w:tc>
          <w:tcPr>
            <w:tcW w:w="660" w:type="dxa"/>
            <w:tcBorders>
              <w:top w:val="nil"/>
              <w:left w:val="nil"/>
              <w:bottom w:val="single" w:sz="4" w:space="0" w:color="ADD6EA"/>
              <w:right w:val="nil"/>
            </w:tcBorders>
            <w:shd w:val="clear" w:color="000000" w:fill="D6E7F0"/>
            <w:noWrap/>
            <w:vAlign w:val="bottom"/>
            <w:hideMark/>
          </w:tcPr>
          <w:p w14:paraId="30F06110"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716</w:t>
            </w:r>
          </w:p>
        </w:tc>
        <w:tc>
          <w:tcPr>
            <w:tcW w:w="580" w:type="dxa"/>
            <w:tcBorders>
              <w:top w:val="nil"/>
              <w:left w:val="nil"/>
              <w:bottom w:val="single" w:sz="4" w:space="0" w:color="ADD6EA"/>
              <w:right w:val="nil"/>
            </w:tcBorders>
            <w:shd w:val="clear" w:color="000000" w:fill="D6E7F0"/>
            <w:noWrap/>
            <w:vAlign w:val="bottom"/>
            <w:hideMark/>
          </w:tcPr>
          <w:p w14:paraId="10C87277"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-333</w:t>
            </w:r>
          </w:p>
        </w:tc>
        <w:tc>
          <w:tcPr>
            <w:tcW w:w="660" w:type="dxa"/>
            <w:tcBorders>
              <w:top w:val="nil"/>
              <w:left w:val="nil"/>
              <w:bottom w:val="single" w:sz="4" w:space="0" w:color="ADD6EA"/>
              <w:right w:val="nil"/>
            </w:tcBorders>
            <w:shd w:val="clear" w:color="000000" w:fill="D6E7F0"/>
            <w:noWrap/>
            <w:vAlign w:val="bottom"/>
            <w:hideMark/>
          </w:tcPr>
          <w:p w14:paraId="74DBF5ED"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2,773</w:t>
            </w:r>
          </w:p>
        </w:tc>
        <w:tc>
          <w:tcPr>
            <w:tcW w:w="580" w:type="dxa"/>
            <w:tcBorders>
              <w:top w:val="nil"/>
              <w:left w:val="nil"/>
              <w:bottom w:val="single" w:sz="4" w:space="0" w:color="ADD6EA"/>
              <w:right w:val="nil"/>
            </w:tcBorders>
            <w:shd w:val="clear" w:color="000000" w:fill="D6E7F0"/>
            <w:noWrap/>
            <w:vAlign w:val="bottom"/>
            <w:hideMark/>
          </w:tcPr>
          <w:p w14:paraId="357675DE"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6,542</w:t>
            </w:r>
          </w:p>
        </w:tc>
      </w:tr>
      <w:tr w:rsidR="00295AE4" w:rsidRPr="00442A3B" w14:paraId="430D8F42" w14:textId="77777777" w:rsidTr="003D12D7">
        <w:trPr>
          <w:trHeight w:val="315"/>
        </w:trPr>
        <w:tc>
          <w:tcPr>
            <w:tcW w:w="3103" w:type="dxa"/>
            <w:tcBorders>
              <w:top w:val="nil"/>
              <w:left w:val="nil"/>
              <w:bottom w:val="nil"/>
              <w:right w:val="nil"/>
            </w:tcBorders>
            <w:shd w:val="clear" w:color="auto" w:fill="auto"/>
            <w:noWrap/>
            <w:vAlign w:val="bottom"/>
            <w:hideMark/>
          </w:tcPr>
          <w:p w14:paraId="0919B9BB" w14:textId="77777777" w:rsidR="00295AE4" w:rsidRPr="00442A3B" w:rsidRDefault="00295AE4" w:rsidP="00295AE4">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Commonwealth payments</w:t>
            </w:r>
          </w:p>
        </w:tc>
        <w:tc>
          <w:tcPr>
            <w:tcW w:w="680" w:type="dxa"/>
            <w:tcBorders>
              <w:top w:val="nil"/>
              <w:left w:val="nil"/>
              <w:bottom w:val="nil"/>
              <w:right w:val="nil"/>
            </w:tcBorders>
            <w:shd w:val="clear" w:color="auto" w:fill="auto"/>
            <w:noWrap/>
            <w:vAlign w:val="bottom"/>
            <w:hideMark/>
          </w:tcPr>
          <w:p w14:paraId="3AF6DE3A"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450</w:t>
            </w:r>
          </w:p>
        </w:tc>
        <w:tc>
          <w:tcPr>
            <w:tcW w:w="680" w:type="dxa"/>
            <w:tcBorders>
              <w:top w:val="nil"/>
              <w:left w:val="nil"/>
              <w:bottom w:val="nil"/>
              <w:right w:val="nil"/>
            </w:tcBorders>
            <w:shd w:val="clear" w:color="auto" w:fill="auto"/>
            <w:noWrap/>
            <w:vAlign w:val="bottom"/>
            <w:hideMark/>
          </w:tcPr>
          <w:p w14:paraId="2BB81FC1"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1,201</w:t>
            </w:r>
          </w:p>
        </w:tc>
        <w:tc>
          <w:tcPr>
            <w:tcW w:w="680" w:type="dxa"/>
            <w:tcBorders>
              <w:top w:val="nil"/>
              <w:left w:val="nil"/>
              <w:bottom w:val="nil"/>
              <w:right w:val="nil"/>
            </w:tcBorders>
            <w:shd w:val="clear" w:color="auto" w:fill="auto"/>
            <w:noWrap/>
            <w:vAlign w:val="bottom"/>
            <w:hideMark/>
          </w:tcPr>
          <w:p w14:paraId="51A6E9EE"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-974</w:t>
            </w:r>
          </w:p>
        </w:tc>
        <w:tc>
          <w:tcPr>
            <w:tcW w:w="680" w:type="dxa"/>
            <w:tcBorders>
              <w:top w:val="nil"/>
              <w:left w:val="nil"/>
              <w:bottom w:val="nil"/>
              <w:right w:val="nil"/>
            </w:tcBorders>
            <w:shd w:val="clear" w:color="auto" w:fill="auto"/>
            <w:noWrap/>
            <w:vAlign w:val="bottom"/>
            <w:hideMark/>
          </w:tcPr>
          <w:p w14:paraId="0B693FDB"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-71</w:t>
            </w:r>
          </w:p>
        </w:tc>
        <w:tc>
          <w:tcPr>
            <w:tcW w:w="660" w:type="dxa"/>
            <w:tcBorders>
              <w:top w:val="nil"/>
              <w:left w:val="nil"/>
              <w:bottom w:val="nil"/>
              <w:right w:val="nil"/>
            </w:tcBorders>
            <w:shd w:val="clear" w:color="auto" w:fill="auto"/>
            <w:noWrap/>
            <w:vAlign w:val="bottom"/>
            <w:hideMark/>
          </w:tcPr>
          <w:p w14:paraId="5FC379B7"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-204</w:t>
            </w:r>
          </w:p>
        </w:tc>
        <w:tc>
          <w:tcPr>
            <w:tcW w:w="660" w:type="dxa"/>
            <w:tcBorders>
              <w:top w:val="nil"/>
              <w:left w:val="nil"/>
              <w:bottom w:val="nil"/>
              <w:right w:val="nil"/>
            </w:tcBorders>
            <w:shd w:val="clear" w:color="auto" w:fill="auto"/>
            <w:noWrap/>
            <w:vAlign w:val="bottom"/>
            <w:hideMark/>
          </w:tcPr>
          <w:p w14:paraId="6921546B"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-88</w:t>
            </w:r>
          </w:p>
        </w:tc>
        <w:tc>
          <w:tcPr>
            <w:tcW w:w="580" w:type="dxa"/>
            <w:tcBorders>
              <w:top w:val="nil"/>
              <w:left w:val="nil"/>
              <w:bottom w:val="nil"/>
              <w:right w:val="nil"/>
            </w:tcBorders>
            <w:shd w:val="clear" w:color="auto" w:fill="auto"/>
            <w:noWrap/>
            <w:vAlign w:val="bottom"/>
            <w:hideMark/>
          </w:tcPr>
          <w:p w14:paraId="3EB07F23"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81</w:t>
            </w:r>
          </w:p>
        </w:tc>
        <w:tc>
          <w:tcPr>
            <w:tcW w:w="660" w:type="dxa"/>
            <w:tcBorders>
              <w:top w:val="nil"/>
              <w:left w:val="nil"/>
              <w:bottom w:val="nil"/>
              <w:right w:val="nil"/>
            </w:tcBorders>
            <w:shd w:val="clear" w:color="auto" w:fill="auto"/>
            <w:noWrap/>
            <w:vAlign w:val="bottom"/>
            <w:hideMark/>
          </w:tcPr>
          <w:p w14:paraId="140A3BA2"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-395</w:t>
            </w:r>
          </w:p>
        </w:tc>
        <w:tc>
          <w:tcPr>
            <w:tcW w:w="580" w:type="dxa"/>
            <w:tcBorders>
              <w:top w:val="nil"/>
              <w:left w:val="nil"/>
              <w:bottom w:val="nil"/>
              <w:right w:val="nil"/>
            </w:tcBorders>
            <w:shd w:val="clear" w:color="auto" w:fill="auto"/>
            <w:noWrap/>
            <w:vAlign w:val="bottom"/>
            <w:hideMark/>
          </w:tcPr>
          <w:p w14:paraId="679E6820"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1,733</w:t>
            </w:r>
          </w:p>
        </w:tc>
      </w:tr>
      <w:tr w:rsidR="00295AE4" w:rsidRPr="00442A3B" w14:paraId="79C90CA2" w14:textId="77777777" w:rsidTr="003D12D7">
        <w:trPr>
          <w:trHeight w:val="315"/>
        </w:trPr>
        <w:tc>
          <w:tcPr>
            <w:tcW w:w="3103" w:type="dxa"/>
            <w:tcBorders>
              <w:top w:val="single" w:sz="4" w:space="0" w:color="ADD6EA"/>
              <w:left w:val="nil"/>
              <w:bottom w:val="single" w:sz="4" w:space="0" w:color="ADD6EA"/>
              <w:right w:val="nil"/>
            </w:tcBorders>
            <w:shd w:val="clear" w:color="000000" w:fill="D6E7F0"/>
            <w:noWrap/>
            <w:vAlign w:val="bottom"/>
            <w:hideMark/>
          </w:tcPr>
          <w:p w14:paraId="7A3DA593"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Total effect of fiscal capacities</w:t>
            </w:r>
          </w:p>
        </w:tc>
        <w:tc>
          <w:tcPr>
            <w:tcW w:w="680" w:type="dxa"/>
            <w:tcBorders>
              <w:top w:val="single" w:sz="4" w:space="0" w:color="ADD6EA"/>
              <w:left w:val="nil"/>
              <w:bottom w:val="single" w:sz="4" w:space="0" w:color="ADD6EA"/>
              <w:right w:val="nil"/>
            </w:tcBorders>
            <w:shd w:val="clear" w:color="000000" w:fill="D6E7F0"/>
            <w:noWrap/>
            <w:vAlign w:val="bottom"/>
            <w:hideMark/>
          </w:tcPr>
          <w:p w14:paraId="2A05E700"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-715</w:t>
            </w:r>
          </w:p>
        </w:tc>
        <w:tc>
          <w:tcPr>
            <w:tcW w:w="680" w:type="dxa"/>
            <w:tcBorders>
              <w:top w:val="single" w:sz="4" w:space="0" w:color="ADD6EA"/>
              <w:left w:val="nil"/>
              <w:bottom w:val="single" w:sz="4" w:space="0" w:color="ADD6EA"/>
              <w:right w:val="nil"/>
            </w:tcBorders>
            <w:shd w:val="clear" w:color="000000" w:fill="D6E7F0"/>
            <w:noWrap/>
            <w:vAlign w:val="bottom"/>
            <w:hideMark/>
          </w:tcPr>
          <w:p w14:paraId="3F7BA25F"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-1,168</w:t>
            </w:r>
          </w:p>
        </w:tc>
        <w:tc>
          <w:tcPr>
            <w:tcW w:w="680" w:type="dxa"/>
            <w:tcBorders>
              <w:top w:val="single" w:sz="4" w:space="0" w:color="ADD6EA"/>
              <w:left w:val="nil"/>
              <w:bottom w:val="single" w:sz="4" w:space="0" w:color="ADD6EA"/>
              <w:right w:val="nil"/>
            </w:tcBorders>
            <w:shd w:val="clear" w:color="000000" w:fill="D6E7F0"/>
            <w:noWrap/>
            <w:vAlign w:val="bottom"/>
            <w:hideMark/>
          </w:tcPr>
          <w:p w14:paraId="0510F945"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947</w:t>
            </w:r>
          </w:p>
        </w:tc>
        <w:tc>
          <w:tcPr>
            <w:tcW w:w="680" w:type="dxa"/>
            <w:tcBorders>
              <w:top w:val="single" w:sz="4" w:space="0" w:color="ADD6EA"/>
              <w:left w:val="nil"/>
              <w:bottom w:val="single" w:sz="4" w:space="0" w:color="ADD6EA"/>
              <w:right w:val="nil"/>
            </w:tcBorders>
            <w:shd w:val="clear" w:color="000000" w:fill="D6E7F0"/>
            <w:noWrap/>
            <w:vAlign w:val="bottom"/>
            <w:hideMark/>
          </w:tcPr>
          <w:p w14:paraId="77378EF9"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-4,664</w:t>
            </w:r>
          </w:p>
        </w:tc>
        <w:tc>
          <w:tcPr>
            <w:tcW w:w="660" w:type="dxa"/>
            <w:tcBorders>
              <w:top w:val="single" w:sz="4" w:space="0" w:color="ADD6EA"/>
              <w:left w:val="nil"/>
              <w:bottom w:val="single" w:sz="4" w:space="0" w:color="ADD6EA"/>
              <w:right w:val="nil"/>
            </w:tcBorders>
            <w:shd w:val="clear" w:color="000000" w:fill="D6E7F0"/>
            <w:noWrap/>
            <w:vAlign w:val="bottom"/>
            <w:hideMark/>
          </w:tcPr>
          <w:p w14:paraId="2974EE87"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1,650</w:t>
            </w:r>
          </w:p>
        </w:tc>
        <w:tc>
          <w:tcPr>
            <w:tcW w:w="660" w:type="dxa"/>
            <w:tcBorders>
              <w:top w:val="single" w:sz="4" w:space="0" w:color="ADD6EA"/>
              <w:left w:val="nil"/>
              <w:bottom w:val="single" w:sz="4" w:space="0" w:color="ADD6EA"/>
              <w:right w:val="nil"/>
            </w:tcBorders>
            <w:shd w:val="clear" w:color="000000" w:fill="D6E7F0"/>
            <w:noWrap/>
            <w:vAlign w:val="bottom"/>
            <w:hideMark/>
          </w:tcPr>
          <w:p w14:paraId="05EF857E"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1,381</w:t>
            </w:r>
          </w:p>
        </w:tc>
        <w:tc>
          <w:tcPr>
            <w:tcW w:w="580" w:type="dxa"/>
            <w:tcBorders>
              <w:top w:val="single" w:sz="4" w:space="0" w:color="ADD6EA"/>
              <w:left w:val="nil"/>
              <w:bottom w:val="single" w:sz="4" w:space="0" w:color="ADD6EA"/>
              <w:right w:val="nil"/>
            </w:tcBorders>
            <w:shd w:val="clear" w:color="000000" w:fill="D6E7F0"/>
            <w:noWrap/>
            <w:vAlign w:val="bottom"/>
            <w:hideMark/>
          </w:tcPr>
          <w:p w14:paraId="50E0DB16"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195</w:t>
            </w:r>
          </w:p>
        </w:tc>
        <w:tc>
          <w:tcPr>
            <w:tcW w:w="660" w:type="dxa"/>
            <w:tcBorders>
              <w:top w:val="single" w:sz="4" w:space="0" w:color="ADD6EA"/>
              <w:left w:val="nil"/>
              <w:bottom w:val="single" w:sz="4" w:space="0" w:color="ADD6EA"/>
              <w:right w:val="nil"/>
            </w:tcBorders>
            <w:shd w:val="clear" w:color="000000" w:fill="D6E7F0"/>
            <w:noWrap/>
            <w:vAlign w:val="bottom"/>
            <w:hideMark/>
          </w:tcPr>
          <w:p w14:paraId="5D41AA31"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2,374</w:t>
            </w:r>
          </w:p>
        </w:tc>
        <w:tc>
          <w:tcPr>
            <w:tcW w:w="580" w:type="dxa"/>
            <w:tcBorders>
              <w:top w:val="single" w:sz="4" w:space="0" w:color="ADD6EA"/>
              <w:left w:val="nil"/>
              <w:bottom w:val="single" w:sz="4" w:space="0" w:color="ADD6EA"/>
              <w:right w:val="nil"/>
            </w:tcBorders>
            <w:shd w:val="clear" w:color="000000" w:fill="D6E7F0"/>
            <w:noWrap/>
            <w:vAlign w:val="bottom"/>
            <w:hideMark/>
          </w:tcPr>
          <w:p w14:paraId="3B2AF36A"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6,547</w:t>
            </w:r>
          </w:p>
        </w:tc>
      </w:tr>
      <w:tr w:rsidR="00295AE4" w:rsidRPr="00442A3B" w14:paraId="520D72B9" w14:textId="77777777" w:rsidTr="003D12D7">
        <w:trPr>
          <w:trHeight w:val="315"/>
        </w:trPr>
        <w:tc>
          <w:tcPr>
            <w:tcW w:w="3103" w:type="dxa"/>
            <w:tcBorders>
              <w:top w:val="nil"/>
              <w:left w:val="nil"/>
              <w:bottom w:val="nil"/>
              <w:right w:val="nil"/>
            </w:tcBorders>
            <w:shd w:val="clear" w:color="auto" w:fill="auto"/>
            <w:noWrap/>
            <w:vAlign w:val="bottom"/>
            <w:hideMark/>
          </w:tcPr>
          <w:p w14:paraId="30F6AEF8" w14:textId="77777777" w:rsidR="00295AE4" w:rsidRPr="00442A3B" w:rsidRDefault="00295AE4" w:rsidP="00295AE4">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Effect of new HFE arrangements (c)</w:t>
            </w:r>
          </w:p>
        </w:tc>
        <w:tc>
          <w:tcPr>
            <w:tcW w:w="680" w:type="dxa"/>
            <w:tcBorders>
              <w:top w:val="nil"/>
              <w:left w:val="nil"/>
              <w:bottom w:val="nil"/>
              <w:right w:val="nil"/>
            </w:tcBorders>
            <w:shd w:val="clear" w:color="auto" w:fill="auto"/>
            <w:noWrap/>
            <w:vAlign w:val="bottom"/>
            <w:hideMark/>
          </w:tcPr>
          <w:p w14:paraId="02A32D59"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-218</w:t>
            </w:r>
          </w:p>
        </w:tc>
        <w:tc>
          <w:tcPr>
            <w:tcW w:w="680" w:type="dxa"/>
            <w:tcBorders>
              <w:top w:val="nil"/>
              <w:left w:val="nil"/>
              <w:bottom w:val="nil"/>
              <w:right w:val="nil"/>
            </w:tcBorders>
            <w:shd w:val="clear" w:color="auto" w:fill="auto"/>
            <w:noWrap/>
            <w:vAlign w:val="bottom"/>
            <w:hideMark/>
          </w:tcPr>
          <w:p w14:paraId="490F6D39"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-179</w:t>
            </w:r>
          </w:p>
        </w:tc>
        <w:tc>
          <w:tcPr>
            <w:tcW w:w="680" w:type="dxa"/>
            <w:tcBorders>
              <w:top w:val="nil"/>
              <w:left w:val="nil"/>
              <w:bottom w:val="nil"/>
              <w:right w:val="nil"/>
            </w:tcBorders>
            <w:shd w:val="clear" w:color="auto" w:fill="auto"/>
            <w:noWrap/>
            <w:vAlign w:val="bottom"/>
            <w:hideMark/>
          </w:tcPr>
          <w:p w14:paraId="6FDDFEE5"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-142</w:t>
            </w:r>
          </w:p>
        </w:tc>
        <w:tc>
          <w:tcPr>
            <w:tcW w:w="680" w:type="dxa"/>
            <w:tcBorders>
              <w:top w:val="nil"/>
              <w:left w:val="nil"/>
              <w:bottom w:val="nil"/>
              <w:right w:val="nil"/>
            </w:tcBorders>
            <w:shd w:val="clear" w:color="auto" w:fill="auto"/>
            <w:noWrap/>
            <w:vAlign w:val="bottom"/>
            <w:hideMark/>
          </w:tcPr>
          <w:p w14:paraId="32888A35"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629</w:t>
            </w:r>
          </w:p>
        </w:tc>
        <w:tc>
          <w:tcPr>
            <w:tcW w:w="660" w:type="dxa"/>
            <w:tcBorders>
              <w:top w:val="nil"/>
              <w:left w:val="nil"/>
              <w:bottom w:val="nil"/>
              <w:right w:val="nil"/>
            </w:tcBorders>
            <w:shd w:val="clear" w:color="auto" w:fill="auto"/>
            <w:noWrap/>
            <w:vAlign w:val="bottom"/>
            <w:hideMark/>
          </w:tcPr>
          <w:p w14:paraId="3B2AE633"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-51</w:t>
            </w:r>
          </w:p>
        </w:tc>
        <w:tc>
          <w:tcPr>
            <w:tcW w:w="660" w:type="dxa"/>
            <w:tcBorders>
              <w:top w:val="nil"/>
              <w:left w:val="nil"/>
              <w:bottom w:val="nil"/>
              <w:right w:val="nil"/>
            </w:tcBorders>
            <w:shd w:val="clear" w:color="auto" w:fill="auto"/>
            <w:noWrap/>
            <w:vAlign w:val="bottom"/>
            <w:hideMark/>
          </w:tcPr>
          <w:p w14:paraId="77CE0F49"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-17</w:t>
            </w:r>
          </w:p>
        </w:tc>
        <w:tc>
          <w:tcPr>
            <w:tcW w:w="580" w:type="dxa"/>
            <w:tcBorders>
              <w:top w:val="nil"/>
              <w:left w:val="nil"/>
              <w:bottom w:val="nil"/>
              <w:right w:val="nil"/>
            </w:tcBorders>
            <w:shd w:val="clear" w:color="auto" w:fill="auto"/>
            <w:noWrap/>
            <w:vAlign w:val="bottom"/>
            <w:hideMark/>
          </w:tcPr>
          <w:p w14:paraId="372D5EC7"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-12</w:t>
            </w:r>
          </w:p>
        </w:tc>
        <w:tc>
          <w:tcPr>
            <w:tcW w:w="660" w:type="dxa"/>
            <w:tcBorders>
              <w:top w:val="nil"/>
              <w:left w:val="nil"/>
              <w:bottom w:val="nil"/>
              <w:right w:val="nil"/>
            </w:tcBorders>
            <w:shd w:val="clear" w:color="auto" w:fill="auto"/>
            <w:noWrap/>
            <w:vAlign w:val="bottom"/>
            <w:hideMark/>
          </w:tcPr>
          <w:p w14:paraId="6299CA7D"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-11</w:t>
            </w:r>
          </w:p>
        </w:tc>
        <w:tc>
          <w:tcPr>
            <w:tcW w:w="580" w:type="dxa"/>
            <w:tcBorders>
              <w:top w:val="nil"/>
              <w:left w:val="nil"/>
              <w:bottom w:val="nil"/>
              <w:right w:val="nil"/>
            </w:tcBorders>
            <w:shd w:val="clear" w:color="auto" w:fill="auto"/>
            <w:noWrap/>
            <w:vAlign w:val="bottom"/>
            <w:hideMark/>
          </w:tcPr>
          <w:p w14:paraId="40FA0137" w14:textId="77777777" w:rsidR="00295AE4" w:rsidRPr="00442A3B" w:rsidRDefault="00295AE4" w:rsidP="00295AE4">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629</w:t>
            </w:r>
          </w:p>
        </w:tc>
      </w:tr>
      <w:tr w:rsidR="00295AE4" w:rsidRPr="00442A3B" w14:paraId="4681ABA5" w14:textId="77777777" w:rsidTr="003D12D7">
        <w:trPr>
          <w:trHeight w:val="315"/>
        </w:trPr>
        <w:tc>
          <w:tcPr>
            <w:tcW w:w="3103" w:type="dxa"/>
            <w:tcBorders>
              <w:top w:val="single" w:sz="4" w:space="0" w:color="ADD6EA"/>
              <w:left w:val="nil"/>
              <w:bottom w:val="single" w:sz="4" w:space="0" w:color="ADD6EA"/>
              <w:right w:val="nil"/>
            </w:tcBorders>
            <w:shd w:val="clear" w:color="000000" w:fill="D6E7F0"/>
            <w:noWrap/>
            <w:vAlign w:val="bottom"/>
            <w:hideMark/>
          </w:tcPr>
          <w:p w14:paraId="68F6F194" w14:textId="77777777" w:rsidR="00295AE4" w:rsidRPr="00442A3B" w:rsidRDefault="00295AE4" w:rsidP="00295AE4">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TOTAL</w:t>
            </w:r>
          </w:p>
        </w:tc>
        <w:tc>
          <w:tcPr>
            <w:tcW w:w="680" w:type="dxa"/>
            <w:tcBorders>
              <w:top w:val="single" w:sz="4" w:space="0" w:color="ADD6EA"/>
              <w:left w:val="nil"/>
              <w:bottom w:val="single" w:sz="4" w:space="0" w:color="ADD6EA"/>
              <w:right w:val="nil"/>
            </w:tcBorders>
            <w:shd w:val="clear" w:color="000000" w:fill="D6E7F0"/>
            <w:noWrap/>
            <w:vAlign w:val="bottom"/>
            <w:hideMark/>
          </w:tcPr>
          <w:p w14:paraId="649EBAD1"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-933</w:t>
            </w:r>
          </w:p>
        </w:tc>
        <w:tc>
          <w:tcPr>
            <w:tcW w:w="680" w:type="dxa"/>
            <w:tcBorders>
              <w:top w:val="single" w:sz="4" w:space="0" w:color="ADD6EA"/>
              <w:left w:val="nil"/>
              <w:bottom w:val="single" w:sz="4" w:space="0" w:color="ADD6EA"/>
              <w:right w:val="nil"/>
            </w:tcBorders>
            <w:shd w:val="clear" w:color="000000" w:fill="D6E7F0"/>
            <w:noWrap/>
            <w:vAlign w:val="bottom"/>
            <w:hideMark/>
          </w:tcPr>
          <w:p w14:paraId="3871CE06"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-1,346</w:t>
            </w:r>
          </w:p>
        </w:tc>
        <w:tc>
          <w:tcPr>
            <w:tcW w:w="680" w:type="dxa"/>
            <w:tcBorders>
              <w:top w:val="single" w:sz="4" w:space="0" w:color="ADD6EA"/>
              <w:left w:val="nil"/>
              <w:bottom w:val="single" w:sz="4" w:space="0" w:color="ADD6EA"/>
              <w:right w:val="nil"/>
            </w:tcBorders>
            <w:shd w:val="clear" w:color="000000" w:fill="D6E7F0"/>
            <w:noWrap/>
            <w:vAlign w:val="bottom"/>
            <w:hideMark/>
          </w:tcPr>
          <w:p w14:paraId="00F99DD1"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805</w:t>
            </w:r>
          </w:p>
        </w:tc>
        <w:tc>
          <w:tcPr>
            <w:tcW w:w="680" w:type="dxa"/>
            <w:tcBorders>
              <w:top w:val="single" w:sz="4" w:space="0" w:color="ADD6EA"/>
              <w:left w:val="nil"/>
              <w:bottom w:val="single" w:sz="4" w:space="0" w:color="ADD6EA"/>
              <w:right w:val="nil"/>
            </w:tcBorders>
            <w:shd w:val="clear" w:color="000000" w:fill="D6E7F0"/>
            <w:noWrap/>
            <w:vAlign w:val="bottom"/>
            <w:hideMark/>
          </w:tcPr>
          <w:p w14:paraId="0328020B"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-4,035</w:t>
            </w:r>
          </w:p>
        </w:tc>
        <w:tc>
          <w:tcPr>
            <w:tcW w:w="660" w:type="dxa"/>
            <w:tcBorders>
              <w:top w:val="single" w:sz="4" w:space="0" w:color="ADD6EA"/>
              <w:left w:val="nil"/>
              <w:bottom w:val="single" w:sz="4" w:space="0" w:color="ADD6EA"/>
              <w:right w:val="nil"/>
            </w:tcBorders>
            <w:shd w:val="clear" w:color="000000" w:fill="D6E7F0"/>
            <w:noWrap/>
            <w:vAlign w:val="bottom"/>
            <w:hideMark/>
          </w:tcPr>
          <w:p w14:paraId="30E30C6E"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1,600</w:t>
            </w:r>
          </w:p>
        </w:tc>
        <w:tc>
          <w:tcPr>
            <w:tcW w:w="660" w:type="dxa"/>
            <w:tcBorders>
              <w:top w:val="single" w:sz="4" w:space="0" w:color="ADD6EA"/>
              <w:left w:val="nil"/>
              <w:bottom w:val="single" w:sz="4" w:space="0" w:color="ADD6EA"/>
              <w:right w:val="nil"/>
            </w:tcBorders>
            <w:shd w:val="clear" w:color="000000" w:fill="D6E7F0"/>
            <w:noWrap/>
            <w:vAlign w:val="bottom"/>
            <w:hideMark/>
          </w:tcPr>
          <w:p w14:paraId="1160B24A"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1,363</w:t>
            </w:r>
          </w:p>
        </w:tc>
        <w:tc>
          <w:tcPr>
            <w:tcW w:w="580" w:type="dxa"/>
            <w:tcBorders>
              <w:top w:val="single" w:sz="4" w:space="0" w:color="ADD6EA"/>
              <w:left w:val="nil"/>
              <w:bottom w:val="single" w:sz="4" w:space="0" w:color="ADD6EA"/>
              <w:right w:val="nil"/>
            </w:tcBorders>
            <w:shd w:val="clear" w:color="000000" w:fill="D6E7F0"/>
            <w:noWrap/>
            <w:vAlign w:val="bottom"/>
            <w:hideMark/>
          </w:tcPr>
          <w:p w14:paraId="45A46F4D"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183</w:t>
            </w:r>
          </w:p>
        </w:tc>
        <w:tc>
          <w:tcPr>
            <w:tcW w:w="660" w:type="dxa"/>
            <w:tcBorders>
              <w:top w:val="single" w:sz="4" w:space="0" w:color="ADD6EA"/>
              <w:left w:val="nil"/>
              <w:bottom w:val="single" w:sz="4" w:space="0" w:color="ADD6EA"/>
              <w:right w:val="nil"/>
            </w:tcBorders>
            <w:shd w:val="clear" w:color="000000" w:fill="D6E7F0"/>
            <w:noWrap/>
            <w:vAlign w:val="bottom"/>
            <w:hideMark/>
          </w:tcPr>
          <w:p w14:paraId="504EB7D3"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2,363</w:t>
            </w:r>
          </w:p>
        </w:tc>
        <w:tc>
          <w:tcPr>
            <w:tcW w:w="580" w:type="dxa"/>
            <w:tcBorders>
              <w:top w:val="single" w:sz="4" w:space="0" w:color="ADD6EA"/>
              <w:left w:val="nil"/>
              <w:bottom w:val="single" w:sz="4" w:space="0" w:color="ADD6EA"/>
              <w:right w:val="nil"/>
            </w:tcBorders>
            <w:shd w:val="clear" w:color="000000" w:fill="D6E7F0"/>
            <w:noWrap/>
            <w:vAlign w:val="bottom"/>
            <w:hideMark/>
          </w:tcPr>
          <w:p w14:paraId="76EEE986" w14:textId="77777777" w:rsidR="00295AE4" w:rsidRPr="00442A3B" w:rsidRDefault="00295AE4" w:rsidP="00295AE4">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6,314</w:t>
            </w:r>
          </w:p>
        </w:tc>
      </w:tr>
    </w:tbl>
    <w:p w14:paraId="6CF1C6DB" w14:textId="1600F12A" w:rsidR="00BA7CC1" w:rsidRPr="00442A3B" w:rsidRDefault="00BA7CC1" w:rsidP="000E14A6">
      <w:pPr>
        <w:pStyle w:val="CGCTablenote"/>
        <w:keepNext/>
        <w:keepLines/>
      </w:pPr>
      <w:r w:rsidRPr="00442A3B">
        <w:t xml:space="preserve">Note: </w:t>
      </w:r>
      <w:r w:rsidRPr="00442A3B">
        <w:tab/>
        <w:t xml:space="preserve">For further explanation of what each effect includes see </w:t>
      </w:r>
      <w:r w:rsidR="00506CE4" w:rsidRPr="00442A3B">
        <w:t>the supporting information on the Commission’s website</w:t>
      </w:r>
      <w:r w:rsidRPr="00442A3B">
        <w:t>.</w:t>
      </w:r>
    </w:p>
    <w:p w14:paraId="70D190D7" w14:textId="13AD4A56" w:rsidR="000E14A6" w:rsidRPr="00442A3B" w:rsidRDefault="00BA7CC1" w:rsidP="000E14A6">
      <w:pPr>
        <w:pStyle w:val="CGCTablenote"/>
        <w:keepNext/>
        <w:keepLines/>
      </w:pPr>
      <w:r w:rsidRPr="00442A3B">
        <w:t>(a)</w:t>
      </w:r>
      <w:r w:rsidRPr="00442A3B">
        <w:tab/>
        <w:t xml:space="preserve">Other </w:t>
      </w:r>
      <w:r w:rsidR="00812795" w:rsidRPr="00442A3B">
        <w:t>socio</w:t>
      </w:r>
      <w:r w:rsidR="002D5509" w:rsidRPr="00442A3B">
        <w:t>demographic composition (</w:t>
      </w:r>
      <w:r w:rsidRPr="00442A3B">
        <w:t>SDC</w:t>
      </w:r>
      <w:r w:rsidR="002D5509" w:rsidRPr="00442A3B">
        <w:t>)</w:t>
      </w:r>
      <w:r w:rsidRPr="00442A3B">
        <w:t xml:space="preserve"> includes the effects of age, Indigenous disadvantage, household size, State contributions to the NDIS and the full effect of</w:t>
      </w:r>
      <w:r w:rsidR="00EB1A5D" w:rsidRPr="00442A3B">
        <w:t xml:space="preserve"> SDC</w:t>
      </w:r>
      <w:r w:rsidRPr="00442A3B">
        <w:t xml:space="preserve"> in Commonwealth funding for government schools.</w:t>
      </w:r>
    </w:p>
    <w:p w14:paraId="417C202C" w14:textId="260389FE" w:rsidR="00DB3D8F" w:rsidRPr="00442A3B" w:rsidRDefault="006040E7" w:rsidP="000E14A6">
      <w:pPr>
        <w:pStyle w:val="CGCTablenote"/>
        <w:keepNext/>
        <w:keepLines/>
        <w:rPr>
          <w:lang w:eastAsia="en-AU"/>
        </w:rPr>
      </w:pPr>
      <w:r w:rsidRPr="00442A3B">
        <w:rPr>
          <w:lang w:eastAsia="en-AU"/>
        </w:rPr>
        <w:t>(b)</w:t>
      </w:r>
      <w:r w:rsidRPr="00442A3B">
        <w:rPr>
          <w:lang w:eastAsia="en-AU"/>
        </w:rPr>
        <w:tab/>
      </w:r>
      <w:r w:rsidR="00DB3D8F" w:rsidRPr="00442A3B">
        <w:rPr>
          <w:lang w:eastAsia="en-AU"/>
        </w:rPr>
        <w:t>Student populations include both the size of the school student population and the government/non-government mix of students in each State.</w:t>
      </w:r>
    </w:p>
    <w:p w14:paraId="09398037" w14:textId="0F4573BB" w:rsidR="004820C3" w:rsidRPr="00442A3B" w:rsidRDefault="00BA7CC1" w:rsidP="000E14A6">
      <w:pPr>
        <w:pStyle w:val="CGCTablenote"/>
        <w:keepNext/>
        <w:keepLines/>
      </w:pPr>
      <w:r w:rsidRPr="00442A3B">
        <w:t>(</w:t>
      </w:r>
      <w:r w:rsidR="009B6BFA" w:rsidRPr="00442A3B">
        <w:t>c</w:t>
      </w:r>
      <w:r w:rsidRPr="00442A3B">
        <w:t>)</w:t>
      </w:r>
      <w:r w:rsidRPr="00442A3B">
        <w:tab/>
        <w:t>Includes the effect of net borrowing.</w:t>
      </w:r>
    </w:p>
    <w:p w14:paraId="7DF86397" w14:textId="1F7EF70F" w:rsidR="00BA7CC1" w:rsidRPr="00442A3B" w:rsidRDefault="00BA7CC1" w:rsidP="000E14A6">
      <w:pPr>
        <w:pStyle w:val="CGCTablenote"/>
        <w:keepNext/>
        <w:keepLines/>
      </w:pPr>
      <w:r w:rsidRPr="00442A3B">
        <w:t>Source:</w:t>
      </w:r>
      <w:r w:rsidRPr="00442A3B">
        <w:tab/>
        <w:t>Commission calculation.</w:t>
      </w:r>
    </w:p>
    <w:p w14:paraId="64D8C3A7" w14:textId="099429D9" w:rsidR="00E27FEA" w:rsidRPr="00442A3B" w:rsidRDefault="00E27FEA" w:rsidP="00E27FEA"/>
    <w:p w14:paraId="141632D1" w14:textId="5A80EF9C" w:rsidR="004C2B91" w:rsidRDefault="004C2B91" w:rsidP="00E27FEA"/>
    <w:p w14:paraId="1F7521F8" w14:textId="77777777" w:rsidR="00482D07" w:rsidRPr="00482D07" w:rsidRDefault="00482D07" w:rsidP="00E27FEA">
      <w:pPr>
        <w:rPr>
          <w:sz w:val="12"/>
          <w:szCs w:val="14"/>
        </w:rPr>
      </w:pPr>
    </w:p>
    <w:tbl>
      <w:tblPr>
        <w:tblStyle w:val="TableGrid"/>
        <w:tblW w:w="0" w:type="auto"/>
        <w:tblLook w:val="04A0" w:firstRow="1" w:lastRow="0" w:firstColumn="1" w:lastColumn="0" w:noHBand="0" w:noVBand="1"/>
      </w:tblPr>
      <w:tblGrid>
        <w:gridCol w:w="9167"/>
      </w:tblGrid>
      <w:tr w:rsidR="00FD0A02" w:rsidRPr="00442A3B" w14:paraId="7BD84D3D" w14:textId="77777777" w:rsidTr="5FEFFBDB">
        <w:tc>
          <w:tcPr>
            <w:tcW w:w="9167" w:type="dxa"/>
            <w:tcBorders>
              <w:top w:val="nil"/>
              <w:left w:val="nil"/>
              <w:bottom w:val="nil"/>
              <w:right w:val="nil"/>
            </w:tcBorders>
            <w:shd w:val="clear" w:color="auto" w:fill="EBF3F5"/>
          </w:tcPr>
          <w:p w14:paraId="0539B64D" w14:textId="02614EEA" w:rsidR="00FD0A02" w:rsidRPr="00442A3B" w:rsidRDefault="00D36351" w:rsidP="00482D07">
            <w:pPr>
              <w:pStyle w:val="Heading4"/>
              <w:keepNext w:val="0"/>
              <w:outlineLvl w:val="3"/>
            </w:pPr>
            <w:bookmarkStart w:id="131" w:name="_Toc65050531"/>
            <w:r w:rsidRPr="00442A3B">
              <w:t>New South Wales’</w:t>
            </w:r>
            <w:r w:rsidR="000E6E83" w:rsidRPr="00442A3B">
              <w:t xml:space="preserve"> </w:t>
            </w:r>
            <w:r w:rsidR="00385010" w:rsidRPr="00442A3B">
              <w:t>GST requirement is higher than Victoria’s</w:t>
            </w:r>
            <w:bookmarkEnd w:id="131"/>
          </w:p>
          <w:p w14:paraId="242A431F" w14:textId="773AD37D" w:rsidR="00FD0A02" w:rsidRPr="00442A3B" w:rsidRDefault="00BB4C6C" w:rsidP="00482D07">
            <w:pPr>
              <w:widowControl w:val="0"/>
              <w:rPr>
                <w:color w:val="000000"/>
              </w:rPr>
            </w:pPr>
            <w:r w:rsidRPr="00442A3B">
              <w:rPr>
                <w:color w:val="000000" w:themeColor="text1"/>
              </w:rPr>
              <w:t xml:space="preserve">In this </w:t>
            </w:r>
            <w:r w:rsidR="0050094F" w:rsidRPr="00442A3B">
              <w:rPr>
                <w:color w:val="000000" w:themeColor="text1"/>
              </w:rPr>
              <w:t>update</w:t>
            </w:r>
            <w:r w:rsidRPr="00442A3B">
              <w:rPr>
                <w:color w:val="000000" w:themeColor="text1"/>
              </w:rPr>
              <w:t xml:space="preserve">, </w:t>
            </w:r>
            <w:r w:rsidR="00D36351" w:rsidRPr="00442A3B">
              <w:rPr>
                <w:color w:val="000000" w:themeColor="text1"/>
              </w:rPr>
              <w:t>New South Wales’</w:t>
            </w:r>
            <w:r w:rsidRPr="00442A3B">
              <w:rPr>
                <w:color w:val="000000" w:themeColor="text1"/>
              </w:rPr>
              <w:t xml:space="preserve"> GST </w:t>
            </w:r>
            <w:r w:rsidR="00C61D62" w:rsidRPr="00442A3B">
              <w:rPr>
                <w:color w:val="000000" w:themeColor="text1"/>
              </w:rPr>
              <w:t xml:space="preserve">pool </w:t>
            </w:r>
            <w:r w:rsidRPr="00442A3B">
              <w:rPr>
                <w:color w:val="000000" w:themeColor="text1"/>
              </w:rPr>
              <w:t xml:space="preserve">requirement </w:t>
            </w:r>
            <w:r w:rsidR="001E724D" w:rsidRPr="00442A3B">
              <w:rPr>
                <w:color w:val="000000" w:themeColor="text1"/>
              </w:rPr>
              <w:t>per capita</w:t>
            </w:r>
            <w:r w:rsidRPr="00442A3B">
              <w:rPr>
                <w:color w:val="000000" w:themeColor="text1"/>
              </w:rPr>
              <w:t xml:space="preserve"> </w:t>
            </w:r>
            <w:r w:rsidR="007B5EC5" w:rsidRPr="00442A3B">
              <w:rPr>
                <w:color w:val="000000" w:themeColor="text1"/>
              </w:rPr>
              <w:t>was</w:t>
            </w:r>
            <w:r w:rsidRPr="00442A3B">
              <w:rPr>
                <w:color w:val="000000" w:themeColor="text1"/>
              </w:rPr>
              <w:t xml:space="preserve"> higher than Victoria’s for the first time in </w:t>
            </w:r>
            <w:r w:rsidR="005E563D" w:rsidRPr="00442A3B">
              <w:rPr>
                <w:color w:val="000000" w:themeColor="text1"/>
              </w:rPr>
              <w:t>6</w:t>
            </w:r>
            <w:r w:rsidRPr="00442A3B">
              <w:rPr>
                <w:color w:val="000000" w:themeColor="text1"/>
              </w:rPr>
              <w:t xml:space="preserve"> years and for the t</w:t>
            </w:r>
            <w:r w:rsidR="0093482D" w:rsidRPr="00442A3B">
              <w:rPr>
                <w:color w:val="000000" w:themeColor="text1"/>
              </w:rPr>
              <w:t>welfth</w:t>
            </w:r>
            <w:r w:rsidRPr="00442A3B">
              <w:rPr>
                <w:color w:val="000000" w:themeColor="text1"/>
              </w:rPr>
              <w:t xml:space="preserve"> time (out of 22) since the introduction of the GST in 2000</w:t>
            </w:r>
            <w:r w:rsidR="00863D56" w:rsidRPr="00442A3B">
              <w:rPr>
                <w:color w:val="000000" w:themeColor="text1"/>
              </w:rPr>
              <w:noBreakHyphen/>
            </w:r>
            <w:r w:rsidRPr="00442A3B">
              <w:rPr>
                <w:color w:val="000000" w:themeColor="text1"/>
              </w:rPr>
              <w:t>01</w:t>
            </w:r>
            <w:r w:rsidR="008C7562" w:rsidRPr="00442A3B">
              <w:rPr>
                <w:color w:val="000000" w:themeColor="text1"/>
              </w:rPr>
              <w:t>.</w:t>
            </w:r>
          </w:p>
          <w:p w14:paraId="20E5FB7A" w14:textId="22613E6C" w:rsidR="005575C0" w:rsidRPr="00442A3B" w:rsidRDefault="00D36351" w:rsidP="00482D07">
            <w:pPr>
              <w:widowControl w:val="0"/>
              <w:rPr>
                <w:color w:val="000000"/>
                <w:szCs w:val="20"/>
              </w:rPr>
            </w:pPr>
            <w:r w:rsidRPr="00442A3B">
              <w:rPr>
                <w:color w:val="000000"/>
                <w:szCs w:val="20"/>
              </w:rPr>
              <w:t>New South Wales’</w:t>
            </w:r>
            <w:r w:rsidR="005575C0" w:rsidRPr="00442A3B">
              <w:rPr>
                <w:color w:val="000000"/>
                <w:szCs w:val="20"/>
              </w:rPr>
              <w:t xml:space="preserve"> GST </w:t>
            </w:r>
            <w:r w:rsidR="009F1034" w:rsidRPr="00442A3B">
              <w:rPr>
                <w:color w:val="000000"/>
                <w:szCs w:val="20"/>
              </w:rPr>
              <w:t xml:space="preserve">pool </w:t>
            </w:r>
            <w:r w:rsidR="005575C0" w:rsidRPr="00442A3B">
              <w:rPr>
                <w:color w:val="000000"/>
                <w:szCs w:val="20"/>
              </w:rPr>
              <w:t>requirement increased over the assessment years (2017-18 to 2019</w:t>
            </w:r>
            <w:r w:rsidR="00A81AC5" w:rsidRPr="00442A3B">
              <w:rPr>
                <w:color w:val="000000"/>
                <w:szCs w:val="20"/>
              </w:rPr>
              <w:noBreakHyphen/>
            </w:r>
            <w:r w:rsidR="005575C0" w:rsidRPr="00442A3B">
              <w:rPr>
                <w:color w:val="000000"/>
                <w:szCs w:val="20"/>
              </w:rPr>
              <w:t>20) due to its declining revenue capacity</w:t>
            </w:r>
            <w:r w:rsidR="00DC669C" w:rsidRPr="00442A3B">
              <w:rPr>
                <w:color w:val="000000"/>
                <w:szCs w:val="20"/>
              </w:rPr>
              <w:t xml:space="preserve"> (in relative terms)</w:t>
            </w:r>
            <w:r w:rsidR="005575C0" w:rsidRPr="00442A3B">
              <w:rPr>
                <w:color w:val="000000"/>
                <w:szCs w:val="20"/>
              </w:rPr>
              <w:t xml:space="preserve">. This </w:t>
            </w:r>
            <w:r w:rsidR="007B5EC5" w:rsidRPr="00442A3B">
              <w:rPr>
                <w:color w:val="000000"/>
                <w:szCs w:val="20"/>
              </w:rPr>
              <w:t>was</w:t>
            </w:r>
            <w:r w:rsidR="005575C0" w:rsidRPr="00442A3B">
              <w:rPr>
                <w:color w:val="000000"/>
                <w:szCs w:val="20"/>
              </w:rPr>
              <w:t xml:space="preserve"> driven by the twin effects of its softening property market and the mining boom in Western Australia.</w:t>
            </w:r>
          </w:p>
          <w:p w14:paraId="231D2779" w14:textId="4E23084F" w:rsidR="00BB4C6C" w:rsidRPr="00442A3B" w:rsidRDefault="00FF03C1" w:rsidP="00482D07">
            <w:pPr>
              <w:widowControl w:val="0"/>
              <w:rPr>
                <w:color w:val="000000"/>
              </w:rPr>
            </w:pPr>
            <w:r w:rsidRPr="00442A3B">
              <w:rPr>
                <w:color w:val="000000" w:themeColor="text1"/>
              </w:rPr>
              <w:t xml:space="preserve">Overall, </w:t>
            </w:r>
            <w:r w:rsidR="00013CEE" w:rsidRPr="00442A3B">
              <w:rPr>
                <w:color w:val="000000" w:themeColor="text1"/>
              </w:rPr>
              <w:t>the increase in</w:t>
            </w:r>
            <w:r w:rsidRPr="00442A3B">
              <w:rPr>
                <w:color w:val="000000" w:themeColor="text1"/>
              </w:rPr>
              <w:t xml:space="preserve"> </w:t>
            </w:r>
            <w:r w:rsidR="00D36351" w:rsidRPr="00442A3B">
              <w:rPr>
                <w:color w:val="000000" w:themeColor="text1"/>
              </w:rPr>
              <w:t>New South Wales’</w:t>
            </w:r>
            <w:r w:rsidR="00CC1767" w:rsidRPr="00442A3B">
              <w:rPr>
                <w:color w:val="000000" w:themeColor="text1"/>
              </w:rPr>
              <w:t xml:space="preserve"> GST </w:t>
            </w:r>
            <w:r w:rsidR="009F1034" w:rsidRPr="00442A3B">
              <w:rPr>
                <w:color w:val="000000" w:themeColor="text1"/>
              </w:rPr>
              <w:t xml:space="preserve">pool </w:t>
            </w:r>
            <w:r w:rsidR="00CC1767" w:rsidRPr="00442A3B">
              <w:rPr>
                <w:color w:val="000000" w:themeColor="text1"/>
              </w:rPr>
              <w:t>requirement in 2019</w:t>
            </w:r>
            <w:r w:rsidR="00CB2F7F" w:rsidRPr="00442A3B">
              <w:rPr>
                <w:color w:val="000000" w:themeColor="text1"/>
              </w:rPr>
              <w:noBreakHyphen/>
            </w:r>
            <w:r w:rsidR="00CC1767" w:rsidRPr="00442A3B">
              <w:rPr>
                <w:color w:val="000000" w:themeColor="text1"/>
              </w:rPr>
              <w:t>20</w:t>
            </w:r>
            <w:r w:rsidR="00BD4F61" w:rsidRPr="00442A3B">
              <w:rPr>
                <w:color w:val="000000" w:themeColor="text1"/>
              </w:rPr>
              <w:t xml:space="preserve"> led to it having a</w:t>
            </w:r>
            <w:r w:rsidR="00547CB8" w:rsidRPr="00442A3B">
              <w:rPr>
                <w:color w:val="000000" w:themeColor="text1"/>
              </w:rPr>
              <w:t xml:space="preserve"> relative fiscal capacity in that assessment year </w:t>
            </w:r>
            <w:r w:rsidR="00CC1767" w:rsidRPr="00442A3B">
              <w:rPr>
                <w:color w:val="000000" w:themeColor="text1"/>
              </w:rPr>
              <w:t xml:space="preserve">nearing one, </w:t>
            </w:r>
            <w:r w:rsidR="00687C6B" w:rsidRPr="00442A3B">
              <w:rPr>
                <w:color w:val="000000" w:themeColor="text1"/>
              </w:rPr>
              <w:t xml:space="preserve">a level </w:t>
            </w:r>
            <w:r w:rsidR="00CC1767" w:rsidRPr="00442A3B">
              <w:rPr>
                <w:color w:val="000000" w:themeColor="text1"/>
              </w:rPr>
              <w:t>it last approached in the 2011</w:t>
            </w:r>
            <w:r w:rsidR="00517875" w:rsidRPr="00442A3B">
              <w:rPr>
                <w:color w:val="000000" w:themeColor="text1"/>
              </w:rPr>
              <w:noBreakHyphen/>
            </w:r>
            <w:r w:rsidR="00CC1767" w:rsidRPr="00442A3B">
              <w:rPr>
                <w:color w:val="000000" w:themeColor="text1"/>
              </w:rPr>
              <w:t xml:space="preserve">12 year of the 2014 Update. </w:t>
            </w:r>
            <w:r w:rsidR="002755AA" w:rsidRPr="00442A3B">
              <w:rPr>
                <w:color w:val="000000" w:themeColor="text1"/>
              </w:rPr>
              <w:t>In co</w:t>
            </w:r>
            <w:r w:rsidR="000B27D7" w:rsidRPr="00442A3B">
              <w:rPr>
                <w:color w:val="000000" w:themeColor="text1"/>
              </w:rPr>
              <w:t>ntrast</w:t>
            </w:r>
            <w:r w:rsidR="002755AA" w:rsidRPr="00442A3B">
              <w:rPr>
                <w:color w:val="000000" w:themeColor="text1"/>
              </w:rPr>
              <w:t xml:space="preserve">, </w:t>
            </w:r>
            <w:r w:rsidR="00CC1767" w:rsidRPr="00442A3B">
              <w:rPr>
                <w:color w:val="000000" w:themeColor="text1"/>
              </w:rPr>
              <w:t xml:space="preserve">Victoria’s </w:t>
            </w:r>
            <w:r w:rsidR="002755AA" w:rsidRPr="00442A3B">
              <w:rPr>
                <w:color w:val="000000" w:themeColor="text1"/>
              </w:rPr>
              <w:t>decreased</w:t>
            </w:r>
            <w:r w:rsidR="00CC1767" w:rsidRPr="00442A3B">
              <w:rPr>
                <w:color w:val="000000" w:themeColor="text1"/>
              </w:rPr>
              <w:t xml:space="preserve"> GST </w:t>
            </w:r>
            <w:r w:rsidR="00B85FA3" w:rsidRPr="00442A3B">
              <w:rPr>
                <w:color w:val="000000" w:themeColor="text1"/>
              </w:rPr>
              <w:t>pool</w:t>
            </w:r>
            <w:r w:rsidR="00CC1767" w:rsidRPr="00442A3B">
              <w:rPr>
                <w:color w:val="000000" w:themeColor="text1"/>
              </w:rPr>
              <w:t xml:space="preserve"> requirement for 2019</w:t>
            </w:r>
            <w:r w:rsidR="00517875" w:rsidRPr="00442A3B">
              <w:rPr>
                <w:color w:val="000000" w:themeColor="text1"/>
              </w:rPr>
              <w:noBreakHyphen/>
            </w:r>
            <w:r w:rsidR="00CC1767" w:rsidRPr="00442A3B">
              <w:rPr>
                <w:color w:val="000000" w:themeColor="text1"/>
              </w:rPr>
              <w:t xml:space="preserve">20 </w:t>
            </w:r>
            <w:r w:rsidR="00AF69C4" w:rsidRPr="00442A3B">
              <w:rPr>
                <w:color w:val="000000" w:themeColor="text1"/>
              </w:rPr>
              <w:t>led to it having a relative fiscal capacity in that assessment year</w:t>
            </w:r>
            <w:r w:rsidR="00CC1767" w:rsidRPr="00442A3B">
              <w:rPr>
                <w:color w:val="000000" w:themeColor="text1"/>
              </w:rPr>
              <w:t xml:space="preserve"> below 0.9, a frequent occurrence since the introduction of the GST.</w:t>
            </w:r>
          </w:p>
          <w:p w14:paraId="07168A29" w14:textId="1B75A05C" w:rsidR="002F00A0" w:rsidRPr="00442A3B" w:rsidRDefault="002F00A0" w:rsidP="00482D07">
            <w:pPr>
              <w:widowControl w:val="0"/>
              <w:rPr>
                <w:color w:val="000000"/>
              </w:rPr>
            </w:pPr>
            <w:r w:rsidRPr="00442A3B">
              <w:rPr>
                <w:color w:val="000000" w:themeColor="text1"/>
              </w:rPr>
              <w:t xml:space="preserve">Compared </w:t>
            </w:r>
            <w:r w:rsidR="00B55853" w:rsidRPr="00442A3B">
              <w:rPr>
                <w:color w:val="000000" w:themeColor="text1"/>
              </w:rPr>
              <w:t>to</w:t>
            </w:r>
            <w:r w:rsidRPr="00442A3B">
              <w:rPr>
                <w:color w:val="000000" w:themeColor="text1"/>
              </w:rPr>
              <w:t xml:space="preserve"> New South Wales, Victoria experienced lower growth in its assessed expense requirement and higher growth in its assessed revenue raising capacity and other Commonwealth payments it received. All </w:t>
            </w:r>
            <w:r w:rsidR="005E563D" w:rsidRPr="00442A3B">
              <w:rPr>
                <w:color w:val="000000" w:themeColor="text1"/>
              </w:rPr>
              <w:t>3</w:t>
            </w:r>
            <w:r w:rsidRPr="00442A3B">
              <w:rPr>
                <w:color w:val="000000" w:themeColor="text1"/>
              </w:rPr>
              <w:t xml:space="preserve"> factors combined to reduce </w:t>
            </w:r>
            <w:r w:rsidR="003A1A48" w:rsidRPr="00442A3B">
              <w:rPr>
                <w:color w:val="000000" w:themeColor="text1"/>
              </w:rPr>
              <w:t xml:space="preserve">its </w:t>
            </w:r>
            <w:r w:rsidRPr="00442A3B">
              <w:rPr>
                <w:color w:val="000000" w:themeColor="text1"/>
              </w:rPr>
              <w:t xml:space="preserve">GST </w:t>
            </w:r>
            <w:r w:rsidR="0056143A" w:rsidRPr="00442A3B">
              <w:rPr>
                <w:color w:val="000000" w:themeColor="text1"/>
              </w:rPr>
              <w:t>pool</w:t>
            </w:r>
            <w:r w:rsidRPr="00442A3B">
              <w:rPr>
                <w:color w:val="000000" w:themeColor="text1"/>
              </w:rPr>
              <w:t xml:space="preserve"> requirement below that of New South Wales. The decline in its requirement was accelerated by the fall in GST revenue in </w:t>
            </w:r>
            <w:r w:rsidR="1B23FA1A" w:rsidRPr="00442A3B">
              <w:rPr>
                <w:color w:val="000000" w:themeColor="text1"/>
              </w:rPr>
              <w:t>2019</w:t>
            </w:r>
            <w:r w:rsidR="0095257B" w:rsidRPr="00442A3B">
              <w:rPr>
                <w:color w:val="000000" w:themeColor="text1"/>
              </w:rPr>
              <w:noBreakHyphen/>
            </w:r>
            <w:r w:rsidR="1B23FA1A" w:rsidRPr="00442A3B">
              <w:rPr>
                <w:color w:val="000000" w:themeColor="text1"/>
              </w:rPr>
              <w:t>20</w:t>
            </w:r>
            <w:r w:rsidRPr="00442A3B" w:rsidDel="004037E0">
              <w:rPr>
                <w:color w:val="000000" w:themeColor="text1"/>
              </w:rPr>
              <w:t xml:space="preserve">, </w:t>
            </w:r>
            <w:r w:rsidR="00B9511E" w:rsidRPr="00442A3B">
              <w:rPr>
                <w:color w:val="000000" w:themeColor="text1"/>
              </w:rPr>
              <w:t xml:space="preserve">as explained in paragraphs </w:t>
            </w:r>
            <w:r w:rsidR="00515C15">
              <w:rPr>
                <w:color w:val="000000" w:themeColor="text1"/>
              </w:rPr>
              <w:t>32</w:t>
            </w:r>
            <w:r w:rsidR="00986243">
              <w:rPr>
                <w:color w:val="000000" w:themeColor="text1"/>
              </w:rPr>
              <w:t xml:space="preserve"> </w:t>
            </w:r>
            <w:r w:rsidR="00887AF1" w:rsidRPr="00442A3B">
              <w:rPr>
                <w:color w:val="000000" w:themeColor="text1"/>
              </w:rPr>
              <w:t>to</w:t>
            </w:r>
            <w:r w:rsidR="00515C15">
              <w:rPr>
                <w:color w:val="000000" w:themeColor="text1"/>
              </w:rPr>
              <w:t xml:space="preserve"> 34</w:t>
            </w:r>
            <w:r w:rsidRPr="00442A3B">
              <w:rPr>
                <w:color w:val="000000" w:themeColor="text1"/>
              </w:rPr>
              <w:t xml:space="preserve">. A fall in </w:t>
            </w:r>
            <w:r w:rsidR="006759B0" w:rsidRPr="00442A3B">
              <w:rPr>
                <w:color w:val="000000" w:themeColor="text1"/>
              </w:rPr>
              <w:t xml:space="preserve">the </w:t>
            </w:r>
            <w:r w:rsidRPr="00442A3B">
              <w:rPr>
                <w:color w:val="000000" w:themeColor="text1"/>
              </w:rPr>
              <w:t xml:space="preserve">GST </w:t>
            </w:r>
            <w:r w:rsidR="00497162" w:rsidRPr="00442A3B">
              <w:rPr>
                <w:color w:val="000000" w:themeColor="text1"/>
              </w:rPr>
              <w:t>pool</w:t>
            </w:r>
            <w:r w:rsidRPr="00442A3B">
              <w:rPr>
                <w:color w:val="000000" w:themeColor="text1"/>
              </w:rPr>
              <w:t xml:space="preserve"> moves the GST</w:t>
            </w:r>
            <w:r w:rsidR="5AB91BDB" w:rsidRPr="00442A3B">
              <w:rPr>
                <w:color w:val="000000" w:themeColor="text1"/>
              </w:rPr>
              <w:t xml:space="preserve"> </w:t>
            </w:r>
            <w:r w:rsidR="009A4383" w:rsidRPr="00442A3B">
              <w:rPr>
                <w:color w:val="000000" w:themeColor="text1"/>
              </w:rPr>
              <w:t>pool</w:t>
            </w:r>
            <w:r w:rsidRPr="00442A3B">
              <w:rPr>
                <w:color w:val="000000" w:themeColor="text1"/>
              </w:rPr>
              <w:t xml:space="preserve"> requirements of all States further from one</w:t>
            </w:r>
            <w:r w:rsidR="00DD3977" w:rsidRPr="00442A3B">
              <w:rPr>
                <w:color w:val="000000" w:themeColor="text1"/>
              </w:rPr>
              <w:t xml:space="preserve"> as the equalisation task </w:t>
            </w:r>
            <w:r w:rsidR="00D55F4E" w:rsidRPr="00442A3B">
              <w:rPr>
                <w:color w:val="000000" w:themeColor="text1"/>
              </w:rPr>
              <w:t xml:space="preserve">becomes </w:t>
            </w:r>
            <w:r w:rsidR="00DD3977" w:rsidRPr="00442A3B">
              <w:rPr>
                <w:color w:val="000000" w:themeColor="text1"/>
              </w:rPr>
              <w:t>greater</w:t>
            </w:r>
            <w:r w:rsidRPr="00442A3B">
              <w:rPr>
                <w:color w:val="000000" w:themeColor="text1"/>
              </w:rPr>
              <w:t>.</w:t>
            </w:r>
          </w:p>
          <w:p w14:paraId="7F66CE43" w14:textId="20C2078B" w:rsidR="007813E5" w:rsidRPr="00442A3B" w:rsidRDefault="00B734D2" w:rsidP="00482D07">
            <w:pPr>
              <w:widowControl w:val="0"/>
              <w:rPr>
                <w:color w:val="000000"/>
              </w:rPr>
            </w:pPr>
            <w:r w:rsidRPr="00442A3B">
              <w:rPr>
                <w:color w:val="000000"/>
              </w:rPr>
              <w:fldChar w:fldCharType="begin"/>
            </w:r>
            <w:r w:rsidRPr="00442A3B">
              <w:rPr>
                <w:color w:val="000000"/>
              </w:rPr>
              <w:instrText xml:space="preserve"> REF _Ref62661029 \h </w:instrText>
            </w:r>
            <w:r w:rsidR="00442A3B">
              <w:rPr>
                <w:color w:val="000000"/>
              </w:rPr>
              <w:instrText xml:space="preserve"> \* MERGEFORMAT </w:instrText>
            </w:r>
            <w:r w:rsidRPr="00442A3B">
              <w:rPr>
                <w:color w:val="000000"/>
              </w:rPr>
            </w:r>
            <w:r w:rsidRPr="00442A3B">
              <w:rPr>
                <w:color w:val="000000"/>
              </w:rPr>
              <w:fldChar w:fldCharType="separate"/>
            </w:r>
            <w:r w:rsidR="00FC3D3D" w:rsidRPr="00442A3B">
              <w:t>Figure 2</w:t>
            </w:r>
            <w:r w:rsidR="00FC3D3D" w:rsidRPr="00442A3B">
              <w:noBreakHyphen/>
            </w:r>
            <w:r w:rsidR="00FC3D3D">
              <w:t>5</w:t>
            </w:r>
            <w:r w:rsidRPr="00442A3B">
              <w:rPr>
                <w:color w:val="000000"/>
              </w:rPr>
              <w:fldChar w:fldCharType="end"/>
            </w:r>
            <w:r w:rsidR="002E6E4B" w:rsidRPr="00442A3B">
              <w:rPr>
                <w:color w:val="000000"/>
              </w:rPr>
              <w:t xml:space="preserve"> shows</w:t>
            </w:r>
            <w:r w:rsidR="002E0F8A" w:rsidRPr="00442A3B">
              <w:rPr>
                <w:color w:val="000000"/>
              </w:rPr>
              <w:t xml:space="preserve"> </w:t>
            </w:r>
            <w:r w:rsidR="00BB1FEF" w:rsidRPr="00442A3B">
              <w:rPr>
                <w:color w:val="000000"/>
              </w:rPr>
              <w:t>the relativ</w:t>
            </w:r>
            <w:r w:rsidR="00341C2A" w:rsidRPr="00442A3B">
              <w:rPr>
                <w:color w:val="000000"/>
              </w:rPr>
              <w:t>e fiscal capacities</w:t>
            </w:r>
            <w:r w:rsidR="00BB1FEF" w:rsidRPr="00442A3B">
              <w:rPr>
                <w:color w:val="000000"/>
              </w:rPr>
              <w:t xml:space="preserve"> of New South Wales and Victoria since the GST was introduced.</w:t>
            </w:r>
            <w:r w:rsidR="002E0F8A" w:rsidRPr="00442A3B">
              <w:rPr>
                <w:color w:val="000000"/>
              </w:rPr>
              <w:t xml:space="preserve"> </w:t>
            </w:r>
          </w:p>
          <w:p w14:paraId="074145A0" w14:textId="246DC6F8" w:rsidR="004136FF" w:rsidRPr="00442A3B" w:rsidRDefault="004136FF" w:rsidP="004136FF">
            <w:pPr>
              <w:pStyle w:val="Caption"/>
            </w:pPr>
            <w:bookmarkStart w:id="132" w:name="_Ref62661029"/>
            <w:bookmarkStart w:id="133" w:name="_Toc62487168"/>
            <w:bookmarkStart w:id="134" w:name="_Toc62487324"/>
            <w:r w:rsidRPr="00442A3B">
              <w:t>Figure 2</w:t>
            </w:r>
            <w:r w:rsidRPr="00442A3B">
              <w:noBreakHyphen/>
            </w:r>
            <w:r w:rsidRPr="00442A3B">
              <w:fldChar w:fldCharType="begin"/>
            </w:r>
            <w:r w:rsidRPr="00442A3B">
              <w:instrText>SEQ Figure \* ARABIC</w:instrText>
            </w:r>
            <w:r w:rsidRPr="00442A3B">
              <w:fldChar w:fldCharType="separate"/>
            </w:r>
            <w:r w:rsidR="00FC3D3D">
              <w:rPr>
                <w:noProof/>
              </w:rPr>
              <w:t>5</w:t>
            </w:r>
            <w:r w:rsidRPr="00442A3B">
              <w:fldChar w:fldCharType="end"/>
            </w:r>
            <w:bookmarkEnd w:id="132"/>
            <w:r w:rsidRPr="00442A3B">
              <w:tab/>
            </w:r>
            <w:r w:rsidR="000267DE" w:rsidRPr="00442A3B">
              <w:t>Relativ</w:t>
            </w:r>
            <w:r w:rsidR="006A47F4" w:rsidRPr="00442A3B">
              <w:t>e fiscal capacities</w:t>
            </w:r>
            <w:r w:rsidR="000267DE" w:rsidRPr="00442A3B">
              <w:t xml:space="preserve"> for New South Wales and Victoria</w:t>
            </w:r>
            <w:r w:rsidRPr="00442A3B">
              <w:t>, 20</w:t>
            </w:r>
            <w:r w:rsidR="00063062" w:rsidRPr="00442A3B">
              <w:t>0</w:t>
            </w:r>
            <w:r w:rsidRPr="00442A3B">
              <w:t>0</w:t>
            </w:r>
            <w:r w:rsidRPr="00442A3B">
              <w:noBreakHyphen/>
            </w:r>
            <w:r w:rsidR="00063062" w:rsidRPr="00442A3B">
              <w:t>0</w:t>
            </w:r>
            <w:r w:rsidRPr="00442A3B">
              <w:t>1 to 2021</w:t>
            </w:r>
            <w:r w:rsidRPr="00442A3B">
              <w:noBreakHyphen/>
              <w:t xml:space="preserve">22 </w:t>
            </w:r>
            <w:bookmarkEnd w:id="133"/>
            <w:bookmarkEnd w:id="134"/>
          </w:p>
          <w:p w14:paraId="022CAEF9" w14:textId="4FCF87DB" w:rsidR="004136FF" w:rsidRPr="00442A3B" w:rsidRDefault="00E12F58" w:rsidP="009950AB">
            <w:pPr>
              <w:rPr>
                <w:color w:val="000000"/>
                <w:szCs w:val="20"/>
              </w:rPr>
            </w:pPr>
            <w:r w:rsidRPr="00442A3B">
              <w:rPr>
                <w:noProof/>
                <w:color w:val="000000"/>
                <w:szCs w:val="20"/>
              </w:rPr>
              <w:drawing>
                <wp:inline distT="0" distB="0" distL="0" distR="0" wp14:anchorId="1C6220D6" wp14:editId="728090C5">
                  <wp:extent cx="5663565" cy="3572510"/>
                  <wp:effectExtent l="0" t="0" r="0" b="8890"/>
                  <wp:docPr id="4" name="Picture 4" descr="Line graph showing fiscal capacities of New South Wales and Victoria. Both have increased on average over time. There is some variation, but both always remain between 0.8 a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ne graph showing fiscal capacities of New South Wales and Victoria. Both have increased on average over time. There is some variation, but both always remain between 0.8 and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63565" cy="3572510"/>
                          </a:xfrm>
                          <a:prstGeom prst="rect">
                            <a:avLst/>
                          </a:prstGeom>
                          <a:noFill/>
                        </pic:spPr>
                      </pic:pic>
                    </a:graphicData>
                  </a:graphic>
                </wp:inline>
              </w:drawing>
            </w:r>
          </w:p>
          <w:p w14:paraId="14D15D0C" w14:textId="1C73428C" w:rsidR="00931769" w:rsidRPr="00442A3B" w:rsidRDefault="00931769" w:rsidP="00FA6BCB">
            <w:pPr>
              <w:pStyle w:val="CGCTablenote"/>
              <w:keepNext/>
              <w:keepLines/>
            </w:pPr>
            <w:r w:rsidRPr="00442A3B">
              <w:t>Notes:</w:t>
            </w:r>
            <w:r w:rsidRPr="00442A3B">
              <w:tab/>
              <w:t>The relativ</w:t>
            </w:r>
            <w:r w:rsidR="00DC304D" w:rsidRPr="00442A3B">
              <w:t>e</w:t>
            </w:r>
            <w:r w:rsidRPr="00442A3B">
              <w:t xml:space="preserve"> </w:t>
            </w:r>
            <w:r w:rsidR="00DC304D" w:rsidRPr="00442A3B">
              <w:t>fiscal capacities</w:t>
            </w:r>
            <w:r w:rsidRPr="00442A3B">
              <w:t xml:space="preserve"> </w:t>
            </w:r>
            <w:r w:rsidR="00F5446C" w:rsidRPr="00442A3B">
              <w:t>we</w:t>
            </w:r>
            <w:r w:rsidRPr="00442A3B">
              <w:t>re derived on the basis of a pool comprising GST only.</w:t>
            </w:r>
          </w:p>
          <w:p w14:paraId="3EEB4E01" w14:textId="17BFD04D" w:rsidR="00931769" w:rsidRPr="00442A3B" w:rsidRDefault="00931769" w:rsidP="00FA6BCB">
            <w:pPr>
              <w:pStyle w:val="CGCTablenote"/>
              <w:keepNext/>
              <w:keepLines/>
            </w:pPr>
            <w:r w:rsidRPr="00442A3B">
              <w:tab/>
              <w:t>The relativ</w:t>
            </w:r>
            <w:r w:rsidR="00DC304D" w:rsidRPr="00442A3B">
              <w:t>e</w:t>
            </w:r>
            <w:r w:rsidRPr="00442A3B">
              <w:t xml:space="preserve"> </w:t>
            </w:r>
            <w:r w:rsidR="00DC304D" w:rsidRPr="00442A3B">
              <w:t>fiscal capacities</w:t>
            </w:r>
            <w:r w:rsidRPr="00442A3B">
              <w:t xml:space="preserve"> in </w:t>
            </w:r>
            <w:r w:rsidR="0074727A" w:rsidRPr="00442A3B">
              <w:t xml:space="preserve">2004-05, </w:t>
            </w:r>
            <w:r w:rsidRPr="00442A3B">
              <w:t>2010</w:t>
            </w:r>
            <w:r w:rsidR="00063062" w:rsidRPr="00442A3B">
              <w:t>-</w:t>
            </w:r>
            <w:r w:rsidRPr="00442A3B">
              <w:t>11, 2015</w:t>
            </w:r>
            <w:r w:rsidR="00063062" w:rsidRPr="00442A3B">
              <w:t>-</w:t>
            </w:r>
            <w:r w:rsidRPr="00442A3B">
              <w:t>16 and 2020</w:t>
            </w:r>
            <w:r w:rsidR="00063062" w:rsidRPr="00442A3B">
              <w:t>-</w:t>
            </w:r>
            <w:r w:rsidRPr="00442A3B">
              <w:t>21 included the impacts of methodology reviews.</w:t>
            </w:r>
          </w:p>
          <w:p w14:paraId="3D8D96A0" w14:textId="785BBD21" w:rsidR="00FD0A02" w:rsidRPr="00442A3B" w:rsidRDefault="00931769" w:rsidP="00FA6BCB">
            <w:pPr>
              <w:pStyle w:val="CGCTablenote"/>
              <w:keepNext/>
              <w:keepLines/>
            </w:pPr>
            <w:r w:rsidRPr="00442A3B">
              <w:t>Source:</w:t>
            </w:r>
            <w:r w:rsidRPr="00442A3B">
              <w:tab/>
              <w:t>Commission calculation.</w:t>
            </w:r>
          </w:p>
        </w:tc>
      </w:tr>
    </w:tbl>
    <w:p w14:paraId="7A0DA7DA" w14:textId="72F5F57A" w:rsidR="00747257" w:rsidRPr="00442A3B" w:rsidRDefault="00747257" w:rsidP="00482D07">
      <w:pPr>
        <w:pStyle w:val="Heading3"/>
        <w:keepNext w:val="0"/>
      </w:pPr>
      <w:bookmarkStart w:id="135" w:name="_Toc65050532"/>
      <w:r w:rsidRPr="00442A3B">
        <w:lastRenderedPageBreak/>
        <w:t xml:space="preserve">Size of the </w:t>
      </w:r>
      <w:r w:rsidR="004305BF" w:rsidRPr="00442A3B">
        <w:t xml:space="preserve">fiscal </w:t>
      </w:r>
      <w:r w:rsidRPr="00442A3B">
        <w:t>equalisation task</w:t>
      </w:r>
      <w:bookmarkEnd w:id="135"/>
    </w:p>
    <w:p w14:paraId="047E4734" w14:textId="76E4E769" w:rsidR="00B013A6" w:rsidRPr="00442A3B" w:rsidRDefault="00B013A6" w:rsidP="00B013A6">
      <w:pPr>
        <w:numPr>
          <w:ilvl w:val="0"/>
          <w:numId w:val="2"/>
        </w:numPr>
        <w:ind w:left="567" w:hanging="567"/>
      </w:pPr>
      <w:bookmarkStart w:id="136" w:name="_Ref30513170"/>
      <w:bookmarkStart w:id="137" w:name="_Toc62487169"/>
      <w:bookmarkStart w:id="138" w:name="_Toc62487325"/>
      <w:r w:rsidRPr="00442A3B">
        <w:t>The size of the equalisation task changed from previous years due to the transition to the new arrangements</w:t>
      </w:r>
      <w:r w:rsidR="00710EE9" w:rsidRPr="00442A3B">
        <w:t xml:space="preserve">, </w:t>
      </w:r>
      <w:r w:rsidRPr="00442A3B">
        <w:t xml:space="preserve">commencing in 2021-22. </w:t>
      </w:r>
      <w:r w:rsidR="00E42DDF" w:rsidRPr="00442A3B">
        <w:t>Overall, t</w:t>
      </w:r>
      <w:r w:rsidRPr="00442A3B">
        <w:t xml:space="preserve">he </w:t>
      </w:r>
      <w:r w:rsidR="008C546A" w:rsidRPr="00442A3B">
        <w:t xml:space="preserve">redistribution </w:t>
      </w:r>
      <w:r w:rsidR="00E42DDF" w:rsidRPr="00442A3B">
        <w:t xml:space="preserve">will be </w:t>
      </w:r>
      <w:r w:rsidRPr="00442A3B">
        <w:t>9.4%.</w:t>
      </w:r>
      <w:r w:rsidR="009641E5" w:rsidRPr="00442A3B">
        <w:rPr>
          <w:rStyle w:val="FootnoteReference"/>
        </w:rPr>
        <w:footnoteReference w:id="20"/>
      </w:r>
    </w:p>
    <w:p w14:paraId="7B7E4D56" w14:textId="19E75F3C" w:rsidR="00B013A6" w:rsidRPr="00442A3B" w:rsidRDefault="006F6440" w:rsidP="00B013A6">
      <w:pPr>
        <w:numPr>
          <w:ilvl w:val="0"/>
          <w:numId w:val="2"/>
        </w:numPr>
        <w:ind w:left="567" w:hanging="567"/>
        <w:rPr>
          <w:strike/>
        </w:rPr>
      </w:pPr>
      <w:r w:rsidRPr="00442A3B">
        <w:fldChar w:fldCharType="begin"/>
      </w:r>
      <w:r w:rsidRPr="00442A3B">
        <w:instrText xml:space="preserve"> REF _Ref64277830 \h </w:instrText>
      </w:r>
      <w:r w:rsidR="00EE751D" w:rsidRPr="00442A3B">
        <w:instrText xml:space="preserve"> \* MERGEFORMAT </w:instrText>
      </w:r>
      <w:r w:rsidRPr="00442A3B">
        <w:fldChar w:fldCharType="separate"/>
      </w:r>
      <w:r w:rsidR="00FC3D3D" w:rsidRPr="00442A3B">
        <w:t>Figure 2</w:t>
      </w:r>
      <w:r w:rsidR="00FC3D3D" w:rsidRPr="00442A3B">
        <w:noBreakHyphen/>
      </w:r>
      <w:r w:rsidR="00FC3D3D">
        <w:t>6</w:t>
      </w:r>
      <w:r w:rsidRPr="00442A3B">
        <w:fldChar w:fldCharType="end"/>
      </w:r>
      <w:r w:rsidRPr="00442A3B">
        <w:t xml:space="preserve"> </w:t>
      </w:r>
      <w:r w:rsidR="00B013A6" w:rsidRPr="00442A3B">
        <w:t xml:space="preserve">shows that the proportion of the GST pool redistributed to States with above average GST requirements increased in this update for the first time since 2016-17. In this update, 9.4% of the GST pool will be redistributed to the </w:t>
      </w:r>
      <w:r w:rsidR="005E563D" w:rsidRPr="00442A3B">
        <w:t>4</w:t>
      </w:r>
      <w:r w:rsidR="00B013A6" w:rsidRPr="00442A3B">
        <w:t xml:space="preserve"> less populous States and Queensland to achieve fiscal equalisation, up from 9.2% </w:t>
      </w:r>
      <w:r w:rsidR="00E3470E" w:rsidRPr="00442A3B">
        <w:t>in the previous year</w:t>
      </w:r>
      <w:r w:rsidR="00B013A6" w:rsidRPr="00442A3B">
        <w:t xml:space="preserve">, largely driven by the effects of the large increase in iron ore royalties in Western Australia. </w:t>
      </w:r>
    </w:p>
    <w:p w14:paraId="3769C5F8" w14:textId="250D929C" w:rsidR="00B013A6" w:rsidRPr="00442A3B" w:rsidRDefault="00B013A6" w:rsidP="00B013A6">
      <w:pPr>
        <w:numPr>
          <w:ilvl w:val="0"/>
          <w:numId w:val="2"/>
        </w:numPr>
        <w:ind w:left="567" w:hanging="567"/>
      </w:pPr>
      <w:r w:rsidRPr="00442A3B">
        <w:t xml:space="preserve">In this update, the GST redistribution to the </w:t>
      </w:r>
      <w:r w:rsidR="005E563D" w:rsidRPr="00442A3B">
        <w:t>4</w:t>
      </w:r>
      <w:r w:rsidRPr="00442A3B">
        <w:t xml:space="preserve"> less populous States account</w:t>
      </w:r>
      <w:r w:rsidR="00C578D0" w:rsidRPr="00442A3B">
        <w:t>ed</w:t>
      </w:r>
      <w:r w:rsidRPr="00442A3B">
        <w:t xml:space="preserve"> for 87.2% of the $6.3 billion GST redistribution shown in </w:t>
      </w:r>
      <w:r w:rsidR="008D04C5" w:rsidRPr="00442A3B">
        <w:fldChar w:fldCharType="begin"/>
      </w:r>
      <w:r w:rsidR="008D04C5" w:rsidRPr="00442A3B">
        <w:instrText xml:space="preserve"> REF _Ref64277830 \h </w:instrText>
      </w:r>
      <w:r w:rsidR="00A67E9F" w:rsidRPr="00442A3B">
        <w:instrText xml:space="preserve"> \* MERGEFORMAT </w:instrText>
      </w:r>
      <w:r w:rsidR="008D04C5" w:rsidRPr="00442A3B">
        <w:fldChar w:fldCharType="separate"/>
      </w:r>
      <w:r w:rsidR="00FC3D3D" w:rsidRPr="00442A3B">
        <w:t>Figure 2</w:t>
      </w:r>
      <w:r w:rsidR="00FC3D3D" w:rsidRPr="00442A3B">
        <w:noBreakHyphen/>
      </w:r>
      <w:r w:rsidR="00FC3D3D">
        <w:t>6</w:t>
      </w:r>
      <w:r w:rsidR="008D04C5" w:rsidRPr="00442A3B">
        <w:fldChar w:fldCharType="end"/>
      </w:r>
      <w:r w:rsidR="008D04C5" w:rsidRPr="00442A3B">
        <w:t xml:space="preserve">. </w:t>
      </w:r>
      <w:r w:rsidRPr="00442A3B">
        <w:t xml:space="preserve">These States have 11.6% of Australia’s population and receive 19.8% of the GST pool, which is similar to the long-term average proportion of 20.3%. Redistribution to these States is mostly the result of </w:t>
      </w:r>
      <w:r w:rsidR="008E23BA" w:rsidRPr="00442A3B">
        <w:t xml:space="preserve">their relatively </w:t>
      </w:r>
      <w:r w:rsidRPr="00442A3B">
        <w:t>weaker revenue bases and higher service delivery costs.</w:t>
      </w:r>
    </w:p>
    <w:p w14:paraId="1FD20872" w14:textId="766C49AE" w:rsidR="00747257" w:rsidRPr="00442A3B" w:rsidRDefault="00747257" w:rsidP="00292A3E">
      <w:pPr>
        <w:pStyle w:val="Caption"/>
      </w:pPr>
      <w:bookmarkStart w:id="139" w:name="_Ref64277830"/>
      <w:r w:rsidRPr="00442A3B">
        <w:t xml:space="preserve">Figure </w:t>
      </w:r>
      <w:r w:rsidR="002B1272" w:rsidRPr="00442A3B">
        <w:t>2</w:t>
      </w:r>
      <w:r w:rsidRPr="00442A3B">
        <w:noBreakHyphen/>
      </w:r>
      <w:r w:rsidRPr="00442A3B">
        <w:fldChar w:fldCharType="begin"/>
      </w:r>
      <w:r w:rsidRPr="00442A3B">
        <w:instrText>SEQ Figure \* ARABIC</w:instrText>
      </w:r>
      <w:r w:rsidRPr="00442A3B">
        <w:fldChar w:fldCharType="separate"/>
      </w:r>
      <w:r w:rsidR="00FC3D3D">
        <w:rPr>
          <w:noProof/>
        </w:rPr>
        <w:t>6</w:t>
      </w:r>
      <w:r w:rsidRPr="00442A3B">
        <w:fldChar w:fldCharType="end"/>
      </w:r>
      <w:bookmarkEnd w:id="136"/>
      <w:bookmarkEnd w:id="139"/>
      <w:r w:rsidRPr="00442A3B">
        <w:tab/>
        <w:t xml:space="preserve">Proportion of the GST redistributed to States with </w:t>
      </w:r>
      <w:r w:rsidR="009C0EA3" w:rsidRPr="00442A3B">
        <w:t>above</w:t>
      </w:r>
      <w:r w:rsidRPr="00442A3B">
        <w:t xml:space="preserve"> average </w:t>
      </w:r>
      <w:r w:rsidR="009C0EA3" w:rsidRPr="00442A3B">
        <w:t>GST requirements</w:t>
      </w:r>
      <w:r w:rsidRPr="00442A3B">
        <w:t>, 2000</w:t>
      </w:r>
      <w:r w:rsidRPr="00442A3B">
        <w:noBreakHyphen/>
        <w:t xml:space="preserve">01 to </w:t>
      </w:r>
      <w:r w:rsidR="002B1272" w:rsidRPr="00442A3B">
        <w:t>2021-22</w:t>
      </w:r>
      <w:bookmarkEnd w:id="137"/>
      <w:bookmarkEnd w:id="138"/>
    </w:p>
    <w:p w14:paraId="34E4DF64" w14:textId="25249EEE" w:rsidR="00BA7EE9" w:rsidRPr="00442A3B" w:rsidRDefault="00526B81" w:rsidP="00FE05AD">
      <w:pPr>
        <w:keepNext/>
        <w:keepLines/>
      </w:pPr>
      <w:r w:rsidRPr="00442A3B">
        <w:rPr>
          <w:noProof/>
        </w:rPr>
        <w:drawing>
          <wp:inline distT="0" distB="0" distL="0" distR="0" wp14:anchorId="67B86474" wp14:editId="094546FC">
            <wp:extent cx="5686425" cy="3657600"/>
            <wp:effectExtent l="0" t="0" r="9525" b="0"/>
            <wp:docPr id="44" name="Picture 44" descr="Area chart showing GST redistribution. NT has consistently received the most redistribution, then SA, Tasmania and the ACT. Queensland varies widely, peaking in 2017-18 when it received the m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rea chart showing GST redistribution. NT has consistently received the most redistribution, then SA, Tasmania and the ACT. Queensland varies widely, peaking in 2017-18 when it received the most.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86425" cy="3657600"/>
                    </a:xfrm>
                    <a:prstGeom prst="rect">
                      <a:avLst/>
                    </a:prstGeom>
                    <a:noFill/>
                    <a:ln>
                      <a:noFill/>
                    </a:ln>
                  </pic:spPr>
                </pic:pic>
              </a:graphicData>
            </a:graphic>
          </wp:inline>
        </w:drawing>
      </w:r>
    </w:p>
    <w:p w14:paraId="67B147C5" w14:textId="1F28C6C4" w:rsidR="00747257" w:rsidRPr="00442A3B" w:rsidRDefault="00747257" w:rsidP="001B6078">
      <w:pPr>
        <w:pStyle w:val="CGCTablenote"/>
        <w:keepNext/>
        <w:keepLines/>
      </w:pPr>
      <w:r w:rsidRPr="00442A3B">
        <w:t>Source:</w:t>
      </w:r>
      <w:r w:rsidRPr="00442A3B">
        <w:tab/>
        <w:t>Commission calculation.</w:t>
      </w:r>
    </w:p>
    <w:bookmarkStart w:id="140" w:name="_Ref30513517"/>
    <w:bookmarkStart w:id="141" w:name="_Toc62487170"/>
    <w:bookmarkStart w:id="142" w:name="_Toc62487326"/>
    <w:p w14:paraId="5991C9E3" w14:textId="35CE1868" w:rsidR="00977E14" w:rsidRPr="00442A3B" w:rsidRDefault="00977E14" w:rsidP="00977E14">
      <w:pPr>
        <w:numPr>
          <w:ilvl w:val="0"/>
          <w:numId w:val="2"/>
        </w:numPr>
        <w:ind w:left="567" w:hanging="567"/>
      </w:pPr>
      <w:r w:rsidRPr="00442A3B">
        <w:fldChar w:fldCharType="begin"/>
      </w:r>
      <w:r w:rsidRPr="00442A3B">
        <w:instrText xml:space="preserve"> REF _Ref64277830 \h  \* MERGEFORMAT </w:instrText>
      </w:r>
      <w:r w:rsidRPr="00442A3B">
        <w:fldChar w:fldCharType="separate"/>
      </w:r>
      <w:r w:rsidR="00FC3D3D" w:rsidRPr="00442A3B">
        <w:t>Figure 2</w:t>
      </w:r>
      <w:r w:rsidR="00FC3D3D" w:rsidRPr="00442A3B">
        <w:noBreakHyphen/>
      </w:r>
      <w:r w:rsidR="00FC3D3D">
        <w:t>6</w:t>
      </w:r>
      <w:r w:rsidRPr="00442A3B">
        <w:fldChar w:fldCharType="end"/>
      </w:r>
      <w:r w:rsidRPr="00442A3B">
        <w:t xml:space="preserve"> shows that, since the introduction of the GST, the 4 smaller States have had relatively stable above average GST requirements every year. Queensland has had above average GST requirements in 17 years out of 22 years. Its high GST requirements in the mid</w:t>
      </w:r>
      <w:r w:rsidRPr="00442A3B">
        <w:noBreakHyphen/>
        <w:t>2010s were mainly due to Queensland’s natural disaster relief expenses. Western Australia had above average GST requirements in 2004-05, 2005-06 and 2006-07.</w:t>
      </w:r>
    </w:p>
    <w:p w14:paraId="4DA2C57F" w14:textId="18EA2496" w:rsidR="00400EAC" w:rsidRPr="00442A3B" w:rsidRDefault="008D04C5" w:rsidP="00265847">
      <w:pPr>
        <w:pStyle w:val="CGCParaNumber"/>
        <w:keepNext/>
        <w:keepLines/>
        <w:ind w:left="567" w:hanging="567"/>
      </w:pPr>
      <w:r w:rsidRPr="00442A3B">
        <w:lastRenderedPageBreak/>
        <w:fldChar w:fldCharType="begin"/>
      </w:r>
      <w:r w:rsidRPr="00442A3B">
        <w:instrText xml:space="preserve"> REF _Ref64277808 \h </w:instrText>
      </w:r>
      <w:r w:rsidR="00A67E9F" w:rsidRPr="00442A3B">
        <w:instrText xml:space="preserve"> \* MERGEFORMAT </w:instrText>
      </w:r>
      <w:r w:rsidRPr="00442A3B">
        <w:fldChar w:fldCharType="separate"/>
      </w:r>
      <w:r w:rsidR="00FC3D3D" w:rsidRPr="00442A3B">
        <w:t>Figure 2</w:t>
      </w:r>
      <w:r w:rsidR="00FC3D3D" w:rsidRPr="00442A3B">
        <w:noBreakHyphen/>
      </w:r>
      <w:r w:rsidR="00FC3D3D">
        <w:t>7</w:t>
      </w:r>
      <w:r w:rsidRPr="00442A3B">
        <w:fldChar w:fldCharType="end"/>
      </w:r>
      <w:r w:rsidRPr="00442A3B">
        <w:t xml:space="preserve"> </w:t>
      </w:r>
      <w:r w:rsidR="00400EAC" w:rsidRPr="00442A3B">
        <w:t xml:space="preserve">shows the proportion of GST redistributed from the States with below average GST requirements. Growing iron ore royalties mean that Western Australia has been playing an increasingly prominent role in fiscal equalisation. </w:t>
      </w:r>
      <w:r w:rsidR="00C54B44" w:rsidRPr="00442A3B">
        <w:t>T</w:t>
      </w:r>
      <w:r w:rsidR="00400EAC" w:rsidRPr="00442A3B">
        <w:t xml:space="preserve">he </w:t>
      </w:r>
      <w:r w:rsidR="00947548" w:rsidRPr="00442A3B">
        <w:t xml:space="preserve">respective </w:t>
      </w:r>
      <w:r w:rsidR="003337FB" w:rsidRPr="00442A3B">
        <w:t>redistributions</w:t>
      </w:r>
      <w:r w:rsidR="00FA2B30" w:rsidRPr="00442A3B">
        <w:t xml:space="preserve"> from</w:t>
      </w:r>
      <w:r w:rsidR="00400EAC" w:rsidRPr="00442A3B">
        <w:t xml:space="preserve"> New</w:t>
      </w:r>
      <w:r w:rsidR="00DD5529" w:rsidRPr="00442A3B">
        <w:t> </w:t>
      </w:r>
      <w:r w:rsidR="00400EAC" w:rsidRPr="00442A3B">
        <w:t>South</w:t>
      </w:r>
      <w:r w:rsidR="00DD5529" w:rsidRPr="00442A3B">
        <w:t> </w:t>
      </w:r>
      <w:r w:rsidR="00400EAC" w:rsidRPr="00442A3B">
        <w:t>Wales and Victoria ha</w:t>
      </w:r>
      <w:r w:rsidR="00896E0C" w:rsidRPr="00442A3B">
        <w:t xml:space="preserve">ve varied over time. Taken together, </w:t>
      </w:r>
      <w:r w:rsidR="00DD5529" w:rsidRPr="00442A3B">
        <w:t>their contribution to redistribution</w:t>
      </w:r>
      <w:r w:rsidR="006E5ECC" w:rsidRPr="00442A3B">
        <w:t xml:space="preserve"> </w:t>
      </w:r>
      <w:r w:rsidR="00400EAC" w:rsidRPr="00442A3B">
        <w:t>has decreased considerably since 200</w:t>
      </w:r>
      <w:r w:rsidR="00A97659" w:rsidRPr="00442A3B">
        <w:t>4</w:t>
      </w:r>
      <w:r w:rsidR="00400EAC" w:rsidRPr="00442A3B">
        <w:t>-0</w:t>
      </w:r>
      <w:r w:rsidR="00A97659" w:rsidRPr="00442A3B">
        <w:t>5</w:t>
      </w:r>
      <w:r w:rsidR="00400EAC" w:rsidRPr="00442A3B">
        <w:t xml:space="preserve">. </w:t>
      </w:r>
    </w:p>
    <w:p w14:paraId="0AF9C9A4" w14:textId="46434858" w:rsidR="00747257" w:rsidRPr="00442A3B" w:rsidRDefault="00747257" w:rsidP="00265847">
      <w:pPr>
        <w:pStyle w:val="Caption"/>
      </w:pPr>
      <w:bookmarkStart w:id="143" w:name="_Ref64277808"/>
      <w:r w:rsidRPr="00442A3B">
        <w:t xml:space="preserve">Figure </w:t>
      </w:r>
      <w:r w:rsidR="002B1272" w:rsidRPr="00442A3B">
        <w:t>2</w:t>
      </w:r>
      <w:r w:rsidRPr="00442A3B">
        <w:noBreakHyphen/>
      </w:r>
      <w:r w:rsidRPr="00442A3B">
        <w:fldChar w:fldCharType="begin"/>
      </w:r>
      <w:r w:rsidRPr="00442A3B">
        <w:instrText>SEQ Figure \* ARABIC</w:instrText>
      </w:r>
      <w:r w:rsidRPr="00442A3B">
        <w:fldChar w:fldCharType="separate"/>
      </w:r>
      <w:r w:rsidR="00FC3D3D">
        <w:rPr>
          <w:noProof/>
        </w:rPr>
        <w:t>7</w:t>
      </w:r>
      <w:r w:rsidRPr="00442A3B">
        <w:fldChar w:fldCharType="end"/>
      </w:r>
      <w:bookmarkEnd w:id="140"/>
      <w:bookmarkEnd w:id="143"/>
      <w:r w:rsidRPr="00442A3B">
        <w:tab/>
        <w:t xml:space="preserve">Proportion of the GST redistributed from States with </w:t>
      </w:r>
      <w:r w:rsidR="00A07B87" w:rsidRPr="00442A3B">
        <w:t>below</w:t>
      </w:r>
      <w:r w:rsidRPr="00442A3B">
        <w:t xml:space="preserve"> average </w:t>
      </w:r>
      <w:r w:rsidR="00A07B87" w:rsidRPr="00442A3B">
        <w:t>GST requirements</w:t>
      </w:r>
      <w:r w:rsidRPr="00442A3B">
        <w:t>, 2000</w:t>
      </w:r>
      <w:r w:rsidR="6C8968C5" w:rsidRPr="00442A3B">
        <w:t>-</w:t>
      </w:r>
      <w:r w:rsidRPr="00442A3B">
        <w:t xml:space="preserve">01 to </w:t>
      </w:r>
      <w:r w:rsidR="002B1272" w:rsidRPr="00442A3B">
        <w:t>2021-22</w:t>
      </w:r>
      <w:bookmarkEnd w:id="141"/>
      <w:bookmarkEnd w:id="142"/>
    </w:p>
    <w:p w14:paraId="5B4C7141" w14:textId="098A6FA7" w:rsidR="00D54CCC" w:rsidRPr="00442A3B" w:rsidRDefault="00777F5E" w:rsidP="00D54CCC">
      <w:r w:rsidRPr="00442A3B">
        <w:rPr>
          <w:noProof/>
        </w:rPr>
        <w:drawing>
          <wp:inline distT="0" distB="0" distL="0" distR="0" wp14:anchorId="742C2460" wp14:editId="0A03426A">
            <wp:extent cx="5657850" cy="3571875"/>
            <wp:effectExtent l="0" t="0" r="0" b="9525"/>
            <wp:docPr id="43" name="Picture 43" descr="Area chart showing GST redistribution. On average more GST is redistributed from New South Wales than from Victoria. Those State’s contributions peaked in 2004-5, peak overall redistribution came in 2016-17, predominantly from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rea chart showing GST redistribution. On average more GST is redistributed from New South Wales than from Victoria. Those State’s contributions peaked in 2004-5, peak overall redistribution came in 2016-17, predominantly from W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57850" cy="3571875"/>
                    </a:xfrm>
                    <a:prstGeom prst="rect">
                      <a:avLst/>
                    </a:prstGeom>
                    <a:noFill/>
                    <a:ln>
                      <a:noFill/>
                    </a:ln>
                  </pic:spPr>
                </pic:pic>
              </a:graphicData>
            </a:graphic>
          </wp:inline>
        </w:drawing>
      </w:r>
    </w:p>
    <w:p w14:paraId="5D9AFBDD" w14:textId="57902055" w:rsidR="00034521" w:rsidRPr="00442A3B" w:rsidRDefault="00034521" w:rsidP="00034521">
      <w:pPr>
        <w:pStyle w:val="CGCTablenote"/>
        <w:keepNext/>
        <w:keepLines/>
      </w:pPr>
      <w:r w:rsidRPr="00442A3B">
        <w:t xml:space="preserve">Western Australia </w:t>
      </w:r>
      <w:r w:rsidR="00C1640B" w:rsidRPr="00442A3B">
        <w:t xml:space="preserve">has </w:t>
      </w:r>
      <w:r w:rsidRPr="00442A3B">
        <w:t xml:space="preserve">had </w:t>
      </w:r>
      <w:r w:rsidR="004138FF" w:rsidRPr="00442A3B">
        <w:t xml:space="preserve">below </w:t>
      </w:r>
      <w:r w:rsidR="00C1640B" w:rsidRPr="00442A3B">
        <w:t>average GST requirements in all years, except 2004-05, 2005-06 and 2006-07.</w:t>
      </w:r>
    </w:p>
    <w:p w14:paraId="01E36184" w14:textId="41AB880A" w:rsidR="00747257" w:rsidRPr="00442A3B" w:rsidRDefault="00747257" w:rsidP="00FA6BCB">
      <w:pPr>
        <w:pStyle w:val="CGCTablenote"/>
        <w:keepNext/>
        <w:keepLines/>
      </w:pPr>
      <w:r w:rsidRPr="00442A3B">
        <w:t>Source:</w:t>
      </w:r>
      <w:r w:rsidRPr="00442A3B">
        <w:tab/>
        <w:t>Commission calculation.</w:t>
      </w:r>
    </w:p>
    <w:p w14:paraId="70E04148" w14:textId="4DF6D139" w:rsidR="00747257" w:rsidRPr="00442A3B" w:rsidRDefault="00747257" w:rsidP="000361EA">
      <w:pPr>
        <w:pStyle w:val="CGCParaNumber"/>
        <w:ind w:left="567" w:hanging="567"/>
      </w:pPr>
      <w:r w:rsidRPr="00442A3B">
        <w:t xml:space="preserve">A time series of </w:t>
      </w:r>
      <w:r w:rsidR="008A7C27" w:rsidRPr="00442A3B">
        <w:t xml:space="preserve">GST revenue sharing </w:t>
      </w:r>
      <w:r w:rsidRPr="00442A3B">
        <w:t>relativities since the introduction of the GST in 2000</w:t>
      </w:r>
      <w:r w:rsidR="00AA727E" w:rsidRPr="00442A3B">
        <w:t>-</w:t>
      </w:r>
      <w:r w:rsidRPr="00442A3B">
        <w:t xml:space="preserve">01 is available in the supporting </w:t>
      </w:r>
      <w:r w:rsidR="00340CD0" w:rsidRPr="00442A3B">
        <w:t>data</w:t>
      </w:r>
      <w:r w:rsidRPr="00442A3B">
        <w:t xml:space="preserve"> for this update on the </w:t>
      </w:r>
      <w:hyperlink r:id="rId60">
        <w:r w:rsidRPr="00442A3B">
          <w:rPr>
            <w:rStyle w:val="Hyperlink"/>
          </w:rPr>
          <w:t>Commission's website</w:t>
        </w:r>
      </w:hyperlink>
      <w:r w:rsidRPr="00442A3B">
        <w:t xml:space="preserve"> (https://www.cgc.gov.au). An overview of Commonwealth</w:t>
      </w:r>
      <w:r w:rsidR="0011239F" w:rsidRPr="00442A3B">
        <w:t>-</w:t>
      </w:r>
      <w:r w:rsidRPr="00442A3B">
        <w:t>State financial relations in Australia, including a discussion of horizontal and vertical fiscal imbalances, is also available on the Commission's website.</w:t>
      </w:r>
    </w:p>
    <w:p w14:paraId="31569B11" w14:textId="77777777" w:rsidR="00433539" w:rsidRPr="00442A3B" w:rsidRDefault="00433539" w:rsidP="00433539"/>
    <w:p w14:paraId="72EE00C0" w14:textId="7C67B34D" w:rsidR="00932AC4" w:rsidRPr="00442A3B" w:rsidRDefault="00932AC4" w:rsidP="00750C14">
      <w:pPr>
        <w:sectPr w:rsidR="00932AC4" w:rsidRPr="00442A3B" w:rsidSect="00623DD0">
          <w:headerReference w:type="default" r:id="rId61"/>
          <w:footerReference w:type="default" r:id="rId62"/>
          <w:headerReference w:type="first" r:id="rId63"/>
          <w:footerReference w:type="first" r:id="rId64"/>
          <w:footnotePr>
            <w:numRestart w:val="eachSect"/>
          </w:footnotePr>
          <w:pgSz w:w="11907" w:h="16840" w:code="9"/>
          <w:pgMar w:top="1418" w:right="1474" w:bottom="1418" w:left="1474" w:header="567" w:footer="567" w:gutter="0"/>
          <w:cols w:space="720"/>
          <w:titlePg/>
          <w:docGrid w:linePitch="360"/>
        </w:sectPr>
      </w:pPr>
    </w:p>
    <w:p w14:paraId="2F9FCAF9" w14:textId="5A391E4D" w:rsidR="00165998" w:rsidRPr="00442A3B" w:rsidRDefault="00165998" w:rsidP="00E445EB">
      <w:pPr>
        <w:pStyle w:val="Heading2"/>
        <w:numPr>
          <w:ilvl w:val="0"/>
          <w:numId w:val="31"/>
        </w:numPr>
        <w:ind w:left="570"/>
      </w:pPr>
      <w:bookmarkStart w:id="144" w:name="_Ref62201460"/>
      <w:bookmarkStart w:id="145" w:name="_Ref62201467"/>
      <w:bookmarkStart w:id="146" w:name="_Toc65050533"/>
      <w:r w:rsidRPr="00442A3B">
        <w:lastRenderedPageBreak/>
        <w:t>State by State changes</w:t>
      </w:r>
      <w:bookmarkEnd w:id="144"/>
      <w:bookmarkEnd w:id="145"/>
      <w:bookmarkEnd w:id="146"/>
    </w:p>
    <w:p w14:paraId="313C302E" w14:textId="59B243E9" w:rsidR="00E95729" w:rsidRPr="00442A3B" w:rsidRDefault="00E95729" w:rsidP="00B33810">
      <w:pPr>
        <w:pStyle w:val="NoSpacing"/>
      </w:pPr>
      <w:r w:rsidRPr="00442A3B">
        <w:rPr>
          <w:rStyle w:val="PageNumber"/>
          <w:noProof/>
        </w:rPr>
        <mc:AlternateContent>
          <mc:Choice Requires="wps">
            <w:drawing>
              <wp:anchor distT="0" distB="0" distL="114300" distR="114300" simplePos="0" relativeHeight="251655168" behindDoc="1" locked="0" layoutInCell="1" allowOverlap="1" wp14:anchorId="1B509826" wp14:editId="4F2384FA">
                <wp:simplePos x="0" y="0"/>
                <wp:positionH relativeFrom="column">
                  <wp:posOffset>-14275</wp:posOffset>
                </wp:positionH>
                <wp:positionV relativeFrom="paragraph">
                  <wp:posOffset>161239</wp:posOffset>
                </wp:positionV>
                <wp:extent cx="5723890" cy="3562503"/>
                <wp:effectExtent l="0" t="0" r="0" b="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3890" cy="3562503"/>
                        </a:xfrm>
                        <a:prstGeom prst="rect">
                          <a:avLst/>
                        </a:prstGeom>
                        <a:solidFill>
                          <a:srgbClr val="EBF3F5"/>
                        </a:solidFill>
                        <a:ln w="25400" cap="flat" cmpd="sng" algn="ctr">
                          <a:noFill/>
                          <a:prstDash val="solid"/>
                        </a:ln>
                        <a:effectLst/>
                      </wps:spPr>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E9F2E" id="Rectangle 10" o:spid="_x0000_s1026" alt="&quot;&quot;" style="position:absolute;margin-left:-1.1pt;margin-top:12.7pt;width:450.7pt;height:2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" fillcolor="#ebf3f5" stroked="f" strokeweight="2pt">
                <v:textbox inset="1mm,,1mm"/>
              </v:rect>
            </w:pict>
          </mc:Fallback>
        </mc:AlternateContent>
      </w:r>
    </w:p>
    <w:p w14:paraId="34F75803" w14:textId="4DCD57E8" w:rsidR="005E7737" w:rsidRPr="00442A3B" w:rsidRDefault="005E7737" w:rsidP="005E7737">
      <w:pPr>
        <w:pStyle w:val="Heading3"/>
        <w:spacing w:before="120"/>
      </w:pPr>
      <w:bookmarkStart w:id="147" w:name="_Toc65050534"/>
      <w:r w:rsidRPr="00442A3B">
        <w:t>Key points</w:t>
      </w:r>
      <w:bookmarkEnd w:id="147"/>
    </w:p>
    <w:p w14:paraId="0FF83A71" w14:textId="1F00FF56" w:rsidR="005E7737" w:rsidRPr="00442A3B" w:rsidRDefault="005E7737" w:rsidP="005E7737">
      <w:pPr>
        <w:pStyle w:val="CGCBullet1"/>
      </w:pPr>
      <w:r w:rsidRPr="00442A3B">
        <w:t xml:space="preserve">Since 2010, the GST pool requirements of most States have been broadly steady. The exceptions are Western Australia, whose requirements have been trending down, and the Northern Territory, whose GST pool requirement has varied but </w:t>
      </w:r>
      <w:r w:rsidR="00870603" w:rsidRPr="00442A3B">
        <w:t>whose</w:t>
      </w:r>
      <w:r w:rsidRPr="00442A3B">
        <w:t xml:space="preserve"> relativity has consistently been above 4 (its per capita GST pool requirement is at least quadruple the</w:t>
      </w:r>
      <w:r w:rsidR="00B33810" w:rsidRPr="00442A3B">
        <w:t> </w:t>
      </w:r>
      <w:r w:rsidRPr="00442A3B">
        <w:t>average requirement).</w:t>
      </w:r>
    </w:p>
    <w:p w14:paraId="40E6C23D" w14:textId="77777777" w:rsidR="005E7737" w:rsidRPr="00442A3B" w:rsidRDefault="005E7737" w:rsidP="005E7737">
      <w:pPr>
        <w:pStyle w:val="CGCBullet1"/>
      </w:pPr>
      <w:r w:rsidRPr="00442A3B">
        <w:t>In this update, almost all States were estimated to receive more revenue from the GST pool than in 2020-21. Because of its strong iron ore royalties, Western Australia was estimated to receive slightly less (a reduction of $9 per capita, or $23 million in total).</w:t>
      </w:r>
    </w:p>
    <w:p w14:paraId="6FB6790C" w14:textId="6585AB24" w:rsidR="005E7737" w:rsidRPr="00442A3B" w:rsidRDefault="005E7737" w:rsidP="005E7737">
      <w:pPr>
        <w:pStyle w:val="CGCBullet1"/>
      </w:pPr>
      <w:r w:rsidRPr="00442A3B">
        <w:t>In per capita terms, the Northern Territory</w:t>
      </w:r>
      <w:r w:rsidR="00976615" w:rsidRPr="00442A3B">
        <w:t xml:space="preserve"> </w:t>
      </w:r>
      <w:r w:rsidRPr="00442A3B">
        <w:t>distribution would increase by $626, Tasmania</w:t>
      </w:r>
      <w:r w:rsidR="00A024D9" w:rsidRPr="00442A3B">
        <w:t> </w:t>
      </w:r>
      <w:r w:rsidRPr="00442A3B">
        <w:t>by $464, New South Wales by $232, the ACT by $205, Queensland by $196, South Australia by $170, and Victoria by $51.</w:t>
      </w:r>
    </w:p>
    <w:p w14:paraId="063312BA" w14:textId="22AAB0F8" w:rsidR="005E7737" w:rsidRPr="00442A3B" w:rsidRDefault="005E7737" w:rsidP="005E7737">
      <w:pPr>
        <w:pStyle w:val="CGCBullet1"/>
      </w:pPr>
      <w:r w:rsidRPr="00442A3B">
        <w:t>The total increases in State distribution from the GST pool in 2021-22 would be: New South Wales $1,894 million; Queensland $1,023 million; Victoria $344 million; South</w:t>
      </w:r>
      <w:r w:rsidR="00E95729" w:rsidRPr="00442A3B">
        <w:t> </w:t>
      </w:r>
      <w:r w:rsidRPr="00442A3B">
        <w:t>Australia $301 million; Tasmania $253 million; the Northern Territory $149 million;</w:t>
      </w:r>
      <w:r w:rsidR="00E95729" w:rsidRPr="00442A3B">
        <w:t xml:space="preserve"> </w:t>
      </w:r>
      <w:r w:rsidRPr="00442A3B">
        <w:t>and the ACT $89 million.</w:t>
      </w:r>
    </w:p>
    <w:p w14:paraId="1355C338" w14:textId="77777777" w:rsidR="00E95729" w:rsidRPr="00442A3B" w:rsidRDefault="00E95729" w:rsidP="00B33810">
      <w:pPr>
        <w:pStyle w:val="NoSpacing"/>
      </w:pPr>
    </w:p>
    <w:p w14:paraId="203A8ACD" w14:textId="1A177E62" w:rsidR="00165998" w:rsidRPr="00442A3B" w:rsidRDefault="00165998" w:rsidP="001B5BC5">
      <w:pPr>
        <w:pStyle w:val="CGCParaNumber"/>
        <w:numPr>
          <w:ilvl w:val="0"/>
          <w:numId w:val="11"/>
        </w:numPr>
        <w:ind w:left="567" w:hanging="567"/>
      </w:pPr>
      <w:r w:rsidRPr="00442A3B">
        <w:t xml:space="preserve">This </w:t>
      </w:r>
      <w:r w:rsidR="00B33810" w:rsidRPr="00442A3B">
        <w:t>chapter</w:t>
      </w:r>
      <w:r w:rsidRPr="00442A3B">
        <w:t xml:space="preserve"> sets out the major causes of change in each State’s relativ</w:t>
      </w:r>
      <w:r w:rsidR="008A2AEA" w:rsidRPr="00442A3B">
        <w:t>ity</w:t>
      </w:r>
      <w:r w:rsidRPr="00442A3B">
        <w:t xml:space="preserve"> since the </w:t>
      </w:r>
      <w:r w:rsidR="006C2FD8" w:rsidRPr="00442A3B">
        <w:t>2020 Review</w:t>
      </w:r>
      <w:r w:rsidRPr="00442A3B">
        <w:t xml:space="preserve">. </w:t>
      </w:r>
      <w:r w:rsidR="00FA4889" w:rsidRPr="00442A3B">
        <w:t>C</w:t>
      </w:r>
      <w:r w:rsidRPr="00442A3B">
        <w:t xml:space="preserve">hanges in </w:t>
      </w:r>
      <w:r w:rsidR="00787569" w:rsidRPr="00442A3B">
        <w:t>t</w:t>
      </w:r>
      <w:r w:rsidR="00536418" w:rsidRPr="00442A3B">
        <w:t xml:space="preserve">he Commission’s </w:t>
      </w:r>
      <w:r w:rsidRPr="00442A3B">
        <w:t>assess</w:t>
      </w:r>
      <w:r w:rsidR="00787569" w:rsidRPr="00442A3B">
        <w:t>ment</w:t>
      </w:r>
      <w:r w:rsidRPr="00442A3B">
        <w:t xml:space="preserve"> </w:t>
      </w:r>
      <w:r w:rsidR="00787569" w:rsidRPr="00442A3B">
        <w:t xml:space="preserve">of State relative </w:t>
      </w:r>
      <w:r w:rsidRPr="00442A3B">
        <w:t>fiscal capacities resulted from revisions to some of the data used in the assessments, and changes in States’ economic and demographic circumstances.</w:t>
      </w:r>
    </w:p>
    <w:p w14:paraId="589574F7" w14:textId="77777777" w:rsidR="00B33810" w:rsidRPr="00442A3B" w:rsidRDefault="00B33810" w:rsidP="00B33810">
      <w:pPr>
        <w:pStyle w:val="CGCParaNumber"/>
        <w:ind w:left="567" w:hanging="567"/>
      </w:pPr>
      <w:r w:rsidRPr="00442A3B">
        <w:t xml:space="preserve">The change in GST pool distribution had several drivers. In addition to changes in assessed needs, the State relativities (and hence shares of the GST pool) were affected by: </w:t>
      </w:r>
    </w:p>
    <w:p w14:paraId="78B504A3" w14:textId="77777777" w:rsidR="00B33810" w:rsidRPr="00442A3B" w:rsidRDefault="00B33810" w:rsidP="00B33810">
      <w:pPr>
        <w:pStyle w:val="CGCBullet1"/>
      </w:pPr>
      <w:r w:rsidRPr="00442A3B">
        <w:t>changes in State populations</w:t>
      </w:r>
    </w:p>
    <w:p w14:paraId="537FEA68" w14:textId="330540A1" w:rsidR="00B33810" w:rsidRPr="00442A3B" w:rsidRDefault="00B33810" w:rsidP="00B33810">
      <w:pPr>
        <w:pStyle w:val="CGCBullet1"/>
      </w:pPr>
      <w:r w:rsidRPr="00442A3B">
        <w:t>changes in the size of the GST pool (including top-up payments).</w:t>
      </w:r>
      <w:r w:rsidRPr="00442A3B">
        <w:rPr>
          <w:rStyle w:val="FootnoteReference"/>
        </w:rPr>
        <w:footnoteReference w:id="21"/>
      </w:r>
    </w:p>
    <w:p w14:paraId="00EB93DF" w14:textId="29B5DC70" w:rsidR="00165998" w:rsidRPr="00442A3B" w:rsidRDefault="00165998" w:rsidP="000361EA">
      <w:pPr>
        <w:pStyle w:val="CGCParaNumber"/>
        <w:ind w:left="567" w:hanging="567"/>
      </w:pPr>
      <w:r w:rsidRPr="00442A3B">
        <w:fldChar w:fldCharType="begin"/>
      </w:r>
      <w:r w:rsidRPr="00442A3B">
        <w:instrText xml:space="preserve"> REF _Ref32933683 \h </w:instrText>
      </w:r>
      <w:r w:rsidR="00442A3B">
        <w:instrText xml:space="preserve"> \* MERGEFORMAT </w:instrText>
      </w:r>
      <w:r w:rsidRPr="00442A3B">
        <w:fldChar w:fldCharType="separate"/>
      </w:r>
      <w:r w:rsidR="00FC3D3D" w:rsidRPr="00442A3B">
        <w:t>Figure 3</w:t>
      </w:r>
      <w:r w:rsidR="00FC3D3D" w:rsidRPr="00442A3B">
        <w:noBreakHyphen/>
      </w:r>
      <w:r w:rsidR="00FC3D3D">
        <w:t>1</w:t>
      </w:r>
      <w:r w:rsidRPr="00442A3B">
        <w:fldChar w:fldCharType="end"/>
      </w:r>
      <w:r w:rsidRPr="00442A3B">
        <w:t xml:space="preserve"> shows the changes in States’ relative fiscal capacities since 20</w:t>
      </w:r>
      <w:r w:rsidR="003B2AE4" w:rsidRPr="00442A3B">
        <w:t>10</w:t>
      </w:r>
      <w:r w:rsidRPr="00442A3B">
        <w:noBreakHyphen/>
        <w:t>1</w:t>
      </w:r>
      <w:r w:rsidR="003B2AE4" w:rsidRPr="00442A3B">
        <w:t>1</w:t>
      </w:r>
      <w:r w:rsidRPr="00442A3B">
        <w:t xml:space="preserve">. Chapter </w:t>
      </w:r>
      <w:r w:rsidR="00CC2781" w:rsidRPr="00442A3B">
        <w:t>2</w:t>
      </w:r>
      <w:r w:rsidRPr="00442A3B">
        <w:t xml:space="preserve"> </w:t>
      </w:r>
      <w:r w:rsidR="00912D79" w:rsidRPr="00442A3B">
        <w:t>ex</w:t>
      </w:r>
      <w:r w:rsidR="000A4868" w:rsidRPr="00442A3B">
        <w:t>plains</w:t>
      </w:r>
      <w:r w:rsidRPr="00442A3B">
        <w:t xml:space="preserve"> why States’ relative fiscal capacities differ.</w:t>
      </w:r>
    </w:p>
    <w:p w14:paraId="4AA0B715" w14:textId="77777777" w:rsidR="00B33810" w:rsidRPr="00442A3B" w:rsidRDefault="00B33810" w:rsidP="00B33810">
      <w:pPr>
        <w:pStyle w:val="CGCParaNumber"/>
        <w:numPr>
          <w:ilvl w:val="0"/>
          <w:numId w:val="0"/>
        </w:numPr>
        <w:ind w:left="720" w:hanging="360"/>
      </w:pPr>
    </w:p>
    <w:p w14:paraId="68948ABB" w14:textId="7859BEB1" w:rsidR="00165998" w:rsidRPr="00442A3B" w:rsidRDefault="00165998" w:rsidP="00E3210F">
      <w:pPr>
        <w:pStyle w:val="Caption"/>
      </w:pPr>
      <w:bookmarkStart w:id="148" w:name="_Ref32477959"/>
      <w:bookmarkStart w:id="149" w:name="_Ref32933683"/>
      <w:bookmarkStart w:id="150" w:name="_Toc62487171"/>
      <w:bookmarkStart w:id="151" w:name="_Toc62487327"/>
      <w:r w:rsidRPr="00442A3B">
        <w:lastRenderedPageBreak/>
        <w:t>Figure 3</w:t>
      </w:r>
      <w:r w:rsidRPr="00442A3B">
        <w:noBreakHyphen/>
      </w:r>
      <w:bookmarkEnd w:id="148"/>
      <w:r w:rsidRPr="00442A3B">
        <w:fldChar w:fldCharType="begin"/>
      </w:r>
      <w:r w:rsidRPr="00442A3B">
        <w:instrText xml:space="preserve"> SEQ Figure \* ARABIC \r 1 </w:instrText>
      </w:r>
      <w:r w:rsidRPr="00442A3B">
        <w:fldChar w:fldCharType="separate"/>
      </w:r>
      <w:r w:rsidR="00FC3D3D">
        <w:rPr>
          <w:noProof/>
        </w:rPr>
        <w:t>1</w:t>
      </w:r>
      <w:r w:rsidRPr="00442A3B">
        <w:fldChar w:fldCharType="end"/>
      </w:r>
      <w:bookmarkEnd w:id="149"/>
      <w:r w:rsidRPr="00442A3B">
        <w:tab/>
        <w:t>Relativ</w:t>
      </w:r>
      <w:r w:rsidR="008D6CCC" w:rsidRPr="00442A3B">
        <w:t>e fiscal capacities</w:t>
      </w:r>
      <w:r w:rsidRPr="00442A3B">
        <w:t>, 20</w:t>
      </w:r>
      <w:r w:rsidR="003B2AE4" w:rsidRPr="00442A3B">
        <w:t>10</w:t>
      </w:r>
      <w:r w:rsidR="4B2BABD2" w:rsidRPr="00442A3B">
        <w:t>-</w:t>
      </w:r>
      <w:r w:rsidRPr="00442A3B">
        <w:t>1</w:t>
      </w:r>
      <w:r w:rsidR="003B2AE4" w:rsidRPr="00442A3B">
        <w:t>1</w:t>
      </w:r>
      <w:r w:rsidRPr="00442A3B">
        <w:t xml:space="preserve"> to 202</w:t>
      </w:r>
      <w:r w:rsidR="003B2AE4" w:rsidRPr="00442A3B">
        <w:t>1</w:t>
      </w:r>
      <w:r w:rsidR="776F34E2" w:rsidRPr="00442A3B">
        <w:t>-</w:t>
      </w:r>
      <w:r w:rsidRPr="00442A3B">
        <w:t>2</w:t>
      </w:r>
      <w:r w:rsidR="003B2AE4" w:rsidRPr="00442A3B">
        <w:t>2</w:t>
      </w:r>
      <w:bookmarkEnd w:id="150"/>
      <w:bookmarkEnd w:id="151"/>
    </w:p>
    <w:p w14:paraId="505FF2BE" w14:textId="73BEF8CF" w:rsidR="00165998" w:rsidRPr="00442A3B" w:rsidRDefault="005150DD" w:rsidP="004852F3">
      <w:pPr>
        <w:keepNext/>
        <w:keepLines/>
      </w:pPr>
      <w:r w:rsidRPr="00442A3B">
        <w:rPr>
          <w:noProof/>
        </w:rPr>
        <w:drawing>
          <wp:inline distT="0" distB="0" distL="0" distR="0" wp14:anchorId="005C21E7" wp14:editId="27C887B6">
            <wp:extent cx="5663565" cy="3568700"/>
            <wp:effectExtent l="0" t="0" r="0" b="0"/>
            <wp:docPr id="9" name="Picture 9" descr="Line graph showing relative fiscal capacities. The NT varies between 4 and 6, Tasmania between 1.5 and 2, SA and the ACT between 1 and 1.5, while Queensland has been above 1 since 2013-14. The three fiscally stronger states are consistently bel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e graph showing relative fiscal capacities. The NT varies between 4 and 6, Tasmania between 1.5 and 2, SA and the ACT between 1 and 1.5, while Queensland has been above 1 since 2013-14. The three fiscally stronger states are consistently below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63565" cy="3568700"/>
                    </a:xfrm>
                    <a:prstGeom prst="rect">
                      <a:avLst/>
                    </a:prstGeom>
                    <a:noFill/>
                    <a:ln>
                      <a:noFill/>
                    </a:ln>
                  </pic:spPr>
                </pic:pic>
              </a:graphicData>
            </a:graphic>
          </wp:inline>
        </w:drawing>
      </w:r>
    </w:p>
    <w:p w14:paraId="4982A4D4" w14:textId="4546C00F" w:rsidR="00165998" w:rsidRPr="00442A3B" w:rsidRDefault="00165998" w:rsidP="00FA6BCB">
      <w:pPr>
        <w:pStyle w:val="CGCTablenote"/>
        <w:keepNext/>
        <w:keepLines/>
        <w:rPr>
          <w:szCs w:val="18"/>
        </w:rPr>
      </w:pPr>
      <w:r w:rsidRPr="00442A3B">
        <w:rPr>
          <w:szCs w:val="18"/>
        </w:rPr>
        <w:t>Notes:</w:t>
      </w:r>
      <w:r w:rsidRPr="00442A3B">
        <w:rPr>
          <w:szCs w:val="18"/>
        </w:rPr>
        <w:tab/>
        <w:t xml:space="preserve">The </w:t>
      </w:r>
      <w:r w:rsidR="00F14AE0" w:rsidRPr="00442A3B">
        <w:t>relative fiscal capacities</w:t>
      </w:r>
      <w:r w:rsidRPr="00442A3B">
        <w:rPr>
          <w:szCs w:val="18"/>
        </w:rPr>
        <w:t xml:space="preserve"> </w:t>
      </w:r>
      <w:r w:rsidR="007144FD" w:rsidRPr="00442A3B">
        <w:rPr>
          <w:szCs w:val="18"/>
        </w:rPr>
        <w:t>we</w:t>
      </w:r>
      <w:r w:rsidRPr="00442A3B">
        <w:rPr>
          <w:szCs w:val="18"/>
        </w:rPr>
        <w:t>re derived on the basis of a pool comprising GST only.</w:t>
      </w:r>
    </w:p>
    <w:p w14:paraId="33FA3973" w14:textId="7809A989" w:rsidR="00165998" w:rsidRPr="00442A3B" w:rsidRDefault="00165998" w:rsidP="00FA6BCB">
      <w:pPr>
        <w:pStyle w:val="CGCTablenote"/>
        <w:keepNext/>
        <w:keepLines/>
        <w:rPr>
          <w:szCs w:val="18"/>
        </w:rPr>
      </w:pPr>
      <w:r w:rsidRPr="00442A3B">
        <w:rPr>
          <w:szCs w:val="18"/>
        </w:rPr>
        <w:tab/>
        <w:t xml:space="preserve">The </w:t>
      </w:r>
      <w:r w:rsidR="00F14AE0" w:rsidRPr="00442A3B">
        <w:t xml:space="preserve">relative fiscal capacities </w:t>
      </w:r>
      <w:r w:rsidRPr="00442A3B">
        <w:rPr>
          <w:szCs w:val="18"/>
        </w:rPr>
        <w:t>in 2010</w:t>
      </w:r>
      <w:r w:rsidRPr="00442A3B">
        <w:rPr>
          <w:szCs w:val="18"/>
        </w:rPr>
        <w:noBreakHyphen/>
        <w:t>11, 2015</w:t>
      </w:r>
      <w:r w:rsidRPr="00442A3B">
        <w:rPr>
          <w:szCs w:val="18"/>
        </w:rPr>
        <w:noBreakHyphen/>
        <w:t>16 and 2020</w:t>
      </w:r>
      <w:r w:rsidRPr="00442A3B">
        <w:rPr>
          <w:szCs w:val="18"/>
        </w:rPr>
        <w:noBreakHyphen/>
        <w:t>21 included the impacts of methodology reviews.</w:t>
      </w:r>
    </w:p>
    <w:p w14:paraId="2651CCA5" w14:textId="77777777" w:rsidR="00165998" w:rsidRPr="00442A3B" w:rsidRDefault="00165998" w:rsidP="00FA6BCB">
      <w:pPr>
        <w:pStyle w:val="CGCTablenote"/>
        <w:keepNext/>
        <w:keepLines/>
      </w:pPr>
      <w:r w:rsidRPr="00442A3B">
        <w:rPr>
          <w:szCs w:val="18"/>
        </w:rPr>
        <w:t>Source:</w:t>
      </w:r>
      <w:r w:rsidRPr="00442A3B">
        <w:rPr>
          <w:szCs w:val="18"/>
        </w:rPr>
        <w:tab/>
        <w:t>Commission calculation</w:t>
      </w:r>
      <w:r w:rsidRPr="00442A3B">
        <w:t>.</w:t>
      </w:r>
    </w:p>
    <w:p w14:paraId="7425B885" w14:textId="084B4D11" w:rsidR="000F2759" w:rsidRPr="00442A3B" w:rsidRDefault="00FA5507" w:rsidP="000361EA">
      <w:pPr>
        <w:pStyle w:val="CGCParaNumber"/>
        <w:ind w:left="567" w:hanging="567"/>
      </w:pPr>
      <w:r w:rsidRPr="00442A3B">
        <w:t xml:space="preserve">Starting in this update, there is also </w:t>
      </w:r>
      <w:r w:rsidR="006432D5" w:rsidRPr="00442A3B">
        <w:t xml:space="preserve">the transition from </w:t>
      </w:r>
      <w:r w:rsidR="004D35D4" w:rsidRPr="00442A3B">
        <w:t>rel</w:t>
      </w:r>
      <w:r w:rsidR="00B75475" w:rsidRPr="00442A3B">
        <w:t>a</w:t>
      </w:r>
      <w:r w:rsidR="004D35D4" w:rsidRPr="00442A3B">
        <w:t>tivities based upon relative fiscal capacities to relativit</w:t>
      </w:r>
      <w:r w:rsidR="00B75475" w:rsidRPr="00442A3B">
        <w:t>i</w:t>
      </w:r>
      <w:r w:rsidR="004D35D4" w:rsidRPr="00442A3B">
        <w:t xml:space="preserve">es based upon equalising </w:t>
      </w:r>
      <w:r w:rsidR="005810CE" w:rsidRPr="00442A3B">
        <w:t>S</w:t>
      </w:r>
      <w:r w:rsidR="00B75475" w:rsidRPr="00442A3B">
        <w:t>tate</w:t>
      </w:r>
      <w:r w:rsidR="00B801EF" w:rsidRPr="00442A3B">
        <w:t>s</w:t>
      </w:r>
      <w:r w:rsidR="005810CE" w:rsidRPr="00442A3B">
        <w:t xml:space="preserve"> to the fiscally stronge</w:t>
      </w:r>
      <w:r w:rsidR="00B75475" w:rsidRPr="00442A3B">
        <w:t>r</w:t>
      </w:r>
      <w:r w:rsidR="005810CE" w:rsidRPr="00442A3B">
        <w:t xml:space="preserve"> of New</w:t>
      </w:r>
      <w:r w:rsidR="00B80D7A" w:rsidRPr="00442A3B">
        <w:t> </w:t>
      </w:r>
      <w:r w:rsidR="005810CE" w:rsidRPr="00442A3B">
        <w:t>South</w:t>
      </w:r>
      <w:r w:rsidR="00B80D7A" w:rsidRPr="00442A3B">
        <w:t> </w:t>
      </w:r>
      <w:r w:rsidR="005810CE" w:rsidRPr="00442A3B">
        <w:t>Wales and Victo</w:t>
      </w:r>
      <w:r w:rsidR="00B75475" w:rsidRPr="00442A3B">
        <w:t>ria.</w:t>
      </w:r>
      <w:r w:rsidR="000D65F7" w:rsidRPr="00442A3B">
        <w:t xml:space="preserve"> </w:t>
      </w:r>
    </w:p>
    <w:p w14:paraId="66E039C3" w14:textId="77777777" w:rsidR="00B33810" w:rsidRPr="00442A3B" w:rsidRDefault="00C264A4" w:rsidP="00A3247F">
      <w:pPr>
        <w:pStyle w:val="CGCParaNumber"/>
        <w:ind w:left="567" w:hanging="567"/>
      </w:pPr>
      <w:r w:rsidRPr="00442A3B">
        <w:t xml:space="preserve">Section 5(3) of the amended </w:t>
      </w:r>
      <w:r w:rsidR="00A964BD" w:rsidRPr="00442A3B">
        <w:rPr>
          <w:i/>
        </w:rPr>
        <w:t>Federal Financial Relations Act 2009</w:t>
      </w:r>
      <w:r w:rsidR="00A964BD" w:rsidRPr="00442A3B">
        <w:t xml:space="preserve"> allows for additional</w:t>
      </w:r>
      <w:r w:rsidRPr="00442A3B">
        <w:t xml:space="preserve"> </w:t>
      </w:r>
      <w:r w:rsidR="00A2335A" w:rsidRPr="00442A3B">
        <w:t xml:space="preserve">financial </w:t>
      </w:r>
      <w:r w:rsidR="004B45E7" w:rsidRPr="00442A3B">
        <w:t xml:space="preserve">assistance to be made to </w:t>
      </w:r>
      <w:r w:rsidR="002F362F" w:rsidRPr="00442A3B">
        <w:t xml:space="preserve">a </w:t>
      </w:r>
      <w:r w:rsidR="004B45E7" w:rsidRPr="00442A3B">
        <w:t>State should the</w:t>
      </w:r>
      <w:r w:rsidR="002F362F" w:rsidRPr="00442A3B">
        <w:t xml:space="preserve"> </w:t>
      </w:r>
      <w:r w:rsidR="00281AE9" w:rsidRPr="00442A3B">
        <w:t xml:space="preserve">revenue from the </w:t>
      </w:r>
      <w:r w:rsidR="002F362F" w:rsidRPr="00442A3B">
        <w:t xml:space="preserve">GST </w:t>
      </w:r>
      <w:r w:rsidR="00281AE9" w:rsidRPr="00442A3B">
        <w:t>pool</w:t>
      </w:r>
      <w:r w:rsidR="002F362F" w:rsidRPr="00442A3B">
        <w:t xml:space="preserve"> it receives be less than what it would have received had the</w:t>
      </w:r>
      <w:r w:rsidR="004B45E7" w:rsidRPr="00442A3B">
        <w:t xml:space="preserve"> </w:t>
      </w:r>
      <w:r w:rsidR="000F32BE" w:rsidRPr="00442A3B">
        <w:rPr>
          <w:i/>
        </w:rPr>
        <w:t>Treasury Laws Amendment (Making Sure Ev</w:t>
      </w:r>
      <w:r w:rsidR="00996ED4" w:rsidRPr="00442A3B">
        <w:rPr>
          <w:i/>
        </w:rPr>
        <w:t>e</w:t>
      </w:r>
      <w:r w:rsidR="000F32BE" w:rsidRPr="00442A3B">
        <w:rPr>
          <w:i/>
        </w:rPr>
        <w:t>ry State and Territory Gets Their Fair Share of GST) Act 2018</w:t>
      </w:r>
      <w:r w:rsidR="000F32BE" w:rsidRPr="00442A3B">
        <w:t xml:space="preserve"> not been enacted</w:t>
      </w:r>
      <w:r w:rsidR="00530DE9" w:rsidRPr="00442A3B">
        <w:t xml:space="preserve"> (referred to as the ‘no worse off’ provisions</w:t>
      </w:r>
      <w:r w:rsidR="00996ED4" w:rsidRPr="00442A3B">
        <w:t>)</w:t>
      </w:r>
      <w:r w:rsidR="000F32BE" w:rsidRPr="00442A3B">
        <w:t>.</w:t>
      </w:r>
    </w:p>
    <w:p w14:paraId="217AC1DA" w14:textId="05529BA2" w:rsidR="00805A0C" w:rsidRPr="00442A3B" w:rsidRDefault="00B33810" w:rsidP="00A3247F">
      <w:pPr>
        <w:pStyle w:val="CGCParaNumber"/>
        <w:ind w:left="567" w:hanging="567"/>
        <w:sectPr w:rsidR="00805A0C" w:rsidRPr="00442A3B" w:rsidSect="00623DD0">
          <w:headerReference w:type="default" r:id="rId66"/>
          <w:headerReference w:type="first" r:id="rId67"/>
          <w:footnotePr>
            <w:numRestart w:val="eachSect"/>
          </w:footnotePr>
          <w:pgSz w:w="11907" w:h="16840" w:code="9"/>
          <w:pgMar w:top="1418" w:right="1474" w:bottom="1418" w:left="1474" w:header="567" w:footer="567" w:gutter="0"/>
          <w:cols w:space="720"/>
          <w:titlePg/>
          <w:docGrid w:linePitch="360"/>
        </w:sectPr>
      </w:pPr>
      <w:r w:rsidRPr="00442A3B">
        <w:t>Any</w:t>
      </w:r>
      <w:r w:rsidR="0007148C" w:rsidRPr="00442A3B">
        <w:t xml:space="preserve"> additional financial assistance that States may require </w:t>
      </w:r>
      <w:r w:rsidR="00113360" w:rsidRPr="00442A3B">
        <w:t xml:space="preserve">would be funded by the </w:t>
      </w:r>
      <w:r w:rsidR="00DD5529" w:rsidRPr="00442A3B">
        <w:t>Commonwealth</w:t>
      </w:r>
      <w:r w:rsidR="00113360" w:rsidRPr="00442A3B">
        <w:t xml:space="preserve">. </w:t>
      </w:r>
      <w:r w:rsidR="00DD5529" w:rsidRPr="00442A3B">
        <w:t>More information about the ‘no worse off’ payments is in</w:t>
      </w:r>
      <w:r w:rsidR="009C6EA4" w:rsidRPr="00442A3B">
        <w:t xml:space="preserve"> Attachment A.</w:t>
      </w:r>
      <w:r w:rsidR="009C6EA4" w:rsidRPr="00442A3B" w:rsidDel="009C6EA4">
        <w:t xml:space="preserve"> </w:t>
      </w:r>
    </w:p>
    <w:p w14:paraId="7D6B9033" w14:textId="7DA6A6D4" w:rsidR="00165998" w:rsidRPr="00442A3B" w:rsidRDefault="00165998" w:rsidP="004539C9">
      <w:pPr>
        <w:pStyle w:val="Heading3"/>
      </w:pPr>
      <w:bookmarkStart w:id="152" w:name="_Toc65050535"/>
      <w:r w:rsidRPr="00442A3B">
        <w:lastRenderedPageBreak/>
        <w:t>New South Wales</w:t>
      </w:r>
      <w:bookmarkEnd w:id="152"/>
    </w:p>
    <w:p w14:paraId="38569F63" w14:textId="4B15DE24" w:rsidR="00EA36F9" w:rsidRPr="00442A3B" w:rsidRDefault="005310BB" w:rsidP="00E54AAB">
      <w:r w:rsidRPr="00442A3B">
        <w:t>Under the new GST relativities</w:t>
      </w:r>
      <w:r w:rsidR="00EA36F9" w:rsidRPr="00442A3B">
        <w:t>,</w:t>
      </w:r>
      <w:r w:rsidR="004D0745" w:rsidRPr="00442A3B">
        <w:t xml:space="preserve"> which include the </w:t>
      </w:r>
      <w:r w:rsidR="00A03A95" w:rsidRPr="00442A3B">
        <w:t xml:space="preserve">transition </w:t>
      </w:r>
      <w:r w:rsidR="004D0745" w:rsidRPr="00442A3B">
        <w:t>arrangements,</w:t>
      </w:r>
      <w:r w:rsidR="00EA36F9" w:rsidRPr="00442A3B">
        <w:t xml:space="preserve"> </w:t>
      </w:r>
      <w:r w:rsidR="00D36351" w:rsidRPr="00442A3B">
        <w:t>New South Wales’</w:t>
      </w:r>
      <w:r w:rsidR="00EA36F9" w:rsidRPr="00442A3B">
        <w:t xml:space="preserve"> GST </w:t>
      </w:r>
      <w:r w:rsidR="00347057" w:rsidRPr="00442A3B">
        <w:t xml:space="preserve">pool </w:t>
      </w:r>
      <w:r w:rsidR="00EA36F9" w:rsidRPr="00442A3B">
        <w:t>share would increase from 29.2% to 30.3%, increasing its GST entitlement in 2021</w:t>
      </w:r>
      <w:r w:rsidR="00EA36F9" w:rsidRPr="00442A3B">
        <w:noBreakHyphen/>
        <w:t xml:space="preserve">22 by </w:t>
      </w:r>
      <w:r w:rsidR="0082162B" w:rsidRPr="00442A3B">
        <w:t xml:space="preserve">an estimated </w:t>
      </w:r>
      <w:r w:rsidR="00EA36F9" w:rsidRPr="00442A3B">
        <w:t>$1,894 million, or 10.3%.</w:t>
      </w:r>
    </w:p>
    <w:p w14:paraId="5226DDD0" w14:textId="1FDF0A1A" w:rsidR="00FD288E" w:rsidRPr="00442A3B" w:rsidRDefault="004D5555" w:rsidP="00E54AAB">
      <w:r w:rsidRPr="00442A3B">
        <w:t xml:space="preserve">Western Australia’s </w:t>
      </w:r>
      <w:r w:rsidR="00347173" w:rsidRPr="00442A3B">
        <w:t xml:space="preserve">increase in mining royalties </w:t>
      </w:r>
      <w:r w:rsidR="00AC6466" w:rsidRPr="00442A3B">
        <w:t xml:space="preserve">contributed to this, </w:t>
      </w:r>
      <w:r w:rsidR="00D54494" w:rsidRPr="00442A3B">
        <w:t xml:space="preserve">by reducing </w:t>
      </w:r>
      <w:r w:rsidR="005A31C7" w:rsidRPr="00442A3B">
        <w:t>other</w:t>
      </w:r>
      <w:r w:rsidR="00D54494" w:rsidRPr="00442A3B">
        <w:t xml:space="preserve"> States</w:t>
      </w:r>
      <w:r w:rsidR="005A31C7" w:rsidRPr="00442A3B">
        <w:t>’</w:t>
      </w:r>
      <w:r w:rsidR="00D54494" w:rsidRPr="00442A3B">
        <w:t xml:space="preserve"> </w:t>
      </w:r>
      <w:r w:rsidR="00033300" w:rsidRPr="00442A3B">
        <w:t xml:space="preserve">relative capacity to raise </w:t>
      </w:r>
      <w:r w:rsidR="006718D3" w:rsidRPr="00442A3B">
        <w:t>mining</w:t>
      </w:r>
      <w:r w:rsidR="00033300" w:rsidRPr="00442A3B">
        <w:t xml:space="preserve"> revenue</w:t>
      </w:r>
      <w:r w:rsidR="006718D3" w:rsidRPr="00442A3B">
        <w:t xml:space="preserve">. </w:t>
      </w:r>
      <w:r w:rsidR="005A31C7" w:rsidRPr="00442A3B">
        <w:t>B</w:t>
      </w:r>
      <w:r w:rsidR="006312A2" w:rsidRPr="00442A3B">
        <w:t>elow average growth in the value of property sales and revisions to taxable payrolls</w:t>
      </w:r>
      <w:r w:rsidR="005C0417" w:rsidRPr="00442A3B">
        <w:t xml:space="preserve"> also increased </w:t>
      </w:r>
      <w:r w:rsidR="007F4AD5" w:rsidRPr="00442A3B">
        <w:t>assessed needs</w:t>
      </w:r>
      <w:r w:rsidR="006312A2" w:rsidRPr="00442A3B">
        <w:t xml:space="preserve">. These changes were partially offset by above average growth in taxable land values, and revisions to urban transport expenses. </w:t>
      </w:r>
    </w:p>
    <w:p w14:paraId="5237F8F6" w14:textId="014F53CB" w:rsidR="00165998" w:rsidRPr="00442A3B" w:rsidRDefault="00165998" w:rsidP="00E54AAB">
      <w:pPr>
        <w:pStyle w:val="Caption"/>
      </w:pPr>
      <w:bookmarkStart w:id="153" w:name="_Ref30689432"/>
      <w:bookmarkStart w:id="154" w:name="_Toc62487282"/>
      <w:bookmarkStart w:id="155" w:name="_Toc62723812"/>
      <w:r w:rsidRPr="00442A3B">
        <w:t>Table 3</w:t>
      </w:r>
      <w:r w:rsidRPr="00442A3B">
        <w:noBreakHyphen/>
      </w:r>
      <w:bookmarkEnd w:id="153"/>
      <w:r w:rsidRPr="00442A3B">
        <w:fldChar w:fldCharType="begin"/>
      </w:r>
      <w:r w:rsidRPr="00442A3B">
        <w:instrText xml:space="preserve"> SEQ Table \* ARABIC\r 1 </w:instrText>
      </w:r>
      <w:r w:rsidRPr="00442A3B">
        <w:fldChar w:fldCharType="separate"/>
      </w:r>
      <w:r w:rsidR="00FC3D3D">
        <w:rPr>
          <w:noProof/>
        </w:rPr>
        <w:t>1</w:t>
      </w:r>
      <w:r w:rsidRPr="00442A3B">
        <w:fldChar w:fldCharType="end"/>
      </w:r>
      <w:r w:rsidRPr="00442A3B">
        <w:tab/>
        <w:t xml:space="preserve">Change in </w:t>
      </w:r>
      <w:r w:rsidR="0007148C" w:rsidRPr="00442A3B">
        <w:t xml:space="preserve">estimated </w:t>
      </w:r>
      <w:r w:rsidRPr="00442A3B">
        <w:t xml:space="preserve">GST </w:t>
      </w:r>
      <w:r w:rsidR="00A22D2B" w:rsidRPr="00442A3B">
        <w:t>distribution</w:t>
      </w:r>
      <w:r w:rsidRPr="00442A3B">
        <w:t xml:space="preserve"> </w:t>
      </w:r>
      <w:r w:rsidR="001D0C24" w:rsidRPr="00442A3B">
        <w:t xml:space="preserve">from </w:t>
      </w:r>
      <w:r w:rsidR="00ED113E" w:rsidRPr="00442A3B">
        <w:t>2020-21 to 2021-22</w:t>
      </w:r>
      <w:r w:rsidRPr="00442A3B">
        <w:t>, New South Wales</w:t>
      </w:r>
      <w:bookmarkEnd w:id="154"/>
      <w:bookmarkEnd w:id="155"/>
    </w:p>
    <w:tbl>
      <w:tblPr>
        <w:tblW w:w="8940" w:type="dxa"/>
        <w:tblCellMar>
          <w:left w:w="28" w:type="dxa"/>
          <w:right w:w="28" w:type="dxa"/>
        </w:tblCellMar>
        <w:tblLook w:val="04A0" w:firstRow="1" w:lastRow="0" w:firstColumn="1" w:lastColumn="0" w:noHBand="0" w:noVBand="1"/>
      </w:tblPr>
      <w:tblGrid>
        <w:gridCol w:w="4040"/>
        <w:gridCol w:w="2500"/>
        <w:gridCol w:w="2400"/>
      </w:tblGrid>
      <w:tr w:rsidR="00F12A03" w:rsidRPr="00442A3B" w14:paraId="7C339DD9" w14:textId="77777777" w:rsidTr="000605BC">
        <w:trPr>
          <w:trHeight w:val="259"/>
        </w:trPr>
        <w:tc>
          <w:tcPr>
            <w:tcW w:w="4040" w:type="dxa"/>
            <w:tcBorders>
              <w:top w:val="single" w:sz="4" w:space="0" w:color="ADD6EA"/>
              <w:left w:val="nil"/>
              <w:bottom w:val="single" w:sz="4" w:space="0" w:color="ADD6EA"/>
              <w:right w:val="nil"/>
            </w:tcBorders>
            <w:shd w:val="clear" w:color="000000" w:fill="006991"/>
            <w:noWrap/>
            <w:vAlign w:val="center"/>
            <w:hideMark/>
          </w:tcPr>
          <w:p w14:paraId="6DF6E577" w14:textId="77777777" w:rsidR="00F12A03" w:rsidRPr="00442A3B" w:rsidRDefault="00F12A03" w:rsidP="00B46C28">
            <w:pPr>
              <w:pStyle w:val="CGCTableHeading"/>
              <w:rPr>
                <w:rFonts w:eastAsia="MS Mincho" w:cs="Open Sans Semibold"/>
                <w:color w:val="FFFFFF"/>
                <w:szCs w:val="16"/>
                <w:lang w:eastAsia="en-AU"/>
              </w:rPr>
            </w:pPr>
            <w:bookmarkStart w:id="156" w:name="RANGE!A4:C11"/>
            <w:r w:rsidRPr="00442A3B">
              <w:rPr>
                <w:lang w:eastAsia="en-AU"/>
              </w:rPr>
              <w:t> </w:t>
            </w:r>
            <w:bookmarkEnd w:id="156"/>
          </w:p>
        </w:tc>
        <w:tc>
          <w:tcPr>
            <w:tcW w:w="2500" w:type="dxa"/>
            <w:tcBorders>
              <w:top w:val="single" w:sz="4" w:space="0" w:color="ADD6EA"/>
              <w:left w:val="nil"/>
              <w:bottom w:val="single" w:sz="4" w:space="0" w:color="ADD6EA"/>
              <w:right w:val="nil"/>
            </w:tcBorders>
            <w:shd w:val="clear" w:color="000000" w:fill="006991"/>
            <w:noWrap/>
            <w:vAlign w:val="center"/>
            <w:hideMark/>
          </w:tcPr>
          <w:p w14:paraId="33CDED1C" w14:textId="77777777" w:rsidR="00F12A03" w:rsidRPr="00442A3B" w:rsidRDefault="00F12A03" w:rsidP="00B46C28">
            <w:pPr>
              <w:pStyle w:val="CGCTableHeading"/>
              <w:jc w:val="right"/>
              <w:rPr>
                <w:rFonts w:eastAsia="MS Mincho" w:cs="Open Sans Semibold"/>
                <w:color w:val="FFFFFF"/>
                <w:szCs w:val="16"/>
                <w:lang w:eastAsia="en-AU"/>
              </w:rPr>
            </w:pPr>
            <w:r w:rsidRPr="00442A3B">
              <w:rPr>
                <w:lang w:eastAsia="en-AU"/>
              </w:rPr>
              <w:t>$m</w:t>
            </w:r>
          </w:p>
        </w:tc>
        <w:tc>
          <w:tcPr>
            <w:tcW w:w="2400" w:type="dxa"/>
            <w:tcBorders>
              <w:top w:val="single" w:sz="4" w:space="0" w:color="ADD6EA"/>
              <w:left w:val="nil"/>
              <w:bottom w:val="single" w:sz="4" w:space="0" w:color="ADD6EA"/>
              <w:right w:val="nil"/>
            </w:tcBorders>
            <w:shd w:val="clear" w:color="000000" w:fill="006991"/>
            <w:noWrap/>
            <w:vAlign w:val="center"/>
            <w:hideMark/>
          </w:tcPr>
          <w:p w14:paraId="7E0E0DC8" w14:textId="77777777" w:rsidR="00F12A03" w:rsidRPr="00442A3B" w:rsidRDefault="00F12A03" w:rsidP="00B46C28">
            <w:pPr>
              <w:pStyle w:val="CGCTableHeading"/>
              <w:jc w:val="right"/>
              <w:rPr>
                <w:rFonts w:eastAsia="MS Mincho" w:cs="Open Sans Semibold"/>
                <w:color w:val="FFFFFF"/>
                <w:szCs w:val="16"/>
                <w:lang w:eastAsia="en-AU"/>
              </w:rPr>
            </w:pPr>
            <w:r w:rsidRPr="00442A3B">
              <w:rPr>
                <w:lang w:eastAsia="en-AU"/>
              </w:rPr>
              <w:t>$pc</w:t>
            </w:r>
          </w:p>
        </w:tc>
      </w:tr>
      <w:tr w:rsidR="00F12A03" w:rsidRPr="00442A3B" w14:paraId="211DD1AE"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633B991F" w14:textId="77777777" w:rsidR="00F12A03" w:rsidRPr="00442A3B" w:rsidRDefault="00F12A03" w:rsidP="00F12A03">
            <w:pPr>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 xml:space="preserve">Change in </w:t>
            </w:r>
            <w:r w:rsidRPr="00442A3B">
              <w:rPr>
                <w:rFonts w:eastAsia="Times New Roman" w:cs="Open Sans Light"/>
                <w:color w:val="000000"/>
                <w:sz w:val="16"/>
                <w:szCs w:val="16"/>
                <w:lang w:eastAsia="en-AU"/>
              </w:rPr>
              <w:t>population</w:t>
            </w:r>
          </w:p>
        </w:tc>
        <w:tc>
          <w:tcPr>
            <w:tcW w:w="2500" w:type="dxa"/>
            <w:tcBorders>
              <w:top w:val="nil"/>
              <w:left w:val="nil"/>
              <w:bottom w:val="single" w:sz="4" w:space="0" w:color="ADD6EA"/>
              <w:right w:val="nil"/>
            </w:tcBorders>
            <w:shd w:val="clear" w:color="auto" w:fill="auto"/>
            <w:noWrap/>
            <w:vAlign w:val="bottom"/>
            <w:hideMark/>
          </w:tcPr>
          <w:p w14:paraId="006E2DE1" w14:textId="77777777" w:rsidR="00F12A03" w:rsidRPr="00442A3B" w:rsidRDefault="00F12A03" w:rsidP="00F12A03">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-41</w:t>
            </w:r>
          </w:p>
        </w:tc>
        <w:tc>
          <w:tcPr>
            <w:tcW w:w="2400" w:type="dxa"/>
            <w:tcBorders>
              <w:top w:val="nil"/>
              <w:left w:val="nil"/>
              <w:bottom w:val="single" w:sz="4" w:space="0" w:color="ADD6EA"/>
              <w:right w:val="nil"/>
            </w:tcBorders>
            <w:shd w:val="clear" w:color="auto" w:fill="auto"/>
            <w:noWrap/>
            <w:vAlign w:val="bottom"/>
            <w:hideMark/>
          </w:tcPr>
          <w:p w14:paraId="1DE2CEA2" w14:textId="77777777" w:rsidR="00F12A03" w:rsidRPr="00442A3B" w:rsidRDefault="00F12A03" w:rsidP="00F12A03">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w:t>
            </w:r>
          </w:p>
        </w:tc>
      </w:tr>
      <w:tr w:rsidR="00F12A03" w:rsidRPr="00442A3B" w14:paraId="6E8E6B0A"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1001C15D" w14:textId="77777777" w:rsidR="00F12A03" w:rsidRPr="00442A3B" w:rsidRDefault="00F12A03" w:rsidP="00F12A03">
            <w:pPr>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 xml:space="preserve">Growth in GST pool </w:t>
            </w:r>
          </w:p>
        </w:tc>
        <w:tc>
          <w:tcPr>
            <w:tcW w:w="2500" w:type="dxa"/>
            <w:tcBorders>
              <w:top w:val="nil"/>
              <w:left w:val="nil"/>
              <w:bottom w:val="single" w:sz="4" w:space="0" w:color="ADD6EA"/>
              <w:right w:val="nil"/>
            </w:tcBorders>
            <w:shd w:val="clear" w:color="auto" w:fill="auto"/>
            <w:noWrap/>
            <w:vAlign w:val="bottom"/>
            <w:hideMark/>
          </w:tcPr>
          <w:p w14:paraId="2E63D102" w14:textId="77777777" w:rsidR="00F12A03" w:rsidRPr="00442A3B" w:rsidRDefault="00F12A03" w:rsidP="00F12A03">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1,175</w:t>
            </w:r>
          </w:p>
        </w:tc>
        <w:tc>
          <w:tcPr>
            <w:tcW w:w="2400" w:type="dxa"/>
            <w:tcBorders>
              <w:top w:val="nil"/>
              <w:left w:val="nil"/>
              <w:bottom w:val="single" w:sz="4" w:space="0" w:color="ADD6EA"/>
              <w:right w:val="nil"/>
            </w:tcBorders>
            <w:shd w:val="clear" w:color="auto" w:fill="auto"/>
            <w:noWrap/>
            <w:vAlign w:val="bottom"/>
            <w:hideMark/>
          </w:tcPr>
          <w:p w14:paraId="46560F1B" w14:textId="77777777" w:rsidR="00F12A03" w:rsidRPr="00442A3B" w:rsidRDefault="00F12A03" w:rsidP="00F12A03">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144</w:t>
            </w:r>
          </w:p>
        </w:tc>
      </w:tr>
      <w:tr w:rsidR="00F12A03" w:rsidRPr="00442A3B" w14:paraId="1966FD32"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68AD5A43" w14:textId="77777777" w:rsidR="00F12A03" w:rsidRPr="00442A3B" w:rsidRDefault="00F12A03" w:rsidP="00F12A03">
            <w:pPr>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Changes in relative fiscal capacity</w:t>
            </w:r>
          </w:p>
        </w:tc>
        <w:tc>
          <w:tcPr>
            <w:tcW w:w="2500" w:type="dxa"/>
            <w:tcBorders>
              <w:top w:val="nil"/>
              <w:left w:val="nil"/>
              <w:bottom w:val="single" w:sz="4" w:space="0" w:color="ADD6EA"/>
              <w:right w:val="nil"/>
            </w:tcBorders>
            <w:shd w:val="clear" w:color="auto" w:fill="auto"/>
            <w:noWrap/>
            <w:vAlign w:val="bottom"/>
            <w:hideMark/>
          </w:tcPr>
          <w:p w14:paraId="5D6CB174" w14:textId="77777777" w:rsidR="00F12A03" w:rsidRPr="00442A3B" w:rsidRDefault="00F12A03" w:rsidP="00F12A03">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 </w:t>
            </w:r>
          </w:p>
        </w:tc>
        <w:tc>
          <w:tcPr>
            <w:tcW w:w="2400" w:type="dxa"/>
            <w:tcBorders>
              <w:top w:val="nil"/>
              <w:left w:val="nil"/>
              <w:bottom w:val="single" w:sz="4" w:space="0" w:color="ADD6EA"/>
              <w:right w:val="nil"/>
            </w:tcBorders>
            <w:shd w:val="clear" w:color="auto" w:fill="auto"/>
            <w:noWrap/>
            <w:vAlign w:val="bottom"/>
            <w:hideMark/>
          </w:tcPr>
          <w:p w14:paraId="2DE0854F" w14:textId="77777777" w:rsidR="00F12A03" w:rsidRPr="00442A3B" w:rsidRDefault="00F12A03" w:rsidP="00F12A03">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 </w:t>
            </w:r>
          </w:p>
        </w:tc>
      </w:tr>
      <w:tr w:rsidR="00F12A03" w:rsidRPr="00442A3B" w14:paraId="34DA4AF6"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1F0C244F" w14:textId="77777777" w:rsidR="00F12A03" w:rsidRPr="00442A3B" w:rsidRDefault="00F12A03" w:rsidP="00F12A03">
            <w:pPr>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Data revisions</w:t>
            </w:r>
          </w:p>
        </w:tc>
        <w:tc>
          <w:tcPr>
            <w:tcW w:w="2500" w:type="dxa"/>
            <w:tcBorders>
              <w:top w:val="nil"/>
              <w:left w:val="nil"/>
              <w:bottom w:val="single" w:sz="4" w:space="0" w:color="ADD6EA"/>
              <w:right w:val="nil"/>
            </w:tcBorders>
            <w:shd w:val="clear" w:color="auto" w:fill="auto"/>
            <w:noWrap/>
            <w:vAlign w:val="bottom"/>
            <w:hideMark/>
          </w:tcPr>
          <w:p w14:paraId="2FD9A691" w14:textId="77777777" w:rsidR="00F12A03" w:rsidRPr="00442A3B" w:rsidRDefault="00F12A03" w:rsidP="00F12A03">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269</w:t>
            </w:r>
          </w:p>
        </w:tc>
        <w:tc>
          <w:tcPr>
            <w:tcW w:w="2400" w:type="dxa"/>
            <w:tcBorders>
              <w:top w:val="nil"/>
              <w:left w:val="nil"/>
              <w:bottom w:val="single" w:sz="4" w:space="0" w:color="ADD6EA"/>
              <w:right w:val="nil"/>
            </w:tcBorders>
            <w:shd w:val="clear" w:color="auto" w:fill="auto"/>
            <w:noWrap/>
            <w:vAlign w:val="bottom"/>
            <w:hideMark/>
          </w:tcPr>
          <w:p w14:paraId="4BD7E789" w14:textId="77777777" w:rsidR="00F12A03" w:rsidRPr="00442A3B" w:rsidRDefault="00F12A03" w:rsidP="00F12A03">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33</w:t>
            </w:r>
          </w:p>
        </w:tc>
      </w:tr>
      <w:tr w:rsidR="00F12A03" w:rsidRPr="00442A3B" w14:paraId="0B0D1BF1"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357A9131" w14:textId="77777777" w:rsidR="00F12A03" w:rsidRPr="00442A3B" w:rsidRDefault="00F12A03" w:rsidP="00F12A03">
            <w:pPr>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State circumstances</w:t>
            </w:r>
          </w:p>
        </w:tc>
        <w:tc>
          <w:tcPr>
            <w:tcW w:w="2500" w:type="dxa"/>
            <w:tcBorders>
              <w:top w:val="nil"/>
              <w:left w:val="nil"/>
              <w:bottom w:val="single" w:sz="4" w:space="0" w:color="ADD6EA"/>
              <w:right w:val="nil"/>
            </w:tcBorders>
            <w:shd w:val="clear" w:color="auto" w:fill="auto"/>
            <w:noWrap/>
            <w:vAlign w:val="bottom"/>
            <w:hideMark/>
          </w:tcPr>
          <w:p w14:paraId="3A20C5C4" w14:textId="77777777" w:rsidR="00F12A03" w:rsidRPr="00442A3B" w:rsidRDefault="00F12A03" w:rsidP="00F12A03">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709</w:t>
            </w:r>
          </w:p>
        </w:tc>
        <w:tc>
          <w:tcPr>
            <w:tcW w:w="2400" w:type="dxa"/>
            <w:tcBorders>
              <w:top w:val="nil"/>
              <w:left w:val="nil"/>
              <w:bottom w:val="single" w:sz="4" w:space="0" w:color="ADD6EA"/>
              <w:right w:val="nil"/>
            </w:tcBorders>
            <w:shd w:val="clear" w:color="auto" w:fill="auto"/>
            <w:noWrap/>
            <w:vAlign w:val="bottom"/>
            <w:hideMark/>
          </w:tcPr>
          <w:p w14:paraId="164FB630" w14:textId="77777777" w:rsidR="00F12A03" w:rsidRPr="00442A3B" w:rsidRDefault="00F12A03" w:rsidP="00F12A03">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87</w:t>
            </w:r>
          </w:p>
        </w:tc>
      </w:tr>
      <w:tr w:rsidR="00F12A03" w:rsidRPr="00442A3B" w14:paraId="4A38D2FB"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10F5B17D" w14:textId="77777777" w:rsidR="00F12A03" w:rsidRPr="00442A3B" w:rsidRDefault="00F12A03" w:rsidP="00F12A03">
            <w:pPr>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Total</w:t>
            </w:r>
          </w:p>
        </w:tc>
        <w:tc>
          <w:tcPr>
            <w:tcW w:w="2500" w:type="dxa"/>
            <w:tcBorders>
              <w:top w:val="nil"/>
              <w:left w:val="nil"/>
              <w:bottom w:val="single" w:sz="4" w:space="0" w:color="ADD6EA"/>
              <w:right w:val="nil"/>
            </w:tcBorders>
            <w:shd w:val="clear" w:color="auto" w:fill="auto"/>
            <w:noWrap/>
            <w:vAlign w:val="bottom"/>
            <w:hideMark/>
          </w:tcPr>
          <w:p w14:paraId="3CA6C015" w14:textId="77777777" w:rsidR="00F12A03" w:rsidRPr="00442A3B" w:rsidRDefault="00F12A03" w:rsidP="00F12A03">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978</w:t>
            </w:r>
          </w:p>
        </w:tc>
        <w:tc>
          <w:tcPr>
            <w:tcW w:w="2400" w:type="dxa"/>
            <w:tcBorders>
              <w:top w:val="nil"/>
              <w:left w:val="nil"/>
              <w:bottom w:val="single" w:sz="4" w:space="0" w:color="ADD6EA"/>
              <w:right w:val="nil"/>
            </w:tcBorders>
            <w:shd w:val="clear" w:color="auto" w:fill="auto"/>
            <w:noWrap/>
            <w:vAlign w:val="bottom"/>
            <w:hideMark/>
          </w:tcPr>
          <w:p w14:paraId="6423BDE4" w14:textId="77777777" w:rsidR="00F12A03" w:rsidRPr="00442A3B" w:rsidRDefault="00F12A03" w:rsidP="00F12A03">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120</w:t>
            </w:r>
          </w:p>
        </w:tc>
      </w:tr>
      <w:tr w:rsidR="00F12A03" w:rsidRPr="00442A3B" w14:paraId="7E3CE586"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0102CA65" w14:textId="5D8EFCF2" w:rsidR="00F12A03" w:rsidRPr="00442A3B" w:rsidRDefault="00F12A03" w:rsidP="00F12A03">
            <w:pPr>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Transition to new arrangements</w:t>
            </w:r>
            <w:r w:rsidR="00DD5529" w:rsidRPr="00442A3B">
              <w:rPr>
                <w:rFonts w:eastAsia="Times New Roman" w:cs="Open Sans Light"/>
                <w:sz w:val="16"/>
                <w:szCs w:val="16"/>
                <w:lang w:eastAsia="en-AU"/>
              </w:rPr>
              <w:t xml:space="preserve"> (a) </w:t>
            </w:r>
          </w:p>
        </w:tc>
        <w:tc>
          <w:tcPr>
            <w:tcW w:w="2500" w:type="dxa"/>
            <w:tcBorders>
              <w:top w:val="nil"/>
              <w:left w:val="nil"/>
              <w:bottom w:val="single" w:sz="4" w:space="0" w:color="ADD6EA"/>
              <w:right w:val="nil"/>
            </w:tcBorders>
            <w:shd w:val="clear" w:color="auto" w:fill="auto"/>
            <w:noWrap/>
            <w:vAlign w:val="bottom"/>
            <w:hideMark/>
          </w:tcPr>
          <w:p w14:paraId="631B24AF" w14:textId="77777777" w:rsidR="00F12A03" w:rsidRPr="00442A3B" w:rsidRDefault="00F12A03" w:rsidP="00F12A03">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-218</w:t>
            </w:r>
          </w:p>
        </w:tc>
        <w:tc>
          <w:tcPr>
            <w:tcW w:w="2400" w:type="dxa"/>
            <w:tcBorders>
              <w:top w:val="nil"/>
              <w:left w:val="nil"/>
              <w:bottom w:val="single" w:sz="4" w:space="0" w:color="ADD6EA"/>
              <w:right w:val="nil"/>
            </w:tcBorders>
            <w:shd w:val="clear" w:color="auto" w:fill="auto"/>
            <w:noWrap/>
            <w:vAlign w:val="bottom"/>
            <w:hideMark/>
          </w:tcPr>
          <w:p w14:paraId="235B3CEC" w14:textId="77777777" w:rsidR="00F12A03" w:rsidRPr="00442A3B" w:rsidRDefault="00F12A03" w:rsidP="00F12A03">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-27</w:t>
            </w:r>
          </w:p>
        </w:tc>
      </w:tr>
      <w:tr w:rsidR="00F12A03" w:rsidRPr="00442A3B" w14:paraId="4CC97919" w14:textId="77777777" w:rsidTr="000605BC">
        <w:trPr>
          <w:trHeight w:val="315"/>
        </w:trPr>
        <w:tc>
          <w:tcPr>
            <w:tcW w:w="4040" w:type="dxa"/>
            <w:tcBorders>
              <w:top w:val="nil"/>
              <w:left w:val="nil"/>
              <w:bottom w:val="single" w:sz="4" w:space="0" w:color="ADD6EA"/>
              <w:right w:val="nil"/>
            </w:tcBorders>
            <w:shd w:val="clear" w:color="000000" w:fill="D6E7F0"/>
            <w:noWrap/>
            <w:vAlign w:val="bottom"/>
            <w:hideMark/>
          </w:tcPr>
          <w:p w14:paraId="013E43F0" w14:textId="77777777" w:rsidR="00F12A03" w:rsidRPr="00442A3B" w:rsidRDefault="00F12A03" w:rsidP="00B46C28">
            <w:pPr>
              <w:pStyle w:val="CGCTablesubhead1"/>
              <w:rPr>
                <w:rFonts w:eastAsia="MS Mincho" w:cs="Open Sans Semibold"/>
                <w:color w:val="000000"/>
                <w:szCs w:val="16"/>
                <w:lang w:eastAsia="en-AU"/>
              </w:rPr>
            </w:pPr>
            <w:r w:rsidRPr="00442A3B">
              <w:rPr>
                <w:lang w:eastAsia="en-AU"/>
              </w:rPr>
              <w:t>Total change</w:t>
            </w:r>
          </w:p>
        </w:tc>
        <w:tc>
          <w:tcPr>
            <w:tcW w:w="2500" w:type="dxa"/>
            <w:tcBorders>
              <w:top w:val="nil"/>
              <w:left w:val="nil"/>
              <w:bottom w:val="single" w:sz="4" w:space="0" w:color="ADD6EA"/>
              <w:right w:val="nil"/>
            </w:tcBorders>
            <w:shd w:val="clear" w:color="000000" w:fill="D6E7F0"/>
            <w:noWrap/>
            <w:vAlign w:val="bottom"/>
            <w:hideMark/>
          </w:tcPr>
          <w:p w14:paraId="4CC10436" w14:textId="77777777" w:rsidR="00F12A03" w:rsidRPr="00442A3B" w:rsidRDefault="00F12A03" w:rsidP="00B46C28">
            <w:pPr>
              <w:pStyle w:val="CGCTablesubhead1"/>
              <w:jc w:val="right"/>
              <w:rPr>
                <w:rFonts w:eastAsia="MS Mincho" w:cs="Open Sans Semibold"/>
                <w:color w:val="000000"/>
                <w:szCs w:val="16"/>
                <w:lang w:eastAsia="en-AU"/>
              </w:rPr>
            </w:pPr>
            <w:r w:rsidRPr="00442A3B">
              <w:rPr>
                <w:lang w:eastAsia="en-AU"/>
              </w:rPr>
              <w:t>1,894</w:t>
            </w:r>
          </w:p>
        </w:tc>
        <w:tc>
          <w:tcPr>
            <w:tcW w:w="2400" w:type="dxa"/>
            <w:tcBorders>
              <w:top w:val="nil"/>
              <w:left w:val="nil"/>
              <w:bottom w:val="single" w:sz="4" w:space="0" w:color="ADD6EA"/>
              <w:right w:val="nil"/>
            </w:tcBorders>
            <w:shd w:val="clear" w:color="000000" w:fill="D6E7F0"/>
            <w:noWrap/>
            <w:vAlign w:val="bottom"/>
            <w:hideMark/>
          </w:tcPr>
          <w:p w14:paraId="23CB6409" w14:textId="77777777" w:rsidR="00F12A03" w:rsidRPr="00442A3B" w:rsidRDefault="00F12A03" w:rsidP="00B46C28">
            <w:pPr>
              <w:pStyle w:val="CGCTablesubhead1"/>
              <w:jc w:val="right"/>
              <w:rPr>
                <w:rFonts w:eastAsia="MS Mincho" w:cs="Open Sans Semibold"/>
                <w:color w:val="000000"/>
                <w:szCs w:val="16"/>
                <w:lang w:eastAsia="en-AU"/>
              </w:rPr>
            </w:pPr>
            <w:r w:rsidRPr="00442A3B">
              <w:rPr>
                <w:lang w:eastAsia="en-AU"/>
              </w:rPr>
              <w:t>232</w:t>
            </w:r>
          </w:p>
        </w:tc>
      </w:tr>
    </w:tbl>
    <w:p w14:paraId="786765D9" w14:textId="77777777" w:rsidR="004B2D0E" w:rsidRPr="00442A3B" w:rsidRDefault="004B2D0E" w:rsidP="004B2D0E">
      <w:pPr>
        <w:pStyle w:val="CGCTablenote"/>
        <w:keepNext/>
        <w:keepLines/>
      </w:pPr>
      <w:r w:rsidRPr="00442A3B">
        <w:t>Note:</w:t>
      </w:r>
      <w:r w:rsidRPr="00442A3B">
        <w:tab/>
        <w:t>Table may not add due to rounding.</w:t>
      </w:r>
    </w:p>
    <w:p w14:paraId="58BAD0B5" w14:textId="6817C402" w:rsidR="00E54AAB" w:rsidRPr="00442A3B" w:rsidRDefault="00E54AAB" w:rsidP="00E54AAB">
      <w:pPr>
        <w:pStyle w:val="CGCTablenote"/>
      </w:pPr>
      <w:r w:rsidRPr="00442A3B">
        <w:t>(a)</w:t>
      </w:r>
      <w:r w:rsidRPr="00442A3B">
        <w:tab/>
        <w:t>This represents the difference between applying the GST relativities and relative fiscal capacities to the GST pool. It is not the basis of the ‘no worse off’ calculation, which is a State’s relative fiscal capacity applied to the GST pool without the top-up.</w:t>
      </w:r>
    </w:p>
    <w:p w14:paraId="2AB7C47D" w14:textId="77777777" w:rsidR="00165998" w:rsidRPr="00442A3B" w:rsidRDefault="00165998" w:rsidP="00FA6BCB">
      <w:pPr>
        <w:pStyle w:val="CGCTablenote"/>
        <w:keepNext/>
        <w:keepLines/>
      </w:pPr>
      <w:r w:rsidRPr="00442A3B">
        <w:t>Source:</w:t>
      </w:r>
      <w:r w:rsidRPr="00442A3B">
        <w:tab/>
        <w:t>Commission calculation.</w:t>
      </w:r>
    </w:p>
    <w:p w14:paraId="66F9A655" w14:textId="52375EE6" w:rsidR="00165998" w:rsidRPr="00442A3B" w:rsidRDefault="00165998" w:rsidP="00E54AAB">
      <w:pPr>
        <w:pStyle w:val="Caption"/>
      </w:pPr>
      <w:bookmarkStart w:id="157" w:name="_Toc62487172"/>
      <w:bookmarkStart w:id="158" w:name="_Toc62487328"/>
      <w:r w:rsidRPr="00442A3B">
        <w:t>Figure 3</w:t>
      </w:r>
      <w:r w:rsidRPr="00442A3B">
        <w:noBreakHyphen/>
      </w:r>
      <w:r w:rsidRPr="00442A3B">
        <w:fldChar w:fldCharType="begin"/>
      </w:r>
      <w:r w:rsidRPr="00442A3B">
        <w:instrText>SEQ Figure \* ARABIC</w:instrText>
      </w:r>
      <w:r w:rsidRPr="00442A3B">
        <w:fldChar w:fldCharType="separate"/>
      </w:r>
      <w:r w:rsidR="00FC3D3D">
        <w:rPr>
          <w:noProof/>
        </w:rPr>
        <w:t>2</w:t>
      </w:r>
      <w:r w:rsidRPr="00442A3B">
        <w:fldChar w:fldCharType="end"/>
      </w:r>
      <w:r w:rsidRPr="00442A3B">
        <w:tab/>
        <w:t xml:space="preserve">Main changes for New South Wales, </w:t>
      </w:r>
      <w:r w:rsidR="00823F3E" w:rsidRPr="00442A3B">
        <w:t>2021 Update</w:t>
      </w:r>
      <w:bookmarkEnd w:id="157"/>
      <w:bookmarkEnd w:id="158"/>
    </w:p>
    <w:p w14:paraId="126EEA31" w14:textId="452D595C" w:rsidR="00165998" w:rsidRPr="00442A3B" w:rsidRDefault="00CA5AD8" w:rsidP="00165998">
      <w:r w:rsidRPr="00442A3B">
        <w:rPr>
          <w:noProof/>
        </w:rPr>
        <w:drawing>
          <wp:inline distT="0" distB="0" distL="0" distR="0" wp14:anchorId="61400D25" wp14:editId="4C628D6F">
            <wp:extent cx="5688965" cy="3185160"/>
            <wp:effectExtent l="0" t="0" r="6985" b="0"/>
            <wp:docPr id="32" name="Picture 32" descr="Data Revisions: Taxable payrolls $211m; Urban centre characteristics -$144; Wage costs $109m. Changes in circumstances: Mining $499; Property sales $387m; Taxable land values -$206; Capital requirement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ata Revisions: Taxable payrolls $211m; Urban centre characteristics -$144; Wage costs $109m. Changes in circumstances: Mining $499; Property sales $387m; Taxable land values -$206; Capital requirement -$18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88965" cy="3185160"/>
                    </a:xfrm>
                    <a:prstGeom prst="rect">
                      <a:avLst/>
                    </a:prstGeom>
                    <a:noFill/>
                    <a:ln>
                      <a:noFill/>
                    </a:ln>
                  </pic:spPr>
                </pic:pic>
              </a:graphicData>
            </a:graphic>
          </wp:inline>
        </w:drawing>
      </w:r>
    </w:p>
    <w:p w14:paraId="441B0F13" w14:textId="719B2791" w:rsidR="00165998" w:rsidRPr="00442A3B" w:rsidRDefault="00165998" w:rsidP="00437184">
      <w:pPr>
        <w:pStyle w:val="CGCTablenote"/>
        <w:keepNext/>
        <w:keepLines/>
        <w:spacing w:before="0"/>
      </w:pPr>
      <w:r w:rsidRPr="00442A3B">
        <w:t>Source:</w:t>
      </w:r>
      <w:r w:rsidRPr="00442A3B">
        <w:tab/>
        <w:t>Commission calculation.</w:t>
      </w:r>
    </w:p>
    <w:p w14:paraId="5D1E2B5C" w14:textId="77777777" w:rsidR="00165998" w:rsidRPr="00442A3B" w:rsidRDefault="00165998" w:rsidP="00437184">
      <w:pPr>
        <w:spacing w:before="0"/>
        <w:sectPr w:rsidR="00165998" w:rsidRPr="00442A3B" w:rsidSect="00623DD0">
          <w:headerReference w:type="default" r:id="rId69"/>
          <w:footerReference w:type="default" r:id="rId70"/>
          <w:headerReference w:type="first" r:id="rId71"/>
          <w:footerReference w:type="first" r:id="rId72"/>
          <w:footnotePr>
            <w:numRestart w:val="eachSect"/>
          </w:footnotePr>
          <w:pgSz w:w="11907" w:h="16840" w:code="9"/>
          <w:pgMar w:top="1418" w:right="1474" w:bottom="1418" w:left="1474" w:header="567" w:footer="567" w:gutter="0"/>
          <w:cols w:space="720"/>
          <w:titlePg/>
          <w:docGrid w:linePitch="360"/>
        </w:sectPr>
      </w:pPr>
    </w:p>
    <w:p w14:paraId="697251FE" w14:textId="77777777" w:rsidR="00165998" w:rsidRPr="00442A3B" w:rsidRDefault="00165998" w:rsidP="00165998">
      <w:pPr>
        <w:pStyle w:val="Heading3"/>
        <w:spacing w:before="120"/>
      </w:pPr>
      <w:bookmarkStart w:id="159" w:name="_Toc65050536"/>
      <w:r w:rsidRPr="00442A3B">
        <w:lastRenderedPageBreak/>
        <w:t>Victoria</w:t>
      </w:r>
      <w:bookmarkEnd w:id="159"/>
    </w:p>
    <w:p w14:paraId="2ACCD45C" w14:textId="1FCB9965" w:rsidR="001C189F" w:rsidRPr="00442A3B" w:rsidRDefault="00EF2ACF" w:rsidP="00E54AAB">
      <w:r w:rsidRPr="00442A3B">
        <w:t xml:space="preserve">Under the new GST relativities, which include the transition arrangements, Victoria’s GST </w:t>
      </w:r>
      <w:r w:rsidR="00A53D67" w:rsidRPr="00442A3B">
        <w:t xml:space="preserve">pool </w:t>
      </w:r>
      <w:r w:rsidRPr="00442A3B">
        <w:t>share would fall from 25.1% to 24.1%. Due to an increase in the pool, its GST entitlement in 2021</w:t>
      </w:r>
      <w:r w:rsidRPr="00442A3B">
        <w:noBreakHyphen/>
        <w:t xml:space="preserve">22 would rise by </w:t>
      </w:r>
      <w:r w:rsidR="0082162B" w:rsidRPr="00442A3B">
        <w:t xml:space="preserve">an estimated </w:t>
      </w:r>
      <w:r w:rsidRPr="00442A3B">
        <w:t xml:space="preserve">$344 million, or 2.2%. </w:t>
      </w:r>
    </w:p>
    <w:p w14:paraId="40DA8921" w14:textId="4F5982E3" w:rsidR="00CD19A6" w:rsidRPr="00442A3B" w:rsidRDefault="00165998" w:rsidP="00E54AAB">
      <w:r w:rsidRPr="00442A3B">
        <w:t xml:space="preserve">Victoria’s </w:t>
      </w:r>
      <w:r w:rsidR="00E56984" w:rsidRPr="00442A3B">
        <w:t>GST</w:t>
      </w:r>
      <w:r w:rsidR="004B7D35" w:rsidRPr="00442A3B">
        <w:t xml:space="preserve"> pool</w:t>
      </w:r>
      <w:r w:rsidR="00E56984" w:rsidRPr="00442A3B">
        <w:t xml:space="preserve"> requirement decreased</w:t>
      </w:r>
      <w:r w:rsidR="006838E1" w:rsidRPr="00442A3B">
        <w:t xml:space="preserve">. </w:t>
      </w:r>
      <w:r w:rsidR="00CD19A6" w:rsidRPr="00442A3B">
        <w:t>A</w:t>
      </w:r>
      <w:r w:rsidR="005A690C" w:rsidRPr="00442A3B">
        <w:t xml:space="preserve">bove average growth in property sales </w:t>
      </w:r>
      <w:r w:rsidR="0033331C" w:rsidRPr="00442A3B">
        <w:t xml:space="preserve">and revisions to </w:t>
      </w:r>
      <w:r w:rsidR="00431E3A" w:rsidRPr="00442A3B">
        <w:t>taxable payrolls</w:t>
      </w:r>
      <w:r w:rsidR="00CD19A6" w:rsidRPr="00442A3B">
        <w:t xml:space="preserve"> contributed to this</w:t>
      </w:r>
      <w:r w:rsidRPr="00442A3B">
        <w:t xml:space="preserve">. </w:t>
      </w:r>
      <w:r w:rsidR="00921C5F" w:rsidRPr="00442A3B">
        <w:t xml:space="preserve">Expenses growing faster than the GST pool meant that expense disabilities </w:t>
      </w:r>
      <w:r w:rsidR="005E406E" w:rsidRPr="00442A3B">
        <w:t>became</w:t>
      </w:r>
      <w:r w:rsidR="00921C5F" w:rsidRPr="00442A3B">
        <w:t xml:space="preserve"> more important</w:t>
      </w:r>
      <w:r w:rsidR="00E35626" w:rsidRPr="00442A3B">
        <w:t xml:space="preserve">. </w:t>
      </w:r>
      <w:r w:rsidR="00042797" w:rsidRPr="00442A3B">
        <w:t xml:space="preserve">As </w:t>
      </w:r>
      <w:r w:rsidR="00921C5F" w:rsidRPr="00442A3B">
        <w:t>Victoria has below average expense disabilities</w:t>
      </w:r>
      <w:r w:rsidR="00042797" w:rsidRPr="00442A3B">
        <w:t>, this reduce</w:t>
      </w:r>
      <w:r w:rsidR="005E406E" w:rsidRPr="00442A3B">
        <w:t>d</w:t>
      </w:r>
      <w:r w:rsidR="00921C5F" w:rsidRPr="00442A3B" w:rsidDel="00042797">
        <w:t xml:space="preserve"> </w:t>
      </w:r>
      <w:r w:rsidR="000E060D" w:rsidRPr="00442A3B">
        <w:t>its</w:t>
      </w:r>
      <w:r w:rsidR="00921C5F" w:rsidRPr="00442A3B" w:rsidDel="000E060D">
        <w:t xml:space="preserve"> </w:t>
      </w:r>
      <w:r w:rsidR="00921C5F" w:rsidRPr="00442A3B">
        <w:t>GST</w:t>
      </w:r>
      <w:r w:rsidR="000E060D" w:rsidRPr="00442A3B">
        <w:t xml:space="preserve"> </w:t>
      </w:r>
      <w:r w:rsidR="00D87D61" w:rsidRPr="00442A3B">
        <w:t xml:space="preserve">pool </w:t>
      </w:r>
      <w:r w:rsidR="000E060D" w:rsidRPr="00442A3B">
        <w:t>share</w:t>
      </w:r>
      <w:r w:rsidR="00921C5F" w:rsidRPr="00442A3B">
        <w:t xml:space="preserve">. </w:t>
      </w:r>
      <w:r w:rsidRPr="00442A3B">
        <w:t xml:space="preserve">These changes were partly offset by </w:t>
      </w:r>
      <w:r w:rsidR="00CD19A6" w:rsidRPr="00442A3B">
        <w:t>Western Australia’s increase in mining royalties</w:t>
      </w:r>
      <w:r w:rsidR="00D170C8" w:rsidRPr="00442A3B">
        <w:t xml:space="preserve">, which led to </w:t>
      </w:r>
      <w:r w:rsidR="00F10FE6" w:rsidRPr="00442A3B">
        <w:t xml:space="preserve">a reduction in </w:t>
      </w:r>
      <w:r w:rsidR="00D170C8" w:rsidRPr="00442A3B">
        <w:t xml:space="preserve">Victoria’s </w:t>
      </w:r>
      <w:r w:rsidR="00AB3047" w:rsidRPr="00442A3B">
        <w:t>relative capacity to raise mining revenue</w:t>
      </w:r>
      <w:r w:rsidRPr="00442A3B">
        <w:t xml:space="preserve">. </w:t>
      </w:r>
    </w:p>
    <w:p w14:paraId="3035E785" w14:textId="46E5E0A5" w:rsidR="00165998" w:rsidRPr="00442A3B" w:rsidRDefault="00165998" w:rsidP="00E54AAB">
      <w:pPr>
        <w:pStyle w:val="Caption"/>
      </w:pPr>
      <w:bookmarkStart w:id="160" w:name="_Toc62487283"/>
      <w:bookmarkStart w:id="161" w:name="_Toc62723813"/>
      <w:r w:rsidRPr="00442A3B">
        <w:t>Table 3</w:t>
      </w:r>
      <w:r w:rsidRPr="00442A3B">
        <w:noBreakHyphen/>
      </w:r>
      <w:r w:rsidRPr="00442A3B">
        <w:fldChar w:fldCharType="begin"/>
      </w:r>
      <w:r w:rsidRPr="00442A3B">
        <w:instrText>SEQ Table \* ARABIC</w:instrText>
      </w:r>
      <w:r w:rsidRPr="00442A3B">
        <w:fldChar w:fldCharType="separate"/>
      </w:r>
      <w:r w:rsidR="00FC3D3D">
        <w:rPr>
          <w:noProof/>
        </w:rPr>
        <w:t>2</w:t>
      </w:r>
      <w:r w:rsidRPr="00442A3B">
        <w:fldChar w:fldCharType="end"/>
      </w:r>
      <w:r w:rsidRPr="00442A3B">
        <w:tab/>
        <w:t xml:space="preserve">Change in </w:t>
      </w:r>
      <w:r w:rsidR="0007148C" w:rsidRPr="00442A3B">
        <w:t xml:space="preserve">estimated </w:t>
      </w:r>
      <w:r w:rsidRPr="00442A3B">
        <w:t xml:space="preserve">GST distribution </w:t>
      </w:r>
      <w:r w:rsidR="00984B47" w:rsidRPr="00442A3B">
        <w:t>from 2020-21 to 2021-22</w:t>
      </w:r>
      <w:r w:rsidRPr="00442A3B">
        <w:t>, Victoria</w:t>
      </w:r>
      <w:bookmarkEnd w:id="160"/>
      <w:bookmarkEnd w:id="161"/>
    </w:p>
    <w:tbl>
      <w:tblPr>
        <w:tblW w:w="8940" w:type="dxa"/>
        <w:tblCellMar>
          <w:left w:w="28" w:type="dxa"/>
          <w:right w:w="28" w:type="dxa"/>
        </w:tblCellMar>
        <w:tblLook w:val="04A0" w:firstRow="1" w:lastRow="0" w:firstColumn="1" w:lastColumn="0" w:noHBand="0" w:noVBand="1"/>
      </w:tblPr>
      <w:tblGrid>
        <w:gridCol w:w="4040"/>
        <w:gridCol w:w="2500"/>
        <w:gridCol w:w="2400"/>
      </w:tblGrid>
      <w:tr w:rsidR="005715F9" w:rsidRPr="00442A3B" w14:paraId="02A8A686" w14:textId="77777777" w:rsidTr="000605BC">
        <w:trPr>
          <w:trHeight w:val="259"/>
        </w:trPr>
        <w:tc>
          <w:tcPr>
            <w:tcW w:w="4040" w:type="dxa"/>
            <w:tcBorders>
              <w:top w:val="single" w:sz="4" w:space="0" w:color="ADD6EA"/>
              <w:left w:val="nil"/>
              <w:bottom w:val="single" w:sz="4" w:space="0" w:color="ADD6EA"/>
              <w:right w:val="nil"/>
            </w:tcBorders>
            <w:shd w:val="clear" w:color="000000" w:fill="006991"/>
            <w:noWrap/>
            <w:vAlign w:val="center"/>
            <w:hideMark/>
          </w:tcPr>
          <w:p w14:paraId="65A28CAC" w14:textId="77777777" w:rsidR="005715F9" w:rsidRPr="00442A3B" w:rsidRDefault="005715F9" w:rsidP="00B46C28">
            <w:pPr>
              <w:pStyle w:val="CGCTableHeading"/>
              <w:jc w:val="right"/>
              <w:rPr>
                <w:rFonts w:eastAsia="MS Mincho" w:cs="Open Sans Semibold"/>
                <w:color w:val="FFFFFF"/>
                <w:szCs w:val="16"/>
                <w:lang w:eastAsia="en-AU"/>
              </w:rPr>
            </w:pPr>
            <w:r w:rsidRPr="00442A3B">
              <w:rPr>
                <w:rFonts w:eastAsia="MS Mincho" w:cs="Open Sans Semibold"/>
                <w:color w:val="FFFFFF"/>
                <w:szCs w:val="16"/>
                <w:lang w:eastAsia="en-AU"/>
              </w:rPr>
              <w:t> </w:t>
            </w:r>
          </w:p>
        </w:tc>
        <w:tc>
          <w:tcPr>
            <w:tcW w:w="2500" w:type="dxa"/>
            <w:tcBorders>
              <w:top w:val="single" w:sz="4" w:space="0" w:color="ADD6EA"/>
              <w:left w:val="nil"/>
              <w:bottom w:val="single" w:sz="4" w:space="0" w:color="ADD6EA"/>
              <w:right w:val="nil"/>
            </w:tcBorders>
            <w:shd w:val="clear" w:color="000000" w:fill="006991"/>
            <w:noWrap/>
            <w:vAlign w:val="center"/>
            <w:hideMark/>
          </w:tcPr>
          <w:p w14:paraId="27FB8BC3" w14:textId="77777777" w:rsidR="005715F9" w:rsidRPr="00442A3B" w:rsidRDefault="005715F9" w:rsidP="00B46C28">
            <w:pPr>
              <w:pStyle w:val="CGCTableHeading"/>
              <w:jc w:val="right"/>
              <w:rPr>
                <w:rFonts w:eastAsia="MS Mincho" w:cs="Open Sans Semibold"/>
                <w:color w:val="FFFFFF"/>
                <w:szCs w:val="16"/>
                <w:lang w:eastAsia="en-AU"/>
              </w:rPr>
            </w:pPr>
            <w:r w:rsidRPr="00442A3B">
              <w:rPr>
                <w:rFonts w:eastAsia="MS Mincho" w:cs="Open Sans Semibold"/>
                <w:color w:val="FFFFFF"/>
                <w:szCs w:val="16"/>
                <w:lang w:eastAsia="en-AU"/>
              </w:rPr>
              <w:t>$m</w:t>
            </w:r>
          </w:p>
        </w:tc>
        <w:tc>
          <w:tcPr>
            <w:tcW w:w="2400" w:type="dxa"/>
            <w:tcBorders>
              <w:top w:val="single" w:sz="4" w:space="0" w:color="ADD6EA"/>
              <w:left w:val="nil"/>
              <w:bottom w:val="single" w:sz="4" w:space="0" w:color="ADD6EA"/>
              <w:right w:val="nil"/>
            </w:tcBorders>
            <w:shd w:val="clear" w:color="000000" w:fill="006991"/>
            <w:noWrap/>
            <w:vAlign w:val="center"/>
            <w:hideMark/>
          </w:tcPr>
          <w:p w14:paraId="782D732E" w14:textId="77777777" w:rsidR="005715F9" w:rsidRPr="00442A3B" w:rsidRDefault="005715F9" w:rsidP="00B46C28">
            <w:pPr>
              <w:pStyle w:val="CGCTableHeading"/>
              <w:jc w:val="right"/>
              <w:rPr>
                <w:rFonts w:eastAsia="MS Mincho" w:cs="Open Sans Semibold"/>
                <w:color w:val="FFFFFF"/>
                <w:szCs w:val="16"/>
                <w:lang w:eastAsia="en-AU"/>
              </w:rPr>
            </w:pPr>
            <w:r w:rsidRPr="00442A3B">
              <w:rPr>
                <w:rFonts w:eastAsia="MS Mincho" w:cs="Open Sans Semibold"/>
                <w:color w:val="FFFFFF"/>
                <w:szCs w:val="16"/>
                <w:lang w:eastAsia="en-AU"/>
              </w:rPr>
              <w:t>$pc</w:t>
            </w:r>
          </w:p>
        </w:tc>
      </w:tr>
      <w:tr w:rsidR="005715F9" w:rsidRPr="00442A3B" w14:paraId="34F604AB"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1B090B12" w14:textId="77777777" w:rsidR="005715F9" w:rsidRPr="00442A3B" w:rsidRDefault="005715F9" w:rsidP="0087506A">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Change in population</w:t>
            </w:r>
          </w:p>
        </w:tc>
        <w:tc>
          <w:tcPr>
            <w:tcW w:w="2500" w:type="dxa"/>
            <w:tcBorders>
              <w:top w:val="nil"/>
              <w:left w:val="nil"/>
              <w:bottom w:val="single" w:sz="4" w:space="0" w:color="ADD6EA"/>
              <w:right w:val="nil"/>
            </w:tcBorders>
            <w:shd w:val="clear" w:color="auto" w:fill="auto"/>
            <w:noWrap/>
            <w:vAlign w:val="bottom"/>
            <w:hideMark/>
          </w:tcPr>
          <w:p w14:paraId="44FA6158" w14:textId="77777777" w:rsidR="005715F9" w:rsidRPr="00442A3B" w:rsidRDefault="005715F9" w:rsidP="0087506A">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15</w:t>
            </w:r>
          </w:p>
        </w:tc>
        <w:tc>
          <w:tcPr>
            <w:tcW w:w="2400" w:type="dxa"/>
            <w:tcBorders>
              <w:top w:val="nil"/>
              <w:left w:val="nil"/>
              <w:bottom w:val="single" w:sz="4" w:space="0" w:color="ADD6EA"/>
              <w:right w:val="nil"/>
            </w:tcBorders>
            <w:shd w:val="clear" w:color="auto" w:fill="auto"/>
            <w:noWrap/>
            <w:vAlign w:val="bottom"/>
            <w:hideMark/>
          </w:tcPr>
          <w:p w14:paraId="54755977" w14:textId="77777777" w:rsidR="005715F9" w:rsidRPr="00442A3B" w:rsidRDefault="005715F9" w:rsidP="0087506A">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w:t>
            </w:r>
          </w:p>
        </w:tc>
      </w:tr>
      <w:tr w:rsidR="005715F9" w:rsidRPr="00442A3B" w14:paraId="49179A58"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5D1DF72D" w14:textId="77777777" w:rsidR="005715F9" w:rsidRPr="00442A3B" w:rsidRDefault="005715F9" w:rsidP="0087506A">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 xml:space="preserve">Growth in GST pool </w:t>
            </w:r>
          </w:p>
        </w:tc>
        <w:tc>
          <w:tcPr>
            <w:tcW w:w="2500" w:type="dxa"/>
            <w:tcBorders>
              <w:top w:val="nil"/>
              <w:left w:val="nil"/>
              <w:bottom w:val="single" w:sz="4" w:space="0" w:color="ADD6EA"/>
              <w:right w:val="nil"/>
            </w:tcBorders>
            <w:shd w:val="clear" w:color="auto" w:fill="auto"/>
            <w:noWrap/>
            <w:vAlign w:val="bottom"/>
            <w:hideMark/>
          </w:tcPr>
          <w:p w14:paraId="61A05821" w14:textId="77777777" w:rsidR="005715F9" w:rsidRPr="00442A3B" w:rsidRDefault="005715F9" w:rsidP="0087506A">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1,014</w:t>
            </w:r>
          </w:p>
        </w:tc>
        <w:tc>
          <w:tcPr>
            <w:tcW w:w="2400" w:type="dxa"/>
            <w:tcBorders>
              <w:top w:val="nil"/>
              <w:left w:val="nil"/>
              <w:bottom w:val="single" w:sz="4" w:space="0" w:color="ADD6EA"/>
              <w:right w:val="nil"/>
            </w:tcBorders>
            <w:shd w:val="clear" w:color="auto" w:fill="auto"/>
            <w:noWrap/>
            <w:vAlign w:val="bottom"/>
            <w:hideMark/>
          </w:tcPr>
          <w:p w14:paraId="5F61E192" w14:textId="77777777" w:rsidR="005715F9" w:rsidRPr="00442A3B" w:rsidRDefault="005715F9" w:rsidP="0087506A">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151</w:t>
            </w:r>
          </w:p>
        </w:tc>
      </w:tr>
      <w:tr w:rsidR="005715F9" w:rsidRPr="00442A3B" w14:paraId="2B5BB221"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298908EC" w14:textId="77777777" w:rsidR="005715F9" w:rsidRPr="00442A3B" w:rsidRDefault="005715F9" w:rsidP="0087506A">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Changes in relative fiscal capacity</w:t>
            </w:r>
          </w:p>
        </w:tc>
        <w:tc>
          <w:tcPr>
            <w:tcW w:w="2500" w:type="dxa"/>
            <w:tcBorders>
              <w:top w:val="nil"/>
              <w:left w:val="nil"/>
              <w:bottom w:val="single" w:sz="4" w:space="0" w:color="ADD6EA"/>
              <w:right w:val="nil"/>
            </w:tcBorders>
            <w:shd w:val="clear" w:color="auto" w:fill="auto"/>
            <w:noWrap/>
            <w:vAlign w:val="bottom"/>
            <w:hideMark/>
          </w:tcPr>
          <w:p w14:paraId="09280F3E" w14:textId="77777777" w:rsidR="005715F9" w:rsidRPr="00442A3B" w:rsidRDefault="005715F9" w:rsidP="0087506A">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 </w:t>
            </w:r>
          </w:p>
        </w:tc>
        <w:tc>
          <w:tcPr>
            <w:tcW w:w="2400" w:type="dxa"/>
            <w:tcBorders>
              <w:top w:val="nil"/>
              <w:left w:val="nil"/>
              <w:bottom w:val="single" w:sz="4" w:space="0" w:color="ADD6EA"/>
              <w:right w:val="nil"/>
            </w:tcBorders>
            <w:shd w:val="clear" w:color="auto" w:fill="auto"/>
            <w:noWrap/>
            <w:vAlign w:val="bottom"/>
            <w:hideMark/>
          </w:tcPr>
          <w:p w14:paraId="60DD7844" w14:textId="77777777" w:rsidR="005715F9" w:rsidRPr="00442A3B" w:rsidRDefault="005715F9" w:rsidP="0087506A">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 </w:t>
            </w:r>
          </w:p>
        </w:tc>
      </w:tr>
      <w:tr w:rsidR="005715F9" w:rsidRPr="00442A3B" w14:paraId="661BCBCC"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77CD6544" w14:textId="77777777" w:rsidR="005715F9" w:rsidRPr="00442A3B" w:rsidRDefault="005715F9" w:rsidP="0087506A">
            <w:pPr>
              <w:keepNext/>
              <w:keepLines/>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Data revisions</w:t>
            </w:r>
          </w:p>
        </w:tc>
        <w:tc>
          <w:tcPr>
            <w:tcW w:w="2500" w:type="dxa"/>
            <w:tcBorders>
              <w:top w:val="nil"/>
              <w:left w:val="nil"/>
              <w:bottom w:val="single" w:sz="4" w:space="0" w:color="ADD6EA"/>
              <w:right w:val="nil"/>
            </w:tcBorders>
            <w:shd w:val="clear" w:color="auto" w:fill="auto"/>
            <w:noWrap/>
            <w:vAlign w:val="bottom"/>
            <w:hideMark/>
          </w:tcPr>
          <w:p w14:paraId="1DB2D445" w14:textId="77777777" w:rsidR="005715F9" w:rsidRPr="00442A3B" w:rsidRDefault="005715F9" w:rsidP="0087506A">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-184</w:t>
            </w:r>
          </w:p>
        </w:tc>
        <w:tc>
          <w:tcPr>
            <w:tcW w:w="2400" w:type="dxa"/>
            <w:tcBorders>
              <w:top w:val="nil"/>
              <w:left w:val="nil"/>
              <w:bottom w:val="single" w:sz="4" w:space="0" w:color="ADD6EA"/>
              <w:right w:val="nil"/>
            </w:tcBorders>
            <w:shd w:val="clear" w:color="auto" w:fill="auto"/>
            <w:noWrap/>
            <w:vAlign w:val="bottom"/>
            <w:hideMark/>
          </w:tcPr>
          <w:p w14:paraId="70862A90" w14:textId="77777777" w:rsidR="005715F9" w:rsidRPr="00442A3B" w:rsidRDefault="005715F9" w:rsidP="0087506A">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-27</w:t>
            </w:r>
          </w:p>
        </w:tc>
      </w:tr>
      <w:tr w:rsidR="005715F9" w:rsidRPr="00442A3B" w14:paraId="6F053EB2"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53664A1E" w14:textId="77777777" w:rsidR="005715F9" w:rsidRPr="00442A3B" w:rsidRDefault="005715F9" w:rsidP="0087506A">
            <w:pPr>
              <w:keepNext/>
              <w:keepLines/>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State circumstances</w:t>
            </w:r>
          </w:p>
        </w:tc>
        <w:tc>
          <w:tcPr>
            <w:tcW w:w="2500" w:type="dxa"/>
            <w:tcBorders>
              <w:top w:val="nil"/>
              <w:left w:val="nil"/>
              <w:bottom w:val="single" w:sz="4" w:space="0" w:color="ADD6EA"/>
              <w:right w:val="nil"/>
            </w:tcBorders>
            <w:shd w:val="clear" w:color="auto" w:fill="auto"/>
            <w:noWrap/>
            <w:vAlign w:val="bottom"/>
            <w:hideMark/>
          </w:tcPr>
          <w:p w14:paraId="16364827" w14:textId="77777777" w:rsidR="005715F9" w:rsidRPr="00442A3B" w:rsidRDefault="005715F9" w:rsidP="0087506A">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-323</w:t>
            </w:r>
          </w:p>
        </w:tc>
        <w:tc>
          <w:tcPr>
            <w:tcW w:w="2400" w:type="dxa"/>
            <w:tcBorders>
              <w:top w:val="nil"/>
              <w:left w:val="nil"/>
              <w:bottom w:val="single" w:sz="4" w:space="0" w:color="ADD6EA"/>
              <w:right w:val="nil"/>
            </w:tcBorders>
            <w:shd w:val="clear" w:color="auto" w:fill="auto"/>
            <w:noWrap/>
            <w:vAlign w:val="bottom"/>
            <w:hideMark/>
          </w:tcPr>
          <w:p w14:paraId="3B7ABF2F" w14:textId="77777777" w:rsidR="005715F9" w:rsidRPr="00442A3B" w:rsidRDefault="005715F9" w:rsidP="0087506A">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-48</w:t>
            </w:r>
          </w:p>
        </w:tc>
      </w:tr>
      <w:tr w:rsidR="005715F9" w:rsidRPr="00442A3B" w14:paraId="04D21A3F"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37431D96" w14:textId="77777777" w:rsidR="005715F9" w:rsidRPr="00442A3B" w:rsidRDefault="005715F9" w:rsidP="0087506A">
            <w:pPr>
              <w:keepNext/>
              <w:keepLines/>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Total</w:t>
            </w:r>
          </w:p>
        </w:tc>
        <w:tc>
          <w:tcPr>
            <w:tcW w:w="2500" w:type="dxa"/>
            <w:tcBorders>
              <w:top w:val="nil"/>
              <w:left w:val="nil"/>
              <w:bottom w:val="single" w:sz="4" w:space="0" w:color="ADD6EA"/>
              <w:right w:val="nil"/>
            </w:tcBorders>
            <w:shd w:val="clear" w:color="auto" w:fill="auto"/>
            <w:noWrap/>
            <w:vAlign w:val="bottom"/>
            <w:hideMark/>
          </w:tcPr>
          <w:p w14:paraId="24D2E520" w14:textId="77777777" w:rsidR="005715F9" w:rsidRPr="00442A3B" w:rsidRDefault="005715F9" w:rsidP="0087506A">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-507</w:t>
            </w:r>
          </w:p>
        </w:tc>
        <w:tc>
          <w:tcPr>
            <w:tcW w:w="2400" w:type="dxa"/>
            <w:tcBorders>
              <w:top w:val="nil"/>
              <w:left w:val="nil"/>
              <w:bottom w:val="single" w:sz="4" w:space="0" w:color="ADD6EA"/>
              <w:right w:val="nil"/>
            </w:tcBorders>
            <w:shd w:val="clear" w:color="auto" w:fill="auto"/>
            <w:noWrap/>
            <w:vAlign w:val="bottom"/>
            <w:hideMark/>
          </w:tcPr>
          <w:p w14:paraId="49ACCA1A" w14:textId="77777777" w:rsidR="005715F9" w:rsidRPr="00442A3B" w:rsidRDefault="005715F9" w:rsidP="0087506A">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-75</w:t>
            </w:r>
          </w:p>
        </w:tc>
      </w:tr>
      <w:tr w:rsidR="005715F9" w:rsidRPr="00442A3B" w14:paraId="51D6C59C"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0B458B5A" w14:textId="0E505B48" w:rsidR="005715F9" w:rsidRPr="00442A3B" w:rsidRDefault="005715F9" w:rsidP="0087506A">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Transition to new arrangements</w:t>
            </w:r>
            <w:r w:rsidR="0089761B" w:rsidRPr="00442A3B">
              <w:rPr>
                <w:rFonts w:eastAsia="Times New Roman" w:cs="Open Sans Light"/>
                <w:sz w:val="16"/>
                <w:szCs w:val="16"/>
                <w:lang w:eastAsia="en-AU"/>
              </w:rPr>
              <w:t xml:space="preserve"> (a)</w:t>
            </w:r>
          </w:p>
        </w:tc>
        <w:tc>
          <w:tcPr>
            <w:tcW w:w="2500" w:type="dxa"/>
            <w:tcBorders>
              <w:top w:val="nil"/>
              <w:left w:val="nil"/>
              <w:bottom w:val="single" w:sz="4" w:space="0" w:color="ADD6EA"/>
              <w:right w:val="nil"/>
            </w:tcBorders>
            <w:shd w:val="clear" w:color="auto" w:fill="auto"/>
            <w:noWrap/>
            <w:vAlign w:val="bottom"/>
            <w:hideMark/>
          </w:tcPr>
          <w:p w14:paraId="05FFB279" w14:textId="77777777" w:rsidR="005715F9" w:rsidRPr="00442A3B" w:rsidRDefault="005715F9" w:rsidP="0087506A">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-179</w:t>
            </w:r>
          </w:p>
        </w:tc>
        <w:tc>
          <w:tcPr>
            <w:tcW w:w="2400" w:type="dxa"/>
            <w:tcBorders>
              <w:top w:val="nil"/>
              <w:left w:val="nil"/>
              <w:bottom w:val="single" w:sz="4" w:space="0" w:color="ADD6EA"/>
              <w:right w:val="nil"/>
            </w:tcBorders>
            <w:shd w:val="clear" w:color="auto" w:fill="auto"/>
            <w:noWrap/>
            <w:vAlign w:val="bottom"/>
            <w:hideMark/>
          </w:tcPr>
          <w:p w14:paraId="3D6E76F7" w14:textId="77777777" w:rsidR="005715F9" w:rsidRPr="00442A3B" w:rsidRDefault="005715F9" w:rsidP="0087506A">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-27</w:t>
            </w:r>
          </w:p>
        </w:tc>
      </w:tr>
      <w:tr w:rsidR="005715F9" w:rsidRPr="00442A3B" w14:paraId="398BEA57" w14:textId="77777777" w:rsidTr="000605BC">
        <w:trPr>
          <w:trHeight w:val="315"/>
        </w:trPr>
        <w:tc>
          <w:tcPr>
            <w:tcW w:w="4040" w:type="dxa"/>
            <w:tcBorders>
              <w:top w:val="nil"/>
              <w:left w:val="nil"/>
              <w:bottom w:val="single" w:sz="4" w:space="0" w:color="ADD6EA"/>
              <w:right w:val="nil"/>
            </w:tcBorders>
            <w:shd w:val="clear" w:color="000000" w:fill="D6E7F0"/>
            <w:noWrap/>
            <w:vAlign w:val="bottom"/>
            <w:hideMark/>
          </w:tcPr>
          <w:p w14:paraId="3767D062" w14:textId="77777777" w:rsidR="005715F9" w:rsidRPr="00442A3B" w:rsidRDefault="005715F9" w:rsidP="0087506A">
            <w:pPr>
              <w:pStyle w:val="CGCTablesubhead1"/>
              <w:keepNext/>
              <w:keepLines/>
              <w:rPr>
                <w:rFonts w:eastAsia="MS Mincho" w:cs="Open Sans Semibold"/>
                <w:color w:val="000000"/>
                <w:szCs w:val="16"/>
                <w:lang w:eastAsia="en-AU"/>
              </w:rPr>
            </w:pPr>
            <w:r w:rsidRPr="00442A3B">
              <w:rPr>
                <w:rFonts w:eastAsia="MS Mincho" w:cs="Open Sans Semibold"/>
                <w:color w:val="000000"/>
                <w:szCs w:val="16"/>
                <w:lang w:eastAsia="en-AU"/>
              </w:rPr>
              <w:t>Total change</w:t>
            </w:r>
          </w:p>
        </w:tc>
        <w:tc>
          <w:tcPr>
            <w:tcW w:w="2500" w:type="dxa"/>
            <w:tcBorders>
              <w:top w:val="nil"/>
              <w:left w:val="nil"/>
              <w:bottom w:val="single" w:sz="4" w:space="0" w:color="ADD6EA"/>
              <w:right w:val="nil"/>
            </w:tcBorders>
            <w:shd w:val="clear" w:color="000000" w:fill="D6E7F0"/>
            <w:noWrap/>
            <w:vAlign w:val="bottom"/>
            <w:hideMark/>
          </w:tcPr>
          <w:p w14:paraId="24B209DC" w14:textId="77777777" w:rsidR="005715F9" w:rsidRPr="00442A3B" w:rsidRDefault="005715F9" w:rsidP="0087506A">
            <w:pPr>
              <w:pStyle w:val="CGCTablesubhead1"/>
              <w:keepNext/>
              <w:keepLines/>
              <w:jc w:val="right"/>
              <w:rPr>
                <w:rFonts w:eastAsia="MS Mincho" w:cs="Open Sans Semibold"/>
                <w:color w:val="000000"/>
                <w:szCs w:val="16"/>
                <w:lang w:eastAsia="en-AU"/>
              </w:rPr>
            </w:pPr>
            <w:r w:rsidRPr="00442A3B">
              <w:rPr>
                <w:rFonts w:eastAsia="MS Mincho" w:cs="Open Sans Semibold"/>
                <w:color w:val="000000"/>
                <w:szCs w:val="16"/>
                <w:lang w:eastAsia="en-AU"/>
              </w:rPr>
              <w:t>344</w:t>
            </w:r>
          </w:p>
        </w:tc>
        <w:tc>
          <w:tcPr>
            <w:tcW w:w="2400" w:type="dxa"/>
            <w:tcBorders>
              <w:top w:val="nil"/>
              <w:left w:val="nil"/>
              <w:bottom w:val="single" w:sz="4" w:space="0" w:color="ADD6EA"/>
              <w:right w:val="nil"/>
            </w:tcBorders>
            <w:shd w:val="clear" w:color="000000" w:fill="D6E7F0"/>
            <w:noWrap/>
            <w:vAlign w:val="bottom"/>
            <w:hideMark/>
          </w:tcPr>
          <w:p w14:paraId="5D30F09F" w14:textId="77777777" w:rsidR="005715F9" w:rsidRPr="00442A3B" w:rsidRDefault="005715F9" w:rsidP="0087506A">
            <w:pPr>
              <w:pStyle w:val="CGCTablesubhead1"/>
              <w:keepNext/>
              <w:keepLines/>
              <w:jc w:val="right"/>
              <w:rPr>
                <w:rFonts w:eastAsia="MS Mincho" w:cs="Open Sans Semibold"/>
                <w:color w:val="000000"/>
                <w:szCs w:val="16"/>
                <w:lang w:eastAsia="en-AU"/>
              </w:rPr>
            </w:pPr>
            <w:r w:rsidRPr="00442A3B">
              <w:rPr>
                <w:rFonts w:eastAsia="MS Mincho" w:cs="Open Sans Semibold"/>
                <w:color w:val="000000"/>
                <w:szCs w:val="16"/>
                <w:lang w:eastAsia="en-AU"/>
              </w:rPr>
              <w:t>51</w:t>
            </w:r>
          </w:p>
        </w:tc>
      </w:tr>
    </w:tbl>
    <w:p w14:paraId="31BB2CBF" w14:textId="77777777" w:rsidR="004B2D0E" w:rsidRPr="00442A3B" w:rsidRDefault="004B2D0E" w:rsidP="004B2D0E">
      <w:pPr>
        <w:pStyle w:val="CGCTablenote"/>
        <w:keepNext/>
        <w:keepLines/>
      </w:pPr>
      <w:r w:rsidRPr="00442A3B">
        <w:t>Note:</w:t>
      </w:r>
      <w:r w:rsidRPr="00442A3B">
        <w:tab/>
        <w:t>Table may not add due to rounding.</w:t>
      </w:r>
    </w:p>
    <w:p w14:paraId="38A9CBFC" w14:textId="77777777" w:rsidR="00E54AAB" w:rsidRPr="00442A3B" w:rsidRDefault="00E54AAB" w:rsidP="00E54AAB">
      <w:pPr>
        <w:pStyle w:val="CGCTablenote"/>
      </w:pPr>
      <w:r w:rsidRPr="00442A3B">
        <w:t>(a)</w:t>
      </w:r>
      <w:r w:rsidRPr="00442A3B">
        <w:tab/>
        <w:t>This represents the difference between applying the GST relativities and relative fiscal capacities to the GST pool. It is not the basis of the ‘no worse off’ calculation, which is a State’s relative fiscal capacity applied to the GST pool without the top-up.</w:t>
      </w:r>
    </w:p>
    <w:p w14:paraId="2A847B81" w14:textId="77777777" w:rsidR="00165998" w:rsidRPr="00442A3B" w:rsidRDefault="00165998" w:rsidP="00FA6BCB">
      <w:pPr>
        <w:pStyle w:val="CGCTablenote"/>
        <w:keepNext/>
        <w:keepLines/>
      </w:pPr>
      <w:r w:rsidRPr="00442A3B">
        <w:t>Source:</w:t>
      </w:r>
      <w:r w:rsidRPr="00442A3B">
        <w:tab/>
        <w:t>Commission calculation.</w:t>
      </w:r>
    </w:p>
    <w:p w14:paraId="3782C487" w14:textId="6BC3EDDE" w:rsidR="00165998" w:rsidRPr="00442A3B" w:rsidRDefault="00165998" w:rsidP="00E54AAB">
      <w:pPr>
        <w:pStyle w:val="Caption"/>
      </w:pPr>
      <w:bookmarkStart w:id="162" w:name="_Toc62487173"/>
      <w:bookmarkStart w:id="163" w:name="_Toc62487329"/>
      <w:r w:rsidRPr="00442A3B">
        <w:t>Figure 3</w:t>
      </w:r>
      <w:r w:rsidRPr="00442A3B">
        <w:noBreakHyphen/>
      </w:r>
      <w:r w:rsidRPr="00442A3B">
        <w:fldChar w:fldCharType="begin"/>
      </w:r>
      <w:r w:rsidRPr="00442A3B">
        <w:instrText>SEQ</w:instrText>
      </w:r>
      <w:r w:rsidR="001F0275" w:rsidRPr="00442A3B">
        <w:instrText xml:space="preserve"> </w:instrText>
      </w:r>
      <w:r w:rsidR="00C11D3C" w:rsidRPr="00442A3B">
        <w:instrText>Figure</w:instrText>
      </w:r>
      <w:r w:rsidRPr="00442A3B">
        <w:instrText xml:space="preserve"> \* ARABIC</w:instrText>
      </w:r>
      <w:r w:rsidRPr="00442A3B">
        <w:fldChar w:fldCharType="separate"/>
      </w:r>
      <w:r w:rsidR="00FC3D3D">
        <w:rPr>
          <w:noProof/>
        </w:rPr>
        <w:t>3</w:t>
      </w:r>
      <w:r w:rsidRPr="00442A3B">
        <w:fldChar w:fldCharType="end"/>
      </w:r>
      <w:r w:rsidRPr="00442A3B">
        <w:tab/>
        <w:t xml:space="preserve">Main changes for Victoria, </w:t>
      </w:r>
      <w:r w:rsidR="00823F3E" w:rsidRPr="00442A3B">
        <w:t>2021 Update</w:t>
      </w:r>
      <w:bookmarkEnd w:id="162"/>
      <w:bookmarkEnd w:id="163"/>
    </w:p>
    <w:p w14:paraId="2EBA3F84" w14:textId="1F1FD1C1" w:rsidR="00165998" w:rsidRPr="00442A3B" w:rsidRDefault="003B780A" w:rsidP="00437184">
      <w:pPr>
        <w:spacing w:before="0"/>
      </w:pPr>
      <w:r w:rsidRPr="00442A3B">
        <w:rPr>
          <w:noProof/>
        </w:rPr>
        <w:drawing>
          <wp:inline distT="0" distB="0" distL="0" distR="0" wp14:anchorId="137B3E47" wp14:editId="78904E74">
            <wp:extent cx="5688965" cy="3408045"/>
            <wp:effectExtent l="0" t="0" r="6985" b="1905"/>
            <wp:docPr id="33" name="Picture 33" descr="Data revisions: Taxable payrolls -$189; Natural disaster relief $102. Changes in circumstances: Mining $389; Property sales -$210; Growth in expenses -$194; Net borrowing -$64; Taxable payroll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ata revisions: Taxable payrolls -$189; Natural disaster relief $102. Changes in circumstances: Mining $389; Property sales -$210; Growth in expenses -$194; Net borrowing -$64; Taxable payrolls -$6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88965" cy="3408045"/>
                    </a:xfrm>
                    <a:prstGeom prst="rect">
                      <a:avLst/>
                    </a:prstGeom>
                    <a:noFill/>
                    <a:ln>
                      <a:noFill/>
                    </a:ln>
                  </pic:spPr>
                </pic:pic>
              </a:graphicData>
            </a:graphic>
          </wp:inline>
        </w:drawing>
      </w:r>
    </w:p>
    <w:p w14:paraId="3A2387F1" w14:textId="6849E8B9" w:rsidR="00165998" w:rsidRPr="00442A3B" w:rsidRDefault="00165998" w:rsidP="00437184">
      <w:pPr>
        <w:pStyle w:val="CGCTablenote"/>
        <w:keepNext/>
        <w:keepLines/>
        <w:spacing w:before="0"/>
      </w:pPr>
      <w:r w:rsidRPr="00442A3B">
        <w:t>Source:</w:t>
      </w:r>
      <w:r w:rsidRPr="00442A3B">
        <w:tab/>
        <w:t>Commission calculation.</w:t>
      </w:r>
    </w:p>
    <w:p w14:paraId="0022EBFE" w14:textId="77777777" w:rsidR="00165998" w:rsidRPr="00442A3B" w:rsidRDefault="00165998" w:rsidP="00437184">
      <w:pPr>
        <w:pStyle w:val="CGCTablenote"/>
        <w:spacing w:before="0"/>
        <w:sectPr w:rsidR="00165998" w:rsidRPr="00442A3B" w:rsidSect="009226EA">
          <w:headerReference w:type="default" r:id="rId74"/>
          <w:headerReference w:type="first" r:id="rId75"/>
          <w:footnotePr>
            <w:numRestart w:val="eachSect"/>
          </w:footnotePr>
          <w:pgSz w:w="11907" w:h="16840" w:code="9"/>
          <w:pgMar w:top="1418" w:right="1474" w:bottom="1134" w:left="1474" w:header="567" w:footer="567" w:gutter="0"/>
          <w:cols w:space="720"/>
          <w:titlePg/>
          <w:docGrid w:linePitch="360"/>
        </w:sectPr>
      </w:pPr>
    </w:p>
    <w:p w14:paraId="56C40EAB" w14:textId="77777777" w:rsidR="00165998" w:rsidRPr="00442A3B" w:rsidRDefault="00165998" w:rsidP="00165998">
      <w:pPr>
        <w:pStyle w:val="Heading3"/>
        <w:spacing w:before="120"/>
      </w:pPr>
      <w:bookmarkStart w:id="164" w:name="_Toc65050537"/>
      <w:r w:rsidRPr="00442A3B">
        <w:lastRenderedPageBreak/>
        <w:t>Queensland</w:t>
      </w:r>
      <w:bookmarkEnd w:id="164"/>
    </w:p>
    <w:p w14:paraId="4A1E34B5" w14:textId="269F1DB4" w:rsidR="00EF2ACF" w:rsidRPr="00442A3B" w:rsidRDefault="00EF2ACF" w:rsidP="00E54AAB">
      <w:r w:rsidRPr="00442A3B">
        <w:t>Under the new GST relativities, which include the transition arrangements,</w:t>
      </w:r>
      <w:r w:rsidR="00823ACA" w:rsidRPr="00442A3B">
        <w:t xml:space="preserve"> Queensland’s GST </w:t>
      </w:r>
      <w:r w:rsidR="000B218A" w:rsidRPr="00442A3B">
        <w:t xml:space="preserve">pool </w:t>
      </w:r>
      <w:r w:rsidR="00823ACA" w:rsidRPr="00442A3B">
        <w:t>share would increase slightly from 21.2% to 21.5%, increasing its GST entitlement in 2021</w:t>
      </w:r>
      <w:r w:rsidR="00823ACA" w:rsidRPr="00442A3B">
        <w:noBreakHyphen/>
        <w:t xml:space="preserve">22 by </w:t>
      </w:r>
      <w:r w:rsidR="0082162B" w:rsidRPr="00442A3B">
        <w:t xml:space="preserve">an estimated </w:t>
      </w:r>
      <w:r w:rsidR="00823ACA" w:rsidRPr="00442A3B">
        <w:t>$1,023 million, or 7.6%.</w:t>
      </w:r>
    </w:p>
    <w:p w14:paraId="709F25A5" w14:textId="12437BBA" w:rsidR="005610EE" w:rsidRPr="00442A3B" w:rsidRDefault="00165998" w:rsidP="00E54AAB">
      <w:r w:rsidRPr="00442A3B">
        <w:t xml:space="preserve">Queensland’s </w:t>
      </w:r>
      <w:r w:rsidR="007A4E7F" w:rsidRPr="00442A3B">
        <w:t xml:space="preserve">GST </w:t>
      </w:r>
      <w:r w:rsidR="002524DA" w:rsidRPr="00442A3B">
        <w:t>pool</w:t>
      </w:r>
      <w:r w:rsidR="007A4E7F" w:rsidRPr="00442A3B">
        <w:t xml:space="preserve"> requirement increased</w:t>
      </w:r>
      <w:r w:rsidR="007C7F69" w:rsidRPr="00442A3B">
        <w:t xml:space="preserve">. Western Australia’s increase in mining royalties contributed to this, </w:t>
      </w:r>
      <w:r w:rsidR="004663CA" w:rsidRPr="00442A3B">
        <w:t xml:space="preserve">by reducing Queensland’s </w:t>
      </w:r>
      <w:r w:rsidR="001D2924" w:rsidRPr="00442A3B">
        <w:t>relative capacity to generate mining revenue. B</w:t>
      </w:r>
      <w:r w:rsidR="00692918" w:rsidRPr="00442A3B">
        <w:t xml:space="preserve">elow average growth in the value of property sales and </w:t>
      </w:r>
      <w:r w:rsidR="00E26A0C" w:rsidRPr="00442A3B">
        <w:t xml:space="preserve">higher growth in </w:t>
      </w:r>
      <w:r w:rsidR="00C62C7C" w:rsidRPr="00442A3B">
        <w:t>national land tax revenue</w:t>
      </w:r>
      <w:r w:rsidR="001D13A1" w:rsidRPr="00442A3B">
        <w:t xml:space="preserve"> also increased </w:t>
      </w:r>
      <w:r w:rsidR="008B63B6" w:rsidRPr="00442A3B">
        <w:t xml:space="preserve">its </w:t>
      </w:r>
      <w:r w:rsidR="007E3789" w:rsidRPr="00442A3B">
        <w:t>assessed needs</w:t>
      </w:r>
      <w:r w:rsidRPr="00442A3B">
        <w:t>. These changes were partly offset by revisions to State natural disaster relief expenses</w:t>
      </w:r>
      <w:r w:rsidR="00710011" w:rsidRPr="00442A3B">
        <w:t xml:space="preserve"> and above average growth in Commonwealth payments</w:t>
      </w:r>
      <w:r w:rsidRPr="00442A3B">
        <w:t xml:space="preserve">. </w:t>
      </w:r>
    </w:p>
    <w:p w14:paraId="7F04C94F" w14:textId="71A5EA49" w:rsidR="00165998" w:rsidRPr="00442A3B" w:rsidRDefault="00165998" w:rsidP="00E54AAB">
      <w:pPr>
        <w:pStyle w:val="Caption"/>
      </w:pPr>
      <w:bookmarkStart w:id="165" w:name="_Toc62487284"/>
      <w:bookmarkStart w:id="166" w:name="_Toc62723814"/>
      <w:r w:rsidRPr="00442A3B">
        <w:t>Table 3</w:t>
      </w:r>
      <w:r w:rsidRPr="00442A3B">
        <w:noBreakHyphen/>
      </w:r>
      <w:r w:rsidRPr="00442A3B">
        <w:fldChar w:fldCharType="begin"/>
      </w:r>
      <w:r w:rsidRPr="00442A3B">
        <w:instrText>SEQ Table \* ARABIC</w:instrText>
      </w:r>
      <w:r w:rsidRPr="00442A3B">
        <w:fldChar w:fldCharType="separate"/>
      </w:r>
      <w:r w:rsidR="00FC3D3D">
        <w:rPr>
          <w:noProof/>
        </w:rPr>
        <w:t>3</w:t>
      </w:r>
      <w:r w:rsidRPr="00442A3B">
        <w:fldChar w:fldCharType="end"/>
      </w:r>
      <w:r w:rsidRPr="00442A3B">
        <w:tab/>
        <w:t xml:space="preserve">Change in </w:t>
      </w:r>
      <w:r w:rsidR="0007148C" w:rsidRPr="00442A3B">
        <w:t xml:space="preserve">estimated </w:t>
      </w:r>
      <w:r w:rsidRPr="00442A3B">
        <w:t xml:space="preserve">GST distribution </w:t>
      </w:r>
      <w:r w:rsidR="000B5A80" w:rsidRPr="00442A3B">
        <w:t>from 20</w:t>
      </w:r>
      <w:r w:rsidR="009F54E0" w:rsidRPr="00442A3B">
        <w:t>20-21 to 2021-22</w:t>
      </w:r>
      <w:r w:rsidRPr="00442A3B">
        <w:t>, Queensland</w:t>
      </w:r>
      <w:bookmarkEnd w:id="165"/>
      <w:bookmarkEnd w:id="166"/>
    </w:p>
    <w:tbl>
      <w:tblPr>
        <w:tblW w:w="8940" w:type="dxa"/>
        <w:tblCellMar>
          <w:left w:w="28" w:type="dxa"/>
          <w:right w:w="28" w:type="dxa"/>
        </w:tblCellMar>
        <w:tblLook w:val="04A0" w:firstRow="1" w:lastRow="0" w:firstColumn="1" w:lastColumn="0" w:noHBand="0" w:noVBand="1"/>
      </w:tblPr>
      <w:tblGrid>
        <w:gridCol w:w="4040"/>
        <w:gridCol w:w="2500"/>
        <w:gridCol w:w="2400"/>
      </w:tblGrid>
      <w:tr w:rsidR="00FB5281" w:rsidRPr="00442A3B" w14:paraId="6290D17F" w14:textId="77777777" w:rsidTr="000605BC">
        <w:trPr>
          <w:trHeight w:val="259"/>
        </w:trPr>
        <w:tc>
          <w:tcPr>
            <w:tcW w:w="4040" w:type="dxa"/>
            <w:tcBorders>
              <w:top w:val="single" w:sz="4" w:space="0" w:color="ADD6EA"/>
              <w:left w:val="nil"/>
              <w:bottom w:val="single" w:sz="4" w:space="0" w:color="ADD6EA"/>
              <w:right w:val="nil"/>
            </w:tcBorders>
            <w:shd w:val="clear" w:color="000000" w:fill="006991"/>
            <w:noWrap/>
            <w:vAlign w:val="center"/>
            <w:hideMark/>
          </w:tcPr>
          <w:p w14:paraId="644F0976" w14:textId="77777777" w:rsidR="00FB5281" w:rsidRPr="00442A3B" w:rsidRDefault="00FB5281" w:rsidP="002457A7">
            <w:pPr>
              <w:pStyle w:val="CGCTableHeading"/>
              <w:jc w:val="right"/>
              <w:rPr>
                <w:rFonts w:eastAsia="MS Mincho" w:cs="Open Sans Semibold"/>
                <w:color w:val="FFFFFF"/>
                <w:szCs w:val="16"/>
                <w:lang w:eastAsia="en-AU"/>
              </w:rPr>
            </w:pPr>
            <w:r w:rsidRPr="00442A3B">
              <w:rPr>
                <w:rFonts w:eastAsia="MS Mincho" w:cs="Open Sans Semibold"/>
                <w:color w:val="FFFFFF"/>
                <w:szCs w:val="16"/>
                <w:lang w:eastAsia="en-AU"/>
              </w:rPr>
              <w:t> </w:t>
            </w:r>
          </w:p>
        </w:tc>
        <w:tc>
          <w:tcPr>
            <w:tcW w:w="2500" w:type="dxa"/>
            <w:tcBorders>
              <w:top w:val="single" w:sz="4" w:space="0" w:color="ADD6EA"/>
              <w:left w:val="nil"/>
              <w:bottom w:val="single" w:sz="4" w:space="0" w:color="ADD6EA"/>
              <w:right w:val="nil"/>
            </w:tcBorders>
            <w:shd w:val="clear" w:color="000000" w:fill="006991"/>
            <w:noWrap/>
            <w:vAlign w:val="center"/>
            <w:hideMark/>
          </w:tcPr>
          <w:p w14:paraId="472AE349" w14:textId="77777777" w:rsidR="00FB5281" w:rsidRPr="00442A3B" w:rsidRDefault="00FB5281" w:rsidP="002457A7">
            <w:pPr>
              <w:pStyle w:val="CGCTableHeading"/>
              <w:jc w:val="right"/>
              <w:rPr>
                <w:rFonts w:eastAsia="MS Mincho" w:cs="Open Sans Semibold"/>
                <w:color w:val="FFFFFF"/>
                <w:szCs w:val="16"/>
                <w:lang w:eastAsia="en-AU"/>
              </w:rPr>
            </w:pPr>
            <w:r w:rsidRPr="00442A3B">
              <w:rPr>
                <w:rFonts w:eastAsia="MS Mincho" w:cs="Open Sans Semibold"/>
                <w:color w:val="FFFFFF"/>
                <w:szCs w:val="16"/>
                <w:lang w:eastAsia="en-AU"/>
              </w:rPr>
              <w:t>$m</w:t>
            </w:r>
          </w:p>
        </w:tc>
        <w:tc>
          <w:tcPr>
            <w:tcW w:w="2400" w:type="dxa"/>
            <w:tcBorders>
              <w:top w:val="single" w:sz="4" w:space="0" w:color="ADD6EA"/>
              <w:left w:val="nil"/>
              <w:bottom w:val="single" w:sz="4" w:space="0" w:color="ADD6EA"/>
              <w:right w:val="nil"/>
            </w:tcBorders>
            <w:shd w:val="clear" w:color="000000" w:fill="006991"/>
            <w:noWrap/>
            <w:vAlign w:val="center"/>
            <w:hideMark/>
          </w:tcPr>
          <w:p w14:paraId="535E452E" w14:textId="77777777" w:rsidR="00FB5281" w:rsidRPr="00442A3B" w:rsidRDefault="00FB5281" w:rsidP="002457A7">
            <w:pPr>
              <w:pStyle w:val="CGCTableHeading"/>
              <w:jc w:val="right"/>
              <w:rPr>
                <w:rFonts w:eastAsia="MS Mincho" w:cs="Open Sans Semibold"/>
                <w:color w:val="FFFFFF"/>
                <w:szCs w:val="16"/>
                <w:lang w:eastAsia="en-AU"/>
              </w:rPr>
            </w:pPr>
            <w:r w:rsidRPr="00442A3B">
              <w:rPr>
                <w:rFonts w:eastAsia="MS Mincho" w:cs="Open Sans Semibold"/>
                <w:color w:val="FFFFFF"/>
                <w:szCs w:val="16"/>
                <w:lang w:eastAsia="en-AU"/>
              </w:rPr>
              <w:t>$pc</w:t>
            </w:r>
          </w:p>
        </w:tc>
      </w:tr>
      <w:tr w:rsidR="00FB5281" w:rsidRPr="00442A3B" w14:paraId="78855B8D"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68C1E288" w14:textId="77777777" w:rsidR="00FB5281" w:rsidRPr="00442A3B" w:rsidRDefault="00FB5281" w:rsidP="00FB5281">
            <w:pPr>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Change in population</w:t>
            </w:r>
          </w:p>
        </w:tc>
        <w:tc>
          <w:tcPr>
            <w:tcW w:w="2500" w:type="dxa"/>
            <w:tcBorders>
              <w:top w:val="nil"/>
              <w:left w:val="nil"/>
              <w:bottom w:val="single" w:sz="4" w:space="0" w:color="ADD6EA"/>
              <w:right w:val="nil"/>
            </w:tcBorders>
            <w:shd w:val="clear" w:color="auto" w:fill="auto"/>
            <w:noWrap/>
            <w:vAlign w:val="bottom"/>
            <w:hideMark/>
          </w:tcPr>
          <w:p w14:paraId="711C5CBC" w14:textId="77777777" w:rsidR="00FB5281" w:rsidRPr="00442A3B" w:rsidRDefault="00FB5281" w:rsidP="00FB5281">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64</w:t>
            </w:r>
          </w:p>
        </w:tc>
        <w:tc>
          <w:tcPr>
            <w:tcW w:w="2400" w:type="dxa"/>
            <w:tcBorders>
              <w:top w:val="nil"/>
              <w:left w:val="nil"/>
              <w:bottom w:val="single" w:sz="4" w:space="0" w:color="ADD6EA"/>
              <w:right w:val="nil"/>
            </w:tcBorders>
            <w:shd w:val="clear" w:color="auto" w:fill="auto"/>
            <w:noWrap/>
            <w:vAlign w:val="bottom"/>
            <w:hideMark/>
          </w:tcPr>
          <w:p w14:paraId="681E96A0" w14:textId="77777777" w:rsidR="00FB5281" w:rsidRPr="00442A3B" w:rsidRDefault="00FB5281" w:rsidP="00FB5281">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12</w:t>
            </w:r>
          </w:p>
        </w:tc>
      </w:tr>
      <w:tr w:rsidR="00FB5281" w:rsidRPr="00442A3B" w14:paraId="387F1D5D"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2F1631DA" w14:textId="77777777" w:rsidR="00FB5281" w:rsidRPr="00442A3B" w:rsidRDefault="00FB5281" w:rsidP="00FB5281">
            <w:pPr>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 xml:space="preserve">Growth in GST pool </w:t>
            </w:r>
          </w:p>
        </w:tc>
        <w:tc>
          <w:tcPr>
            <w:tcW w:w="2500" w:type="dxa"/>
            <w:tcBorders>
              <w:top w:val="nil"/>
              <w:left w:val="nil"/>
              <w:bottom w:val="single" w:sz="4" w:space="0" w:color="ADD6EA"/>
              <w:right w:val="nil"/>
            </w:tcBorders>
            <w:shd w:val="clear" w:color="auto" w:fill="auto"/>
            <w:noWrap/>
            <w:vAlign w:val="bottom"/>
            <w:hideMark/>
          </w:tcPr>
          <w:p w14:paraId="018334F7" w14:textId="77777777" w:rsidR="00FB5281" w:rsidRPr="00442A3B" w:rsidRDefault="00FB5281" w:rsidP="00FB5281">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858</w:t>
            </w:r>
          </w:p>
        </w:tc>
        <w:tc>
          <w:tcPr>
            <w:tcW w:w="2400" w:type="dxa"/>
            <w:tcBorders>
              <w:top w:val="nil"/>
              <w:left w:val="nil"/>
              <w:bottom w:val="single" w:sz="4" w:space="0" w:color="ADD6EA"/>
              <w:right w:val="nil"/>
            </w:tcBorders>
            <w:shd w:val="clear" w:color="auto" w:fill="auto"/>
            <w:noWrap/>
            <w:vAlign w:val="bottom"/>
            <w:hideMark/>
          </w:tcPr>
          <w:p w14:paraId="2193A71F" w14:textId="77777777" w:rsidR="00FB5281" w:rsidRPr="00442A3B" w:rsidRDefault="00FB5281" w:rsidP="00FB5281">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165</w:t>
            </w:r>
          </w:p>
        </w:tc>
      </w:tr>
      <w:tr w:rsidR="00FB5281" w:rsidRPr="00442A3B" w14:paraId="46ABC11E"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7F965A9A" w14:textId="77777777" w:rsidR="00FB5281" w:rsidRPr="00442A3B" w:rsidRDefault="00FB5281" w:rsidP="00FB5281">
            <w:pPr>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Changes in relative fiscal capacity</w:t>
            </w:r>
          </w:p>
        </w:tc>
        <w:tc>
          <w:tcPr>
            <w:tcW w:w="2500" w:type="dxa"/>
            <w:tcBorders>
              <w:top w:val="nil"/>
              <w:left w:val="nil"/>
              <w:bottom w:val="single" w:sz="4" w:space="0" w:color="ADD6EA"/>
              <w:right w:val="nil"/>
            </w:tcBorders>
            <w:shd w:val="clear" w:color="auto" w:fill="auto"/>
            <w:noWrap/>
            <w:vAlign w:val="bottom"/>
            <w:hideMark/>
          </w:tcPr>
          <w:p w14:paraId="461EB7FC" w14:textId="77777777" w:rsidR="00FB5281" w:rsidRPr="00442A3B" w:rsidRDefault="00FB5281" w:rsidP="00FB5281">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 </w:t>
            </w:r>
          </w:p>
        </w:tc>
        <w:tc>
          <w:tcPr>
            <w:tcW w:w="2400" w:type="dxa"/>
            <w:tcBorders>
              <w:top w:val="nil"/>
              <w:left w:val="nil"/>
              <w:bottom w:val="single" w:sz="4" w:space="0" w:color="ADD6EA"/>
              <w:right w:val="nil"/>
            </w:tcBorders>
            <w:shd w:val="clear" w:color="auto" w:fill="auto"/>
            <w:noWrap/>
            <w:vAlign w:val="bottom"/>
            <w:hideMark/>
          </w:tcPr>
          <w:p w14:paraId="23852A12" w14:textId="77777777" w:rsidR="00FB5281" w:rsidRPr="00442A3B" w:rsidRDefault="00FB5281" w:rsidP="00FB5281">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 </w:t>
            </w:r>
          </w:p>
        </w:tc>
      </w:tr>
      <w:tr w:rsidR="00FB5281" w:rsidRPr="00442A3B" w14:paraId="720BEA93"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461C67CD" w14:textId="77777777" w:rsidR="00FB5281" w:rsidRPr="00442A3B" w:rsidRDefault="00FB5281" w:rsidP="00FB5281">
            <w:pPr>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Data revisions</w:t>
            </w:r>
          </w:p>
        </w:tc>
        <w:tc>
          <w:tcPr>
            <w:tcW w:w="2500" w:type="dxa"/>
            <w:tcBorders>
              <w:top w:val="nil"/>
              <w:left w:val="nil"/>
              <w:bottom w:val="single" w:sz="4" w:space="0" w:color="ADD6EA"/>
              <w:right w:val="nil"/>
            </w:tcBorders>
            <w:shd w:val="clear" w:color="auto" w:fill="auto"/>
            <w:noWrap/>
            <w:vAlign w:val="bottom"/>
            <w:hideMark/>
          </w:tcPr>
          <w:p w14:paraId="4AC6FD63" w14:textId="77777777" w:rsidR="00FB5281" w:rsidRPr="00442A3B" w:rsidRDefault="00FB5281" w:rsidP="00FB5281">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-129</w:t>
            </w:r>
          </w:p>
        </w:tc>
        <w:tc>
          <w:tcPr>
            <w:tcW w:w="2400" w:type="dxa"/>
            <w:tcBorders>
              <w:top w:val="nil"/>
              <w:left w:val="nil"/>
              <w:bottom w:val="single" w:sz="4" w:space="0" w:color="ADD6EA"/>
              <w:right w:val="nil"/>
            </w:tcBorders>
            <w:shd w:val="clear" w:color="auto" w:fill="auto"/>
            <w:noWrap/>
            <w:vAlign w:val="bottom"/>
            <w:hideMark/>
          </w:tcPr>
          <w:p w14:paraId="4EF3979B" w14:textId="77777777" w:rsidR="00FB5281" w:rsidRPr="00442A3B" w:rsidRDefault="00FB5281" w:rsidP="00FB5281">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-25</w:t>
            </w:r>
          </w:p>
        </w:tc>
      </w:tr>
      <w:tr w:rsidR="00FB5281" w:rsidRPr="00442A3B" w14:paraId="6AFDEF1A"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4E32FE5D" w14:textId="77777777" w:rsidR="00FB5281" w:rsidRPr="00442A3B" w:rsidRDefault="00FB5281" w:rsidP="00FB5281">
            <w:pPr>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State circumstances</w:t>
            </w:r>
          </w:p>
        </w:tc>
        <w:tc>
          <w:tcPr>
            <w:tcW w:w="2500" w:type="dxa"/>
            <w:tcBorders>
              <w:top w:val="nil"/>
              <w:left w:val="nil"/>
              <w:bottom w:val="single" w:sz="4" w:space="0" w:color="ADD6EA"/>
              <w:right w:val="nil"/>
            </w:tcBorders>
            <w:shd w:val="clear" w:color="auto" w:fill="auto"/>
            <w:noWrap/>
            <w:vAlign w:val="bottom"/>
            <w:hideMark/>
          </w:tcPr>
          <w:p w14:paraId="15552475" w14:textId="77777777" w:rsidR="00FB5281" w:rsidRPr="00442A3B" w:rsidRDefault="00FB5281" w:rsidP="00FB5281">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372</w:t>
            </w:r>
          </w:p>
        </w:tc>
        <w:tc>
          <w:tcPr>
            <w:tcW w:w="2400" w:type="dxa"/>
            <w:tcBorders>
              <w:top w:val="nil"/>
              <w:left w:val="nil"/>
              <w:bottom w:val="single" w:sz="4" w:space="0" w:color="ADD6EA"/>
              <w:right w:val="nil"/>
            </w:tcBorders>
            <w:shd w:val="clear" w:color="auto" w:fill="auto"/>
            <w:noWrap/>
            <w:vAlign w:val="bottom"/>
            <w:hideMark/>
          </w:tcPr>
          <w:p w14:paraId="7E645AD7" w14:textId="77777777" w:rsidR="00FB5281" w:rsidRPr="00442A3B" w:rsidRDefault="00FB5281" w:rsidP="00FB5281">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71</w:t>
            </w:r>
          </w:p>
        </w:tc>
      </w:tr>
      <w:tr w:rsidR="00FB5281" w:rsidRPr="00442A3B" w14:paraId="160EF3E8"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2ACAA22C" w14:textId="77777777" w:rsidR="00FB5281" w:rsidRPr="00442A3B" w:rsidRDefault="00FB5281" w:rsidP="00FB5281">
            <w:pPr>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Total</w:t>
            </w:r>
          </w:p>
        </w:tc>
        <w:tc>
          <w:tcPr>
            <w:tcW w:w="2500" w:type="dxa"/>
            <w:tcBorders>
              <w:top w:val="nil"/>
              <w:left w:val="nil"/>
              <w:bottom w:val="single" w:sz="4" w:space="0" w:color="ADD6EA"/>
              <w:right w:val="nil"/>
            </w:tcBorders>
            <w:shd w:val="clear" w:color="auto" w:fill="auto"/>
            <w:noWrap/>
            <w:vAlign w:val="bottom"/>
            <w:hideMark/>
          </w:tcPr>
          <w:p w14:paraId="3ABC30DA" w14:textId="77777777" w:rsidR="00FB5281" w:rsidRPr="00442A3B" w:rsidRDefault="00FB5281" w:rsidP="00FB5281">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243</w:t>
            </w:r>
          </w:p>
        </w:tc>
        <w:tc>
          <w:tcPr>
            <w:tcW w:w="2400" w:type="dxa"/>
            <w:tcBorders>
              <w:top w:val="nil"/>
              <w:left w:val="nil"/>
              <w:bottom w:val="single" w:sz="4" w:space="0" w:color="ADD6EA"/>
              <w:right w:val="nil"/>
            </w:tcBorders>
            <w:shd w:val="clear" w:color="auto" w:fill="auto"/>
            <w:noWrap/>
            <w:vAlign w:val="bottom"/>
            <w:hideMark/>
          </w:tcPr>
          <w:p w14:paraId="60AADDE1" w14:textId="77777777" w:rsidR="00FB5281" w:rsidRPr="00442A3B" w:rsidRDefault="00FB5281" w:rsidP="00FB5281">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47</w:t>
            </w:r>
          </w:p>
        </w:tc>
      </w:tr>
      <w:tr w:rsidR="00FB5281" w:rsidRPr="00442A3B" w14:paraId="5942A83F"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56AFC5B9" w14:textId="674EDCA0" w:rsidR="00FB5281" w:rsidRPr="00442A3B" w:rsidRDefault="00FB5281" w:rsidP="00FB5281">
            <w:pPr>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Transition to new arrangements</w:t>
            </w:r>
            <w:r w:rsidR="0089761B" w:rsidRPr="00442A3B">
              <w:rPr>
                <w:rFonts w:eastAsia="Times New Roman" w:cs="Open Sans Light"/>
                <w:sz w:val="16"/>
                <w:szCs w:val="16"/>
                <w:lang w:eastAsia="en-AU"/>
              </w:rPr>
              <w:t xml:space="preserve"> (a)</w:t>
            </w:r>
          </w:p>
        </w:tc>
        <w:tc>
          <w:tcPr>
            <w:tcW w:w="2500" w:type="dxa"/>
            <w:tcBorders>
              <w:top w:val="nil"/>
              <w:left w:val="nil"/>
              <w:bottom w:val="single" w:sz="4" w:space="0" w:color="ADD6EA"/>
              <w:right w:val="nil"/>
            </w:tcBorders>
            <w:shd w:val="clear" w:color="auto" w:fill="auto"/>
            <w:noWrap/>
            <w:vAlign w:val="bottom"/>
            <w:hideMark/>
          </w:tcPr>
          <w:p w14:paraId="30413E1F" w14:textId="77777777" w:rsidR="00FB5281" w:rsidRPr="00442A3B" w:rsidRDefault="00FB5281" w:rsidP="00FB5281">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-142</w:t>
            </w:r>
          </w:p>
        </w:tc>
        <w:tc>
          <w:tcPr>
            <w:tcW w:w="2400" w:type="dxa"/>
            <w:tcBorders>
              <w:top w:val="nil"/>
              <w:left w:val="nil"/>
              <w:bottom w:val="single" w:sz="4" w:space="0" w:color="ADD6EA"/>
              <w:right w:val="nil"/>
            </w:tcBorders>
            <w:shd w:val="clear" w:color="auto" w:fill="auto"/>
            <w:noWrap/>
            <w:vAlign w:val="bottom"/>
            <w:hideMark/>
          </w:tcPr>
          <w:p w14:paraId="51F90506" w14:textId="77777777" w:rsidR="00FB5281" w:rsidRPr="00442A3B" w:rsidRDefault="00FB5281" w:rsidP="00FB5281">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-27</w:t>
            </w:r>
          </w:p>
        </w:tc>
      </w:tr>
      <w:tr w:rsidR="00FB5281" w:rsidRPr="00442A3B" w14:paraId="69ED6309" w14:textId="77777777" w:rsidTr="000605BC">
        <w:trPr>
          <w:trHeight w:val="315"/>
        </w:trPr>
        <w:tc>
          <w:tcPr>
            <w:tcW w:w="4040" w:type="dxa"/>
            <w:tcBorders>
              <w:top w:val="nil"/>
              <w:left w:val="nil"/>
              <w:bottom w:val="single" w:sz="4" w:space="0" w:color="ADD6EA"/>
              <w:right w:val="nil"/>
            </w:tcBorders>
            <w:shd w:val="clear" w:color="000000" w:fill="D6E7F0"/>
            <w:noWrap/>
            <w:vAlign w:val="bottom"/>
            <w:hideMark/>
          </w:tcPr>
          <w:p w14:paraId="6D3D5665" w14:textId="77777777" w:rsidR="00FB5281" w:rsidRPr="00442A3B" w:rsidRDefault="00FB5281" w:rsidP="009E04A2">
            <w:pPr>
              <w:pStyle w:val="CGCTablesubhead1"/>
              <w:rPr>
                <w:rFonts w:ascii="Symbol" w:eastAsia="MS Mincho" w:hAnsi="Symbol" w:cs="Symbol" w:hint="eastAsia"/>
                <w:color w:val="000000"/>
                <w:szCs w:val="16"/>
                <w:lang w:eastAsia="en-AU"/>
              </w:rPr>
            </w:pPr>
            <w:r w:rsidRPr="00442A3B">
              <w:rPr>
                <w:rFonts w:eastAsia="MS Mincho" w:cs="Open Sans Semibold"/>
                <w:color w:val="000000"/>
                <w:szCs w:val="16"/>
                <w:lang w:eastAsia="en-AU"/>
              </w:rPr>
              <w:t>Total change</w:t>
            </w:r>
          </w:p>
        </w:tc>
        <w:tc>
          <w:tcPr>
            <w:tcW w:w="2500" w:type="dxa"/>
            <w:tcBorders>
              <w:top w:val="nil"/>
              <w:left w:val="nil"/>
              <w:bottom w:val="single" w:sz="4" w:space="0" w:color="ADD6EA"/>
              <w:right w:val="nil"/>
            </w:tcBorders>
            <w:shd w:val="clear" w:color="000000" w:fill="D6E7F0"/>
            <w:noWrap/>
            <w:vAlign w:val="bottom"/>
            <w:hideMark/>
          </w:tcPr>
          <w:p w14:paraId="652854E7" w14:textId="77777777" w:rsidR="00FB5281" w:rsidRPr="00442A3B" w:rsidRDefault="00FB5281" w:rsidP="00A01846">
            <w:pPr>
              <w:pStyle w:val="CGCTablesubhead1"/>
              <w:jc w:val="right"/>
              <w:rPr>
                <w:rFonts w:ascii="Symbol" w:eastAsia="MS Mincho" w:hAnsi="Symbol" w:cs="Symbol" w:hint="eastAsia"/>
                <w:color w:val="000000"/>
                <w:szCs w:val="16"/>
                <w:lang w:eastAsia="en-AU"/>
              </w:rPr>
            </w:pPr>
            <w:r w:rsidRPr="00442A3B">
              <w:rPr>
                <w:rFonts w:eastAsia="MS Mincho" w:cs="Open Sans Semibold"/>
                <w:color w:val="000000"/>
                <w:szCs w:val="16"/>
                <w:lang w:eastAsia="en-AU"/>
              </w:rPr>
              <w:t>1,023</w:t>
            </w:r>
          </w:p>
        </w:tc>
        <w:tc>
          <w:tcPr>
            <w:tcW w:w="2400" w:type="dxa"/>
            <w:tcBorders>
              <w:top w:val="nil"/>
              <w:left w:val="nil"/>
              <w:bottom w:val="single" w:sz="4" w:space="0" w:color="ADD6EA"/>
              <w:right w:val="nil"/>
            </w:tcBorders>
            <w:shd w:val="clear" w:color="000000" w:fill="D6E7F0"/>
            <w:noWrap/>
            <w:vAlign w:val="bottom"/>
            <w:hideMark/>
          </w:tcPr>
          <w:p w14:paraId="574E17A1" w14:textId="77777777" w:rsidR="00FB5281" w:rsidRPr="00442A3B" w:rsidRDefault="00FB5281" w:rsidP="00A01846">
            <w:pPr>
              <w:pStyle w:val="CGCTablesubhead1"/>
              <w:jc w:val="right"/>
              <w:rPr>
                <w:rFonts w:ascii="Symbol" w:eastAsia="MS Mincho" w:hAnsi="Symbol" w:cs="Symbol" w:hint="eastAsia"/>
                <w:color w:val="000000"/>
                <w:szCs w:val="16"/>
                <w:lang w:eastAsia="en-AU"/>
              </w:rPr>
            </w:pPr>
            <w:r w:rsidRPr="00442A3B">
              <w:rPr>
                <w:rFonts w:eastAsia="MS Mincho" w:cs="Open Sans Semibold"/>
                <w:color w:val="000000"/>
                <w:szCs w:val="16"/>
                <w:lang w:eastAsia="en-AU"/>
              </w:rPr>
              <w:t>196</w:t>
            </w:r>
          </w:p>
        </w:tc>
      </w:tr>
    </w:tbl>
    <w:p w14:paraId="5BC6E2AC" w14:textId="77777777" w:rsidR="004B2D0E" w:rsidRPr="00442A3B" w:rsidRDefault="004B2D0E" w:rsidP="004B2D0E">
      <w:pPr>
        <w:pStyle w:val="CGCTablenote"/>
        <w:keepNext/>
        <w:keepLines/>
      </w:pPr>
      <w:r w:rsidRPr="00442A3B">
        <w:t>Note:</w:t>
      </w:r>
      <w:r w:rsidRPr="00442A3B">
        <w:tab/>
        <w:t>Table may not add due to rounding.</w:t>
      </w:r>
    </w:p>
    <w:p w14:paraId="730E1EE8" w14:textId="77777777" w:rsidR="00E54AAB" w:rsidRPr="00442A3B" w:rsidRDefault="00E54AAB" w:rsidP="00E54AAB">
      <w:pPr>
        <w:pStyle w:val="CGCTablenote"/>
      </w:pPr>
      <w:r w:rsidRPr="00442A3B">
        <w:t>(a)</w:t>
      </w:r>
      <w:r w:rsidRPr="00442A3B">
        <w:tab/>
        <w:t>This represents the difference between applying the GST relativities and relative fiscal capacities to the GST pool. It is not the basis of the ‘no worse off’ calculation, which is a State’s relative fiscal capacity applied to the GST pool without the top-up.</w:t>
      </w:r>
    </w:p>
    <w:p w14:paraId="24F17644" w14:textId="77777777" w:rsidR="00165998" w:rsidRPr="00442A3B" w:rsidRDefault="00165998" w:rsidP="00FA6BCB">
      <w:pPr>
        <w:pStyle w:val="CGCTablenote"/>
        <w:keepNext/>
        <w:keepLines/>
      </w:pPr>
      <w:r w:rsidRPr="00442A3B">
        <w:t>Source:</w:t>
      </w:r>
      <w:r w:rsidRPr="00442A3B">
        <w:tab/>
        <w:t>Commission calculation.</w:t>
      </w:r>
    </w:p>
    <w:p w14:paraId="5E52D369" w14:textId="19C2E6C8" w:rsidR="00165998" w:rsidRPr="00442A3B" w:rsidRDefault="00165998" w:rsidP="00AB3F0D">
      <w:pPr>
        <w:pStyle w:val="Caption"/>
      </w:pPr>
      <w:bookmarkStart w:id="167" w:name="_Toc62487174"/>
      <w:bookmarkStart w:id="168" w:name="_Toc62487330"/>
      <w:r w:rsidRPr="00442A3B">
        <w:t>Figure 3</w:t>
      </w:r>
      <w:r w:rsidRPr="00442A3B">
        <w:noBreakHyphen/>
      </w:r>
      <w:r w:rsidR="00AB3F0D" w:rsidRPr="00442A3B">
        <w:fldChar w:fldCharType="begin"/>
      </w:r>
      <w:r w:rsidR="00AB3F0D" w:rsidRPr="00442A3B">
        <w:instrText xml:space="preserve">SEQ Figure \* ARABIC </w:instrText>
      </w:r>
      <w:r w:rsidR="00AB3F0D" w:rsidRPr="00442A3B">
        <w:fldChar w:fldCharType="separate"/>
      </w:r>
      <w:r w:rsidR="00FC3D3D">
        <w:rPr>
          <w:noProof/>
        </w:rPr>
        <w:t>4</w:t>
      </w:r>
      <w:r w:rsidR="00AB3F0D" w:rsidRPr="00442A3B">
        <w:fldChar w:fldCharType="end"/>
      </w:r>
      <w:r w:rsidRPr="00442A3B">
        <w:tab/>
        <w:t xml:space="preserve">Main changes for Queensland, </w:t>
      </w:r>
      <w:r w:rsidR="00823F3E" w:rsidRPr="00442A3B">
        <w:t>2021 Update</w:t>
      </w:r>
      <w:bookmarkEnd w:id="167"/>
      <w:bookmarkEnd w:id="168"/>
    </w:p>
    <w:p w14:paraId="2A8552A4" w14:textId="2AB565F2" w:rsidR="00165998" w:rsidRPr="00442A3B" w:rsidRDefault="00A64E23" w:rsidP="00437184">
      <w:pPr>
        <w:spacing w:before="0"/>
      </w:pPr>
      <w:r w:rsidRPr="00442A3B">
        <w:rPr>
          <w:noProof/>
        </w:rPr>
        <w:drawing>
          <wp:inline distT="0" distB="0" distL="0" distR="0" wp14:anchorId="5071272D" wp14:editId="278918AA">
            <wp:extent cx="5688965" cy="3250565"/>
            <wp:effectExtent l="0" t="0" r="6985" b="6985"/>
            <wp:docPr id="13" name="Picture 13" descr="Data revisions: Natural disaster relief -$174m; Urban centre characteristics $77m. Changes in circumstances: Taxable land values $97m; Commonwealth payments -$92m; Capital requirement $84m; Mining $75m; Property sales $5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ata revisions: Natural disaster relief -$174m; Urban centre characteristics $77m. Changes in circumstances: Taxable land values $97m; Commonwealth payments -$92m; Capital requirement $84m; Mining $75m; Property sales $53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88965" cy="3250565"/>
                    </a:xfrm>
                    <a:prstGeom prst="rect">
                      <a:avLst/>
                    </a:prstGeom>
                    <a:noFill/>
                    <a:ln>
                      <a:noFill/>
                    </a:ln>
                  </pic:spPr>
                </pic:pic>
              </a:graphicData>
            </a:graphic>
          </wp:inline>
        </w:drawing>
      </w:r>
    </w:p>
    <w:p w14:paraId="57C01BD8" w14:textId="7671F591" w:rsidR="00165998" w:rsidRPr="00442A3B" w:rsidRDefault="00165998" w:rsidP="00437184">
      <w:pPr>
        <w:pStyle w:val="CGCTablenote"/>
        <w:keepNext/>
        <w:keepLines/>
        <w:spacing w:before="0"/>
        <w:sectPr w:rsidR="00165998" w:rsidRPr="00442A3B" w:rsidSect="00192357">
          <w:headerReference w:type="default" r:id="rId77"/>
          <w:headerReference w:type="first" r:id="rId78"/>
          <w:footnotePr>
            <w:numRestart w:val="eachSect"/>
          </w:footnotePr>
          <w:pgSz w:w="11907" w:h="16840" w:code="9"/>
          <w:pgMar w:top="1418" w:right="1474" w:bottom="1134" w:left="1474" w:header="567" w:footer="567" w:gutter="0"/>
          <w:cols w:space="720"/>
          <w:titlePg/>
          <w:docGrid w:linePitch="360"/>
        </w:sectPr>
      </w:pPr>
      <w:r w:rsidRPr="00442A3B">
        <w:t>Source:</w:t>
      </w:r>
      <w:r w:rsidRPr="00442A3B">
        <w:tab/>
        <w:t>Commission calculation.</w:t>
      </w:r>
    </w:p>
    <w:p w14:paraId="7FF90522" w14:textId="1096E925" w:rsidR="00165998" w:rsidRPr="00442A3B" w:rsidRDefault="00165998" w:rsidP="00165998">
      <w:pPr>
        <w:pStyle w:val="Heading3"/>
        <w:spacing w:before="120"/>
      </w:pPr>
      <w:bookmarkStart w:id="169" w:name="_Toc65050538"/>
      <w:r w:rsidRPr="00442A3B">
        <w:lastRenderedPageBreak/>
        <w:t>Western Australia</w:t>
      </w:r>
      <w:bookmarkEnd w:id="169"/>
    </w:p>
    <w:p w14:paraId="2A141D76" w14:textId="2DC01F60" w:rsidR="00DD66D7" w:rsidRPr="00442A3B" w:rsidRDefault="00165998" w:rsidP="00E54AAB">
      <w:r w:rsidRPr="00442A3B">
        <w:t xml:space="preserve">Western Australia’s </w:t>
      </w:r>
      <w:r w:rsidR="002858CE" w:rsidRPr="00442A3B">
        <w:t xml:space="preserve">GST </w:t>
      </w:r>
      <w:r w:rsidR="00D76DE6" w:rsidRPr="00442A3B">
        <w:t xml:space="preserve">pool </w:t>
      </w:r>
      <w:r w:rsidR="002858CE" w:rsidRPr="00442A3B">
        <w:t>requirement decreased</w:t>
      </w:r>
      <w:r w:rsidRPr="00442A3B">
        <w:t xml:space="preserve"> due to a further increase in iron ore royalties and </w:t>
      </w:r>
      <w:r w:rsidR="00C62D6E" w:rsidRPr="00442A3B">
        <w:t>above average growth in Commonwealth payments</w:t>
      </w:r>
      <w:r w:rsidRPr="00442A3B">
        <w:t xml:space="preserve">. These changes were partly offset by below average growth in taxable land values and </w:t>
      </w:r>
      <w:r w:rsidR="00517472" w:rsidRPr="00442A3B">
        <w:t xml:space="preserve">higher expense and investment </w:t>
      </w:r>
      <w:r w:rsidR="00C32B11" w:rsidRPr="00442A3B">
        <w:t>requirements</w:t>
      </w:r>
      <w:r w:rsidRPr="00442A3B">
        <w:t xml:space="preserve">. </w:t>
      </w:r>
    </w:p>
    <w:p w14:paraId="2BB79E26" w14:textId="75F2C7EE" w:rsidR="00165998" w:rsidRPr="00442A3B" w:rsidRDefault="00165998" w:rsidP="00E54AAB">
      <w:pPr>
        <w:pStyle w:val="Caption"/>
      </w:pPr>
      <w:bookmarkStart w:id="170" w:name="_Toc62487285"/>
      <w:bookmarkStart w:id="171" w:name="_Toc62723815"/>
      <w:r w:rsidRPr="00442A3B">
        <w:t>Table 3</w:t>
      </w:r>
      <w:r w:rsidRPr="00442A3B">
        <w:noBreakHyphen/>
      </w:r>
      <w:r w:rsidRPr="00442A3B">
        <w:fldChar w:fldCharType="begin"/>
      </w:r>
      <w:r w:rsidRPr="00442A3B">
        <w:instrText>SEQ Table \* ARABIC</w:instrText>
      </w:r>
      <w:r w:rsidRPr="00442A3B">
        <w:fldChar w:fldCharType="separate"/>
      </w:r>
      <w:r w:rsidR="00FC3D3D">
        <w:rPr>
          <w:noProof/>
        </w:rPr>
        <w:t>4</w:t>
      </w:r>
      <w:r w:rsidRPr="00442A3B">
        <w:fldChar w:fldCharType="end"/>
      </w:r>
      <w:r w:rsidRPr="00442A3B">
        <w:tab/>
        <w:t xml:space="preserve">Change in </w:t>
      </w:r>
      <w:r w:rsidR="0007148C" w:rsidRPr="00442A3B">
        <w:t xml:space="preserve">estimated </w:t>
      </w:r>
      <w:r w:rsidRPr="00442A3B">
        <w:t xml:space="preserve">GST distribution </w:t>
      </w:r>
      <w:r w:rsidR="00BB7C92" w:rsidRPr="00442A3B">
        <w:t xml:space="preserve">from 2020-21 to </w:t>
      </w:r>
      <w:r w:rsidR="0021632E" w:rsidRPr="00442A3B">
        <w:t>2021-22</w:t>
      </w:r>
      <w:r w:rsidRPr="00442A3B">
        <w:t>, Western Australia</w:t>
      </w:r>
      <w:bookmarkEnd w:id="170"/>
      <w:bookmarkEnd w:id="171"/>
    </w:p>
    <w:tbl>
      <w:tblPr>
        <w:tblW w:w="8940" w:type="dxa"/>
        <w:tblCellMar>
          <w:left w:w="28" w:type="dxa"/>
          <w:right w:w="28" w:type="dxa"/>
        </w:tblCellMar>
        <w:tblLook w:val="04A0" w:firstRow="1" w:lastRow="0" w:firstColumn="1" w:lastColumn="0" w:noHBand="0" w:noVBand="1"/>
      </w:tblPr>
      <w:tblGrid>
        <w:gridCol w:w="4040"/>
        <w:gridCol w:w="2500"/>
        <w:gridCol w:w="2400"/>
      </w:tblGrid>
      <w:tr w:rsidR="00E71842" w:rsidRPr="00442A3B" w14:paraId="45FE9737" w14:textId="77777777" w:rsidTr="000605BC">
        <w:trPr>
          <w:trHeight w:val="259"/>
        </w:trPr>
        <w:tc>
          <w:tcPr>
            <w:tcW w:w="4040" w:type="dxa"/>
            <w:tcBorders>
              <w:top w:val="single" w:sz="4" w:space="0" w:color="ADD6EA"/>
              <w:left w:val="nil"/>
              <w:bottom w:val="single" w:sz="4" w:space="0" w:color="ADD6EA"/>
              <w:right w:val="nil"/>
            </w:tcBorders>
            <w:shd w:val="clear" w:color="000000" w:fill="006991"/>
            <w:noWrap/>
            <w:vAlign w:val="center"/>
            <w:hideMark/>
          </w:tcPr>
          <w:p w14:paraId="636A3811" w14:textId="77777777" w:rsidR="00E71842" w:rsidRPr="00442A3B" w:rsidRDefault="00E71842" w:rsidP="007A4EDD">
            <w:pPr>
              <w:pStyle w:val="CGCTableHeading"/>
              <w:jc w:val="right"/>
              <w:rPr>
                <w:rFonts w:eastAsia="MS Mincho" w:cs="Open Sans Semibold"/>
                <w:color w:val="FFFFFF"/>
                <w:szCs w:val="16"/>
                <w:lang w:eastAsia="en-AU"/>
              </w:rPr>
            </w:pPr>
            <w:r w:rsidRPr="00442A3B">
              <w:rPr>
                <w:lang w:eastAsia="en-AU"/>
              </w:rPr>
              <w:t> </w:t>
            </w:r>
          </w:p>
        </w:tc>
        <w:tc>
          <w:tcPr>
            <w:tcW w:w="2500" w:type="dxa"/>
            <w:tcBorders>
              <w:top w:val="single" w:sz="4" w:space="0" w:color="ADD6EA"/>
              <w:left w:val="nil"/>
              <w:bottom w:val="single" w:sz="4" w:space="0" w:color="ADD6EA"/>
              <w:right w:val="nil"/>
            </w:tcBorders>
            <w:shd w:val="clear" w:color="000000" w:fill="006991"/>
            <w:noWrap/>
            <w:vAlign w:val="center"/>
            <w:hideMark/>
          </w:tcPr>
          <w:p w14:paraId="7CF5DF81" w14:textId="77777777" w:rsidR="00E71842" w:rsidRPr="00442A3B" w:rsidRDefault="00E71842" w:rsidP="007A4EDD">
            <w:pPr>
              <w:pStyle w:val="CGCTableHeading"/>
              <w:jc w:val="right"/>
              <w:rPr>
                <w:rFonts w:eastAsia="MS Mincho" w:cs="Open Sans Semibold"/>
                <w:color w:val="FFFFFF"/>
                <w:szCs w:val="16"/>
                <w:lang w:eastAsia="en-AU"/>
              </w:rPr>
            </w:pPr>
            <w:r w:rsidRPr="00442A3B">
              <w:rPr>
                <w:lang w:eastAsia="en-AU"/>
              </w:rPr>
              <w:t>$m</w:t>
            </w:r>
          </w:p>
        </w:tc>
        <w:tc>
          <w:tcPr>
            <w:tcW w:w="2400" w:type="dxa"/>
            <w:tcBorders>
              <w:top w:val="single" w:sz="4" w:space="0" w:color="ADD6EA"/>
              <w:left w:val="nil"/>
              <w:bottom w:val="single" w:sz="4" w:space="0" w:color="ADD6EA"/>
              <w:right w:val="nil"/>
            </w:tcBorders>
            <w:shd w:val="clear" w:color="000000" w:fill="006991"/>
            <w:noWrap/>
            <w:vAlign w:val="center"/>
            <w:hideMark/>
          </w:tcPr>
          <w:p w14:paraId="7F8C5750" w14:textId="77777777" w:rsidR="00E71842" w:rsidRPr="00442A3B" w:rsidRDefault="00E71842" w:rsidP="007A4EDD">
            <w:pPr>
              <w:pStyle w:val="CGCTableHeading"/>
              <w:jc w:val="right"/>
              <w:rPr>
                <w:rFonts w:eastAsia="MS Mincho" w:cs="Open Sans Semibold"/>
                <w:color w:val="FFFFFF"/>
                <w:szCs w:val="16"/>
                <w:lang w:eastAsia="en-AU"/>
              </w:rPr>
            </w:pPr>
            <w:r w:rsidRPr="00442A3B">
              <w:rPr>
                <w:lang w:eastAsia="en-AU"/>
              </w:rPr>
              <w:t>$pc</w:t>
            </w:r>
          </w:p>
        </w:tc>
      </w:tr>
      <w:tr w:rsidR="00E71842" w:rsidRPr="00442A3B" w14:paraId="65728340"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52FBFC42" w14:textId="77777777" w:rsidR="00E71842" w:rsidRPr="00442A3B" w:rsidRDefault="00E71842" w:rsidP="00E71842">
            <w:pPr>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Change in population</w:t>
            </w:r>
          </w:p>
        </w:tc>
        <w:tc>
          <w:tcPr>
            <w:tcW w:w="2500" w:type="dxa"/>
            <w:tcBorders>
              <w:top w:val="nil"/>
              <w:left w:val="nil"/>
              <w:bottom w:val="single" w:sz="4" w:space="0" w:color="ADD6EA"/>
              <w:right w:val="nil"/>
            </w:tcBorders>
            <w:shd w:val="clear" w:color="auto" w:fill="auto"/>
            <w:noWrap/>
            <w:vAlign w:val="bottom"/>
            <w:hideMark/>
          </w:tcPr>
          <w:p w14:paraId="280963AB" w14:textId="77777777" w:rsidR="00E71842" w:rsidRPr="00442A3B" w:rsidRDefault="00E71842" w:rsidP="00E71842">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w:t>
            </w:r>
          </w:p>
        </w:tc>
        <w:tc>
          <w:tcPr>
            <w:tcW w:w="2400" w:type="dxa"/>
            <w:tcBorders>
              <w:top w:val="nil"/>
              <w:left w:val="nil"/>
              <w:bottom w:val="single" w:sz="4" w:space="0" w:color="ADD6EA"/>
              <w:right w:val="nil"/>
            </w:tcBorders>
            <w:shd w:val="clear" w:color="auto" w:fill="auto"/>
            <w:noWrap/>
            <w:vAlign w:val="bottom"/>
            <w:hideMark/>
          </w:tcPr>
          <w:p w14:paraId="0B415BFC" w14:textId="77777777" w:rsidR="00E71842" w:rsidRPr="00442A3B" w:rsidRDefault="00E71842" w:rsidP="00E71842">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w:t>
            </w:r>
          </w:p>
        </w:tc>
      </w:tr>
      <w:tr w:rsidR="00E71842" w:rsidRPr="00442A3B" w14:paraId="654102F1"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75220AA2" w14:textId="77777777" w:rsidR="00E71842" w:rsidRPr="00442A3B" w:rsidRDefault="00E71842" w:rsidP="00E71842">
            <w:pPr>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 xml:space="preserve">Growth in GST pool </w:t>
            </w:r>
          </w:p>
        </w:tc>
        <w:tc>
          <w:tcPr>
            <w:tcW w:w="2500" w:type="dxa"/>
            <w:tcBorders>
              <w:top w:val="nil"/>
              <w:left w:val="nil"/>
              <w:bottom w:val="single" w:sz="4" w:space="0" w:color="ADD6EA"/>
              <w:right w:val="nil"/>
            </w:tcBorders>
            <w:shd w:val="clear" w:color="auto" w:fill="auto"/>
            <w:noWrap/>
            <w:vAlign w:val="bottom"/>
            <w:hideMark/>
          </w:tcPr>
          <w:p w14:paraId="35FEE7A2" w14:textId="77777777" w:rsidR="00E71842" w:rsidRPr="00442A3B" w:rsidRDefault="00E71842" w:rsidP="00E71842">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188</w:t>
            </w:r>
          </w:p>
        </w:tc>
        <w:tc>
          <w:tcPr>
            <w:tcW w:w="2400" w:type="dxa"/>
            <w:tcBorders>
              <w:top w:val="nil"/>
              <w:left w:val="nil"/>
              <w:bottom w:val="single" w:sz="4" w:space="0" w:color="ADD6EA"/>
              <w:right w:val="nil"/>
            </w:tcBorders>
            <w:shd w:val="clear" w:color="auto" w:fill="auto"/>
            <w:noWrap/>
            <w:vAlign w:val="bottom"/>
            <w:hideMark/>
          </w:tcPr>
          <w:p w14:paraId="0F08F238" w14:textId="77777777" w:rsidR="00E71842" w:rsidRPr="00442A3B" w:rsidRDefault="00E71842" w:rsidP="00E71842">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71</w:t>
            </w:r>
          </w:p>
        </w:tc>
      </w:tr>
      <w:tr w:rsidR="00E71842" w:rsidRPr="00442A3B" w14:paraId="28CEE7AE"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0A1AC506" w14:textId="77777777" w:rsidR="00E71842" w:rsidRPr="00442A3B" w:rsidRDefault="00E71842" w:rsidP="00E71842">
            <w:pPr>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Changes in relative fiscal capacity</w:t>
            </w:r>
          </w:p>
        </w:tc>
        <w:tc>
          <w:tcPr>
            <w:tcW w:w="2500" w:type="dxa"/>
            <w:tcBorders>
              <w:top w:val="nil"/>
              <w:left w:val="nil"/>
              <w:bottom w:val="single" w:sz="4" w:space="0" w:color="ADD6EA"/>
              <w:right w:val="nil"/>
            </w:tcBorders>
            <w:shd w:val="clear" w:color="auto" w:fill="auto"/>
            <w:noWrap/>
            <w:vAlign w:val="bottom"/>
            <w:hideMark/>
          </w:tcPr>
          <w:p w14:paraId="4005391E" w14:textId="77777777" w:rsidR="00E71842" w:rsidRPr="00442A3B" w:rsidRDefault="00E71842" w:rsidP="00E71842">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 </w:t>
            </w:r>
          </w:p>
        </w:tc>
        <w:tc>
          <w:tcPr>
            <w:tcW w:w="2400" w:type="dxa"/>
            <w:tcBorders>
              <w:top w:val="nil"/>
              <w:left w:val="nil"/>
              <w:bottom w:val="single" w:sz="4" w:space="0" w:color="ADD6EA"/>
              <w:right w:val="nil"/>
            </w:tcBorders>
            <w:shd w:val="clear" w:color="auto" w:fill="auto"/>
            <w:noWrap/>
            <w:vAlign w:val="bottom"/>
            <w:hideMark/>
          </w:tcPr>
          <w:p w14:paraId="236D07BF" w14:textId="77777777" w:rsidR="00E71842" w:rsidRPr="00442A3B" w:rsidRDefault="00E71842" w:rsidP="00E71842">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 </w:t>
            </w:r>
          </w:p>
        </w:tc>
      </w:tr>
      <w:tr w:rsidR="00E71842" w:rsidRPr="00442A3B" w14:paraId="72E99076"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249AC804" w14:textId="77777777" w:rsidR="00E71842" w:rsidRPr="00442A3B" w:rsidRDefault="00E71842" w:rsidP="00E71842">
            <w:pPr>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Data revisions</w:t>
            </w:r>
          </w:p>
        </w:tc>
        <w:tc>
          <w:tcPr>
            <w:tcW w:w="2500" w:type="dxa"/>
            <w:tcBorders>
              <w:top w:val="nil"/>
              <w:left w:val="nil"/>
              <w:bottom w:val="single" w:sz="4" w:space="0" w:color="ADD6EA"/>
              <w:right w:val="nil"/>
            </w:tcBorders>
            <w:shd w:val="clear" w:color="auto" w:fill="auto"/>
            <w:noWrap/>
            <w:vAlign w:val="bottom"/>
            <w:hideMark/>
          </w:tcPr>
          <w:p w14:paraId="60F81812" w14:textId="77777777" w:rsidR="00E71842" w:rsidRPr="00442A3B" w:rsidRDefault="00E71842" w:rsidP="00E71842">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11</w:t>
            </w:r>
          </w:p>
        </w:tc>
        <w:tc>
          <w:tcPr>
            <w:tcW w:w="2400" w:type="dxa"/>
            <w:tcBorders>
              <w:top w:val="nil"/>
              <w:left w:val="nil"/>
              <w:bottom w:val="single" w:sz="4" w:space="0" w:color="ADD6EA"/>
              <w:right w:val="nil"/>
            </w:tcBorders>
            <w:shd w:val="clear" w:color="auto" w:fill="auto"/>
            <w:noWrap/>
            <w:vAlign w:val="bottom"/>
            <w:hideMark/>
          </w:tcPr>
          <w:p w14:paraId="28C0437B" w14:textId="77777777" w:rsidR="00E71842" w:rsidRPr="00442A3B" w:rsidRDefault="00E71842" w:rsidP="00E71842">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w:t>
            </w:r>
          </w:p>
        </w:tc>
      </w:tr>
      <w:tr w:rsidR="00E71842" w:rsidRPr="00442A3B" w14:paraId="6DFBC5D1"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0557E35A" w14:textId="77777777" w:rsidR="00E71842" w:rsidRPr="00442A3B" w:rsidRDefault="00E71842" w:rsidP="00E71842">
            <w:pPr>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State circumstances</w:t>
            </w:r>
          </w:p>
        </w:tc>
        <w:tc>
          <w:tcPr>
            <w:tcW w:w="2500" w:type="dxa"/>
            <w:tcBorders>
              <w:top w:val="nil"/>
              <w:left w:val="nil"/>
              <w:bottom w:val="single" w:sz="4" w:space="0" w:color="ADD6EA"/>
              <w:right w:val="nil"/>
            </w:tcBorders>
            <w:shd w:val="clear" w:color="auto" w:fill="auto"/>
            <w:noWrap/>
            <w:vAlign w:val="bottom"/>
            <w:hideMark/>
          </w:tcPr>
          <w:p w14:paraId="17B99724" w14:textId="77777777" w:rsidR="00E71842" w:rsidRPr="00442A3B" w:rsidRDefault="00E71842" w:rsidP="00E71842">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-857</w:t>
            </w:r>
          </w:p>
        </w:tc>
        <w:tc>
          <w:tcPr>
            <w:tcW w:w="2400" w:type="dxa"/>
            <w:tcBorders>
              <w:top w:val="nil"/>
              <w:left w:val="nil"/>
              <w:bottom w:val="single" w:sz="4" w:space="0" w:color="ADD6EA"/>
              <w:right w:val="nil"/>
            </w:tcBorders>
            <w:shd w:val="clear" w:color="auto" w:fill="auto"/>
            <w:noWrap/>
            <w:vAlign w:val="bottom"/>
            <w:hideMark/>
          </w:tcPr>
          <w:p w14:paraId="45E7F055" w14:textId="77777777" w:rsidR="00E71842" w:rsidRPr="00442A3B" w:rsidRDefault="00E71842" w:rsidP="00E71842">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-321</w:t>
            </w:r>
          </w:p>
        </w:tc>
      </w:tr>
      <w:tr w:rsidR="00E71842" w:rsidRPr="00442A3B" w14:paraId="37DB2E24"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6EE0D411" w14:textId="77777777" w:rsidR="00E71842" w:rsidRPr="00442A3B" w:rsidRDefault="00E71842" w:rsidP="00E71842">
            <w:pPr>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Total</w:t>
            </w:r>
          </w:p>
        </w:tc>
        <w:tc>
          <w:tcPr>
            <w:tcW w:w="2500" w:type="dxa"/>
            <w:tcBorders>
              <w:top w:val="nil"/>
              <w:left w:val="nil"/>
              <w:bottom w:val="single" w:sz="4" w:space="0" w:color="ADD6EA"/>
              <w:right w:val="nil"/>
            </w:tcBorders>
            <w:shd w:val="clear" w:color="auto" w:fill="auto"/>
            <w:noWrap/>
            <w:vAlign w:val="bottom"/>
            <w:hideMark/>
          </w:tcPr>
          <w:p w14:paraId="423474CE" w14:textId="77777777" w:rsidR="00E71842" w:rsidRPr="00442A3B" w:rsidRDefault="00E71842" w:rsidP="00E71842">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-846</w:t>
            </w:r>
          </w:p>
        </w:tc>
        <w:tc>
          <w:tcPr>
            <w:tcW w:w="2400" w:type="dxa"/>
            <w:tcBorders>
              <w:top w:val="nil"/>
              <w:left w:val="nil"/>
              <w:bottom w:val="single" w:sz="4" w:space="0" w:color="ADD6EA"/>
              <w:right w:val="nil"/>
            </w:tcBorders>
            <w:shd w:val="clear" w:color="auto" w:fill="auto"/>
            <w:noWrap/>
            <w:vAlign w:val="bottom"/>
            <w:hideMark/>
          </w:tcPr>
          <w:p w14:paraId="7171DA93" w14:textId="77777777" w:rsidR="00E71842" w:rsidRPr="00442A3B" w:rsidRDefault="00E71842" w:rsidP="00E71842">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-317</w:t>
            </w:r>
          </w:p>
        </w:tc>
      </w:tr>
      <w:tr w:rsidR="00E71842" w:rsidRPr="00442A3B" w14:paraId="07D95BEF"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6E85F4EA" w14:textId="1E5D9353" w:rsidR="00E71842" w:rsidRPr="00442A3B" w:rsidRDefault="00E71842" w:rsidP="00E71842">
            <w:pPr>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Transition to new arrangements</w:t>
            </w:r>
            <w:r w:rsidR="0089761B" w:rsidRPr="00442A3B">
              <w:rPr>
                <w:rFonts w:eastAsia="Times New Roman" w:cs="Open Sans Light"/>
                <w:sz w:val="16"/>
                <w:szCs w:val="16"/>
                <w:lang w:eastAsia="en-AU"/>
              </w:rPr>
              <w:t xml:space="preserve"> (a)</w:t>
            </w:r>
          </w:p>
        </w:tc>
        <w:tc>
          <w:tcPr>
            <w:tcW w:w="2500" w:type="dxa"/>
            <w:tcBorders>
              <w:top w:val="nil"/>
              <w:left w:val="nil"/>
              <w:bottom w:val="single" w:sz="4" w:space="0" w:color="ADD6EA"/>
              <w:right w:val="nil"/>
            </w:tcBorders>
            <w:shd w:val="clear" w:color="auto" w:fill="auto"/>
            <w:noWrap/>
            <w:vAlign w:val="bottom"/>
            <w:hideMark/>
          </w:tcPr>
          <w:p w14:paraId="2411AD0C" w14:textId="77777777" w:rsidR="00E71842" w:rsidRPr="00442A3B" w:rsidRDefault="00E71842" w:rsidP="00E71842">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629</w:t>
            </w:r>
          </w:p>
        </w:tc>
        <w:tc>
          <w:tcPr>
            <w:tcW w:w="2400" w:type="dxa"/>
            <w:tcBorders>
              <w:top w:val="nil"/>
              <w:left w:val="nil"/>
              <w:bottom w:val="single" w:sz="4" w:space="0" w:color="ADD6EA"/>
              <w:right w:val="nil"/>
            </w:tcBorders>
            <w:shd w:val="clear" w:color="auto" w:fill="auto"/>
            <w:noWrap/>
            <w:vAlign w:val="bottom"/>
            <w:hideMark/>
          </w:tcPr>
          <w:p w14:paraId="55285889" w14:textId="77777777" w:rsidR="00E71842" w:rsidRPr="00442A3B" w:rsidRDefault="00E71842" w:rsidP="00E71842">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236</w:t>
            </w:r>
          </w:p>
        </w:tc>
      </w:tr>
      <w:tr w:rsidR="00E71842" w:rsidRPr="00442A3B" w14:paraId="6ACE4F7E" w14:textId="77777777" w:rsidTr="000605BC">
        <w:trPr>
          <w:trHeight w:val="315"/>
        </w:trPr>
        <w:tc>
          <w:tcPr>
            <w:tcW w:w="4040" w:type="dxa"/>
            <w:tcBorders>
              <w:top w:val="nil"/>
              <w:left w:val="nil"/>
              <w:bottom w:val="single" w:sz="4" w:space="0" w:color="ADD6EA"/>
              <w:right w:val="nil"/>
            </w:tcBorders>
            <w:shd w:val="clear" w:color="000000" w:fill="D6E7F0"/>
            <w:noWrap/>
            <w:vAlign w:val="bottom"/>
            <w:hideMark/>
          </w:tcPr>
          <w:p w14:paraId="38A8A356" w14:textId="77777777" w:rsidR="00E71842" w:rsidRPr="00442A3B" w:rsidRDefault="00E71842" w:rsidP="009E04A2">
            <w:pPr>
              <w:pStyle w:val="CGCTablesubhead1"/>
              <w:rPr>
                <w:rFonts w:eastAsia="MS Mincho" w:cs="Open Sans Semibold"/>
                <w:color w:val="000000"/>
                <w:szCs w:val="16"/>
                <w:lang w:eastAsia="en-AU"/>
              </w:rPr>
            </w:pPr>
            <w:r w:rsidRPr="00442A3B">
              <w:rPr>
                <w:lang w:eastAsia="en-AU"/>
              </w:rPr>
              <w:t>Total change</w:t>
            </w:r>
          </w:p>
        </w:tc>
        <w:tc>
          <w:tcPr>
            <w:tcW w:w="2500" w:type="dxa"/>
            <w:tcBorders>
              <w:top w:val="nil"/>
              <w:left w:val="nil"/>
              <w:bottom w:val="single" w:sz="4" w:space="0" w:color="ADD6EA"/>
              <w:right w:val="nil"/>
            </w:tcBorders>
            <w:shd w:val="clear" w:color="000000" w:fill="D6E7F0"/>
            <w:noWrap/>
            <w:vAlign w:val="bottom"/>
            <w:hideMark/>
          </w:tcPr>
          <w:p w14:paraId="388EE6F8" w14:textId="77777777" w:rsidR="00E71842" w:rsidRPr="00442A3B" w:rsidRDefault="00E71842" w:rsidP="007A4EDD">
            <w:pPr>
              <w:pStyle w:val="CGCTablesubhead1"/>
              <w:jc w:val="right"/>
              <w:rPr>
                <w:rFonts w:eastAsia="MS Mincho" w:cs="Open Sans Semibold"/>
                <w:color w:val="000000"/>
                <w:szCs w:val="16"/>
                <w:lang w:eastAsia="en-AU"/>
              </w:rPr>
            </w:pPr>
            <w:r w:rsidRPr="00442A3B">
              <w:rPr>
                <w:lang w:eastAsia="en-AU"/>
              </w:rPr>
              <w:t>-23</w:t>
            </w:r>
          </w:p>
        </w:tc>
        <w:tc>
          <w:tcPr>
            <w:tcW w:w="2400" w:type="dxa"/>
            <w:tcBorders>
              <w:top w:val="nil"/>
              <w:left w:val="nil"/>
              <w:bottom w:val="single" w:sz="4" w:space="0" w:color="ADD6EA"/>
              <w:right w:val="nil"/>
            </w:tcBorders>
            <w:shd w:val="clear" w:color="000000" w:fill="D6E7F0"/>
            <w:noWrap/>
            <w:vAlign w:val="bottom"/>
            <w:hideMark/>
          </w:tcPr>
          <w:p w14:paraId="5D3F91EE" w14:textId="77777777" w:rsidR="00E71842" w:rsidRPr="00442A3B" w:rsidRDefault="00E71842" w:rsidP="007A4EDD">
            <w:pPr>
              <w:pStyle w:val="CGCTablesubhead1"/>
              <w:jc w:val="right"/>
              <w:rPr>
                <w:rFonts w:eastAsia="MS Mincho" w:cs="Open Sans Semibold"/>
                <w:color w:val="000000"/>
                <w:szCs w:val="16"/>
                <w:lang w:eastAsia="en-AU"/>
              </w:rPr>
            </w:pPr>
            <w:r w:rsidRPr="00442A3B">
              <w:rPr>
                <w:lang w:eastAsia="en-AU"/>
              </w:rPr>
              <w:t>-9</w:t>
            </w:r>
          </w:p>
        </w:tc>
      </w:tr>
    </w:tbl>
    <w:p w14:paraId="12A16F5D" w14:textId="77777777" w:rsidR="004B2D0E" w:rsidRPr="00442A3B" w:rsidRDefault="004B2D0E" w:rsidP="004B2D0E">
      <w:pPr>
        <w:pStyle w:val="CGCTablenote"/>
        <w:keepNext/>
        <w:keepLines/>
      </w:pPr>
      <w:r w:rsidRPr="00442A3B">
        <w:t>Note:</w:t>
      </w:r>
      <w:r w:rsidRPr="00442A3B">
        <w:tab/>
        <w:t>Table may not add due to rounding.</w:t>
      </w:r>
    </w:p>
    <w:p w14:paraId="0AB1A041" w14:textId="533BC22B" w:rsidR="00E54AAB" w:rsidRPr="00442A3B" w:rsidRDefault="00E54AAB" w:rsidP="00E54AAB">
      <w:pPr>
        <w:pStyle w:val="CGCTablenote"/>
      </w:pPr>
      <w:r w:rsidRPr="00442A3B">
        <w:t>(a)</w:t>
      </w:r>
      <w:r w:rsidRPr="00442A3B">
        <w:tab/>
        <w:t xml:space="preserve">This represents the difference between applying the GST relativities and relative fiscal capacities to the GST pool. </w:t>
      </w:r>
    </w:p>
    <w:p w14:paraId="210BE421" w14:textId="11670C16" w:rsidR="00165998" w:rsidRPr="00442A3B" w:rsidRDefault="00165998" w:rsidP="00FA6BCB">
      <w:pPr>
        <w:pStyle w:val="CGCTablenote"/>
        <w:keepNext/>
        <w:keepLines/>
      </w:pPr>
      <w:r w:rsidRPr="00442A3B">
        <w:t>Source:</w:t>
      </w:r>
      <w:r w:rsidRPr="00442A3B">
        <w:tab/>
        <w:t>Commission calculation.</w:t>
      </w:r>
    </w:p>
    <w:p w14:paraId="603B77AA" w14:textId="32B8CB6F" w:rsidR="00165998" w:rsidRPr="00442A3B" w:rsidRDefault="00165998" w:rsidP="00E54AAB">
      <w:pPr>
        <w:pStyle w:val="Caption"/>
      </w:pPr>
      <w:bookmarkStart w:id="172" w:name="_Toc62487175"/>
      <w:bookmarkStart w:id="173" w:name="_Toc62487331"/>
      <w:r w:rsidRPr="00442A3B">
        <w:t>Figure 3</w:t>
      </w:r>
      <w:r w:rsidRPr="00442A3B">
        <w:noBreakHyphen/>
      </w:r>
      <w:r w:rsidRPr="00442A3B">
        <w:fldChar w:fldCharType="begin"/>
      </w:r>
      <w:r w:rsidRPr="00442A3B">
        <w:instrText>SEQ Figure \* ARABIC</w:instrText>
      </w:r>
      <w:r w:rsidRPr="00442A3B">
        <w:fldChar w:fldCharType="separate"/>
      </w:r>
      <w:r w:rsidR="00FC3D3D">
        <w:rPr>
          <w:noProof/>
        </w:rPr>
        <w:t>5</w:t>
      </w:r>
      <w:r w:rsidRPr="00442A3B">
        <w:fldChar w:fldCharType="end"/>
      </w:r>
      <w:r w:rsidRPr="00442A3B">
        <w:tab/>
        <w:t xml:space="preserve">Main changes for Western Australia, </w:t>
      </w:r>
      <w:r w:rsidR="00823F3E" w:rsidRPr="00442A3B">
        <w:t>2021 Update</w:t>
      </w:r>
      <w:bookmarkEnd w:id="172"/>
      <w:bookmarkEnd w:id="173"/>
    </w:p>
    <w:p w14:paraId="646A9F01" w14:textId="11C8CA14" w:rsidR="00165998" w:rsidRPr="00442A3B" w:rsidRDefault="005777B2" w:rsidP="00437184">
      <w:pPr>
        <w:spacing w:before="0"/>
      </w:pPr>
      <w:r w:rsidRPr="00442A3B">
        <w:rPr>
          <w:noProof/>
        </w:rPr>
        <w:drawing>
          <wp:inline distT="0" distB="0" distL="0" distR="0" wp14:anchorId="07AE852A" wp14:editId="7701E51C">
            <wp:extent cx="5832000" cy="3193200"/>
            <wp:effectExtent l="0" t="0" r="0" b="7620"/>
            <wp:docPr id="27" name="Picture 27" descr="Data revisions: Wage costs $52m. Changes in circumstances: Mining -$1,061m; Capital requirement $196m; Taxable land values $94m; Commonwealth payments -$72m; Property sales -$59m; Growth in expenses $57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ata revisions: Wage costs $52m. Changes in circumstances: Mining -$1,061m; Capital requirement $196m; Taxable land values $94m; Commonwealth payments -$72m; Property sales -$59m; Growth in expenses $57m"/>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32000" cy="3193200"/>
                    </a:xfrm>
                    <a:prstGeom prst="rect">
                      <a:avLst/>
                    </a:prstGeom>
                    <a:noFill/>
                    <a:ln>
                      <a:noFill/>
                    </a:ln>
                  </pic:spPr>
                </pic:pic>
              </a:graphicData>
            </a:graphic>
          </wp:inline>
        </w:drawing>
      </w:r>
    </w:p>
    <w:p w14:paraId="6962D8EE" w14:textId="3F400D76" w:rsidR="00165998" w:rsidRPr="00442A3B" w:rsidRDefault="00165998" w:rsidP="00437184">
      <w:pPr>
        <w:pStyle w:val="CGCTablenote"/>
        <w:spacing w:before="0"/>
        <w:sectPr w:rsidR="00165998" w:rsidRPr="00442A3B" w:rsidSect="00623DD0">
          <w:headerReference w:type="default" r:id="rId80"/>
          <w:headerReference w:type="first" r:id="rId81"/>
          <w:footnotePr>
            <w:numRestart w:val="eachSect"/>
          </w:footnotePr>
          <w:pgSz w:w="11907" w:h="16840" w:code="9"/>
          <w:pgMar w:top="1418" w:right="1474" w:bottom="1418" w:left="1474" w:header="567" w:footer="567" w:gutter="0"/>
          <w:cols w:space="720"/>
          <w:titlePg/>
          <w:docGrid w:linePitch="360"/>
        </w:sectPr>
      </w:pPr>
      <w:r w:rsidRPr="00442A3B">
        <w:t>Source:</w:t>
      </w:r>
      <w:r w:rsidRPr="00442A3B">
        <w:tab/>
        <w:t>Commission calculation.</w:t>
      </w:r>
    </w:p>
    <w:p w14:paraId="10290E10" w14:textId="77777777" w:rsidR="00165998" w:rsidRPr="00442A3B" w:rsidRDefault="00165998" w:rsidP="00165998">
      <w:pPr>
        <w:pStyle w:val="Heading3"/>
        <w:spacing w:before="120"/>
      </w:pPr>
      <w:bookmarkStart w:id="174" w:name="_Toc65050539"/>
      <w:r w:rsidRPr="00442A3B">
        <w:lastRenderedPageBreak/>
        <w:t>South Australia</w:t>
      </w:r>
      <w:bookmarkEnd w:id="174"/>
    </w:p>
    <w:p w14:paraId="2A02F516" w14:textId="052DF7A9" w:rsidR="00EF2ACF" w:rsidRPr="00442A3B" w:rsidRDefault="00EF2ACF" w:rsidP="00E54AAB">
      <w:r w:rsidRPr="00442A3B">
        <w:t>Under the new GST relativities, which include the transition arrangements,</w:t>
      </w:r>
      <w:r w:rsidR="002113BC" w:rsidRPr="00442A3B">
        <w:t xml:space="preserve"> South Australia’s share of </w:t>
      </w:r>
      <w:r w:rsidR="00271E9C" w:rsidRPr="00442A3B">
        <w:t xml:space="preserve">the </w:t>
      </w:r>
      <w:r w:rsidR="002113BC" w:rsidRPr="00442A3B">
        <w:t xml:space="preserve">GST </w:t>
      </w:r>
      <w:r w:rsidR="00271E9C" w:rsidRPr="00442A3B">
        <w:t xml:space="preserve">pool </w:t>
      </w:r>
      <w:r w:rsidR="002113BC" w:rsidRPr="00442A3B">
        <w:t>decrease</w:t>
      </w:r>
      <w:r w:rsidR="005E406E" w:rsidRPr="00442A3B">
        <w:t>d</w:t>
      </w:r>
      <w:r w:rsidR="002113BC" w:rsidRPr="00442A3B">
        <w:t xml:space="preserve"> from 9.4% to 9.2%. With pool growth, its GST </w:t>
      </w:r>
      <w:r w:rsidR="00271E9C" w:rsidRPr="00442A3B">
        <w:t xml:space="preserve">pool </w:t>
      </w:r>
      <w:r w:rsidR="002113BC" w:rsidRPr="00442A3B">
        <w:t>entitlement in 2021</w:t>
      </w:r>
      <w:r w:rsidR="002113BC" w:rsidRPr="00442A3B">
        <w:noBreakHyphen/>
        <w:t xml:space="preserve">22 would rise by </w:t>
      </w:r>
      <w:r w:rsidR="0082162B" w:rsidRPr="00442A3B">
        <w:t xml:space="preserve">an estimated </w:t>
      </w:r>
      <w:r w:rsidR="002113BC" w:rsidRPr="00442A3B">
        <w:t>$301 million, or 5.1%.</w:t>
      </w:r>
    </w:p>
    <w:p w14:paraId="43116A66" w14:textId="1F968AD2" w:rsidR="00D94871" w:rsidRPr="00442A3B" w:rsidRDefault="00165998" w:rsidP="00E54AAB">
      <w:r w:rsidRPr="00442A3B">
        <w:t xml:space="preserve">South Australia’s </w:t>
      </w:r>
      <w:r w:rsidR="00E90BB9" w:rsidRPr="00442A3B">
        <w:t xml:space="preserve">GST </w:t>
      </w:r>
      <w:r w:rsidR="00271E9C" w:rsidRPr="00442A3B">
        <w:t>pool</w:t>
      </w:r>
      <w:r w:rsidR="00E90BB9" w:rsidRPr="00442A3B">
        <w:t xml:space="preserve"> requirement </w:t>
      </w:r>
      <w:r w:rsidR="007D16D2" w:rsidRPr="00442A3B">
        <w:t>decreased</w:t>
      </w:r>
      <w:r w:rsidR="005610EE" w:rsidRPr="00442A3B">
        <w:t>.</w:t>
      </w:r>
      <w:r w:rsidR="00D94871" w:rsidRPr="00442A3B">
        <w:t xml:space="preserve"> This </w:t>
      </w:r>
      <w:r w:rsidR="005E406E" w:rsidRPr="00442A3B">
        <w:t>was</w:t>
      </w:r>
      <w:r w:rsidRPr="00442A3B">
        <w:t xml:space="preserve"> due to </w:t>
      </w:r>
      <w:r w:rsidR="00BB0A5C" w:rsidRPr="00442A3B">
        <w:t>above average growth in the value of property sales</w:t>
      </w:r>
      <w:r w:rsidR="00045BA2" w:rsidRPr="00442A3B">
        <w:t xml:space="preserve"> and t</w:t>
      </w:r>
      <w:r w:rsidR="00BB0A5C" w:rsidRPr="00442A3B">
        <w:t>axable payrolls</w:t>
      </w:r>
      <w:r w:rsidR="00045BA2" w:rsidRPr="00442A3B">
        <w:t>, and revisions to wage costs</w:t>
      </w:r>
      <w:r w:rsidR="00BB0A5C" w:rsidRPr="00442A3B">
        <w:t>.</w:t>
      </w:r>
      <w:r w:rsidRPr="00442A3B">
        <w:t xml:space="preserve"> These changes were </w:t>
      </w:r>
      <w:r w:rsidR="00D374A6" w:rsidRPr="00442A3B">
        <w:t xml:space="preserve">partly </w:t>
      </w:r>
      <w:r w:rsidRPr="00442A3B">
        <w:t xml:space="preserve">offset by </w:t>
      </w:r>
      <w:r w:rsidR="00D94871" w:rsidRPr="00442A3B">
        <w:t>Western Australia’s increase in mining royalties</w:t>
      </w:r>
      <w:r w:rsidR="00B801DC" w:rsidRPr="00442A3B">
        <w:t xml:space="preserve">, which </w:t>
      </w:r>
      <w:r w:rsidR="008B5B03" w:rsidRPr="00442A3B">
        <w:t>reduced South Australia’s relative capacity to generate mining revenue</w:t>
      </w:r>
      <w:r w:rsidRPr="00442A3B">
        <w:t xml:space="preserve">. </w:t>
      </w:r>
    </w:p>
    <w:p w14:paraId="1DEA866C" w14:textId="2D2EA3DF" w:rsidR="00165998" w:rsidRPr="00442A3B" w:rsidRDefault="00165998" w:rsidP="00E54AAB">
      <w:pPr>
        <w:pStyle w:val="Caption"/>
      </w:pPr>
      <w:bookmarkStart w:id="175" w:name="_Toc62487286"/>
      <w:bookmarkStart w:id="176" w:name="_Toc62723816"/>
      <w:r w:rsidRPr="00442A3B">
        <w:t>Table 3</w:t>
      </w:r>
      <w:r w:rsidRPr="00442A3B">
        <w:noBreakHyphen/>
      </w:r>
      <w:r w:rsidRPr="00442A3B">
        <w:fldChar w:fldCharType="begin"/>
      </w:r>
      <w:r w:rsidRPr="00442A3B">
        <w:instrText>SEQ Table \* ARABIC</w:instrText>
      </w:r>
      <w:r w:rsidRPr="00442A3B">
        <w:fldChar w:fldCharType="separate"/>
      </w:r>
      <w:r w:rsidR="00FC3D3D">
        <w:rPr>
          <w:noProof/>
        </w:rPr>
        <w:t>5</w:t>
      </w:r>
      <w:r w:rsidRPr="00442A3B">
        <w:fldChar w:fldCharType="end"/>
      </w:r>
      <w:r w:rsidRPr="00442A3B">
        <w:tab/>
        <w:t xml:space="preserve">Change in </w:t>
      </w:r>
      <w:r w:rsidR="0007148C" w:rsidRPr="00442A3B">
        <w:t xml:space="preserve">estimated </w:t>
      </w:r>
      <w:r w:rsidRPr="00442A3B">
        <w:t xml:space="preserve">GST distribution </w:t>
      </w:r>
      <w:r w:rsidR="00272A27" w:rsidRPr="00442A3B">
        <w:t>from 2020-21 to 2021-22</w:t>
      </w:r>
      <w:r w:rsidRPr="00442A3B">
        <w:t>, South Australia</w:t>
      </w:r>
      <w:bookmarkEnd w:id="175"/>
      <w:bookmarkEnd w:id="176"/>
    </w:p>
    <w:tbl>
      <w:tblPr>
        <w:tblW w:w="8940" w:type="dxa"/>
        <w:tblCellMar>
          <w:left w:w="28" w:type="dxa"/>
          <w:right w:w="28" w:type="dxa"/>
        </w:tblCellMar>
        <w:tblLook w:val="04A0" w:firstRow="1" w:lastRow="0" w:firstColumn="1" w:lastColumn="0" w:noHBand="0" w:noVBand="1"/>
      </w:tblPr>
      <w:tblGrid>
        <w:gridCol w:w="4040"/>
        <w:gridCol w:w="2500"/>
        <w:gridCol w:w="2400"/>
      </w:tblGrid>
      <w:tr w:rsidR="001F43E7" w:rsidRPr="00442A3B" w14:paraId="1D5E2AA7" w14:textId="77777777" w:rsidTr="000605BC">
        <w:trPr>
          <w:trHeight w:val="259"/>
        </w:trPr>
        <w:tc>
          <w:tcPr>
            <w:tcW w:w="4040" w:type="dxa"/>
            <w:tcBorders>
              <w:top w:val="single" w:sz="4" w:space="0" w:color="ADD6EA"/>
              <w:left w:val="nil"/>
              <w:bottom w:val="single" w:sz="4" w:space="0" w:color="ADD6EA"/>
              <w:right w:val="nil"/>
            </w:tcBorders>
            <w:shd w:val="clear" w:color="000000" w:fill="006991"/>
            <w:noWrap/>
            <w:vAlign w:val="center"/>
            <w:hideMark/>
          </w:tcPr>
          <w:p w14:paraId="49AD59F0" w14:textId="77777777" w:rsidR="001F43E7" w:rsidRPr="00442A3B" w:rsidRDefault="001F43E7" w:rsidP="007A4EDD">
            <w:pPr>
              <w:pStyle w:val="CGCTableHeading"/>
              <w:jc w:val="right"/>
              <w:rPr>
                <w:rFonts w:eastAsia="MS Mincho" w:cs="Open Sans Semibold"/>
                <w:color w:val="FFFFFF"/>
                <w:szCs w:val="16"/>
                <w:lang w:eastAsia="en-AU"/>
              </w:rPr>
            </w:pPr>
            <w:r w:rsidRPr="00442A3B">
              <w:rPr>
                <w:lang w:eastAsia="en-AU"/>
              </w:rPr>
              <w:t> </w:t>
            </w:r>
          </w:p>
        </w:tc>
        <w:tc>
          <w:tcPr>
            <w:tcW w:w="2500" w:type="dxa"/>
            <w:tcBorders>
              <w:top w:val="single" w:sz="4" w:space="0" w:color="ADD6EA"/>
              <w:left w:val="nil"/>
              <w:bottom w:val="single" w:sz="4" w:space="0" w:color="ADD6EA"/>
              <w:right w:val="nil"/>
            </w:tcBorders>
            <w:shd w:val="clear" w:color="000000" w:fill="006991"/>
            <w:noWrap/>
            <w:vAlign w:val="center"/>
            <w:hideMark/>
          </w:tcPr>
          <w:p w14:paraId="1A6023C8" w14:textId="77777777" w:rsidR="001F43E7" w:rsidRPr="00442A3B" w:rsidRDefault="001F43E7" w:rsidP="007A4EDD">
            <w:pPr>
              <w:pStyle w:val="CGCTableHeading"/>
              <w:jc w:val="right"/>
              <w:rPr>
                <w:rFonts w:eastAsia="MS Mincho" w:cs="Open Sans Semibold"/>
                <w:color w:val="FFFFFF"/>
                <w:szCs w:val="16"/>
                <w:lang w:eastAsia="en-AU"/>
              </w:rPr>
            </w:pPr>
            <w:r w:rsidRPr="00442A3B">
              <w:rPr>
                <w:lang w:eastAsia="en-AU"/>
              </w:rPr>
              <w:t>$m</w:t>
            </w:r>
          </w:p>
        </w:tc>
        <w:tc>
          <w:tcPr>
            <w:tcW w:w="2400" w:type="dxa"/>
            <w:tcBorders>
              <w:top w:val="single" w:sz="4" w:space="0" w:color="ADD6EA"/>
              <w:left w:val="nil"/>
              <w:bottom w:val="single" w:sz="4" w:space="0" w:color="ADD6EA"/>
              <w:right w:val="nil"/>
            </w:tcBorders>
            <w:shd w:val="clear" w:color="000000" w:fill="006991"/>
            <w:noWrap/>
            <w:vAlign w:val="center"/>
            <w:hideMark/>
          </w:tcPr>
          <w:p w14:paraId="75497017" w14:textId="77777777" w:rsidR="001F43E7" w:rsidRPr="00442A3B" w:rsidRDefault="001F43E7" w:rsidP="007A4EDD">
            <w:pPr>
              <w:pStyle w:val="CGCTableHeading"/>
              <w:jc w:val="right"/>
              <w:rPr>
                <w:rFonts w:eastAsia="MS Mincho" w:cs="Open Sans Semibold"/>
                <w:color w:val="FFFFFF"/>
                <w:szCs w:val="16"/>
                <w:lang w:eastAsia="en-AU"/>
              </w:rPr>
            </w:pPr>
            <w:r w:rsidRPr="00442A3B">
              <w:rPr>
                <w:lang w:eastAsia="en-AU"/>
              </w:rPr>
              <w:t>$pc</w:t>
            </w:r>
          </w:p>
        </w:tc>
      </w:tr>
      <w:tr w:rsidR="001F43E7" w:rsidRPr="00442A3B" w14:paraId="4A9D3A93"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40970BBB" w14:textId="77777777" w:rsidR="001F43E7" w:rsidRPr="00442A3B" w:rsidRDefault="001F43E7" w:rsidP="001F43E7">
            <w:pPr>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Change in population</w:t>
            </w:r>
          </w:p>
        </w:tc>
        <w:tc>
          <w:tcPr>
            <w:tcW w:w="2500" w:type="dxa"/>
            <w:tcBorders>
              <w:top w:val="nil"/>
              <w:left w:val="nil"/>
              <w:bottom w:val="single" w:sz="4" w:space="0" w:color="ADD6EA"/>
              <w:right w:val="nil"/>
            </w:tcBorders>
            <w:shd w:val="clear" w:color="auto" w:fill="auto"/>
            <w:noWrap/>
            <w:vAlign w:val="bottom"/>
            <w:hideMark/>
          </w:tcPr>
          <w:p w14:paraId="7DA9CE36" w14:textId="77777777" w:rsidR="001F43E7" w:rsidRPr="00442A3B" w:rsidRDefault="001F43E7" w:rsidP="001F43E7">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-11</w:t>
            </w:r>
          </w:p>
        </w:tc>
        <w:tc>
          <w:tcPr>
            <w:tcW w:w="2400" w:type="dxa"/>
            <w:tcBorders>
              <w:top w:val="nil"/>
              <w:left w:val="nil"/>
              <w:bottom w:val="single" w:sz="4" w:space="0" w:color="ADD6EA"/>
              <w:right w:val="nil"/>
            </w:tcBorders>
            <w:shd w:val="clear" w:color="auto" w:fill="auto"/>
            <w:noWrap/>
            <w:vAlign w:val="bottom"/>
            <w:hideMark/>
          </w:tcPr>
          <w:p w14:paraId="7658E02E" w14:textId="77777777" w:rsidR="001F43E7" w:rsidRPr="00442A3B" w:rsidRDefault="001F43E7" w:rsidP="001F43E7">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w:t>
            </w:r>
          </w:p>
        </w:tc>
      </w:tr>
      <w:tr w:rsidR="001F43E7" w:rsidRPr="00442A3B" w14:paraId="444BEF05"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0CDCE89B" w14:textId="77777777" w:rsidR="001F43E7" w:rsidRPr="00442A3B" w:rsidRDefault="001F43E7" w:rsidP="001F43E7">
            <w:pPr>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 xml:space="preserve">Growth in GST pool </w:t>
            </w:r>
          </w:p>
        </w:tc>
        <w:tc>
          <w:tcPr>
            <w:tcW w:w="2500" w:type="dxa"/>
            <w:tcBorders>
              <w:top w:val="nil"/>
              <w:left w:val="nil"/>
              <w:bottom w:val="single" w:sz="4" w:space="0" w:color="ADD6EA"/>
              <w:right w:val="nil"/>
            </w:tcBorders>
            <w:shd w:val="clear" w:color="auto" w:fill="auto"/>
            <w:noWrap/>
            <w:vAlign w:val="bottom"/>
            <w:hideMark/>
          </w:tcPr>
          <w:p w14:paraId="11D43590" w14:textId="77777777" w:rsidR="001F43E7" w:rsidRPr="00442A3B" w:rsidRDefault="001F43E7" w:rsidP="001F43E7">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376</w:t>
            </w:r>
          </w:p>
        </w:tc>
        <w:tc>
          <w:tcPr>
            <w:tcW w:w="2400" w:type="dxa"/>
            <w:tcBorders>
              <w:top w:val="nil"/>
              <w:left w:val="nil"/>
              <w:bottom w:val="single" w:sz="4" w:space="0" w:color="ADD6EA"/>
              <w:right w:val="nil"/>
            </w:tcBorders>
            <w:shd w:val="clear" w:color="auto" w:fill="auto"/>
            <w:noWrap/>
            <w:vAlign w:val="bottom"/>
            <w:hideMark/>
          </w:tcPr>
          <w:p w14:paraId="15179215" w14:textId="77777777" w:rsidR="001F43E7" w:rsidRPr="00442A3B" w:rsidRDefault="001F43E7" w:rsidP="001F43E7">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213</w:t>
            </w:r>
          </w:p>
        </w:tc>
      </w:tr>
      <w:tr w:rsidR="001F43E7" w:rsidRPr="00442A3B" w14:paraId="016E587D"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301D5FEB" w14:textId="77777777" w:rsidR="001F43E7" w:rsidRPr="00442A3B" w:rsidRDefault="001F43E7" w:rsidP="001F43E7">
            <w:pPr>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Changes in relative fiscal capacity</w:t>
            </w:r>
          </w:p>
        </w:tc>
        <w:tc>
          <w:tcPr>
            <w:tcW w:w="2500" w:type="dxa"/>
            <w:tcBorders>
              <w:top w:val="nil"/>
              <w:left w:val="nil"/>
              <w:bottom w:val="single" w:sz="4" w:space="0" w:color="ADD6EA"/>
              <w:right w:val="nil"/>
            </w:tcBorders>
            <w:shd w:val="clear" w:color="auto" w:fill="auto"/>
            <w:noWrap/>
            <w:vAlign w:val="bottom"/>
            <w:hideMark/>
          </w:tcPr>
          <w:p w14:paraId="71F590B0" w14:textId="77777777" w:rsidR="001F43E7" w:rsidRPr="00442A3B" w:rsidRDefault="001F43E7" w:rsidP="001F43E7">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 </w:t>
            </w:r>
          </w:p>
        </w:tc>
        <w:tc>
          <w:tcPr>
            <w:tcW w:w="2400" w:type="dxa"/>
            <w:tcBorders>
              <w:top w:val="nil"/>
              <w:left w:val="nil"/>
              <w:bottom w:val="single" w:sz="4" w:space="0" w:color="ADD6EA"/>
              <w:right w:val="nil"/>
            </w:tcBorders>
            <w:shd w:val="clear" w:color="auto" w:fill="auto"/>
            <w:noWrap/>
            <w:vAlign w:val="bottom"/>
            <w:hideMark/>
          </w:tcPr>
          <w:p w14:paraId="74BC935D" w14:textId="77777777" w:rsidR="001F43E7" w:rsidRPr="00442A3B" w:rsidRDefault="001F43E7" w:rsidP="001F43E7">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 </w:t>
            </w:r>
          </w:p>
        </w:tc>
      </w:tr>
      <w:tr w:rsidR="001F43E7" w:rsidRPr="00442A3B" w14:paraId="501F6703"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01457713" w14:textId="77777777" w:rsidR="001F43E7" w:rsidRPr="00442A3B" w:rsidRDefault="001F43E7" w:rsidP="001F43E7">
            <w:pPr>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Data revisions</w:t>
            </w:r>
          </w:p>
        </w:tc>
        <w:tc>
          <w:tcPr>
            <w:tcW w:w="2500" w:type="dxa"/>
            <w:tcBorders>
              <w:top w:val="nil"/>
              <w:left w:val="nil"/>
              <w:bottom w:val="single" w:sz="4" w:space="0" w:color="ADD6EA"/>
              <w:right w:val="nil"/>
            </w:tcBorders>
            <w:shd w:val="clear" w:color="auto" w:fill="auto"/>
            <w:noWrap/>
            <w:vAlign w:val="bottom"/>
            <w:hideMark/>
          </w:tcPr>
          <w:p w14:paraId="60F5C834" w14:textId="77777777" w:rsidR="001F43E7" w:rsidRPr="00442A3B" w:rsidRDefault="001F43E7" w:rsidP="001F43E7">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25</w:t>
            </w:r>
          </w:p>
        </w:tc>
        <w:tc>
          <w:tcPr>
            <w:tcW w:w="2400" w:type="dxa"/>
            <w:tcBorders>
              <w:top w:val="nil"/>
              <w:left w:val="nil"/>
              <w:bottom w:val="single" w:sz="4" w:space="0" w:color="ADD6EA"/>
              <w:right w:val="nil"/>
            </w:tcBorders>
            <w:shd w:val="clear" w:color="auto" w:fill="auto"/>
            <w:noWrap/>
            <w:vAlign w:val="bottom"/>
            <w:hideMark/>
          </w:tcPr>
          <w:p w14:paraId="500E4FFC" w14:textId="77777777" w:rsidR="001F43E7" w:rsidRPr="00442A3B" w:rsidRDefault="001F43E7" w:rsidP="001F43E7">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14</w:t>
            </w:r>
          </w:p>
        </w:tc>
      </w:tr>
      <w:tr w:rsidR="001F43E7" w:rsidRPr="00442A3B" w14:paraId="7ADAD5F5"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5FBFD094" w14:textId="77777777" w:rsidR="001F43E7" w:rsidRPr="00442A3B" w:rsidRDefault="001F43E7" w:rsidP="001F43E7">
            <w:pPr>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State circumstances</w:t>
            </w:r>
          </w:p>
        </w:tc>
        <w:tc>
          <w:tcPr>
            <w:tcW w:w="2500" w:type="dxa"/>
            <w:tcBorders>
              <w:top w:val="nil"/>
              <w:left w:val="nil"/>
              <w:bottom w:val="single" w:sz="4" w:space="0" w:color="ADD6EA"/>
              <w:right w:val="nil"/>
            </w:tcBorders>
            <w:shd w:val="clear" w:color="auto" w:fill="auto"/>
            <w:noWrap/>
            <w:vAlign w:val="bottom"/>
            <w:hideMark/>
          </w:tcPr>
          <w:p w14:paraId="5CB1AC95" w14:textId="77777777" w:rsidR="001F43E7" w:rsidRPr="00442A3B" w:rsidRDefault="001F43E7" w:rsidP="001F43E7">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-39</w:t>
            </w:r>
          </w:p>
        </w:tc>
        <w:tc>
          <w:tcPr>
            <w:tcW w:w="2400" w:type="dxa"/>
            <w:tcBorders>
              <w:top w:val="nil"/>
              <w:left w:val="nil"/>
              <w:bottom w:val="single" w:sz="4" w:space="0" w:color="ADD6EA"/>
              <w:right w:val="nil"/>
            </w:tcBorders>
            <w:shd w:val="clear" w:color="auto" w:fill="auto"/>
            <w:noWrap/>
            <w:vAlign w:val="bottom"/>
            <w:hideMark/>
          </w:tcPr>
          <w:p w14:paraId="2736C2C5" w14:textId="77777777" w:rsidR="001F43E7" w:rsidRPr="00442A3B" w:rsidRDefault="001F43E7" w:rsidP="001F43E7">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-22</w:t>
            </w:r>
          </w:p>
        </w:tc>
      </w:tr>
      <w:tr w:rsidR="001F43E7" w:rsidRPr="00442A3B" w14:paraId="6A91F1A1"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384F0267" w14:textId="77777777" w:rsidR="001F43E7" w:rsidRPr="00442A3B" w:rsidRDefault="001F43E7" w:rsidP="001F43E7">
            <w:pPr>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Total</w:t>
            </w:r>
          </w:p>
        </w:tc>
        <w:tc>
          <w:tcPr>
            <w:tcW w:w="2500" w:type="dxa"/>
            <w:tcBorders>
              <w:top w:val="nil"/>
              <w:left w:val="nil"/>
              <w:bottom w:val="single" w:sz="4" w:space="0" w:color="ADD6EA"/>
              <w:right w:val="nil"/>
            </w:tcBorders>
            <w:shd w:val="clear" w:color="auto" w:fill="auto"/>
            <w:noWrap/>
            <w:vAlign w:val="bottom"/>
            <w:hideMark/>
          </w:tcPr>
          <w:p w14:paraId="4A1C008F" w14:textId="77777777" w:rsidR="001F43E7" w:rsidRPr="00442A3B" w:rsidRDefault="001F43E7" w:rsidP="001F43E7">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-13</w:t>
            </w:r>
          </w:p>
        </w:tc>
        <w:tc>
          <w:tcPr>
            <w:tcW w:w="2400" w:type="dxa"/>
            <w:tcBorders>
              <w:top w:val="nil"/>
              <w:left w:val="nil"/>
              <w:bottom w:val="single" w:sz="4" w:space="0" w:color="ADD6EA"/>
              <w:right w:val="nil"/>
            </w:tcBorders>
            <w:shd w:val="clear" w:color="auto" w:fill="auto"/>
            <w:noWrap/>
            <w:vAlign w:val="bottom"/>
            <w:hideMark/>
          </w:tcPr>
          <w:p w14:paraId="2F4E514E" w14:textId="77777777" w:rsidR="001F43E7" w:rsidRPr="00442A3B" w:rsidRDefault="001F43E7" w:rsidP="001F43E7">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-8</w:t>
            </w:r>
          </w:p>
        </w:tc>
      </w:tr>
      <w:tr w:rsidR="001F43E7" w:rsidRPr="00442A3B" w14:paraId="2596D401" w14:textId="77777777" w:rsidTr="00713191">
        <w:trPr>
          <w:trHeight w:val="284"/>
        </w:trPr>
        <w:tc>
          <w:tcPr>
            <w:tcW w:w="4040" w:type="dxa"/>
            <w:tcBorders>
              <w:top w:val="nil"/>
              <w:left w:val="nil"/>
              <w:bottom w:val="single" w:sz="4" w:space="0" w:color="ADD6EA"/>
              <w:right w:val="nil"/>
            </w:tcBorders>
            <w:shd w:val="clear" w:color="auto" w:fill="auto"/>
            <w:noWrap/>
            <w:vAlign w:val="bottom"/>
            <w:hideMark/>
          </w:tcPr>
          <w:p w14:paraId="7BEF9496" w14:textId="7E5434B4" w:rsidR="001F43E7" w:rsidRPr="00442A3B" w:rsidRDefault="001F43E7" w:rsidP="001F43E7">
            <w:pPr>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Transition to new arrangements</w:t>
            </w:r>
            <w:r w:rsidR="0089761B" w:rsidRPr="00442A3B">
              <w:rPr>
                <w:rFonts w:eastAsia="Times New Roman" w:cs="Open Sans Light"/>
                <w:sz w:val="16"/>
                <w:szCs w:val="16"/>
                <w:lang w:eastAsia="en-AU"/>
              </w:rPr>
              <w:t xml:space="preserve"> (a)</w:t>
            </w:r>
          </w:p>
        </w:tc>
        <w:tc>
          <w:tcPr>
            <w:tcW w:w="2500" w:type="dxa"/>
            <w:tcBorders>
              <w:top w:val="nil"/>
              <w:left w:val="nil"/>
              <w:bottom w:val="single" w:sz="4" w:space="0" w:color="ADD6EA"/>
              <w:right w:val="nil"/>
            </w:tcBorders>
            <w:shd w:val="clear" w:color="auto" w:fill="auto"/>
            <w:noWrap/>
            <w:vAlign w:val="bottom"/>
            <w:hideMark/>
          </w:tcPr>
          <w:p w14:paraId="31243C4C" w14:textId="77777777" w:rsidR="001F43E7" w:rsidRPr="00442A3B" w:rsidRDefault="001F43E7" w:rsidP="001F43E7">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-51</w:t>
            </w:r>
          </w:p>
        </w:tc>
        <w:tc>
          <w:tcPr>
            <w:tcW w:w="2400" w:type="dxa"/>
            <w:tcBorders>
              <w:top w:val="nil"/>
              <w:left w:val="nil"/>
              <w:bottom w:val="single" w:sz="4" w:space="0" w:color="ADD6EA"/>
              <w:right w:val="nil"/>
            </w:tcBorders>
            <w:shd w:val="clear" w:color="auto" w:fill="auto"/>
            <w:noWrap/>
            <w:vAlign w:val="bottom"/>
            <w:hideMark/>
          </w:tcPr>
          <w:p w14:paraId="562A088C" w14:textId="77777777" w:rsidR="001F43E7" w:rsidRPr="00442A3B" w:rsidRDefault="001F43E7" w:rsidP="001F43E7">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-29</w:t>
            </w:r>
          </w:p>
        </w:tc>
      </w:tr>
      <w:tr w:rsidR="001F43E7" w:rsidRPr="00442A3B" w14:paraId="3B960598" w14:textId="77777777" w:rsidTr="000605BC">
        <w:trPr>
          <w:trHeight w:val="315"/>
        </w:trPr>
        <w:tc>
          <w:tcPr>
            <w:tcW w:w="4040" w:type="dxa"/>
            <w:tcBorders>
              <w:top w:val="nil"/>
              <w:left w:val="nil"/>
              <w:bottom w:val="single" w:sz="4" w:space="0" w:color="ADD6EA"/>
              <w:right w:val="nil"/>
            </w:tcBorders>
            <w:shd w:val="clear" w:color="000000" w:fill="D6E7F0"/>
            <w:noWrap/>
            <w:vAlign w:val="bottom"/>
            <w:hideMark/>
          </w:tcPr>
          <w:p w14:paraId="264FE87B" w14:textId="77777777" w:rsidR="001F43E7" w:rsidRPr="00442A3B" w:rsidRDefault="001F43E7" w:rsidP="007A4EDD">
            <w:pPr>
              <w:pStyle w:val="CGCTablesubhead1"/>
              <w:rPr>
                <w:rFonts w:eastAsia="MS Mincho" w:cs="Open Sans Semibold"/>
                <w:color w:val="000000"/>
                <w:szCs w:val="16"/>
                <w:lang w:eastAsia="en-AU"/>
              </w:rPr>
            </w:pPr>
            <w:r w:rsidRPr="00442A3B">
              <w:rPr>
                <w:lang w:eastAsia="en-AU"/>
              </w:rPr>
              <w:t>Total change</w:t>
            </w:r>
          </w:p>
        </w:tc>
        <w:tc>
          <w:tcPr>
            <w:tcW w:w="2500" w:type="dxa"/>
            <w:tcBorders>
              <w:top w:val="nil"/>
              <w:left w:val="nil"/>
              <w:bottom w:val="single" w:sz="4" w:space="0" w:color="ADD6EA"/>
              <w:right w:val="nil"/>
            </w:tcBorders>
            <w:shd w:val="clear" w:color="000000" w:fill="D6E7F0"/>
            <w:noWrap/>
            <w:vAlign w:val="bottom"/>
            <w:hideMark/>
          </w:tcPr>
          <w:p w14:paraId="62968069" w14:textId="77777777" w:rsidR="001F43E7" w:rsidRPr="00442A3B" w:rsidRDefault="001F43E7" w:rsidP="007A4EDD">
            <w:pPr>
              <w:pStyle w:val="CGCTablesubhead1"/>
              <w:jc w:val="right"/>
              <w:rPr>
                <w:rFonts w:eastAsia="MS Mincho" w:cs="Open Sans Semibold"/>
                <w:color w:val="000000"/>
                <w:szCs w:val="16"/>
                <w:lang w:eastAsia="en-AU"/>
              </w:rPr>
            </w:pPr>
            <w:r w:rsidRPr="00442A3B">
              <w:rPr>
                <w:lang w:eastAsia="en-AU"/>
              </w:rPr>
              <w:t>301</w:t>
            </w:r>
          </w:p>
        </w:tc>
        <w:tc>
          <w:tcPr>
            <w:tcW w:w="2400" w:type="dxa"/>
            <w:tcBorders>
              <w:top w:val="nil"/>
              <w:left w:val="nil"/>
              <w:bottom w:val="single" w:sz="4" w:space="0" w:color="ADD6EA"/>
              <w:right w:val="nil"/>
            </w:tcBorders>
            <w:shd w:val="clear" w:color="000000" w:fill="D6E7F0"/>
            <w:noWrap/>
            <w:vAlign w:val="bottom"/>
            <w:hideMark/>
          </w:tcPr>
          <w:p w14:paraId="42C93228" w14:textId="77777777" w:rsidR="001F43E7" w:rsidRPr="00442A3B" w:rsidRDefault="001F43E7" w:rsidP="007A4EDD">
            <w:pPr>
              <w:pStyle w:val="CGCTablesubhead1"/>
              <w:jc w:val="right"/>
              <w:rPr>
                <w:rFonts w:eastAsia="MS Mincho" w:cs="Open Sans Semibold"/>
                <w:color w:val="000000"/>
                <w:szCs w:val="16"/>
                <w:lang w:eastAsia="en-AU"/>
              </w:rPr>
            </w:pPr>
            <w:r w:rsidRPr="00442A3B">
              <w:rPr>
                <w:lang w:eastAsia="en-AU"/>
              </w:rPr>
              <w:t>170</w:t>
            </w:r>
          </w:p>
        </w:tc>
      </w:tr>
    </w:tbl>
    <w:p w14:paraId="071E21E8" w14:textId="77777777" w:rsidR="004B2D0E" w:rsidRPr="00442A3B" w:rsidRDefault="004B2D0E" w:rsidP="004B2D0E">
      <w:pPr>
        <w:pStyle w:val="CGCTablenote"/>
        <w:keepNext/>
        <w:keepLines/>
      </w:pPr>
      <w:r w:rsidRPr="00442A3B">
        <w:t>Note:</w:t>
      </w:r>
      <w:r w:rsidRPr="00442A3B">
        <w:tab/>
        <w:t>Table may not add due to rounding.</w:t>
      </w:r>
    </w:p>
    <w:p w14:paraId="3417F325" w14:textId="77777777" w:rsidR="00E54AAB" w:rsidRPr="00442A3B" w:rsidRDefault="00E54AAB" w:rsidP="00E54AAB">
      <w:pPr>
        <w:pStyle w:val="CGCTablenote"/>
      </w:pPr>
      <w:r w:rsidRPr="00442A3B">
        <w:t>(a)</w:t>
      </w:r>
      <w:r w:rsidRPr="00442A3B">
        <w:tab/>
        <w:t>This represents the difference between applying the GST relativities and relative fiscal capacities to the GST pool. It is not the basis of the ‘no worse off’ calculation, which is a State’s relative fiscal capacity applied to the GST pool without the top-up.</w:t>
      </w:r>
    </w:p>
    <w:p w14:paraId="058D4C20" w14:textId="77777777" w:rsidR="00165998" w:rsidRPr="00442A3B" w:rsidRDefault="00165998" w:rsidP="00FA6BCB">
      <w:pPr>
        <w:pStyle w:val="CGCTablenote"/>
        <w:keepNext/>
        <w:keepLines/>
      </w:pPr>
      <w:r w:rsidRPr="00442A3B">
        <w:t>Source:</w:t>
      </w:r>
      <w:r w:rsidRPr="00442A3B">
        <w:tab/>
        <w:t>Commission calculation.</w:t>
      </w:r>
    </w:p>
    <w:p w14:paraId="18AE2658" w14:textId="3254BADC" w:rsidR="00165998" w:rsidRPr="00442A3B" w:rsidRDefault="00165998" w:rsidP="00E54AAB">
      <w:pPr>
        <w:pStyle w:val="Caption"/>
      </w:pPr>
      <w:bookmarkStart w:id="177" w:name="_Toc62487176"/>
      <w:bookmarkStart w:id="178" w:name="_Toc62487332"/>
      <w:r w:rsidRPr="00442A3B">
        <w:t>Figure 3</w:t>
      </w:r>
      <w:r w:rsidRPr="00442A3B">
        <w:noBreakHyphen/>
      </w:r>
      <w:r w:rsidRPr="00442A3B">
        <w:fldChar w:fldCharType="begin"/>
      </w:r>
      <w:r w:rsidRPr="00442A3B">
        <w:instrText>SEQ Figure \* ARABIC</w:instrText>
      </w:r>
      <w:r w:rsidRPr="00442A3B">
        <w:fldChar w:fldCharType="separate"/>
      </w:r>
      <w:r w:rsidR="00FC3D3D">
        <w:rPr>
          <w:noProof/>
        </w:rPr>
        <w:t>6</w:t>
      </w:r>
      <w:r w:rsidRPr="00442A3B">
        <w:fldChar w:fldCharType="end"/>
      </w:r>
      <w:r w:rsidRPr="00442A3B">
        <w:tab/>
        <w:t xml:space="preserve">Main changes for South Australia, </w:t>
      </w:r>
      <w:r w:rsidR="00A8506B" w:rsidRPr="00442A3B">
        <w:t>2021 Update</w:t>
      </w:r>
      <w:bookmarkEnd w:id="177"/>
      <w:bookmarkEnd w:id="178"/>
    </w:p>
    <w:p w14:paraId="7C2CEECC" w14:textId="72D7BB0A" w:rsidR="00353FD2" w:rsidRPr="00442A3B" w:rsidRDefault="00F123F3" w:rsidP="00445190">
      <w:pPr>
        <w:pStyle w:val="CGCTablenote"/>
        <w:spacing w:before="0"/>
      </w:pPr>
      <w:r w:rsidRPr="00442A3B">
        <w:rPr>
          <w:noProof/>
        </w:rPr>
        <w:drawing>
          <wp:inline distT="0" distB="0" distL="0" distR="0" wp14:anchorId="797851E0" wp14:editId="6DD8D9C4">
            <wp:extent cx="5832000" cy="3387600"/>
            <wp:effectExtent l="0" t="0" r="0" b="3810"/>
            <wp:docPr id="29" name="Picture 29" descr="Data revisions: Wage costs -$62m; Natural disaster relief $35m. Changes in circumstances: Property sales -$122m; Mining $59m; Taxable payrolls -$35m; Commonwealth payments $31m; Taxable land values$31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Data revisions: Wage costs -$62m; Natural disaster relief $35m. Changes in circumstances: Property sales -$122m; Mining $59m; Taxable payrolls -$35m; Commonwealth payments $31m; Taxable land values$31m"/>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32000" cy="3387600"/>
                    </a:xfrm>
                    <a:prstGeom prst="rect">
                      <a:avLst/>
                    </a:prstGeom>
                    <a:noFill/>
                    <a:ln>
                      <a:noFill/>
                    </a:ln>
                  </pic:spPr>
                </pic:pic>
              </a:graphicData>
            </a:graphic>
          </wp:inline>
        </w:drawing>
      </w:r>
    </w:p>
    <w:p w14:paraId="183211E4" w14:textId="30FF8BD4" w:rsidR="00165998" w:rsidRPr="00442A3B" w:rsidRDefault="00165998" w:rsidP="00445190">
      <w:pPr>
        <w:pStyle w:val="CGCTablenote"/>
        <w:keepNext/>
        <w:keepLines/>
        <w:spacing w:before="0"/>
        <w:sectPr w:rsidR="00165998" w:rsidRPr="00442A3B" w:rsidSect="00192357">
          <w:headerReference w:type="default" r:id="rId83"/>
          <w:headerReference w:type="first" r:id="rId84"/>
          <w:footnotePr>
            <w:numRestart w:val="eachSect"/>
          </w:footnotePr>
          <w:pgSz w:w="11907" w:h="16840" w:code="9"/>
          <w:pgMar w:top="1418" w:right="1474" w:bottom="1134" w:left="1474" w:header="567" w:footer="567" w:gutter="0"/>
          <w:cols w:space="720"/>
          <w:titlePg/>
          <w:docGrid w:linePitch="360"/>
        </w:sectPr>
      </w:pPr>
      <w:r w:rsidRPr="00442A3B">
        <w:t>Source:</w:t>
      </w:r>
      <w:r w:rsidRPr="00442A3B">
        <w:tab/>
        <w:t>Commission calculation.</w:t>
      </w:r>
    </w:p>
    <w:p w14:paraId="53E51199" w14:textId="77777777" w:rsidR="00165998" w:rsidRPr="00442A3B" w:rsidRDefault="00165998" w:rsidP="00165998">
      <w:pPr>
        <w:pStyle w:val="Heading3"/>
        <w:spacing w:before="120"/>
      </w:pPr>
      <w:bookmarkStart w:id="179" w:name="_Toc65050540"/>
      <w:r w:rsidRPr="00442A3B">
        <w:lastRenderedPageBreak/>
        <w:t>Tasmania</w:t>
      </w:r>
      <w:bookmarkEnd w:id="179"/>
    </w:p>
    <w:p w14:paraId="13658E26" w14:textId="7063A5CA" w:rsidR="002113BC" w:rsidRPr="00442A3B" w:rsidRDefault="00EF2ACF" w:rsidP="00E54AAB">
      <w:r w:rsidRPr="00442A3B">
        <w:t>Under the new GST relativities, which include the transition arrangements,</w:t>
      </w:r>
      <w:r w:rsidR="002113BC" w:rsidRPr="00442A3B">
        <w:t xml:space="preserve"> Tasmania’s GST </w:t>
      </w:r>
      <w:r w:rsidR="006D0AA1" w:rsidRPr="00442A3B">
        <w:t>pool</w:t>
      </w:r>
      <w:r w:rsidR="002113BC" w:rsidRPr="00442A3B">
        <w:t xml:space="preserve"> share would rise from 4.0% to 4.1%. Combined with pool growth, its GST entitlement in 2021</w:t>
      </w:r>
      <w:r w:rsidR="002113BC" w:rsidRPr="00442A3B">
        <w:noBreakHyphen/>
        <w:t xml:space="preserve">22 would rise by </w:t>
      </w:r>
      <w:r w:rsidR="0082162B" w:rsidRPr="00442A3B">
        <w:t xml:space="preserve">an estimated </w:t>
      </w:r>
      <w:r w:rsidR="002113BC" w:rsidRPr="00442A3B">
        <w:t>$253 million, or 10.0%.</w:t>
      </w:r>
    </w:p>
    <w:p w14:paraId="3B98FB77" w14:textId="7D48CBA1" w:rsidR="00344F61" w:rsidRPr="00442A3B" w:rsidRDefault="00165998" w:rsidP="00E54AAB">
      <w:r w:rsidRPr="00442A3B">
        <w:t xml:space="preserve">Tasmania’s </w:t>
      </w:r>
      <w:r w:rsidR="00E90BB9" w:rsidRPr="00442A3B">
        <w:t xml:space="preserve">GST </w:t>
      </w:r>
      <w:r w:rsidR="00B04215" w:rsidRPr="00442A3B">
        <w:t>pool</w:t>
      </w:r>
      <w:r w:rsidR="00E90BB9" w:rsidRPr="00442A3B">
        <w:t xml:space="preserve"> requirement increased</w:t>
      </w:r>
      <w:r w:rsidR="00627DC2" w:rsidRPr="00442A3B">
        <w:t>.</w:t>
      </w:r>
      <w:r w:rsidRPr="00442A3B">
        <w:t xml:space="preserve"> </w:t>
      </w:r>
      <w:r w:rsidR="00627DC2" w:rsidRPr="00442A3B">
        <w:t xml:space="preserve">This </w:t>
      </w:r>
      <w:r w:rsidR="005E406E" w:rsidRPr="00442A3B">
        <w:t>was</w:t>
      </w:r>
      <w:r w:rsidR="00627DC2" w:rsidRPr="00442A3B">
        <w:t xml:space="preserve"> </w:t>
      </w:r>
      <w:r w:rsidRPr="00442A3B">
        <w:t xml:space="preserve">due to higher </w:t>
      </w:r>
      <w:r w:rsidR="00446CAE" w:rsidRPr="00442A3B">
        <w:t>wage costs</w:t>
      </w:r>
      <w:r w:rsidR="00983CF8" w:rsidRPr="00442A3B">
        <w:t xml:space="preserve"> </w:t>
      </w:r>
      <w:r w:rsidRPr="00442A3B">
        <w:t xml:space="preserve">and </w:t>
      </w:r>
      <w:r w:rsidR="00627DC2" w:rsidRPr="00442A3B">
        <w:t>Western</w:t>
      </w:r>
      <w:r w:rsidR="00B94600" w:rsidRPr="00442A3B">
        <w:t> </w:t>
      </w:r>
      <w:r w:rsidR="00627DC2" w:rsidRPr="00442A3B">
        <w:t>Australia’s increase in mining royalties</w:t>
      </w:r>
      <w:r w:rsidR="0088165D" w:rsidRPr="00442A3B">
        <w:t>, which reduced Tasmania’s relative capacity to generate mining revenue.</w:t>
      </w:r>
      <w:r w:rsidRPr="00442A3B">
        <w:t xml:space="preserve"> These changes were partly offset by above average growth in the value of property sales. </w:t>
      </w:r>
    </w:p>
    <w:p w14:paraId="724FC1EE" w14:textId="19C9227D" w:rsidR="00165998" w:rsidRPr="00442A3B" w:rsidRDefault="00165998" w:rsidP="00E54AAB">
      <w:pPr>
        <w:pStyle w:val="Caption"/>
      </w:pPr>
      <w:bookmarkStart w:id="180" w:name="_Toc62487287"/>
      <w:bookmarkStart w:id="181" w:name="_Toc62723817"/>
      <w:r w:rsidRPr="00442A3B">
        <w:t>Table 3</w:t>
      </w:r>
      <w:r w:rsidRPr="00442A3B">
        <w:noBreakHyphen/>
      </w:r>
      <w:r w:rsidRPr="00442A3B">
        <w:fldChar w:fldCharType="begin"/>
      </w:r>
      <w:r w:rsidRPr="00442A3B">
        <w:instrText>SEQ Table \* ARABIC</w:instrText>
      </w:r>
      <w:r w:rsidRPr="00442A3B">
        <w:fldChar w:fldCharType="separate"/>
      </w:r>
      <w:r w:rsidR="00FC3D3D">
        <w:rPr>
          <w:noProof/>
        </w:rPr>
        <w:t>6</w:t>
      </w:r>
      <w:r w:rsidRPr="00442A3B">
        <w:fldChar w:fldCharType="end"/>
      </w:r>
      <w:r w:rsidRPr="00442A3B">
        <w:tab/>
        <w:t xml:space="preserve">Change in </w:t>
      </w:r>
      <w:r w:rsidR="007F413F" w:rsidRPr="00442A3B">
        <w:t>estimated</w:t>
      </w:r>
      <w:r w:rsidRPr="00442A3B">
        <w:t xml:space="preserve"> GST distribution </w:t>
      </w:r>
      <w:r w:rsidR="00324422" w:rsidRPr="00442A3B">
        <w:t>from 2021 to 2021-22</w:t>
      </w:r>
      <w:r w:rsidRPr="00442A3B">
        <w:t>, Tasmania</w:t>
      </w:r>
      <w:bookmarkEnd w:id="180"/>
      <w:bookmarkEnd w:id="181"/>
    </w:p>
    <w:tbl>
      <w:tblPr>
        <w:tblW w:w="8940" w:type="dxa"/>
        <w:tblCellMar>
          <w:left w:w="28" w:type="dxa"/>
          <w:right w:w="28" w:type="dxa"/>
        </w:tblCellMar>
        <w:tblLook w:val="04A0" w:firstRow="1" w:lastRow="0" w:firstColumn="1" w:lastColumn="0" w:noHBand="0" w:noVBand="1"/>
      </w:tblPr>
      <w:tblGrid>
        <w:gridCol w:w="4040"/>
        <w:gridCol w:w="2500"/>
        <w:gridCol w:w="2400"/>
      </w:tblGrid>
      <w:tr w:rsidR="007E0AFF" w:rsidRPr="00442A3B" w14:paraId="4B3FE490" w14:textId="77777777" w:rsidTr="000605BC">
        <w:trPr>
          <w:trHeight w:val="259"/>
        </w:trPr>
        <w:tc>
          <w:tcPr>
            <w:tcW w:w="4040" w:type="dxa"/>
            <w:tcBorders>
              <w:top w:val="single" w:sz="4" w:space="0" w:color="ADD6EA"/>
              <w:left w:val="nil"/>
              <w:bottom w:val="single" w:sz="4" w:space="0" w:color="ADD6EA"/>
              <w:right w:val="nil"/>
            </w:tcBorders>
            <w:shd w:val="clear" w:color="000000" w:fill="006991"/>
            <w:noWrap/>
            <w:vAlign w:val="center"/>
            <w:hideMark/>
          </w:tcPr>
          <w:p w14:paraId="3089BDE6" w14:textId="77777777" w:rsidR="007E0AFF" w:rsidRPr="00442A3B" w:rsidRDefault="007E0AFF" w:rsidP="007A4EDD">
            <w:pPr>
              <w:pStyle w:val="CGCTableHeading"/>
              <w:rPr>
                <w:rFonts w:eastAsia="MS Mincho" w:cs="Open Sans Semibold"/>
                <w:color w:val="FFFFFF"/>
                <w:szCs w:val="16"/>
                <w:lang w:eastAsia="en-AU"/>
              </w:rPr>
            </w:pPr>
            <w:r w:rsidRPr="00442A3B">
              <w:rPr>
                <w:lang w:eastAsia="en-AU"/>
              </w:rPr>
              <w:t> </w:t>
            </w:r>
          </w:p>
        </w:tc>
        <w:tc>
          <w:tcPr>
            <w:tcW w:w="2500" w:type="dxa"/>
            <w:tcBorders>
              <w:top w:val="single" w:sz="4" w:space="0" w:color="ADD6EA"/>
              <w:left w:val="nil"/>
              <w:bottom w:val="single" w:sz="4" w:space="0" w:color="ADD6EA"/>
              <w:right w:val="nil"/>
            </w:tcBorders>
            <w:shd w:val="clear" w:color="000000" w:fill="006991"/>
            <w:noWrap/>
            <w:vAlign w:val="center"/>
            <w:hideMark/>
          </w:tcPr>
          <w:p w14:paraId="2F46F813" w14:textId="77777777" w:rsidR="007E0AFF" w:rsidRPr="00442A3B" w:rsidRDefault="007E0AFF" w:rsidP="007A4EDD">
            <w:pPr>
              <w:pStyle w:val="CGCTableHeading"/>
              <w:jc w:val="right"/>
              <w:rPr>
                <w:rFonts w:eastAsia="MS Mincho" w:cs="Open Sans Semibold"/>
                <w:color w:val="FFFFFF"/>
                <w:szCs w:val="16"/>
                <w:lang w:eastAsia="en-AU"/>
              </w:rPr>
            </w:pPr>
            <w:r w:rsidRPr="00442A3B">
              <w:rPr>
                <w:lang w:eastAsia="en-AU"/>
              </w:rPr>
              <w:t>$m</w:t>
            </w:r>
          </w:p>
        </w:tc>
        <w:tc>
          <w:tcPr>
            <w:tcW w:w="2400" w:type="dxa"/>
            <w:tcBorders>
              <w:top w:val="single" w:sz="4" w:space="0" w:color="ADD6EA"/>
              <w:left w:val="nil"/>
              <w:bottom w:val="single" w:sz="4" w:space="0" w:color="ADD6EA"/>
              <w:right w:val="nil"/>
            </w:tcBorders>
            <w:shd w:val="clear" w:color="000000" w:fill="006991"/>
            <w:noWrap/>
            <w:vAlign w:val="center"/>
            <w:hideMark/>
          </w:tcPr>
          <w:p w14:paraId="50A7AA5F" w14:textId="77777777" w:rsidR="007E0AFF" w:rsidRPr="00442A3B" w:rsidRDefault="007E0AFF" w:rsidP="007A4EDD">
            <w:pPr>
              <w:pStyle w:val="CGCTableHeading"/>
              <w:jc w:val="right"/>
              <w:rPr>
                <w:rFonts w:eastAsia="MS Mincho" w:cs="Open Sans Semibold"/>
                <w:color w:val="FFFFFF"/>
                <w:szCs w:val="16"/>
                <w:lang w:eastAsia="en-AU"/>
              </w:rPr>
            </w:pPr>
            <w:r w:rsidRPr="00442A3B">
              <w:rPr>
                <w:lang w:eastAsia="en-AU"/>
              </w:rPr>
              <w:t>$pc</w:t>
            </w:r>
          </w:p>
        </w:tc>
      </w:tr>
      <w:tr w:rsidR="007E0AFF" w:rsidRPr="00442A3B" w14:paraId="20294766" w14:textId="77777777" w:rsidTr="00303E11">
        <w:trPr>
          <w:trHeight w:val="284"/>
        </w:trPr>
        <w:tc>
          <w:tcPr>
            <w:tcW w:w="4040" w:type="dxa"/>
            <w:tcBorders>
              <w:top w:val="nil"/>
              <w:left w:val="nil"/>
              <w:bottom w:val="single" w:sz="4" w:space="0" w:color="ADD6EA"/>
              <w:right w:val="nil"/>
            </w:tcBorders>
            <w:shd w:val="clear" w:color="auto" w:fill="auto"/>
            <w:noWrap/>
            <w:vAlign w:val="bottom"/>
            <w:hideMark/>
          </w:tcPr>
          <w:p w14:paraId="6D305149" w14:textId="77777777" w:rsidR="007E0AFF" w:rsidRPr="00442A3B" w:rsidRDefault="007E0AFF" w:rsidP="007E0AFF">
            <w:pPr>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Change in population</w:t>
            </w:r>
          </w:p>
        </w:tc>
        <w:tc>
          <w:tcPr>
            <w:tcW w:w="2500" w:type="dxa"/>
            <w:tcBorders>
              <w:top w:val="nil"/>
              <w:left w:val="nil"/>
              <w:bottom w:val="single" w:sz="4" w:space="0" w:color="ADD6EA"/>
              <w:right w:val="nil"/>
            </w:tcBorders>
            <w:shd w:val="clear" w:color="auto" w:fill="auto"/>
            <w:noWrap/>
            <w:vAlign w:val="bottom"/>
            <w:hideMark/>
          </w:tcPr>
          <w:p w14:paraId="71AB49B7" w14:textId="77777777" w:rsidR="007E0AFF" w:rsidRPr="00442A3B" w:rsidRDefault="007E0AFF" w:rsidP="007A4EDD">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8</w:t>
            </w:r>
          </w:p>
        </w:tc>
        <w:tc>
          <w:tcPr>
            <w:tcW w:w="2400" w:type="dxa"/>
            <w:tcBorders>
              <w:top w:val="nil"/>
              <w:left w:val="nil"/>
              <w:bottom w:val="single" w:sz="4" w:space="0" w:color="ADD6EA"/>
              <w:right w:val="nil"/>
            </w:tcBorders>
            <w:shd w:val="clear" w:color="auto" w:fill="auto"/>
            <w:noWrap/>
            <w:vAlign w:val="bottom"/>
            <w:hideMark/>
          </w:tcPr>
          <w:p w14:paraId="5337D668" w14:textId="77777777" w:rsidR="007E0AFF" w:rsidRPr="00442A3B" w:rsidRDefault="007E0AFF" w:rsidP="007A4EDD">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14</w:t>
            </w:r>
          </w:p>
        </w:tc>
      </w:tr>
      <w:tr w:rsidR="007E0AFF" w:rsidRPr="00442A3B" w14:paraId="46CEED71" w14:textId="77777777" w:rsidTr="00303E11">
        <w:trPr>
          <w:trHeight w:val="284"/>
        </w:trPr>
        <w:tc>
          <w:tcPr>
            <w:tcW w:w="4040" w:type="dxa"/>
            <w:tcBorders>
              <w:top w:val="nil"/>
              <w:left w:val="nil"/>
              <w:bottom w:val="single" w:sz="4" w:space="0" w:color="ADD6EA"/>
              <w:right w:val="nil"/>
            </w:tcBorders>
            <w:shd w:val="clear" w:color="auto" w:fill="auto"/>
            <w:noWrap/>
            <w:vAlign w:val="bottom"/>
            <w:hideMark/>
          </w:tcPr>
          <w:p w14:paraId="6AA4D1F1" w14:textId="77777777" w:rsidR="007E0AFF" w:rsidRPr="00442A3B" w:rsidRDefault="007E0AFF" w:rsidP="007E0AFF">
            <w:pPr>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 xml:space="preserve">Growth in GST pool </w:t>
            </w:r>
          </w:p>
        </w:tc>
        <w:tc>
          <w:tcPr>
            <w:tcW w:w="2500" w:type="dxa"/>
            <w:tcBorders>
              <w:top w:val="nil"/>
              <w:left w:val="nil"/>
              <w:bottom w:val="single" w:sz="4" w:space="0" w:color="ADD6EA"/>
              <w:right w:val="nil"/>
            </w:tcBorders>
            <w:shd w:val="clear" w:color="auto" w:fill="auto"/>
            <w:noWrap/>
            <w:vAlign w:val="bottom"/>
            <w:hideMark/>
          </w:tcPr>
          <w:p w14:paraId="50170C1A" w14:textId="77777777" w:rsidR="007E0AFF" w:rsidRPr="00442A3B" w:rsidRDefault="007E0AFF" w:rsidP="007A4EDD">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162</w:t>
            </w:r>
          </w:p>
        </w:tc>
        <w:tc>
          <w:tcPr>
            <w:tcW w:w="2400" w:type="dxa"/>
            <w:tcBorders>
              <w:top w:val="nil"/>
              <w:left w:val="nil"/>
              <w:bottom w:val="single" w:sz="4" w:space="0" w:color="ADD6EA"/>
              <w:right w:val="nil"/>
            </w:tcBorders>
            <w:shd w:val="clear" w:color="auto" w:fill="auto"/>
            <w:noWrap/>
            <w:vAlign w:val="bottom"/>
            <w:hideMark/>
          </w:tcPr>
          <w:p w14:paraId="1F381D76" w14:textId="77777777" w:rsidR="007E0AFF" w:rsidRPr="00442A3B" w:rsidRDefault="007E0AFF" w:rsidP="007A4EDD">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298</w:t>
            </w:r>
          </w:p>
        </w:tc>
      </w:tr>
      <w:tr w:rsidR="007E0AFF" w:rsidRPr="00442A3B" w14:paraId="408A67E0" w14:textId="77777777" w:rsidTr="00303E11">
        <w:trPr>
          <w:trHeight w:val="284"/>
        </w:trPr>
        <w:tc>
          <w:tcPr>
            <w:tcW w:w="4040" w:type="dxa"/>
            <w:tcBorders>
              <w:top w:val="nil"/>
              <w:left w:val="nil"/>
              <w:bottom w:val="single" w:sz="4" w:space="0" w:color="ADD6EA"/>
              <w:right w:val="nil"/>
            </w:tcBorders>
            <w:shd w:val="clear" w:color="auto" w:fill="auto"/>
            <w:noWrap/>
            <w:vAlign w:val="bottom"/>
            <w:hideMark/>
          </w:tcPr>
          <w:p w14:paraId="0B77DD06" w14:textId="77777777" w:rsidR="007E0AFF" w:rsidRPr="00442A3B" w:rsidRDefault="007E0AFF" w:rsidP="007E0AFF">
            <w:pPr>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Changes in relative fiscal capacity</w:t>
            </w:r>
          </w:p>
        </w:tc>
        <w:tc>
          <w:tcPr>
            <w:tcW w:w="2500" w:type="dxa"/>
            <w:tcBorders>
              <w:top w:val="nil"/>
              <w:left w:val="nil"/>
              <w:bottom w:val="single" w:sz="4" w:space="0" w:color="ADD6EA"/>
              <w:right w:val="nil"/>
            </w:tcBorders>
            <w:shd w:val="clear" w:color="auto" w:fill="auto"/>
            <w:noWrap/>
            <w:vAlign w:val="bottom"/>
            <w:hideMark/>
          </w:tcPr>
          <w:p w14:paraId="1066E1E9" w14:textId="77777777" w:rsidR="007E0AFF" w:rsidRPr="00442A3B" w:rsidRDefault="007E0AFF" w:rsidP="007A4EDD">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 </w:t>
            </w:r>
          </w:p>
        </w:tc>
        <w:tc>
          <w:tcPr>
            <w:tcW w:w="2400" w:type="dxa"/>
            <w:tcBorders>
              <w:top w:val="nil"/>
              <w:left w:val="nil"/>
              <w:bottom w:val="single" w:sz="4" w:space="0" w:color="ADD6EA"/>
              <w:right w:val="nil"/>
            </w:tcBorders>
            <w:shd w:val="clear" w:color="auto" w:fill="auto"/>
            <w:noWrap/>
            <w:vAlign w:val="bottom"/>
            <w:hideMark/>
          </w:tcPr>
          <w:p w14:paraId="55F559FF" w14:textId="77777777" w:rsidR="007E0AFF" w:rsidRPr="00442A3B" w:rsidRDefault="007E0AFF" w:rsidP="007A4EDD">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 </w:t>
            </w:r>
          </w:p>
        </w:tc>
      </w:tr>
      <w:tr w:rsidR="007E0AFF" w:rsidRPr="00442A3B" w14:paraId="3080291C" w14:textId="77777777" w:rsidTr="00303E11">
        <w:trPr>
          <w:trHeight w:val="284"/>
        </w:trPr>
        <w:tc>
          <w:tcPr>
            <w:tcW w:w="4040" w:type="dxa"/>
            <w:tcBorders>
              <w:top w:val="nil"/>
              <w:left w:val="nil"/>
              <w:bottom w:val="single" w:sz="4" w:space="0" w:color="ADD6EA"/>
              <w:right w:val="nil"/>
            </w:tcBorders>
            <w:shd w:val="clear" w:color="auto" w:fill="auto"/>
            <w:noWrap/>
            <w:vAlign w:val="bottom"/>
            <w:hideMark/>
          </w:tcPr>
          <w:p w14:paraId="18BFC6DB" w14:textId="77777777" w:rsidR="007E0AFF" w:rsidRPr="00442A3B" w:rsidRDefault="007E0AFF" w:rsidP="007E0AFF">
            <w:pPr>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Data revisions</w:t>
            </w:r>
          </w:p>
        </w:tc>
        <w:tc>
          <w:tcPr>
            <w:tcW w:w="2500" w:type="dxa"/>
            <w:tcBorders>
              <w:top w:val="nil"/>
              <w:left w:val="nil"/>
              <w:bottom w:val="single" w:sz="4" w:space="0" w:color="ADD6EA"/>
              <w:right w:val="nil"/>
            </w:tcBorders>
            <w:shd w:val="clear" w:color="auto" w:fill="auto"/>
            <w:noWrap/>
            <w:vAlign w:val="bottom"/>
            <w:hideMark/>
          </w:tcPr>
          <w:p w14:paraId="103C882B" w14:textId="77777777" w:rsidR="007E0AFF" w:rsidRPr="00442A3B" w:rsidRDefault="007E0AFF" w:rsidP="007A4EDD">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11</w:t>
            </w:r>
          </w:p>
        </w:tc>
        <w:tc>
          <w:tcPr>
            <w:tcW w:w="2400" w:type="dxa"/>
            <w:tcBorders>
              <w:top w:val="nil"/>
              <w:left w:val="nil"/>
              <w:bottom w:val="single" w:sz="4" w:space="0" w:color="ADD6EA"/>
              <w:right w:val="nil"/>
            </w:tcBorders>
            <w:shd w:val="clear" w:color="auto" w:fill="auto"/>
            <w:noWrap/>
            <w:vAlign w:val="bottom"/>
            <w:hideMark/>
          </w:tcPr>
          <w:p w14:paraId="7D408D78" w14:textId="77777777" w:rsidR="007E0AFF" w:rsidRPr="00442A3B" w:rsidRDefault="007E0AFF" w:rsidP="007A4EDD">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20</w:t>
            </w:r>
          </w:p>
        </w:tc>
      </w:tr>
      <w:tr w:rsidR="007E0AFF" w:rsidRPr="00442A3B" w14:paraId="67068FE2" w14:textId="77777777" w:rsidTr="00303E11">
        <w:trPr>
          <w:trHeight w:val="284"/>
        </w:trPr>
        <w:tc>
          <w:tcPr>
            <w:tcW w:w="4040" w:type="dxa"/>
            <w:tcBorders>
              <w:top w:val="nil"/>
              <w:left w:val="nil"/>
              <w:bottom w:val="single" w:sz="4" w:space="0" w:color="ADD6EA"/>
              <w:right w:val="nil"/>
            </w:tcBorders>
            <w:shd w:val="clear" w:color="auto" w:fill="auto"/>
            <w:noWrap/>
            <w:vAlign w:val="bottom"/>
            <w:hideMark/>
          </w:tcPr>
          <w:p w14:paraId="3FB5DC08" w14:textId="77777777" w:rsidR="007E0AFF" w:rsidRPr="00442A3B" w:rsidRDefault="007E0AFF" w:rsidP="007E0AFF">
            <w:pPr>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State circumstances</w:t>
            </w:r>
          </w:p>
        </w:tc>
        <w:tc>
          <w:tcPr>
            <w:tcW w:w="2500" w:type="dxa"/>
            <w:tcBorders>
              <w:top w:val="nil"/>
              <w:left w:val="nil"/>
              <w:bottom w:val="single" w:sz="4" w:space="0" w:color="ADD6EA"/>
              <w:right w:val="nil"/>
            </w:tcBorders>
            <w:shd w:val="clear" w:color="auto" w:fill="auto"/>
            <w:noWrap/>
            <w:vAlign w:val="bottom"/>
            <w:hideMark/>
          </w:tcPr>
          <w:p w14:paraId="3EC6F5F9" w14:textId="77777777" w:rsidR="007E0AFF" w:rsidRPr="00442A3B" w:rsidRDefault="007E0AFF" w:rsidP="007A4EDD">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89</w:t>
            </w:r>
          </w:p>
        </w:tc>
        <w:tc>
          <w:tcPr>
            <w:tcW w:w="2400" w:type="dxa"/>
            <w:tcBorders>
              <w:top w:val="nil"/>
              <w:left w:val="nil"/>
              <w:bottom w:val="single" w:sz="4" w:space="0" w:color="ADD6EA"/>
              <w:right w:val="nil"/>
            </w:tcBorders>
            <w:shd w:val="clear" w:color="auto" w:fill="auto"/>
            <w:noWrap/>
            <w:vAlign w:val="bottom"/>
            <w:hideMark/>
          </w:tcPr>
          <w:p w14:paraId="71D72DD7" w14:textId="77777777" w:rsidR="007E0AFF" w:rsidRPr="00442A3B" w:rsidRDefault="007E0AFF" w:rsidP="007A4EDD">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164</w:t>
            </w:r>
          </w:p>
        </w:tc>
      </w:tr>
      <w:tr w:rsidR="007E0AFF" w:rsidRPr="00442A3B" w14:paraId="1C97D430" w14:textId="77777777" w:rsidTr="00303E11">
        <w:trPr>
          <w:trHeight w:val="284"/>
        </w:trPr>
        <w:tc>
          <w:tcPr>
            <w:tcW w:w="4040" w:type="dxa"/>
            <w:tcBorders>
              <w:top w:val="nil"/>
              <w:left w:val="nil"/>
              <w:bottom w:val="single" w:sz="4" w:space="0" w:color="ADD6EA"/>
              <w:right w:val="nil"/>
            </w:tcBorders>
            <w:shd w:val="clear" w:color="auto" w:fill="auto"/>
            <w:noWrap/>
            <w:vAlign w:val="bottom"/>
            <w:hideMark/>
          </w:tcPr>
          <w:p w14:paraId="01CAB7D5" w14:textId="77777777" w:rsidR="007E0AFF" w:rsidRPr="00442A3B" w:rsidRDefault="007E0AFF" w:rsidP="007E0AFF">
            <w:pPr>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Total</w:t>
            </w:r>
          </w:p>
        </w:tc>
        <w:tc>
          <w:tcPr>
            <w:tcW w:w="2500" w:type="dxa"/>
            <w:tcBorders>
              <w:top w:val="nil"/>
              <w:left w:val="nil"/>
              <w:bottom w:val="single" w:sz="4" w:space="0" w:color="ADD6EA"/>
              <w:right w:val="nil"/>
            </w:tcBorders>
            <w:shd w:val="clear" w:color="auto" w:fill="auto"/>
            <w:noWrap/>
            <w:vAlign w:val="bottom"/>
            <w:hideMark/>
          </w:tcPr>
          <w:p w14:paraId="58FB1AFA" w14:textId="77777777" w:rsidR="007E0AFF" w:rsidRPr="00442A3B" w:rsidRDefault="007E0AFF" w:rsidP="007A4EDD">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100</w:t>
            </w:r>
          </w:p>
        </w:tc>
        <w:tc>
          <w:tcPr>
            <w:tcW w:w="2400" w:type="dxa"/>
            <w:tcBorders>
              <w:top w:val="nil"/>
              <w:left w:val="nil"/>
              <w:bottom w:val="single" w:sz="4" w:space="0" w:color="ADD6EA"/>
              <w:right w:val="nil"/>
            </w:tcBorders>
            <w:shd w:val="clear" w:color="auto" w:fill="auto"/>
            <w:noWrap/>
            <w:vAlign w:val="bottom"/>
            <w:hideMark/>
          </w:tcPr>
          <w:p w14:paraId="3446D64B" w14:textId="77777777" w:rsidR="007E0AFF" w:rsidRPr="00442A3B" w:rsidRDefault="007E0AFF" w:rsidP="007A4EDD">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184</w:t>
            </w:r>
          </w:p>
        </w:tc>
      </w:tr>
      <w:tr w:rsidR="007E0AFF" w:rsidRPr="00442A3B" w14:paraId="7D3B073A" w14:textId="77777777" w:rsidTr="00303E11">
        <w:trPr>
          <w:trHeight w:val="284"/>
        </w:trPr>
        <w:tc>
          <w:tcPr>
            <w:tcW w:w="4040" w:type="dxa"/>
            <w:tcBorders>
              <w:top w:val="nil"/>
              <w:left w:val="nil"/>
              <w:bottom w:val="single" w:sz="4" w:space="0" w:color="ADD6EA"/>
              <w:right w:val="nil"/>
            </w:tcBorders>
            <w:shd w:val="clear" w:color="auto" w:fill="auto"/>
            <w:noWrap/>
            <w:vAlign w:val="bottom"/>
            <w:hideMark/>
          </w:tcPr>
          <w:p w14:paraId="07B40038" w14:textId="3F8CC9BA" w:rsidR="007E0AFF" w:rsidRPr="00442A3B" w:rsidRDefault="007E0AFF" w:rsidP="007E0AFF">
            <w:pPr>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Transition to new arrangements</w:t>
            </w:r>
            <w:r w:rsidR="0089761B" w:rsidRPr="00442A3B">
              <w:rPr>
                <w:rFonts w:eastAsia="Times New Roman" w:cs="Open Sans Light"/>
                <w:sz w:val="16"/>
                <w:szCs w:val="16"/>
                <w:lang w:eastAsia="en-AU"/>
              </w:rPr>
              <w:t xml:space="preserve"> (a)</w:t>
            </w:r>
          </w:p>
        </w:tc>
        <w:tc>
          <w:tcPr>
            <w:tcW w:w="2500" w:type="dxa"/>
            <w:tcBorders>
              <w:top w:val="nil"/>
              <w:left w:val="nil"/>
              <w:bottom w:val="single" w:sz="4" w:space="0" w:color="ADD6EA"/>
              <w:right w:val="nil"/>
            </w:tcBorders>
            <w:shd w:val="clear" w:color="auto" w:fill="auto"/>
            <w:noWrap/>
            <w:vAlign w:val="bottom"/>
            <w:hideMark/>
          </w:tcPr>
          <w:p w14:paraId="1F792276" w14:textId="77777777" w:rsidR="007E0AFF" w:rsidRPr="00442A3B" w:rsidRDefault="007E0AFF" w:rsidP="007A4EDD">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-17</w:t>
            </w:r>
          </w:p>
        </w:tc>
        <w:tc>
          <w:tcPr>
            <w:tcW w:w="2400" w:type="dxa"/>
            <w:tcBorders>
              <w:top w:val="nil"/>
              <w:left w:val="nil"/>
              <w:bottom w:val="single" w:sz="4" w:space="0" w:color="ADD6EA"/>
              <w:right w:val="nil"/>
            </w:tcBorders>
            <w:shd w:val="clear" w:color="auto" w:fill="auto"/>
            <w:noWrap/>
            <w:vAlign w:val="bottom"/>
            <w:hideMark/>
          </w:tcPr>
          <w:p w14:paraId="052BD29A" w14:textId="77777777" w:rsidR="007E0AFF" w:rsidRPr="00442A3B" w:rsidRDefault="007E0AFF" w:rsidP="007A4EDD">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-32</w:t>
            </w:r>
          </w:p>
        </w:tc>
      </w:tr>
      <w:tr w:rsidR="007E0AFF" w:rsidRPr="00442A3B" w14:paraId="7C2A6577" w14:textId="77777777" w:rsidTr="000605BC">
        <w:trPr>
          <w:trHeight w:val="315"/>
        </w:trPr>
        <w:tc>
          <w:tcPr>
            <w:tcW w:w="4040" w:type="dxa"/>
            <w:tcBorders>
              <w:top w:val="nil"/>
              <w:left w:val="nil"/>
              <w:bottom w:val="single" w:sz="4" w:space="0" w:color="ADD6EA"/>
              <w:right w:val="nil"/>
            </w:tcBorders>
            <w:shd w:val="clear" w:color="000000" w:fill="D6E7F0"/>
            <w:noWrap/>
            <w:vAlign w:val="bottom"/>
            <w:hideMark/>
          </w:tcPr>
          <w:p w14:paraId="5C913F7E" w14:textId="77777777" w:rsidR="007E0AFF" w:rsidRPr="00442A3B" w:rsidRDefault="007E0AFF" w:rsidP="007A4EDD">
            <w:pPr>
              <w:pStyle w:val="CGCTablesubhead1"/>
              <w:rPr>
                <w:rFonts w:eastAsia="MS Mincho" w:cs="Open Sans Semibold"/>
                <w:color w:val="000000"/>
                <w:szCs w:val="16"/>
                <w:lang w:eastAsia="en-AU"/>
              </w:rPr>
            </w:pPr>
            <w:r w:rsidRPr="00442A3B">
              <w:rPr>
                <w:lang w:eastAsia="en-AU"/>
              </w:rPr>
              <w:t>Total change</w:t>
            </w:r>
          </w:p>
        </w:tc>
        <w:tc>
          <w:tcPr>
            <w:tcW w:w="2500" w:type="dxa"/>
            <w:tcBorders>
              <w:top w:val="nil"/>
              <w:left w:val="nil"/>
              <w:bottom w:val="single" w:sz="4" w:space="0" w:color="ADD6EA"/>
              <w:right w:val="nil"/>
            </w:tcBorders>
            <w:shd w:val="clear" w:color="000000" w:fill="D6E7F0"/>
            <w:noWrap/>
            <w:vAlign w:val="bottom"/>
            <w:hideMark/>
          </w:tcPr>
          <w:p w14:paraId="4B3DB5B1" w14:textId="77777777" w:rsidR="007E0AFF" w:rsidRPr="00442A3B" w:rsidRDefault="007E0AFF" w:rsidP="007A4EDD">
            <w:pPr>
              <w:pStyle w:val="CGCTablesubhead1"/>
              <w:jc w:val="right"/>
              <w:rPr>
                <w:rFonts w:eastAsia="MS Mincho" w:cs="Open Sans Semibold"/>
                <w:color w:val="000000"/>
                <w:szCs w:val="16"/>
                <w:lang w:eastAsia="en-AU"/>
              </w:rPr>
            </w:pPr>
            <w:r w:rsidRPr="00442A3B">
              <w:rPr>
                <w:lang w:eastAsia="en-AU"/>
              </w:rPr>
              <w:t>253</w:t>
            </w:r>
          </w:p>
        </w:tc>
        <w:tc>
          <w:tcPr>
            <w:tcW w:w="2400" w:type="dxa"/>
            <w:tcBorders>
              <w:top w:val="nil"/>
              <w:left w:val="nil"/>
              <w:bottom w:val="single" w:sz="4" w:space="0" w:color="ADD6EA"/>
              <w:right w:val="nil"/>
            </w:tcBorders>
            <w:shd w:val="clear" w:color="000000" w:fill="D6E7F0"/>
            <w:noWrap/>
            <w:vAlign w:val="bottom"/>
            <w:hideMark/>
          </w:tcPr>
          <w:p w14:paraId="197016E1" w14:textId="77777777" w:rsidR="007E0AFF" w:rsidRPr="00442A3B" w:rsidRDefault="007E0AFF" w:rsidP="007A4EDD">
            <w:pPr>
              <w:pStyle w:val="CGCTablesubhead1"/>
              <w:jc w:val="right"/>
              <w:rPr>
                <w:rFonts w:eastAsia="MS Mincho" w:cs="Open Sans Semibold"/>
                <w:color w:val="000000"/>
                <w:szCs w:val="16"/>
                <w:lang w:eastAsia="en-AU"/>
              </w:rPr>
            </w:pPr>
            <w:r w:rsidRPr="00442A3B">
              <w:rPr>
                <w:lang w:eastAsia="en-AU"/>
              </w:rPr>
              <w:t>464</w:t>
            </w:r>
          </w:p>
        </w:tc>
      </w:tr>
    </w:tbl>
    <w:p w14:paraId="414F1E37" w14:textId="77777777" w:rsidR="004B2D0E" w:rsidRPr="00442A3B" w:rsidRDefault="004B2D0E" w:rsidP="004B2D0E">
      <w:pPr>
        <w:pStyle w:val="CGCTablenote"/>
        <w:keepNext/>
        <w:keepLines/>
      </w:pPr>
      <w:r w:rsidRPr="00442A3B">
        <w:t>Note:</w:t>
      </w:r>
      <w:r w:rsidRPr="00442A3B">
        <w:tab/>
        <w:t>Table may not add due to rounding.</w:t>
      </w:r>
    </w:p>
    <w:p w14:paraId="6638BE3A" w14:textId="77777777" w:rsidR="00E54AAB" w:rsidRPr="00442A3B" w:rsidRDefault="00E54AAB" w:rsidP="00E54AAB">
      <w:pPr>
        <w:pStyle w:val="CGCTablenote"/>
      </w:pPr>
      <w:r w:rsidRPr="00442A3B">
        <w:t>(a)</w:t>
      </w:r>
      <w:r w:rsidRPr="00442A3B">
        <w:tab/>
        <w:t>This represents the difference between applying the GST relativities and relative fiscal capacities to the GST pool. It is not the basis of the ‘no worse off’ calculation, which is a State’s relative fiscal capacity applied to the GST pool without the top-up.</w:t>
      </w:r>
    </w:p>
    <w:p w14:paraId="090F5136" w14:textId="77777777" w:rsidR="00165998" w:rsidRPr="00442A3B" w:rsidRDefault="00165998" w:rsidP="00FA6BCB">
      <w:pPr>
        <w:pStyle w:val="CGCTablenote"/>
        <w:keepNext/>
        <w:keepLines/>
      </w:pPr>
      <w:r w:rsidRPr="00442A3B">
        <w:t>Source:</w:t>
      </w:r>
      <w:r w:rsidRPr="00442A3B">
        <w:tab/>
        <w:t>Commission calculation.</w:t>
      </w:r>
    </w:p>
    <w:p w14:paraId="2BAB310D" w14:textId="431EB8E8" w:rsidR="00165998" w:rsidRPr="00442A3B" w:rsidRDefault="00165998" w:rsidP="00E54AAB">
      <w:pPr>
        <w:pStyle w:val="Caption"/>
      </w:pPr>
      <w:bookmarkStart w:id="182" w:name="_Toc62487177"/>
      <w:bookmarkStart w:id="183" w:name="_Toc62487333"/>
      <w:r w:rsidRPr="00442A3B">
        <w:t>Figure 3</w:t>
      </w:r>
      <w:r w:rsidRPr="00442A3B">
        <w:noBreakHyphen/>
      </w:r>
      <w:r w:rsidRPr="00442A3B">
        <w:fldChar w:fldCharType="begin"/>
      </w:r>
      <w:r w:rsidRPr="00442A3B">
        <w:instrText>SEQ Figure \* ARABIC</w:instrText>
      </w:r>
      <w:r w:rsidRPr="00442A3B">
        <w:fldChar w:fldCharType="separate"/>
      </w:r>
      <w:r w:rsidR="00FC3D3D">
        <w:rPr>
          <w:noProof/>
        </w:rPr>
        <w:t>7</w:t>
      </w:r>
      <w:r w:rsidRPr="00442A3B">
        <w:fldChar w:fldCharType="end"/>
      </w:r>
      <w:r w:rsidRPr="00442A3B">
        <w:tab/>
        <w:t xml:space="preserve">Main changes for Tasmania, </w:t>
      </w:r>
      <w:r w:rsidR="006A671C" w:rsidRPr="00442A3B">
        <w:t>2021 U</w:t>
      </w:r>
      <w:r w:rsidR="00A8506B" w:rsidRPr="00442A3B">
        <w:t>pdate</w:t>
      </w:r>
      <w:bookmarkEnd w:id="182"/>
      <w:bookmarkEnd w:id="183"/>
    </w:p>
    <w:p w14:paraId="61858E8C" w14:textId="67622B89" w:rsidR="00165998" w:rsidRPr="00442A3B" w:rsidRDefault="002958B9" w:rsidP="00D20B71">
      <w:pPr>
        <w:spacing w:before="0"/>
      </w:pPr>
      <w:r w:rsidRPr="00442A3B">
        <w:rPr>
          <w:noProof/>
        </w:rPr>
        <w:drawing>
          <wp:inline distT="0" distB="0" distL="0" distR="0" wp14:anchorId="6CF6899A" wp14:editId="29E54DBE">
            <wp:extent cx="5832000" cy="3193200"/>
            <wp:effectExtent l="0" t="0" r="0" b="7620"/>
            <wp:docPr id="30" name="Picture 30" descr="Data revisions: Urban centre characteristics $22m; Wage costs -$18m. Changes in circumstances: Wage costs $57m; Property sales -$48m; Mining $28m; Population dispersion $25m; Growth in expenses $2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ata revisions: Urban centre characteristics $22m; Wage costs -$18m. Changes in circumstances: Wage costs $57m; Property sales -$48m; Mining $28m; Population dispersion $25m; Growth in expenses $20m"/>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32000" cy="3193200"/>
                    </a:xfrm>
                    <a:prstGeom prst="rect">
                      <a:avLst/>
                    </a:prstGeom>
                    <a:noFill/>
                    <a:ln>
                      <a:noFill/>
                    </a:ln>
                  </pic:spPr>
                </pic:pic>
              </a:graphicData>
            </a:graphic>
          </wp:inline>
        </w:drawing>
      </w:r>
    </w:p>
    <w:p w14:paraId="5BBA6DFE" w14:textId="5A0A810C" w:rsidR="00165998" w:rsidRPr="00442A3B" w:rsidRDefault="00165998" w:rsidP="00D20B71">
      <w:pPr>
        <w:pStyle w:val="CGCTablenote"/>
        <w:keepNext/>
        <w:keepLines/>
        <w:spacing w:before="0"/>
        <w:sectPr w:rsidR="00165998" w:rsidRPr="00442A3B" w:rsidSect="00192357">
          <w:headerReference w:type="default" r:id="rId86"/>
          <w:headerReference w:type="first" r:id="rId87"/>
          <w:footnotePr>
            <w:numRestart w:val="eachSect"/>
          </w:footnotePr>
          <w:pgSz w:w="11907" w:h="16840" w:code="9"/>
          <w:pgMar w:top="1418" w:right="1474" w:bottom="1134" w:left="1474" w:header="567" w:footer="567" w:gutter="0"/>
          <w:cols w:space="720"/>
          <w:titlePg/>
          <w:docGrid w:linePitch="360"/>
        </w:sectPr>
      </w:pPr>
      <w:r w:rsidRPr="00442A3B">
        <w:t>Source:</w:t>
      </w:r>
      <w:r w:rsidRPr="00442A3B">
        <w:tab/>
        <w:t>Commission calculation.</w:t>
      </w:r>
      <w:r w:rsidR="00FE6B96" w:rsidRPr="00442A3B">
        <w:t xml:space="preserve"> </w:t>
      </w:r>
    </w:p>
    <w:p w14:paraId="1A1AA103" w14:textId="77777777" w:rsidR="00165998" w:rsidRPr="00442A3B" w:rsidRDefault="00165998" w:rsidP="00165998">
      <w:pPr>
        <w:pStyle w:val="Heading3"/>
        <w:spacing w:before="120"/>
      </w:pPr>
      <w:bookmarkStart w:id="184" w:name="_Toc65050541"/>
      <w:r w:rsidRPr="00442A3B">
        <w:lastRenderedPageBreak/>
        <w:t>Australian Capital Territory</w:t>
      </w:r>
      <w:bookmarkEnd w:id="184"/>
    </w:p>
    <w:p w14:paraId="6915BF68" w14:textId="1837F61C" w:rsidR="004C407A" w:rsidRPr="00442A3B" w:rsidRDefault="00EF2ACF" w:rsidP="00E54AAB">
      <w:r w:rsidRPr="00442A3B">
        <w:t>Under the new GST relativities, which include the transition arrangements,</w:t>
      </w:r>
      <w:r w:rsidR="004C407A" w:rsidRPr="00442A3B">
        <w:t xml:space="preserve"> the ACT’s GST </w:t>
      </w:r>
      <w:r w:rsidR="006D0AA1" w:rsidRPr="00442A3B">
        <w:t xml:space="preserve">pool </w:t>
      </w:r>
      <w:r w:rsidR="004C407A" w:rsidRPr="00442A3B">
        <w:t>share would rise from 1.9% to 2.0%. Combined with pool growth, its GST entitlement in 2021</w:t>
      </w:r>
      <w:r w:rsidR="004C407A" w:rsidRPr="00442A3B">
        <w:noBreakHyphen/>
        <w:t xml:space="preserve">22 would rise by </w:t>
      </w:r>
      <w:r w:rsidR="0082162B" w:rsidRPr="00442A3B">
        <w:t xml:space="preserve">an estimated </w:t>
      </w:r>
      <w:r w:rsidR="004C407A" w:rsidRPr="00442A3B">
        <w:t>$89 million, or 7.3%.</w:t>
      </w:r>
    </w:p>
    <w:p w14:paraId="428E8A51" w14:textId="1C39C1E7" w:rsidR="0091115A" w:rsidRPr="00442A3B" w:rsidRDefault="00165998" w:rsidP="00E54AAB">
      <w:r w:rsidRPr="00442A3B">
        <w:t xml:space="preserve">The ACT’s </w:t>
      </w:r>
      <w:r w:rsidR="00167648" w:rsidRPr="00442A3B">
        <w:t xml:space="preserve">GST </w:t>
      </w:r>
      <w:r w:rsidR="009D1B66" w:rsidRPr="00442A3B">
        <w:t>pool</w:t>
      </w:r>
      <w:r w:rsidR="00167648" w:rsidRPr="00442A3B">
        <w:t xml:space="preserve"> requirement increased</w:t>
      </w:r>
      <w:r w:rsidR="00344F61" w:rsidRPr="00442A3B">
        <w:t xml:space="preserve">. This </w:t>
      </w:r>
      <w:r w:rsidR="005E406E" w:rsidRPr="00442A3B">
        <w:t>was</w:t>
      </w:r>
      <w:r w:rsidR="00344F61" w:rsidRPr="00442A3B">
        <w:t xml:space="preserve"> </w:t>
      </w:r>
      <w:r w:rsidRPr="00442A3B">
        <w:t xml:space="preserve">due to </w:t>
      </w:r>
      <w:r w:rsidR="00344F61" w:rsidRPr="00442A3B">
        <w:t>Western Australia’s increase in mining royalties</w:t>
      </w:r>
      <w:r w:rsidR="0088165D" w:rsidRPr="00442A3B">
        <w:t xml:space="preserve">, </w:t>
      </w:r>
      <w:r w:rsidR="0064498A" w:rsidRPr="00442A3B">
        <w:t xml:space="preserve">which </w:t>
      </w:r>
      <w:r w:rsidR="0088165D" w:rsidRPr="00442A3B">
        <w:t xml:space="preserve">reduced </w:t>
      </w:r>
      <w:r w:rsidR="00B52CC0" w:rsidRPr="00442A3B">
        <w:t xml:space="preserve">the ACT’s </w:t>
      </w:r>
      <w:r w:rsidR="0088165D" w:rsidRPr="00442A3B">
        <w:t>relative capacity to generate mining revenue</w:t>
      </w:r>
      <w:r w:rsidR="0064498A" w:rsidRPr="00442A3B">
        <w:t>,</w:t>
      </w:r>
      <w:r w:rsidR="008231B7" w:rsidRPr="00442A3B">
        <w:t xml:space="preserve"> and </w:t>
      </w:r>
      <w:r w:rsidR="004147B6" w:rsidRPr="00442A3B">
        <w:t>below average growth in taxable payrolls</w:t>
      </w:r>
      <w:r w:rsidRPr="00442A3B">
        <w:t xml:space="preserve">. </w:t>
      </w:r>
      <w:r w:rsidR="00160B96" w:rsidRPr="00442A3B">
        <w:t xml:space="preserve">These changes were partly offset by reduced </w:t>
      </w:r>
      <w:r w:rsidR="008C5F81" w:rsidRPr="00442A3B">
        <w:t xml:space="preserve">investment needs, and </w:t>
      </w:r>
      <w:r w:rsidR="000B5F79" w:rsidRPr="00442A3B">
        <w:t>e</w:t>
      </w:r>
      <w:r w:rsidR="0091115A" w:rsidRPr="00442A3B">
        <w:t>xpenses growing faster than the GST pool</w:t>
      </w:r>
      <w:r w:rsidR="000B5F79" w:rsidRPr="00442A3B">
        <w:t>, which</w:t>
      </w:r>
      <w:r w:rsidR="0091115A" w:rsidRPr="00442A3B">
        <w:t xml:space="preserve"> has meant that expense disabilities have become more important</w:t>
      </w:r>
      <w:r w:rsidR="00DD4C4B" w:rsidRPr="00442A3B">
        <w:t>. A</w:t>
      </w:r>
      <w:r w:rsidR="006475F4" w:rsidRPr="00442A3B">
        <w:t xml:space="preserve">s </w:t>
      </w:r>
      <w:r w:rsidR="002E2DD3" w:rsidRPr="00442A3B">
        <w:t xml:space="preserve">the ACT </w:t>
      </w:r>
      <w:r w:rsidR="0091115A" w:rsidRPr="00442A3B">
        <w:t>has below average expense disabilities</w:t>
      </w:r>
      <w:r w:rsidR="00DD4C4B" w:rsidRPr="00442A3B">
        <w:t>, this reduc</w:t>
      </w:r>
      <w:r w:rsidR="00BD04F7">
        <w:t>ed</w:t>
      </w:r>
      <w:r w:rsidR="00DD4C4B" w:rsidRPr="00442A3B">
        <w:t xml:space="preserve"> its</w:t>
      </w:r>
      <w:r w:rsidR="0091115A" w:rsidRPr="00442A3B" w:rsidDel="00DD4C4B">
        <w:t xml:space="preserve"> </w:t>
      </w:r>
      <w:r w:rsidR="0091115A" w:rsidRPr="00442A3B">
        <w:t>GST</w:t>
      </w:r>
      <w:r w:rsidR="00DD4C4B" w:rsidRPr="00442A3B">
        <w:t xml:space="preserve"> share</w:t>
      </w:r>
      <w:r w:rsidR="0091115A" w:rsidRPr="00442A3B">
        <w:t>.</w:t>
      </w:r>
    </w:p>
    <w:p w14:paraId="2AD3F205" w14:textId="5E14B313" w:rsidR="00165998" w:rsidRPr="00442A3B" w:rsidRDefault="00165998" w:rsidP="00E54AAB">
      <w:pPr>
        <w:pStyle w:val="Caption"/>
      </w:pPr>
      <w:bookmarkStart w:id="185" w:name="_Toc62487288"/>
      <w:bookmarkStart w:id="186" w:name="_Toc62723818"/>
      <w:r w:rsidRPr="00442A3B">
        <w:t>Table 3</w:t>
      </w:r>
      <w:r w:rsidRPr="00442A3B">
        <w:noBreakHyphen/>
      </w:r>
      <w:r w:rsidRPr="00442A3B">
        <w:fldChar w:fldCharType="begin"/>
      </w:r>
      <w:r w:rsidRPr="00442A3B">
        <w:instrText>SEQ Table \* ARABIC</w:instrText>
      </w:r>
      <w:r w:rsidRPr="00442A3B">
        <w:fldChar w:fldCharType="separate"/>
      </w:r>
      <w:r w:rsidR="00FC3D3D">
        <w:rPr>
          <w:noProof/>
        </w:rPr>
        <w:t>7</w:t>
      </w:r>
      <w:r w:rsidRPr="00442A3B">
        <w:fldChar w:fldCharType="end"/>
      </w:r>
      <w:r w:rsidRPr="00442A3B">
        <w:tab/>
        <w:t xml:space="preserve">Change in </w:t>
      </w:r>
      <w:r w:rsidR="007F413F" w:rsidRPr="00442A3B">
        <w:t>estimated</w:t>
      </w:r>
      <w:r w:rsidRPr="00442A3B">
        <w:t xml:space="preserve"> GST distribution </w:t>
      </w:r>
      <w:r w:rsidR="005A4A42" w:rsidRPr="00442A3B">
        <w:t>from 20</w:t>
      </w:r>
      <w:r w:rsidR="00DD28F3" w:rsidRPr="00442A3B">
        <w:t>20-21 to 2021-22</w:t>
      </w:r>
      <w:r w:rsidRPr="00442A3B">
        <w:t>, ACT</w:t>
      </w:r>
      <w:bookmarkEnd w:id="185"/>
      <w:bookmarkEnd w:id="186"/>
    </w:p>
    <w:tbl>
      <w:tblPr>
        <w:tblW w:w="8940" w:type="dxa"/>
        <w:tblCellMar>
          <w:left w:w="28" w:type="dxa"/>
          <w:right w:w="28" w:type="dxa"/>
        </w:tblCellMar>
        <w:tblLook w:val="04A0" w:firstRow="1" w:lastRow="0" w:firstColumn="1" w:lastColumn="0" w:noHBand="0" w:noVBand="1"/>
      </w:tblPr>
      <w:tblGrid>
        <w:gridCol w:w="4040"/>
        <w:gridCol w:w="2500"/>
        <w:gridCol w:w="2400"/>
      </w:tblGrid>
      <w:tr w:rsidR="00801DDE" w:rsidRPr="00442A3B" w14:paraId="65F25886" w14:textId="77777777" w:rsidTr="004459A0">
        <w:trPr>
          <w:trHeight w:val="259"/>
        </w:trPr>
        <w:tc>
          <w:tcPr>
            <w:tcW w:w="4040" w:type="dxa"/>
            <w:tcBorders>
              <w:top w:val="single" w:sz="4" w:space="0" w:color="ADD6EA"/>
              <w:left w:val="nil"/>
              <w:bottom w:val="single" w:sz="4" w:space="0" w:color="ADD6EA"/>
              <w:right w:val="nil"/>
            </w:tcBorders>
            <w:shd w:val="clear" w:color="000000" w:fill="006991"/>
            <w:noWrap/>
            <w:vAlign w:val="center"/>
            <w:hideMark/>
          </w:tcPr>
          <w:p w14:paraId="43917A03" w14:textId="77777777" w:rsidR="00801DDE" w:rsidRPr="00442A3B" w:rsidRDefault="00801DDE" w:rsidP="007A4EDD">
            <w:pPr>
              <w:pStyle w:val="CGCTableHeading"/>
              <w:rPr>
                <w:rFonts w:eastAsia="MS Mincho" w:cs="Open Sans Semibold"/>
                <w:color w:val="FFFFFF"/>
                <w:szCs w:val="16"/>
                <w:lang w:eastAsia="en-AU"/>
              </w:rPr>
            </w:pPr>
            <w:r w:rsidRPr="00442A3B">
              <w:rPr>
                <w:lang w:eastAsia="en-AU"/>
              </w:rPr>
              <w:t> </w:t>
            </w:r>
          </w:p>
        </w:tc>
        <w:tc>
          <w:tcPr>
            <w:tcW w:w="2500" w:type="dxa"/>
            <w:tcBorders>
              <w:top w:val="single" w:sz="4" w:space="0" w:color="ADD6EA"/>
              <w:left w:val="nil"/>
              <w:bottom w:val="single" w:sz="4" w:space="0" w:color="ADD6EA"/>
              <w:right w:val="nil"/>
            </w:tcBorders>
            <w:shd w:val="clear" w:color="000000" w:fill="006991"/>
            <w:noWrap/>
            <w:vAlign w:val="center"/>
            <w:hideMark/>
          </w:tcPr>
          <w:p w14:paraId="3F02A3E0" w14:textId="77777777" w:rsidR="00801DDE" w:rsidRPr="00442A3B" w:rsidRDefault="00801DDE" w:rsidP="00176E04">
            <w:pPr>
              <w:pStyle w:val="CGCTableHeading"/>
              <w:jc w:val="right"/>
              <w:rPr>
                <w:rFonts w:eastAsia="MS Mincho" w:cs="Open Sans Semibold"/>
                <w:color w:val="FFFFFF"/>
                <w:szCs w:val="16"/>
                <w:lang w:eastAsia="en-AU"/>
              </w:rPr>
            </w:pPr>
            <w:r w:rsidRPr="00442A3B">
              <w:rPr>
                <w:lang w:eastAsia="en-AU"/>
              </w:rPr>
              <w:t>$m</w:t>
            </w:r>
          </w:p>
        </w:tc>
        <w:tc>
          <w:tcPr>
            <w:tcW w:w="2400" w:type="dxa"/>
            <w:tcBorders>
              <w:top w:val="single" w:sz="4" w:space="0" w:color="ADD6EA"/>
              <w:left w:val="nil"/>
              <w:bottom w:val="single" w:sz="4" w:space="0" w:color="ADD6EA"/>
              <w:right w:val="nil"/>
            </w:tcBorders>
            <w:shd w:val="clear" w:color="000000" w:fill="006991"/>
            <w:noWrap/>
            <w:vAlign w:val="center"/>
            <w:hideMark/>
          </w:tcPr>
          <w:p w14:paraId="63559998" w14:textId="77777777" w:rsidR="00801DDE" w:rsidRPr="00442A3B" w:rsidRDefault="00801DDE" w:rsidP="00176E04">
            <w:pPr>
              <w:pStyle w:val="CGCTableHeading"/>
              <w:jc w:val="right"/>
              <w:rPr>
                <w:rFonts w:eastAsia="MS Mincho" w:cs="Open Sans Semibold"/>
                <w:color w:val="FFFFFF"/>
                <w:szCs w:val="16"/>
                <w:lang w:eastAsia="en-AU"/>
              </w:rPr>
            </w:pPr>
            <w:r w:rsidRPr="00442A3B">
              <w:rPr>
                <w:lang w:eastAsia="en-AU"/>
              </w:rPr>
              <w:t>$pc</w:t>
            </w:r>
          </w:p>
        </w:tc>
      </w:tr>
      <w:tr w:rsidR="00801DDE" w:rsidRPr="00442A3B" w14:paraId="693577AE" w14:textId="77777777" w:rsidTr="004629A0">
        <w:trPr>
          <w:trHeight w:val="284"/>
        </w:trPr>
        <w:tc>
          <w:tcPr>
            <w:tcW w:w="4040" w:type="dxa"/>
            <w:tcBorders>
              <w:top w:val="nil"/>
              <w:left w:val="nil"/>
              <w:bottom w:val="single" w:sz="4" w:space="0" w:color="ADD6EA"/>
              <w:right w:val="nil"/>
            </w:tcBorders>
            <w:shd w:val="clear" w:color="auto" w:fill="auto"/>
            <w:noWrap/>
            <w:vAlign w:val="bottom"/>
            <w:hideMark/>
          </w:tcPr>
          <w:p w14:paraId="1D3AF3A2" w14:textId="77777777" w:rsidR="00801DDE" w:rsidRPr="00442A3B" w:rsidRDefault="00801DDE" w:rsidP="00801DDE">
            <w:pPr>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Change in population</w:t>
            </w:r>
          </w:p>
        </w:tc>
        <w:tc>
          <w:tcPr>
            <w:tcW w:w="2500" w:type="dxa"/>
            <w:tcBorders>
              <w:top w:val="nil"/>
              <w:left w:val="nil"/>
              <w:bottom w:val="single" w:sz="4" w:space="0" w:color="ADD6EA"/>
              <w:right w:val="nil"/>
            </w:tcBorders>
            <w:shd w:val="clear" w:color="auto" w:fill="auto"/>
            <w:noWrap/>
            <w:vAlign w:val="bottom"/>
            <w:hideMark/>
          </w:tcPr>
          <w:p w14:paraId="79A1575A" w14:textId="77777777" w:rsidR="00801DDE" w:rsidRPr="00442A3B" w:rsidRDefault="00801DDE" w:rsidP="00176E04">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w:t>
            </w:r>
          </w:p>
        </w:tc>
        <w:tc>
          <w:tcPr>
            <w:tcW w:w="2400" w:type="dxa"/>
            <w:tcBorders>
              <w:top w:val="nil"/>
              <w:left w:val="nil"/>
              <w:bottom w:val="single" w:sz="4" w:space="0" w:color="ADD6EA"/>
              <w:right w:val="nil"/>
            </w:tcBorders>
            <w:shd w:val="clear" w:color="auto" w:fill="auto"/>
            <w:noWrap/>
            <w:vAlign w:val="bottom"/>
            <w:hideMark/>
          </w:tcPr>
          <w:p w14:paraId="3DA11F2B" w14:textId="77777777" w:rsidR="00801DDE" w:rsidRPr="00442A3B" w:rsidRDefault="00801DDE" w:rsidP="00176E04">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w:t>
            </w:r>
          </w:p>
        </w:tc>
      </w:tr>
      <w:tr w:rsidR="00801DDE" w:rsidRPr="00442A3B" w14:paraId="4C1F56DC" w14:textId="77777777" w:rsidTr="004629A0">
        <w:trPr>
          <w:trHeight w:val="284"/>
        </w:trPr>
        <w:tc>
          <w:tcPr>
            <w:tcW w:w="4040" w:type="dxa"/>
            <w:tcBorders>
              <w:top w:val="nil"/>
              <w:left w:val="nil"/>
              <w:bottom w:val="single" w:sz="4" w:space="0" w:color="ADD6EA"/>
              <w:right w:val="nil"/>
            </w:tcBorders>
            <w:shd w:val="clear" w:color="auto" w:fill="auto"/>
            <w:noWrap/>
            <w:vAlign w:val="bottom"/>
            <w:hideMark/>
          </w:tcPr>
          <w:p w14:paraId="433D3DDB" w14:textId="77777777" w:rsidR="00801DDE" w:rsidRPr="00442A3B" w:rsidRDefault="00801DDE" w:rsidP="00801DDE">
            <w:pPr>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 xml:space="preserve">Growth in GST pool </w:t>
            </w:r>
          </w:p>
        </w:tc>
        <w:tc>
          <w:tcPr>
            <w:tcW w:w="2500" w:type="dxa"/>
            <w:tcBorders>
              <w:top w:val="nil"/>
              <w:left w:val="nil"/>
              <w:bottom w:val="single" w:sz="4" w:space="0" w:color="ADD6EA"/>
              <w:right w:val="nil"/>
            </w:tcBorders>
            <w:shd w:val="clear" w:color="auto" w:fill="auto"/>
            <w:noWrap/>
            <w:vAlign w:val="bottom"/>
            <w:hideMark/>
          </w:tcPr>
          <w:p w14:paraId="1F7AC6C3" w14:textId="77777777" w:rsidR="00801DDE" w:rsidRPr="00442A3B" w:rsidRDefault="00801DDE" w:rsidP="00176E04">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78</w:t>
            </w:r>
          </w:p>
        </w:tc>
        <w:tc>
          <w:tcPr>
            <w:tcW w:w="2400" w:type="dxa"/>
            <w:tcBorders>
              <w:top w:val="nil"/>
              <w:left w:val="nil"/>
              <w:bottom w:val="single" w:sz="4" w:space="0" w:color="ADD6EA"/>
              <w:right w:val="nil"/>
            </w:tcBorders>
            <w:shd w:val="clear" w:color="auto" w:fill="auto"/>
            <w:noWrap/>
            <w:vAlign w:val="bottom"/>
            <w:hideMark/>
          </w:tcPr>
          <w:p w14:paraId="4427F644" w14:textId="77777777" w:rsidR="00801DDE" w:rsidRPr="00442A3B" w:rsidRDefault="00801DDE" w:rsidP="00176E04">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181</w:t>
            </w:r>
          </w:p>
        </w:tc>
      </w:tr>
      <w:tr w:rsidR="00801DDE" w:rsidRPr="00442A3B" w14:paraId="2BA20A19" w14:textId="77777777" w:rsidTr="004629A0">
        <w:trPr>
          <w:trHeight w:val="284"/>
        </w:trPr>
        <w:tc>
          <w:tcPr>
            <w:tcW w:w="4040" w:type="dxa"/>
            <w:tcBorders>
              <w:top w:val="nil"/>
              <w:left w:val="nil"/>
              <w:bottom w:val="single" w:sz="4" w:space="0" w:color="ADD6EA"/>
              <w:right w:val="nil"/>
            </w:tcBorders>
            <w:shd w:val="clear" w:color="auto" w:fill="auto"/>
            <w:noWrap/>
            <w:vAlign w:val="bottom"/>
            <w:hideMark/>
          </w:tcPr>
          <w:p w14:paraId="69540CB0" w14:textId="77777777" w:rsidR="00801DDE" w:rsidRPr="00442A3B" w:rsidRDefault="00801DDE" w:rsidP="00801DDE">
            <w:pPr>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Changes in relative fiscal capacity</w:t>
            </w:r>
          </w:p>
        </w:tc>
        <w:tc>
          <w:tcPr>
            <w:tcW w:w="2500" w:type="dxa"/>
            <w:tcBorders>
              <w:top w:val="nil"/>
              <w:left w:val="nil"/>
              <w:bottom w:val="single" w:sz="4" w:space="0" w:color="ADD6EA"/>
              <w:right w:val="nil"/>
            </w:tcBorders>
            <w:shd w:val="clear" w:color="auto" w:fill="auto"/>
            <w:noWrap/>
            <w:vAlign w:val="bottom"/>
            <w:hideMark/>
          </w:tcPr>
          <w:p w14:paraId="5877A2D0" w14:textId="77777777" w:rsidR="00801DDE" w:rsidRPr="00442A3B" w:rsidRDefault="00801DDE" w:rsidP="00176E04">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 </w:t>
            </w:r>
          </w:p>
        </w:tc>
        <w:tc>
          <w:tcPr>
            <w:tcW w:w="2400" w:type="dxa"/>
            <w:tcBorders>
              <w:top w:val="nil"/>
              <w:left w:val="nil"/>
              <w:bottom w:val="single" w:sz="4" w:space="0" w:color="ADD6EA"/>
              <w:right w:val="nil"/>
            </w:tcBorders>
            <w:shd w:val="clear" w:color="auto" w:fill="auto"/>
            <w:noWrap/>
            <w:vAlign w:val="bottom"/>
            <w:hideMark/>
          </w:tcPr>
          <w:p w14:paraId="00ADEE77" w14:textId="77777777" w:rsidR="00801DDE" w:rsidRPr="00442A3B" w:rsidRDefault="00801DDE" w:rsidP="00176E04">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 </w:t>
            </w:r>
          </w:p>
        </w:tc>
      </w:tr>
      <w:tr w:rsidR="00801DDE" w:rsidRPr="00442A3B" w14:paraId="24E888BD" w14:textId="77777777" w:rsidTr="004629A0">
        <w:trPr>
          <w:trHeight w:val="284"/>
        </w:trPr>
        <w:tc>
          <w:tcPr>
            <w:tcW w:w="4040" w:type="dxa"/>
            <w:tcBorders>
              <w:top w:val="nil"/>
              <w:left w:val="nil"/>
              <w:bottom w:val="single" w:sz="4" w:space="0" w:color="ADD6EA"/>
              <w:right w:val="nil"/>
            </w:tcBorders>
            <w:shd w:val="clear" w:color="auto" w:fill="auto"/>
            <w:noWrap/>
            <w:vAlign w:val="bottom"/>
            <w:hideMark/>
          </w:tcPr>
          <w:p w14:paraId="026A23C6" w14:textId="77777777" w:rsidR="00801DDE" w:rsidRPr="00442A3B" w:rsidRDefault="00801DDE" w:rsidP="00801DDE">
            <w:pPr>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Data revisions</w:t>
            </w:r>
          </w:p>
        </w:tc>
        <w:tc>
          <w:tcPr>
            <w:tcW w:w="2500" w:type="dxa"/>
            <w:tcBorders>
              <w:top w:val="nil"/>
              <w:left w:val="nil"/>
              <w:bottom w:val="single" w:sz="4" w:space="0" w:color="ADD6EA"/>
              <w:right w:val="nil"/>
            </w:tcBorders>
            <w:shd w:val="clear" w:color="auto" w:fill="auto"/>
            <w:noWrap/>
            <w:vAlign w:val="bottom"/>
            <w:hideMark/>
          </w:tcPr>
          <w:p w14:paraId="3CEB14DF" w14:textId="77777777" w:rsidR="00801DDE" w:rsidRPr="00442A3B" w:rsidRDefault="00801DDE" w:rsidP="00176E04">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40</w:t>
            </w:r>
          </w:p>
        </w:tc>
        <w:tc>
          <w:tcPr>
            <w:tcW w:w="2400" w:type="dxa"/>
            <w:tcBorders>
              <w:top w:val="nil"/>
              <w:left w:val="nil"/>
              <w:bottom w:val="single" w:sz="4" w:space="0" w:color="ADD6EA"/>
              <w:right w:val="nil"/>
            </w:tcBorders>
            <w:shd w:val="clear" w:color="auto" w:fill="auto"/>
            <w:noWrap/>
            <w:vAlign w:val="bottom"/>
            <w:hideMark/>
          </w:tcPr>
          <w:p w14:paraId="218C781C" w14:textId="77777777" w:rsidR="00801DDE" w:rsidRPr="00442A3B" w:rsidRDefault="00801DDE" w:rsidP="00176E04">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93</w:t>
            </w:r>
          </w:p>
        </w:tc>
      </w:tr>
      <w:tr w:rsidR="00801DDE" w:rsidRPr="00442A3B" w14:paraId="396D2FD5" w14:textId="77777777" w:rsidTr="004629A0">
        <w:trPr>
          <w:trHeight w:val="284"/>
        </w:trPr>
        <w:tc>
          <w:tcPr>
            <w:tcW w:w="4040" w:type="dxa"/>
            <w:tcBorders>
              <w:top w:val="nil"/>
              <w:left w:val="nil"/>
              <w:bottom w:val="single" w:sz="4" w:space="0" w:color="ADD6EA"/>
              <w:right w:val="nil"/>
            </w:tcBorders>
            <w:shd w:val="clear" w:color="auto" w:fill="auto"/>
            <w:noWrap/>
            <w:vAlign w:val="bottom"/>
            <w:hideMark/>
          </w:tcPr>
          <w:p w14:paraId="07D287D7" w14:textId="26A16E50" w:rsidR="00801DDE" w:rsidRPr="00442A3B" w:rsidRDefault="00801DDE" w:rsidP="00801DDE">
            <w:pPr>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State circumstances</w:t>
            </w:r>
            <w:r w:rsidR="00F37317" w:rsidRPr="00442A3B">
              <w:rPr>
                <w:rFonts w:eastAsia="Times New Roman" w:cs="Open Sans Light"/>
                <w:sz w:val="16"/>
                <w:szCs w:val="16"/>
                <w:lang w:eastAsia="en-AU"/>
              </w:rPr>
              <w:t xml:space="preserve"> (a)</w:t>
            </w:r>
          </w:p>
        </w:tc>
        <w:tc>
          <w:tcPr>
            <w:tcW w:w="2500" w:type="dxa"/>
            <w:tcBorders>
              <w:top w:val="nil"/>
              <w:left w:val="nil"/>
              <w:bottom w:val="single" w:sz="4" w:space="0" w:color="ADD6EA"/>
              <w:right w:val="nil"/>
            </w:tcBorders>
            <w:shd w:val="clear" w:color="auto" w:fill="auto"/>
            <w:noWrap/>
            <w:vAlign w:val="bottom"/>
            <w:hideMark/>
          </w:tcPr>
          <w:p w14:paraId="32B1FA07" w14:textId="77777777" w:rsidR="00801DDE" w:rsidRPr="00442A3B" w:rsidRDefault="00801DDE" w:rsidP="00176E04">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-19</w:t>
            </w:r>
          </w:p>
        </w:tc>
        <w:tc>
          <w:tcPr>
            <w:tcW w:w="2400" w:type="dxa"/>
            <w:tcBorders>
              <w:top w:val="nil"/>
              <w:left w:val="nil"/>
              <w:bottom w:val="single" w:sz="4" w:space="0" w:color="ADD6EA"/>
              <w:right w:val="nil"/>
            </w:tcBorders>
            <w:shd w:val="clear" w:color="auto" w:fill="auto"/>
            <w:noWrap/>
            <w:vAlign w:val="bottom"/>
            <w:hideMark/>
          </w:tcPr>
          <w:p w14:paraId="70D1BDD9" w14:textId="77777777" w:rsidR="00801DDE" w:rsidRPr="00442A3B" w:rsidRDefault="00801DDE" w:rsidP="00176E04">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-43</w:t>
            </w:r>
          </w:p>
        </w:tc>
      </w:tr>
      <w:tr w:rsidR="00801DDE" w:rsidRPr="00442A3B" w14:paraId="2FFD041B" w14:textId="77777777" w:rsidTr="004629A0">
        <w:trPr>
          <w:trHeight w:val="284"/>
        </w:trPr>
        <w:tc>
          <w:tcPr>
            <w:tcW w:w="4040" w:type="dxa"/>
            <w:tcBorders>
              <w:top w:val="nil"/>
              <w:left w:val="nil"/>
              <w:bottom w:val="single" w:sz="4" w:space="0" w:color="ADD6EA"/>
              <w:right w:val="nil"/>
            </w:tcBorders>
            <w:shd w:val="clear" w:color="auto" w:fill="auto"/>
            <w:noWrap/>
            <w:vAlign w:val="bottom"/>
            <w:hideMark/>
          </w:tcPr>
          <w:p w14:paraId="2CD0DDEA" w14:textId="77777777" w:rsidR="00801DDE" w:rsidRPr="00442A3B" w:rsidRDefault="00801DDE" w:rsidP="00801DDE">
            <w:pPr>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Total</w:t>
            </w:r>
          </w:p>
        </w:tc>
        <w:tc>
          <w:tcPr>
            <w:tcW w:w="2500" w:type="dxa"/>
            <w:tcBorders>
              <w:top w:val="nil"/>
              <w:left w:val="nil"/>
              <w:bottom w:val="single" w:sz="4" w:space="0" w:color="ADD6EA"/>
              <w:right w:val="nil"/>
            </w:tcBorders>
            <w:shd w:val="clear" w:color="auto" w:fill="auto"/>
            <w:noWrap/>
            <w:vAlign w:val="bottom"/>
            <w:hideMark/>
          </w:tcPr>
          <w:p w14:paraId="63DE242F" w14:textId="77777777" w:rsidR="00801DDE" w:rsidRPr="00442A3B" w:rsidRDefault="00801DDE" w:rsidP="00176E04">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22</w:t>
            </w:r>
          </w:p>
        </w:tc>
        <w:tc>
          <w:tcPr>
            <w:tcW w:w="2400" w:type="dxa"/>
            <w:tcBorders>
              <w:top w:val="nil"/>
              <w:left w:val="nil"/>
              <w:bottom w:val="single" w:sz="4" w:space="0" w:color="ADD6EA"/>
              <w:right w:val="nil"/>
            </w:tcBorders>
            <w:shd w:val="clear" w:color="auto" w:fill="auto"/>
            <w:noWrap/>
            <w:vAlign w:val="bottom"/>
            <w:hideMark/>
          </w:tcPr>
          <w:p w14:paraId="5C1F1888" w14:textId="77777777" w:rsidR="00801DDE" w:rsidRPr="00442A3B" w:rsidRDefault="00801DDE" w:rsidP="00176E04">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50</w:t>
            </w:r>
          </w:p>
        </w:tc>
      </w:tr>
      <w:tr w:rsidR="00801DDE" w:rsidRPr="00442A3B" w14:paraId="56728828" w14:textId="77777777" w:rsidTr="004629A0">
        <w:trPr>
          <w:trHeight w:val="284"/>
        </w:trPr>
        <w:tc>
          <w:tcPr>
            <w:tcW w:w="4040" w:type="dxa"/>
            <w:tcBorders>
              <w:top w:val="nil"/>
              <w:left w:val="nil"/>
              <w:bottom w:val="single" w:sz="4" w:space="0" w:color="ADD6EA"/>
              <w:right w:val="nil"/>
            </w:tcBorders>
            <w:shd w:val="clear" w:color="auto" w:fill="auto"/>
            <w:noWrap/>
            <w:vAlign w:val="bottom"/>
            <w:hideMark/>
          </w:tcPr>
          <w:p w14:paraId="18934C77" w14:textId="096A6F29" w:rsidR="00801DDE" w:rsidRPr="00442A3B" w:rsidRDefault="00801DDE" w:rsidP="00801DDE">
            <w:pPr>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Transition to new arrangements</w:t>
            </w:r>
            <w:r w:rsidR="0089761B" w:rsidRPr="00442A3B">
              <w:rPr>
                <w:rFonts w:eastAsia="Times New Roman" w:cs="Open Sans Light"/>
                <w:sz w:val="16"/>
                <w:szCs w:val="16"/>
                <w:lang w:eastAsia="en-AU"/>
              </w:rPr>
              <w:t xml:space="preserve"> (</w:t>
            </w:r>
            <w:r w:rsidR="00F37317" w:rsidRPr="00442A3B">
              <w:rPr>
                <w:rFonts w:eastAsia="Times New Roman" w:cs="Open Sans Light"/>
                <w:sz w:val="16"/>
                <w:szCs w:val="16"/>
                <w:lang w:eastAsia="en-AU"/>
              </w:rPr>
              <w:t>b</w:t>
            </w:r>
            <w:r w:rsidR="0089761B" w:rsidRPr="00442A3B">
              <w:rPr>
                <w:rFonts w:eastAsia="Times New Roman" w:cs="Open Sans Light"/>
                <w:sz w:val="16"/>
                <w:szCs w:val="16"/>
                <w:lang w:eastAsia="en-AU"/>
              </w:rPr>
              <w:t>)</w:t>
            </w:r>
          </w:p>
        </w:tc>
        <w:tc>
          <w:tcPr>
            <w:tcW w:w="2500" w:type="dxa"/>
            <w:tcBorders>
              <w:top w:val="nil"/>
              <w:left w:val="nil"/>
              <w:bottom w:val="single" w:sz="4" w:space="0" w:color="ADD6EA"/>
              <w:right w:val="nil"/>
            </w:tcBorders>
            <w:shd w:val="clear" w:color="auto" w:fill="auto"/>
            <w:noWrap/>
            <w:vAlign w:val="bottom"/>
            <w:hideMark/>
          </w:tcPr>
          <w:p w14:paraId="65E91DBC" w14:textId="77777777" w:rsidR="00801DDE" w:rsidRPr="00442A3B" w:rsidRDefault="00801DDE" w:rsidP="00176E04">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-12</w:t>
            </w:r>
          </w:p>
        </w:tc>
        <w:tc>
          <w:tcPr>
            <w:tcW w:w="2400" w:type="dxa"/>
            <w:tcBorders>
              <w:top w:val="nil"/>
              <w:left w:val="nil"/>
              <w:bottom w:val="single" w:sz="4" w:space="0" w:color="ADD6EA"/>
              <w:right w:val="nil"/>
            </w:tcBorders>
            <w:shd w:val="clear" w:color="auto" w:fill="auto"/>
            <w:noWrap/>
            <w:vAlign w:val="bottom"/>
            <w:hideMark/>
          </w:tcPr>
          <w:p w14:paraId="3B26B174" w14:textId="77777777" w:rsidR="00801DDE" w:rsidRPr="00442A3B" w:rsidRDefault="00801DDE" w:rsidP="00176E04">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-28</w:t>
            </w:r>
          </w:p>
        </w:tc>
      </w:tr>
      <w:tr w:rsidR="00801DDE" w:rsidRPr="00442A3B" w14:paraId="24E9F690" w14:textId="77777777" w:rsidTr="004459A0">
        <w:trPr>
          <w:trHeight w:val="315"/>
        </w:trPr>
        <w:tc>
          <w:tcPr>
            <w:tcW w:w="4040" w:type="dxa"/>
            <w:tcBorders>
              <w:top w:val="nil"/>
              <w:left w:val="nil"/>
              <w:bottom w:val="single" w:sz="4" w:space="0" w:color="ADD6EA"/>
              <w:right w:val="nil"/>
            </w:tcBorders>
            <w:shd w:val="clear" w:color="000000" w:fill="D6E7F0"/>
            <w:noWrap/>
            <w:vAlign w:val="bottom"/>
            <w:hideMark/>
          </w:tcPr>
          <w:p w14:paraId="02DE3848" w14:textId="77777777" w:rsidR="00801DDE" w:rsidRPr="00442A3B" w:rsidRDefault="00801DDE" w:rsidP="00176E04">
            <w:pPr>
              <w:pStyle w:val="CGCTablesubhead1"/>
              <w:rPr>
                <w:rFonts w:eastAsia="MS Mincho" w:cs="Open Sans Semibold"/>
                <w:color w:val="000000"/>
                <w:szCs w:val="16"/>
                <w:lang w:eastAsia="en-AU"/>
              </w:rPr>
            </w:pPr>
            <w:r w:rsidRPr="00442A3B">
              <w:rPr>
                <w:lang w:eastAsia="en-AU"/>
              </w:rPr>
              <w:t>Total change</w:t>
            </w:r>
          </w:p>
        </w:tc>
        <w:tc>
          <w:tcPr>
            <w:tcW w:w="2500" w:type="dxa"/>
            <w:tcBorders>
              <w:top w:val="nil"/>
              <w:left w:val="nil"/>
              <w:bottom w:val="single" w:sz="4" w:space="0" w:color="ADD6EA"/>
              <w:right w:val="nil"/>
            </w:tcBorders>
            <w:shd w:val="clear" w:color="000000" w:fill="D6E7F0"/>
            <w:noWrap/>
            <w:vAlign w:val="bottom"/>
            <w:hideMark/>
          </w:tcPr>
          <w:p w14:paraId="2221DC27" w14:textId="77777777" w:rsidR="00801DDE" w:rsidRPr="00442A3B" w:rsidRDefault="00801DDE" w:rsidP="00176E04">
            <w:pPr>
              <w:pStyle w:val="CGCTablesubhead1"/>
              <w:jc w:val="right"/>
              <w:rPr>
                <w:rFonts w:eastAsia="MS Mincho" w:cs="Open Sans Semibold"/>
                <w:color w:val="000000"/>
                <w:szCs w:val="16"/>
                <w:lang w:eastAsia="en-AU"/>
              </w:rPr>
            </w:pPr>
            <w:r w:rsidRPr="00442A3B">
              <w:rPr>
                <w:lang w:eastAsia="en-AU"/>
              </w:rPr>
              <w:t>89</w:t>
            </w:r>
          </w:p>
        </w:tc>
        <w:tc>
          <w:tcPr>
            <w:tcW w:w="2400" w:type="dxa"/>
            <w:tcBorders>
              <w:top w:val="nil"/>
              <w:left w:val="nil"/>
              <w:bottom w:val="single" w:sz="4" w:space="0" w:color="ADD6EA"/>
              <w:right w:val="nil"/>
            </w:tcBorders>
            <w:shd w:val="clear" w:color="000000" w:fill="D6E7F0"/>
            <w:noWrap/>
            <w:vAlign w:val="bottom"/>
            <w:hideMark/>
          </w:tcPr>
          <w:p w14:paraId="08078E47" w14:textId="77777777" w:rsidR="00801DDE" w:rsidRPr="00442A3B" w:rsidRDefault="00801DDE" w:rsidP="00176E04">
            <w:pPr>
              <w:pStyle w:val="CGCTablesubhead1"/>
              <w:jc w:val="right"/>
              <w:rPr>
                <w:rFonts w:eastAsia="MS Mincho" w:cs="Open Sans Semibold"/>
                <w:color w:val="000000"/>
                <w:szCs w:val="16"/>
                <w:lang w:eastAsia="en-AU"/>
              </w:rPr>
            </w:pPr>
            <w:r w:rsidRPr="00442A3B">
              <w:rPr>
                <w:lang w:eastAsia="en-AU"/>
              </w:rPr>
              <w:t>205</w:t>
            </w:r>
          </w:p>
        </w:tc>
      </w:tr>
    </w:tbl>
    <w:p w14:paraId="2504E719" w14:textId="59C1D56B" w:rsidR="0031794C" w:rsidRPr="00442A3B" w:rsidRDefault="0031794C" w:rsidP="0031794C">
      <w:pPr>
        <w:pStyle w:val="CGCTablenote"/>
        <w:keepNext/>
        <w:keepLines/>
      </w:pPr>
      <w:r w:rsidRPr="00442A3B">
        <w:t>Note:</w:t>
      </w:r>
      <w:r w:rsidRPr="00442A3B">
        <w:tab/>
        <w:t xml:space="preserve">Table may not add due to rounding. </w:t>
      </w:r>
    </w:p>
    <w:p w14:paraId="40D1FE3D" w14:textId="3BBB3AF4" w:rsidR="0031794C" w:rsidRPr="00442A3B" w:rsidRDefault="00F37317" w:rsidP="0031794C">
      <w:pPr>
        <w:pStyle w:val="CGCTablenote"/>
        <w:keepNext/>
        <w:keepLines/>
      </w:pPr>
      <w:r w:rsidRPr="00442A3B">
        <w:t>(a)</w:t>
      </w:r>
      <w:r w:rsidRPr="00442A3B">
        <w:tab/>
      </w:r>
      <w:r w:rsidR="0031794C" w:rsidRPr="00442A3B">
        <w:t xml:space="preserve">Numerous small changes to the ACT’s circumstances more than offset the increase in its GST share due to mining in other States (shown in </w:t>
      </w:r>
      <w:r w:rsidR="0031794C" w:rsidRPr="00442A3B">
        <w:fldChar w:fldCharType="begin"/>
      </w:r>
      <w:r w:rsidR="0031794C" w:rsidRPr="00442A3B">
        <w:instrText xml:space="preserve"> REF _Ref32852906 \h  \* MERGEFORMAT </w:instrText>
      </w:r>
      <w:r w:rsidR="0031794C" w:rsidRPr="00442A3B">
        <w:fldChar w:fldCharType="separate"/>
      </w:r>
      <w:r w:rsidR="00FC3D3D" w:rsidRPr="00442A3B">
        <w:t>Figure 3</w:t>
      </w:r>
      <w:r w:rsidR="00FC3D3D" w:rsidRPr="00442A3B">
        <w:noBreakHyphen/>
      </w:r>
      <w:r w:rsidR="00FC3D3D">
        <w:t>8</w:t>
      </w:r>
      <w:r w:rsidR="0031794C" w:rsidRPr="00442A3B">
        <w:fldChar w:fldCharType="end"/>
      </w:r>
      <w:r w:rsidR="0031794C" w:rsidRPr="00442A3B">
        <w:t>).</w:t>
      </w:r>
    </w:p>
    <w:p w14:paraId="0200265D" w14:textId="75180FA9" w:rsidR="00E54AAB" w:rsidRPr="00442A3B" w:rsidRDefault="00E54AAB" w:rsidP="00E54AAB">
      <w:pPr>
        <w:pStyle w:val="CGCTablenote"/>
      </w:pPr>
      <w:r w:rsidRPr="00442A3B">
        <w:t>(</w:t>
      </w:r>
      <w:r w:rsidR="00F37317" w:rsidRPr="00442A3B">
        <w:t>b</w:t>
      </w:r>
      <w:r w:rsidRPr="00442A3B">
        <w:t>)</w:t>
      </w:r>
      <w:r w:rsidRPr="00442A3B">
        <w:tab/>
        <w:t>This represents the difference between applying the GST relativities and relative fiscal capacities to the GST pool. It is not the basis of the ‘no worse off’ calculation, which is a State’s relative fiscal capacity applied to the GST pool without the top-up.</w:t>
      </w:r>
    </w:p>
    <w:p w14:paraId="2218DC8B" w14:textId="77777777" w:rsidR="00165998" w:rsidRPr="00442A3B" w:rsidRDefault="00165998" w:rsidP="00FA6BCB">
      <w:pPr>
        <w:pStyle w:val="CGCTablenote"/>
        <w:keepNext/>
        <w:keepLines/>
      </w:pPr>
      <w:r w:rsidRPr="00442A3B">
        <w:t>Source:</w:t>
      </w:r>
      <w:r w:rsidRPr="00442A3B">
        <w:tab/>
        <w:t>Commission calculation.</w:t>
      </w:r>
    </w:p>
    <w:p w14:paraId="2ED187E7" w14:textId="319E568A" w:rsidR="00165998" w:rsidRPr="00442A3B" w:rsidRDefault="00165998" w:rsidP="00E54AAB">
      <w:pPr>
        <w:pStyle w:val="Caption"/>
      </w:pPr>
      <w:bookmarkStart w:id="187" w:name="_Ref32852906"/>
      <w:bookmarkStart w:id="188" w:name="_Toc62487178"/>
      <w:bookmarkStart w:id="189" w:name="_Toc62487334"/>
      <w:r w:rsidRPr="00442A3B">
        <w:t>Figure 3</w:t>
      </w:r>
      <w:r w:rsidRPr="00442A3B">
        <w:noBreakHyphen/>
      </w:r>
      <w:r w:rsidRPr="00442A3B">
        <w:fldChar w:fldCharType="begin"/>
      </w:r>
      <w:r w:rsidRPr="00442A3B">
        <w:instrText>SEQ Figure \* ARABIC</w:instrText>
      </w:r>
      <w:r w:rsidRPr="00442A3B">
        <w:fldChar w:fldCharType="separate"/>
      </w:r>
      <w:r w:rsidR="00FC3D3D">
        <w:rPr>
          <w:noProof/>
        </w:rPr>
        <w:t>8</w:t>
      </w:r>
      <w:r w:rsidRPr="00442A3B">
        <w:fldChar w:fldCharType="end"/>
      </w:r>
      <w:bookmarkEnd w:id="187"/>
      <w:r w:rsidRPr="00442A3B">
        <w:t xml:space="preserve"> </w:t>
      </w:r>
      <w:r w:rsidRPr="00442A3B">
        <w:tab/>
        <w:t xml:space="preserve">Main changes for the ACT, </w:t>
      </w:r>
      <w:r w:rsidR="005909B1" w:rsidRPr="00442A3B">
        <w:t>2021 Update</w:t>
      </w:r>
      <w:bookmarkEnd w:id="188"/>
      <w:bookmarkEnd w:id="189"/>
    </w:p>
    <w:p w14:paraId="375786BB" w14:textId="02F774EB" w:rsidR="00165998" w:rsidRPr="00442A3B" w:rsidRDefault="009400DE" w:rsidP="00D20B71">
      <w:pPr>
        <w:spacing w:before="0"/>
      </w:pPr>
      <w:r w:rsidRPr="00442A3B">
        <w:rPr>
          <w:noProof/>
        </w:rPr>
        <w:drawing>
          <wp:inline distT="0" distB="0" distL="0" distR="0" wp14:anchorId="3CDDC3EC" wp14:editId="431F4C6A">
            <wp:extent cx="5832000" cy="3258000"/>
            <wp:effectExtent l="0" t="0" r="0" b="0"/>
            <wp:docPr id="31" name="Picture 31" descr="Data revisions: Taxable payrolls $20m; natural disaster relief $10m. Changes in circumstances: Capital requirement -$33m; Mining $26m; Growth in expenses -$19m; Taxable payrolls $15m; Capital improvements -$11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descr="Data revisions: Taxable payrolls $20m; natural disaster relief $10m. Changes in circumstances: Capital requirement -$33m; Mining $26m; Growth in expenses -$19m; Taxable payrolls $15m; Capital improvements -$11m"/>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32000" cy="3258000"/>
                    </a:xfrm>
                    <a:prstGeom prst="rect">
                      <a:avLst/>
                    </a:prstGeom>
                    <a:noFill/>
                    <a:ln>
                      <a:noFill/>
                    </a:ln>
                  </pic:spPr>
                </pic:pic>
              </a:graphicData>
            </a:graphic>
          </wp:inline>
        </w:drawing>
      </w:r>
    </w:p>
    <w:p w14:paraId="33D8774C" w14:textId="0B43D298" w:rsidR="00165998" w:rsidRPr="00442A3B" w:rsidRDefault="00165998" w:rsidP="00D20B71">
      <w:pPr>
        <w:pStyle w:val="CGCTablenote"/>
        <w:keepNext/>
        <w:keepLines/>
        <w:spacing w:before="0"/>
        <w:sectPr w:rsidR="00165998" w:rsidRPr="00442A3B" w:rsidSect="00192357">
          <w:headerReference w:type="default" r:id="rId89"/>
          <w:headerReference w:type="first" r:id="rId90"/>
          <w:footnotePr>
            <w:numRestart w:val="eachSect"/>
          </w:footnotePr>
          <w:pgSz w:w="11907" w:h="16840" w:code="9"/>
          <w:pgMar w:top="1418" w:right="1474" w:bottom="1134" w:left="1474" w:header="567" w:footer="567" w:gutter="0"/>
          <w:cols w:space="720"/>
          <w:titlePg/>
          <w:docGrid w:linePitch="360"/>
        </w:sectPr>
      </w:pPr>
      <w:r w:rsidRPr="00442A3B">
        <w:t>Source:</w:t>
      </w:r>
      <w:r w:rsidRPr="00442A3B">
        <w:tab/>
        <w:t>Commission calculation.</w:t>
      </w:r>
    </w:p>
    <w:p w14:paraId="12655D67" w14:textId="77777777" w:rsidR="00165998" w:rsidRPr="00442A3B" w:rsidRDefault="00165998" w:rsidP="00165998">
      <w:pPr>
        <w:pStyle w:val="Heading3"/>
        <w:spacing w:before="120"/>
      </w:pPr>
      <w:bookmarkStart w:id="190" w:name="_Toc65050542"/>
      <w:r w:rsidRPr="00442A3B">
        <w:lastRenderedPageBreak/>
        <w:t>Northern Territory</w:t>
      </w:r>
      <w:bookmarkEnd w:id="190"/>
    </w:p>
    <w:p w14:paraId="41BD490E" w14:textId="7DB073BA" w:rsidR="002333AB" w:rsidRPr="00442A3B" w:rsidRDefault="004C407A" w:rsidP="00E54AAB">
      <w:r w:rsidRPr="00442A3B">
        <w:t>Under the new GST relativities, which include the transition arrangements,</w:t>
      </w:r>
      <w:r w:rsidR="002333AB" w:rsidRPr="00442A3B">
        <w:t xml:space="preserve"> the Northern Territory’s GST </w:t>
      </w:r>
      <w:r w:rsidR="00414F9B" w:rsidRPr="00442A3B">
        <w:t xml:space="preserve">pool </w:t>
      </w:r>
      <w:r w:rsidR="002333AB" w:rsidRPr="00442A3B">
        <w:t>share would fall from 4.5% to 4.4%</w:t>
      </w:r>
      <w:r w:rsidR="00EA0265" w:rsidRPr="00442A3B">
        <w:t>.</w:t>
      </w:r>
      <w:r w:rsidR="002333AB" w:rsidRPr="00442A3B">
        <w:t xml:space="preserve"> Combined with pool growth, its GST </w:t>
      </w:r>
      <w:r w:rsidR="00414F9B" w:rsidRPr="00442A3B">
        <w:t xml:space="preserve">pool </w:t>
      </w:r>
      <w:r w:rsidR="002333AB" w:rsidRPr="00442A3B">
        <w:t xml:space="preserve">entitlement would rise by </w:t>
      </w:r>
      <w:r w:rsidR="0082162B" w:rsidRPr="00442A3B">
        <w:t xml:space="preserve">an estimated </w:t>
      </w:r>
      <w:r w:rsidR="002333AB" w:rsidRPr="00442A3B">
        <w:t>$149 million, or 5.3%.</w:t>
      </w:r>
    </w:p>
    <w:p w14:paraId="772812DF" w14:textId="545B086C" w:rsidR="00BE2CC1" w:rsidRPr="00442A3B" w:rsidRDefault="00165998" w:rsidP="00E54AAB">
      <w:r w:rsidRPr="00442A3B">
        <w:t xml:space="preserve">The Northern Territory’s </w:t>
      </w:r>
      <w:r w:rsidR="00167648" w:rsidRPr="00442A3B">
        <w:t xml:space="preserve">GST </w:t>
      </w:r>
      <w:r w:rsidR="008353C8" w:rsidRPr="00442A3B">
        <w:t xml:space="preserve">pool </w:t>
      </w:r>
      <w:r w:rsidR="00167648" w:rsidRPr="00442A3B">
        <w:t>requirement increased</w:t>
      </w:r>
      <w:r w:rsidR="003524C9" w:rsidRPr="00442A3B">
        <w:t xml:space="preserve">. This </w:t>
      </w:r>
      <w:r w:rsidR="005E406E" w:rsidRPr="00442A3B">
        <w:t>was</w:t>
      </w:r>
      <w:r w:rsidRPr="00442A3B">
        <w:t xml:space="preserve"> due to </w:t>
      </w:r>
      <w:r w:rsidR="0024040E" w:rsidRPr="00442A3B">
        <w:t>expenses growing faster than the GST pool, which meant that expense disabilities bec</w:t>
      </w:r>
      <w:r w:rsidR="005E406E" w:rsidRPr="00442A3B">
        <w:t>a</w:t>
      </w:r>
      <w:r w:rsidR="0024040E" w:rsidRPr="00442A3B">
        <w:t>me more important</w:t>
      </w:r>
      <w:r w:rsidR="00A87E21" w:rsidRPr="00442A3B">
        <w:t xml:space="preserve">. </w:t>
      </w:r>
      <w:r w:rsidR="00E62C44" w:rsidRPr="00442A3B">
        <w:t>The</w:t>
      </w:r>
      <w:r w:rsidR="0024040E" w:rsidRPr="00442A3B">
        <w:t xml:space="preserve"> Northern</w:t>
      </w:r>
      <w:r w:rsidR="00F8473A" w:rsidRPr="00442A3B">
        <w:t> </w:t>
      </w:r>
      <w:r w:rsidR="0024040E" w:rsidRPr="00442A3B">
        <w:t xml:space="preserve">Territory </w:t>
      </w:r>
      <w:r w:rsidR="00E62C44" w:rsidRPr="00442A3B">
        <w:t xml:space="preserve">also </w:t>
      </w:r>
      <w:r w:rsidR="0024040E" w:rsidRPr="00442A3B">
        <w:t>has well above average expense</w:t>
      </w:r>
      <w:r w:rsidR="00CD06EF" w:rsidRPr="00442A3B">
        <w:t>s</w:t>
      </w:r>
      <w:r w:rsidR="0024040E" w:rsidRPr="00442A3B">
        <w:t>.</w:t>
      </w:r>
      <w:r w:rsidR="0005126A" w:rsidRPr="00442A3B">
        <w:t xml:space="preserve"> </w:t>
      </w:r>
      <w:r w:rsidR="008D4B18" w:rsidRPr="00442A3B">
        <w:t xml:space="preserve">Increases in its GST </w:t>
      </w:r>
      <w:r w:rsidR="00027D42" w:rsidRPr="00442A3B">
        <w:t xml:space="preserve">pool </w:t>
      </w:r>
      <w:r w:rsidR="008D4B18" w:rsidRPr="00442A3B">
        <w:t>requirement</w:t>
      </w:r>
      <w:r w:rsidRPr="00442A3B">
        <w:t xml:space="preserve"> were partly offset by a decrease </w:t>
      </w:r>
      <w:r w:rsidR="0085705C" w:rsidRPr="00442A3B">
        <w:t xml:space="preserve">in relative wage costs </w:t>
      </w:r>
      <w:r w:rsidR="0058395C" w:rsidRPr="00442A3B">
        <w:t xml:space="preserve">and </w:t>
      </w:r>
      <w:r w:rsidR="009D410E" w:rsidRPr="00442A3B">
        <w:t xml:space="preserve">revisions </w:t>
      </w:r>
      <w:r w:rsidR="00453767" w:rsidRPr="00442A3B">
        <w:t xml:space="preserve">to the </w:t>
      </w:r>
      <w:r w:rsidR="00333CFD" w:rsidRPr="00442A3B">
        <w:t xml:space="preserve">costs of providing </w:t>
      </w:r>
      <w:r w:rsidR="00567F9D" w:rsidRPr="00442A3B">
        <w:t xml:space="preserve">some </w:t>
      </w:r>
      <w:r w:rsidR="00333CFD" w:rsidRPr="00442A3B">
        <w:t>health</w:t>
      </w:r>
      <w:r w:rsidR="00C41697" w:rsidRPr="00442A3B">
        <w:t xml:space="preserve"> and</w:t>
      </w:r>
      <w:r w:rsidR="00333CFD" w:rsidRPr="00442A3B">
        <w:t xml:space="preserve"> </w:t>
      </w:r>
      <w:r w:rsidR="00567F9D" w:rsidRPr="00442A3B">
        <w:t>welfare</w:t>
      </w:r>
      <w:r w:rsidR="00333CFD" w:rsidRPr="00442A3B">
        <w:t xml:space="preserve"> services in </w:t>
      </w:r>
      <w:r w:rsidR="005462A1" w:rsidRPr="00442A3B">
        <w:t>more remote areas.</w:t>
      </w:r>
      <w:r w:rsidRPr="00442A3B">
        <w:t xml:space="preserve"> </w:t>
      </w:r>
      <w:r w:rsidR="00E81E77" w:rsidRPr="00442A3B">
        <w:t xml:space="preserve">While </w:t>
      </w:r>
      <w:r w:rsidR="003736B6" w:rsidRPr="00442A3B">
        <w:t xml:space="preserve">the </w:t>
      </w:r>
      <w:r w:rsidR="00E81E77" w:rsidRPr="00442A3B">
        <w:t xml:space="preserve">growth in </w:t>
      </w:r>
      <w:r w:rsidR="003736B6" w:rsidRPr="00442A3B">
        <w:t>Western</w:t>
      </w:r>
      <w:r w:rsidR="00F8473A" w:rsidRPr="00442A3B">
        <w:t> </w:t>
      </w:r>
      <w:r w:rsidR="003736B6" w:rsidRPr="00442A3B">
        <w:t xml:space="preserve">Australia’s </w:t>
      </w:r>
      <w:r w:rsidR="00E13E75" w:rsidRPr="00442A3B">
        <w:t xml:space="preserve">iron ore royalties </w:t>
      </w:r>
      <w:r w:rsidR="00832459" w:rsidRPr="00442A3B">
        <w:t xml:space="preserve">contributed </w:t>
      </w:r>
      <w:r w:rsidR="003736B6" w:rsidRPr="00442A3B">
        <w:t xml:space="preserve">to </w:t>
      </w:r>
      <w:r w:rsidR="00F2437C" w:rsidRPr="00442A3B">
        <w:t xml:space="preserve">increasing </w:t>
      </w:r>
      <w:r w:rsidR="00F370DE" w:rsidRPr="00442A3B">
        <w:t xml:space="preserve">the </w:t>
      </w:r>
      <w:r w:rsidR="00D9445D" w:rsidRPr="00442A3B">
        <w:t xml:space="preserve">GST </w:t>
      </w:r>
      <w:r w:rsidR="00027D42" w:rsidRPr="00442A3B">
        <w:t xml:space="preserve">pool </w:t>
      </w:r>
      <w:r w:rsidR="00D9445D" w:rsidRPr="00442A3B">
        <w:t xml:space="preserve">share of other </w:t>
      </w:r>
      <w:r w:rsidR="00723E97" w:rsidRPr="00442A3B">
        <w:t xml:space="preserve">States, this </w:t>
      </w:r>
      <w:r w:rsidR="00503088" w:rsidRPr="00442A3B">
        <w:t xml:space="preserve">influence </w:t>
      </w:r>
      <w:r w:rsidR="00723E97" w:rsidRPr="00442A3B">
        <w:t xml:space="preserve">was offset in the </w:t>
      </w:r>
      <w:r w:rsidR="00F370DE" w:rsidRPr="00442A3B">
        <w:t xml:space="preserve">Northern Territory because of increases in </w:t>
      </w:r>
      <w:r w:rsidR="00D9445D" w:rsidRPr="00442A3B">
        <w:t>royalties from other mineral resources.</w:t>
      </w:r>
      <w:r w:rsidR="00E475E6" w:rsidRPr="00442A3B">
        <w:t xml:space="preserve"> </w:t>
      </w:r>
    </w:p>
    <w:p w14:paraId="4CEEB3A3" w14:textId="668E1C7E" w:rsidR="00165998" w:rsidRPr="00442A3B" w:rsidRDefault="00165998" w:rsidP="00E54AAB">
      <w:pPr>
        <w:pStyle w:val="Caption"/>
      </w:pPr>
      <w:bookmarkStart w:id="191" w:name="_Toc62487289"/>
      <w:bookmarkStart w:id="192" w:name="_Toc62723819"/>
      <w:r w:rsidRPr="00442A3B">
        <w:t>Table 3</w:t>
      </w:r>
      <w:r w:rsidRPr="00442A3B">
        <w:noBreakHyphen/>
      </w:r>
      <w:r w:rsidRPr="00442A3B">
        <w:fldChar w:fldCharType="begin"/>
      </w:r>
      <w:r w:rsidRPr="00442A3B">
        <w:instrText>SEQ Table \* ARABIC</w:instrText>
      </w:r>
      <w:r w:rsidRPr="00442A3B">
        <w:fldChar w:fldCharType="separate"/>
      </w:r>
      <w:r w:rsidR="00FC3D3D">
        <w:rPr>
          <w:noProof/>
        </w:rPr>
        <w:t>8</w:t>
      </w:r>
      <w:r w:rsidRPr="00442A3B">
        <w:fldChar w:fldCharType="end"/>
      </w:r>
      <w:r w:rsidRPr="00442A3B">
        <w:tab/>
      </w:r>
      <w:r w:rsidR="00596B5A" w:rsidRPr="00442A3B">
        <w:t xml:space="preserve">Change in estimated GST distribution from 2021 to 2021-22, </w:t>
      </w:r>
      <w:r w:rsidRPr="00442A3B">
        <w:t>Northern Territory</w:t>
      </w:r>
      <w:bookmarkEnd w:id="191"/>
      <w:bookmarkEnd w:id="192"/>
      <w:r w:rsidR="004F71E1" w:rsidRPr="00442A3B">
        <w:t xml:space="preserve">, </w:t>
      </w:r>
    </w:p>
    <w:tbl>
      <w:tblPr>
        <w:tblW w:w="8940" w:type="dxa"/>
        <w:tblCellMar>
          <w:left w:w="28" w:type="dxa"/>
          <w:right w:w="28" w:type="dxa"/>
        </w:tblCellMar>
        <w:tblLook w:val="04A0" w:firstRow="1" w:lastRow="0" w:firstColumn="1" w:lastColumn="0" w:noHBand="0" w:noVBand="1"/>
      </w:tblPr>
      <w:tblGrid>
        <w:gridCol w:w="4040"/>
        <w:gridCol w:w="2500"/>
        <w:gridCol w:w="2400"/>
      </w:tblGrid>
      <w:tr w:rsidR="006447F5" w:rsidRPr="00442A3B" w14:paraId="355049A2" w14:textId="77777777" w:rsidTr="004459A0">
        <w:trPr>
          <w:trHeight w:val="259"/>
        </w:trPr>
        <w:tc>
          <w:tcPr>
            <w:tcW w:w="4040" w:type="dxa"/>
            <w:tcBorders>
              <w:top w:val="single" w:sz="4" w:space="0" w:color="ADD6EA"/>
              <w:left w:val="nil"/>
              <w:bottom w:val="single" w:sz="4" w:space="0" w:color="ADD6EA"/>
              <w:right w:val="nil"/>
            </w:tcBorders>
            <w:shd w:val="clear" w:color="000000" w:fill="006991"/>
            <w:noWrap/>
            <w:vAlign w:val="center"/>
            <w:hideMark/>
          </w:tcPr>
          <w:p w14:paraId="14E46F25" w14:textId="77777777" w:rsidR="006447F5" w:rsidRPr="00442A3B" w:rsidRDefault="006447F5" w:rsidP="00751407">
            <w:pPr>
              <w:pStyle w:val="CGCTableHeading"/>
              <w:rPr>
                <w:rFonts w:eastAsia="MS Mincho" w:cs="Open Sans Semibold"/>
                <w:color w:val="FFFFFF"/>
                <w:szCs w:val="16"/>
                <w:lang w:eastAsia="en-AU"/>
              </w:rPr>
            </w:pPr>
            <w:r w:rsidRPr="00442A3B">
              <w:rPr>
                <w:lang w:eastAsia="en-AU"/>
              </w:rPr>
              <w:t> </w:t>
            </w:r>
          </w:p>
        </w:tc>
        <w:tc>
          <w:tcPr>
            <w:tcW w:w="2500" w:type="dxa"/>
            <w:tcBorders>
              <w:top w:val="single" w:sz="4" w:space="0" w:color="ADD6EA"/>
              <w:left w:val="nil"/>
              <w:bottom w:val="single" w:sz="4" w:space="0" w:color="ADD6EA"/>
              <w:right w:val="nil"/>
            </w:tcBorders>
            <w:shd w:val="clear" w:color="000000" w:fill="006991"/>
            <w:noWrap/>
            <w:vAlign w:val="center"/>
            <w:hideMark/>
          </w:tcPr>
          <w:p w14:paraId="1A888987" w14:textId="77777777" w:rsidR="006447F5" w:rsidRPr="00442A3B" w:rsidRDefault="006447F5" w:rsidP="00751407">
            <w:pPr>
              <w:pStyle w:val="CGCTableHeading"/>
              <w:jc w:val="right"/>
              <w:rPr>
                <w:rFonts w:eastAsia="MS Mincho" w:cs="Open Sans Semibold"/>
                <w:color w:val="FFFFFF"/>
                <w:szCs w:val="16"/>
                <w:lang w:eastAsia="en-AU"/>
              </w:rPr>
            </w:pPr>
            <w:r w:rsidRPr="00442A3B">
              <w:rPr>
                <w:lang w:eastAsia="en-AU"/>
              </w:rPr>
              <w:t>$m</w:t>
            </w:r>
          </w:p>
        </w:tc>
        <w:tc>
          <w:tcPr>
            <w:tcW w:w="2400" w:type="dxa"/>
            <w:tcBorders>
              <w:top w:val="single" w:sz="4" w:space="0" w:color="ADD6EA"/>
              <w:left w:val="nil"/>
              <w:bottom w:val="single" w:sz="4" w:space="0" w:color="ADD6EA"/>
              <w:right w:val="nil"/>
            </w:tcBorders>
            <w:shd w:val="clear" w:color="000000" w:fill="006991"/>
            <w:noWrap/>
            <w:vAlign w:val="center"/>
            <w:hideMark/>
          </w:tcPr>
          <w:p w14:paraId="0310C488" w14:textId="77777777" w:rsidR="006447F5" w:rsidRPr="00442A3B" w:rsidRDefault="006447F5" w:rsidP="00751407">
            <w:pPr>
              <w:pStyle w:val="CGCTableHeading"/>
              <w:jc w:val="right"/>
              <w:rPr>
                <w:rFonts w:eastAsia="MS Mincho" w:cs="Open Sans Semibold"/>
                <w:color w:val="FFFFFF"/>
                <w:szCs w:val="16"/>
                <w:lang w:eastAsia="en-AU"/>
              </w:rPr>
            </w:pPr>
            <w:r w:rsidRPr="00442A3B">
              <w:rPr>
                <w:lang w:eastAsia="en-AU"/>
              </w:rPr>
              <w:t>$pc</w:t>
            </w:r>
          </w:p>
        </w:tc>
      </w:tr>
      <w:tr w:rsidR="006447F5" w:rsidRPr="00442A3B" w14:paraId="322C2355" w14:textId="77777777" w:rsidTr="004629A0">
        <w:trPr>
          <w:trHeight w:val="284"/>
        </w:trPr>
        <w:tc>
          <w:tcPr>
            <w:tcW w:w="4040" w:type="dxa"/>
            <w:tcBorders>
              <w:top w:val="nil"/>
              <w:left w:val="nil"/>
              <w:bottom w:val="single" w:sz="4" w:space="0" w:color="ADD6EA"/>
              <w:right w:val="nil"/>
            </w:tcBorders>
            <w:shd w:val="clear" w:color="auto" w:fill="auto"/>
            <w:noWrap/>
            <w:vAlign w:val="bottom"/>
            <w:hideMark/>
          </w:tcPr>
          <w:p w14:paraId="6425967B" w14:textId="77777777" w:rsidR="006447F5" w:rsidRPr="00442A3B" w:rsidRDefault="006447F5" w:rsidP="006447F5">
            <w:pPr>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Change in population</w:t>
            </w:r>
          </w:p>
        </w:tc>
        <w:tc>
          <w:tcPr>
            <w:tcW w:w="2500" w:type="dxa"/>
            <w:tcBorders>
              <w:top w:val="nil"/>
              <w:left w:val="nil"/>
              <w:bottom w:val="single" w:sz="4" w:space="0" w:color="ADD6EA"/>
              <w:right w:val="nil"/>
            </w:tcBorders>
            <w:shd w:val="clear" w:color="auto" w:fill="auto"/>
            <w:noWrap/>
            <w:vAlign w:val="bottom"/>
            <w:hideMark/>
          </w:tcPr>
          <w:p w14:paraId="110ADA3B" w14:textId="77777777" w:rsidR="006447F5" w:rsidRPr="00442A3B" w:rsidRDefault="006447F5" w:rsidP="00751407">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-41</w:t>
            </w:r>
          </w:p>
        </w:tc>
        <w:tc>
          <w:tcPr>
            <w:tcW w:w="2400" w:type="dxa"/>
            <w:tcBorders>
              <w:top w:val="nil"/>
              <w:left w:val="nil"/>
              <w:bottom w:val="single" w:sz="4" w:space="0" w:color="ADD6EA"/>
              <w:right w:val="nil"/>
            </w:tcBorders>
            <w:shd w:val="clear" w:color="auto" w:fill="auto"/>
            <w:noWrap/>
            <w:vAlign w:val="bottom"/>
            <w:hideMark/>
          </w:tcPr>
          <w:p w14:paraId="6862D256" w14:textId="77777777" w:rsidR="006447F5" w:rsidRPr="00442A3B" w:rsidRDefault="006447F5" w:rsidP="00751407">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-171</w:t>
            </w:r>
          </w:p>
        </w:tc>
      </w:tr>
      <w:tr w:rsidR="006447F5" w:rsidRPr="00442A3B" w14:paraId="751CB3F3" w14:textId="77777777" w:rsidTr="004629A0">
        <w:trPr>
          <w:trHeight w:val="284"/>
        </w:trPr>
        <w:tc>
          <w:tcPr>
            <w:tcW w:w="4040" w:type="dxa"/>
            <w:tcBorders>
              <w:top w:val="nil"/>
              <w:left w:val="nil"/>
              <w:bottom w:val="single" w:sz="4" w:space="0" w:color="ADD6EA"/>
              <w:right w:val="nil"/>
            </w:tcBorders>
            <w:shd w:val="clear" w:color="auto" w:fill="auto"/>
            <w:noWrap/>
            <w:vAlign w:val="bottom"/>
            <w:hideMark/>
          </w:tcPr>
          <w:p w14:paraId="6254318B" w14:textId="77777777" w:rsidR="006447F5" w:rsidRPr="00442A3B" w:rsidRDefault="006447F5" w:rsidP="006447F5">
            <w:pPr>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 xml:space="preserve">Growth in GST pool </w:t>
            </w:r>
          </w:p>
        </w:tc>
        <w:tc>
          <w:tcPr>
            <w:tcW w:w="2500" w:type="dxa"/>
            <w:tcBorders>
              <w:top w:val="nil"/>
              <w:left w:val="nil"/>
              <w:bottom w:val="single" w:sz="4" w:space="0" w:color="ADD6EA"/>
              <w:right w:val="nil"/>
            </w:tcBorders>
            <w:shd w:val="clear" w:color="auto" w:fill="auto"/>
            <w:noWrap/>
            <w:vAlign w:val="bottom"/>
            <w:hideMark/>
          </w:tcPr>
          <w:p w14:paraId="52FD8E24" w14:textId="77777777" w:rsidR="006447F5" w:rsidRPr="00442A3B" w:rsidRDefault="006447F5" w:rsidP="00751407">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178</w:t>
            </w:r>
          </w:p>
        </w:tc>
        <w:tc>
          <w:tcPr>
            <w:tcW w:w="2400" w:type="dxa"/>
            <w:tcBorders>
              <w:top w:val="nil"/>
              <w:left w:val="nil"/>
              <w:bottom w:val="single" w:sz="4" w:space="0" w:color="ADD6EA"/>
              <w:right w:val="nil"/>
            </w:tcBorders>
            <w:shd w:val="clear" w:color="auto" w:fill="auto"/>
            <w:noWrap/>
            <w:vAlign w:val="bottom"/>
            <w:hideMark/>
          </w:tcPr>
          <w:p w14:paraId="6442E374" w14:textId="77777777" w:rsidR="006447F5" w:rsidRPr="00442A3B" w:rsidRDefault="006447F5" w:rsidP="00751407">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748</w:t>
            </w:r>
          </w:p>
        </w:tc>
      </w:tr>
      <w:tr w:rsidR="006447F5" w:rsidRPr="00442A3B" w14:paraId="7216C44D" w14:textId="77777777" w:rsidTr="004629A0">
        <w:trPr>
          <w:trHeight w:val="284"/>
        </w:trPr>
        <w:tc>
          <w:tcPr>
            <w:tcW w:w="4040" w:type="dxa"/>
            <w:tcBorders>
              <w:top w:val="nil"/>
              <w:left w:val="nil"/>
              <w:bottom w:val="single" w:sz="4" w:space="0" w:color="ADD6EA"/>
              <w:right w:val="nil"/>
            </w:tcBorders>
            <w:shd w:val="clear" w:color="auto" w:fill="auto"/>
            <w:noWrap/>
            <w:vAlign w:val="bottom"/>
            <w:hideMark/>
          </w:tcPr>
          <w:p w14:paraId="6930772C" w14:textId="77777777" w:rsidR="006447F5" w:rsidRPr="00442A3B" w:rsidRDefault="006447F5" w:rsidP="006447F5">
            <w:pPr>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Changes in relative fiscal capacity</w:t>
            </w:r>
          </w:p>
        </w:tc>
        <w:tc>
          <w:tcPr>
            <w:tcW w:w="2500" w:type="dxa"/>
            <w:tcBorders>
              <w:top w:val="nil"/>
              <w:left w:val="nil"/>
              <w:bottom w:val="single" w:sz="4" w:space="0" w:color="ADD6EA"/>
              <w:right w:val="nil"/>
            </w:tcBorders>
            <w:shd w:val="clear" w:color="auto" w:fill="auto"/>
            <w:noWrap/>
            <w:vAlign w:val="bottom"/>
            <w:hideMark/>
          </w:tcPr>
          <w:p w14:paraId="0358C39B" w14:textId="77777777" w:rsidR="006447F5" w:rsidRPr="00442A3B" w:rsidRDefault="006447F5" w:rsidP="00751407">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 </w:t>
            </w:r>
          </w:p>
        </w:tc>
        <w:tc>
          <w:tcPr>
            <w:tcW w:w="2400" w:type="dxa"/>
            <w:tcBorders>
              <w:top w:val="nil"/>
              <w:left w:val="nil"/>
              <w:bottom w:val="single" w:sz="4" w:space="0" w:color="ADD6EA"/>
              <w:right w:val="nil"/>
            </w:tcBorders>
            <w:shd w:val="clear" w:color="auto" w:fill="auto"/>
            <w:noWrap/>
            <w:vAlign w:val="bottom"/>
            <w:hideMark/>
          </w:tcPr>
          <w:p w14:paraId="7F54C501" w14:textId="77777777" w:rsidR="006447F5" w:rsidRPr="00442A3B" w:rsidRDefault="006447F5" w:rsidP="00751407">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 </w:t>
            </w:r>
          </w:p>
        </w:tc>
      </w:tr>
      <w:tr w:rsidR="006447F5" w:rsidRPr="00442A3B" w14:paraId="13C021C6" w14:textId="77777777" w:rsidTr="004629A0">
        <w:trPr>
          <w:trHeight w:val="284"/>
        </w:trPr>
        <w:tc>
          <w:tcPr>
            <w:tcW w:w="4040" w:type="dxa"/>
            <w:tcBorders>
              <w:top w:val="nil"/>
              <w:left w:val="nil"/>
              <w:bottom w:val="single" w:sz="4" w:space="0" w:color="ADD6EA"/>
              <w:right w:val="nil"/>
            </w:tcBorders>
            <w:shd w:val="clear" w:color="auto" w:fill="auto"/>
            <w:noWrap/>
            <w:vAlign w:val="bottom"/>
            <w:hideMark/>
          </w:tcPr>
          <w:p w14:paraId="6E75B16F" w14:textId="77777777" w:rsidR="006447F5" w:rsidRPr="00442A3B" w:rsidRDefault="006447F5" w:rsidP="006447F5">
            <w:pPr>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Data revisions</w:t>
            </w:r>
          </w:p>
        </w:tc>
        <w:tc>
          <w:tcPr>
            <w:tcW w:w="2500" w:type="dxa"/>
            <w:tcBorders>
              <w:top w:val="nil"/>
              <w:left w:val="nil"/>
              <w:bottom w:val="single" w:sz="4" w:space="0" w:color="ADD6EA"/>
              <w:right w:val="nil"/>
            </w:tcBorders>
            <w:shd w:val="clear" w:color="auto" w:fill="auto"/>
            <w:noWrap/>
            <w:vAlign w:val="bottom"/>
            <w:hideMark/>
          </w:tcPr>
          <w:p w14:paraId="3424EC15" w14:textId="77777777" w:rsidR="006447F5" w:rsidRPr="00442A3B" w:rsidRDefault="006447F5" w:rsidP="00751407">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-43</w:t>
            </w:r>
          </w:p>
        </w:tc>
        <w:tc>
          <w:tcPr>
            <w:tcW w:w="2400" w:type="dxa"/>
            <w:tcBorders>
              <w:top w:val="nil"/>
              <w:left w:val="nil"/>
              <w:bottom w:val="single" w:sz="4" w:space="0" w:color="ADD6EA"/>
              <w:right w:val="nil"/>
            </w:tcBorders>
            <w:shd w:val="clear" w:color="auto" w:fill="auto"/>
            <w:noWrap/>
            <w:vAlign w:val="bottom"/>
            <w:hideMark/>
          </w:tcPr>
          <w:p w14:paraId="0781A5BE" w14:textId="77777777" w:rsidR="006447F5" w:rsidRPr="00442A3B" w:rsidRDefault="006447F5" w:rsidP="00751407">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-181</w:t>
            </w:r>
          </w:p>
        </w:tc>
      </w:tr>
      <w:tr w:rsidR="006447F5" w:rsidRPr="00442A3B" w14:paraId="75DAD83A" w14:textId="77777777" w:rsidTr="004629A0">
        <w:trPr>
          <w:trHeight w:val="284"/>
        </w:trPr>
        <w:tc>
          <w:tcPr>
            <w:tcW w:w="4040" w:type="dxa"/>
            <w:tcBorders>
              <w:top w:val="nil"/>
              <w:left w:val="nil"/>
              <w:bottom w:val="single" w:sz="4" w:space="0" w:color="ADD6EA"/>
              <w:right w:val="nil"/>
            </w:tcBorders>
            <w:shd w:val="clear" w:color="auto" w:fill="auto"/>
            <w:noWrap/>
            <w:vAlign w:val="bottom"/>
            <w:hideMark/>
          </w:tcPr>
          <w:p w14:paraId="4CDC61CD" w14:textId="77777777" w:rsidR="006447F5" w:rsidRPr="00442A3B" w:rsidRDefault="006447F5" w:rsidP="006447F5">
            <w:pPr>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State circumstances</w:t>
            </w:r>
          </w:p>
        </w:tc>
        <w:tc>
          <w:tcPr>
            <w:tcW w:w="2500" w:type="dxa"/>
            <w:tcBorders>
              <w:top w:val="nil"/>
              <w:left w:val="nil"/>
              <w:bottom w:val="single" w:sz="4" w:space="0" w:color="ADD6EA"/>
              <w:right w:val="nil"/>
            </w:tcBorders>
            <w:shd w:val="clear" w:color="auto" w:fill="auto"/>
            <w:noWrap/>
            <w:vAlign w:val="bottom"/>
            <w:hideMark/>
          </w:tcPr>
          <w:p w14:paraId="3DA0CA24" w14:textId="77777777" w:rsidR="006447F5" w:rsidRPr="00442A3B" w:rsidRDefault="006447F5" w:rsidP="00751407">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66</w:t>
            </w:r>
          </w:p>
        </w:tc>
        <w:tc>
          <w:tcPr>
            <w:tcW w:w="2400" w:type="dxa"/>
            <w:tcBorders>
              <w:top w:val="nil"/>
              <w:left w:val="nil"/>
              <w:bottom w:val="single" w:sz="4" w:space="0" w:color="ADD6EA"/>
              <w:right w:val="nil"/>
            </w:tcBorders>
            <w:shd w:val="clear" w:color="auto" w:fill="auto"/>
            <w:noWrap/>
            <w:vAlign w:val="bottom"/>
            <w:hideMark/>
          </w:tcPr>
          <w:p w14:paraId="5C77AAA8" w14:textId="77777777" w:rsidR="006447F5" w:rsidRPr="00442A3B" w:rsidRDefault="006447F5" w:rsidP="00751407">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276</w:t>
            </w:r>
          </w:p>
        </w:tc>
      </w:tr>
      <w:tr w:rsidR="006447F5" w:rsidRPr="00442A3B" w14:paraId="0F36E672" w14:textId="77777777" w:rsidTr="004629A0">
        <w:trPr>
          <w:trHeight w:val="284"/>
        </w:trPr>
        <w:tc>
          <w:tcPr>
            <w:tcW w:w="4040" w:type="dxa"/>
            <w:tcBorders>
              <w:top w:val="nil"/>
              <w:left w:val="nil"/>
              <w:bottom w:val="single" w:sz="4" w:space="0" w:color="ADD6EA"/>
              <w:right w:val="nil"/>
            </w:tcBorders>
            <w:shd w:val="clear" w:color="auto" w:fill="auto"/>
            <w:noWrap/>
            <w:vAlign w:val="bottom"/>
            <w:hideMark/>
          </w:tcPr>
          <w:p w14:paraId="67A62A2B" w14:textId="77777777" w:rsidR="006447F5" w:rsidRPr="00442A3B" w:rsidRDefault="006447F5" w:rsidP="006447F5">
            <w:pPr>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Total</w:t>
            </w:r>
          </w:p>
        </w:tc>
        <w:tc>
          <w:tcPr>
            <w:tcW w:w="2500" w:type="dxa"/>
            <w:tcBorders>
              <w:top w:val="nil"/>
              <w:left w:val="nil"/>
              <w:bottom w:val="single" w:sz="4" w:space="0" w:color="ADD6EA"/>
              <w:right w:val="nil"/>
            </w:tcBorders>
            <w:shd w:val="clear" w:color="auto" w:fill="auto"/>
            <w:noWrap/>
            <w:vAlign w:val="bottom"/>
            <w:hideMark/>
          </w:tcPr>
          <w:p w14:paraId="6CACB29F" w14:textId="77777777" w:rsidR="006447F5" w:rsidRPr="00442A3B" w:rsidRDefault="006447F5" w:rsidP="00751407">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23</w:t>
            </w:r>
          </w:p>
        </w:tc>
        <w:tc>
          <w:tcPr>
            <w:tcW w:w="2400" w:type="dxa"/>
            <w:tcBorders>
              <w:top w:val="nil"/>
              <w:left w:val="nil"/>
              <w:bottom w:val="single" w:sz="4" w:space="0" w:color="ADD6EA"/>
              <w:right w:val="nil"/>
            </w:tcBorders>
            <w:shd w:val="clear" w:color="auto" w:fill="auto"/>
            <w:noWrap/>
            <w:vAlign w:val="bottom"/>
            <w:hideMark/>
          </w:tcPr>
          <w:p w14:paraId="384D7965" w14:textId="77777777" w:rsidR="006447F5" w:rsidRPr="00442A3B" w:rsidRDefault="006447F5" w:rsidP="00751407">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95</w:t>
            </w:r>
          </w:p>
        </w:tc>
      </w:tr>
      <w:tr w:rsidR="006447F5" w:rsidRPr="00442A3B" w14:paraId="0760B41F" w14:textId="77777777" w:rsidTr="004629A0">
        <w:trPr>
          <w:trHeight w:val="284"/>
        </w:trPr>
        <w:tc>
          <w:tcPr>
            <w:tcW w:w="4040" w:type="dxa"/>
            <w:tcBorders>
              <w:top w:val="nil"/>
              <w:left w:val="nil"/>
              <w:bottom w:val="single" w:sz="4" w:space="0" w:color="ADD6EA"/>
              <w:right w:val="nil"/>
            </w:tcBorders>
            <w:shd w:val="clear" w:color="auto" w:fill="auto"/>
            <w:noWrap/>
            <w:vAlign w:val="bottom"/>
            <w:hideMark/>
          </w:tcPr>
          <w:p w14:paraId="48335338" w14:textId="188F6CCA" w:rsidR="006447F5" w:rsidRPr="00442A3B" w:rsidRDefault="006447F5" w:rsidP="006447F5">
            <w:pPr>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Transition to new arrangements</w:t>
            </w:r>
            <w:r w:rsidR="0089761B" w:rsidRPr="00442A3B">
              <w:rPr>
                <w:rFonts w:eastAsia="Times New Roman" w:cs="Open Sans Light"/>
                <w:sz w:val="16"/>
                <w:szCs w:val="16"/>
                <w:lang w:eastAsia="en-AU"/>
              </w:rPr>
              <w:t xml:space="preserve"> (a)</w:t>
            </w:r>
          </w:p>
        </w:tc>
        <w:tc>
          <w:tcPr>
            <w:tcW w:w="2500" w:type="dxa"/>
            <w:tcBorders>
              <w:top w:val="nil"/>
              <w:left w:val="nil"/>
              <w:bottom w:val="single" w:sz="4" w:space="0" w:color="ADD6EA"/>
              <w:right w:val="nil"/>
            </w:tcBorders>
            <w:shd w:val="clear" w:color="auto" w:fill="auto"/>
            <w:noWrap/>
            <w:vAlign w:val="bottom"/>
            <w:hideMark/>
          </w:tcPr>
          <w:p w14:paraId="740C60D6" w14:textId="77777777" w:rsidR="006447F5" w:rsidRPr="00442A3B" w:rsidRDefault="006447F5" w:rsidP="00751407">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-11</w:t>
            </w:r>
          </w:p>
        </w:tc>
        <w:tc>
          <w:tcPr>
            <w:tcW w:w="2400" w:type="dxa"/>
            <w:tcBorders>
              <w:top w:val="nil"/>
              <w:left w:val="nil"/>
              <w:bottom w:val="single" w:sz="4" w:space="0" w:color="ADD6EA"/>
              <w:right w:val="nil"/>
            </w:tcBorders>
            <w:shd w:val="clear" w:color="auto" w:fill="auto"/>
            <w:noWrap/>
            <w:vAlign w:val="bottom"/>
            <w:hideMark/>
          </w:tcPr>
          <w:p w14:paraId="19EBD540" w14:textId="77777777" w:rsidR="006447F5" w:rsidRPr="00442A3B" w:rsidRDefault="006447F5" w:rsidP="00751407">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-46</w:t>
            </w:r>
          </w:p>
        </w:tc>
      </w:tr>
      <w:tr w:rsidR="006447F5" w:rsidRPr="00442A3B" w14:paraId="35F690E1" w14:textId="77777777" w:rsidTr="004459A0">
        <w:trPr>
          <w:trHeight w:val="315"/>
        </w:trPr>
        <w:tc>
          <w:tcPr>
            <w:tcW w:w="4040" w:type="dxa"/>
            <w:tcBorders>
              <w:top w:val="nil"/>
              <w:left w:val="nil"/>
              <w:bottom w:val="single" w:sz="4" w:space="0" w:color="ADD6EA"/>
              <w:right w:val="nil"/>
            </w:tcBorders>
            <w:shd w:val="clear" w:color="000000" w:fill="D6E7F0"/>
            <w:noWrap/>
            <w:vAlign w:val="bottom"/>
            <w:hideMark/>
          </w:tcPr>
          <w:p w14:paraId="23EAC1C2" w14:textId="77777777" w:rsidR="006447F5" w:rsidRPr="00442A3B" w:rsidRDefault="006447F5" w:rsidP="00751407">
            <w:pPr>
              <w:pStyle w:val="CGCTablesubhead1"/>
              <w:rPr>
                <w:rFonts w:eastAsia="MS Mincho" w:cs="Open Sans Semibold"/>
                <w:color w:val="000000"/>
                <w:szCs w:val="16"/>
                <w:lang w:eastAsia="en-AU"/>
              </w:rPr>
            </w:pPr>
            <w:r w:rsidRPr="00442A3B">
              <w:rPr>
                <w:lang w:eastAsia="en-AU"/>
              </w:rPr>
              <w:t>Total change</w:t>
            </w:r>
          </w:p>
        </w:tc>
        <w:tc>
          <w:tcPr>
            <w:tcW w:w="2500" w:type="dxa"/>
            <w:tcBorders>
              <w:top w:val="nil"/>
              <w:left w:val="nil"/>
              <w:bottom w:val="single" w:sz="4" w:space="0" w:color="ADD6EA"/>
              <w:right w:val="nil"/>
            </w:tcBorders>
            <w:shd w:val="clear" w:color="000000" w:fill="D6E7F0"/>
            <w:noWrap/>
            <w:vAlign w:val="bottom"/>
            <w:hideMark/>
          </w:tcPr>
          <w:p w14:paraId="001807AC" w14:textId="77777777" w:rsidR="006447F5" w:rsidRPr="00442A3B" w:rsidRDefault="006447F5" w:rsidP="00751407">
            <w:pPr>
              <w:pStyle w:val="CGCTablesubhead1"/>
              <w:jc w:val="right"/>
              <w:rPr>
                <w:rFonts w:eastAsia="MS Mincho" w:cs="Open Sans Semibold"/>
                <w:color w:val="000000"/>
                <w:szCs w:val="16"/>
                <w:lang w:eastAsia="en-AU"/>
              </w:rPr>
            </w:pPr>
            <w:r w:rsidRPr="00442A3B">
              <w:rPr>
                <w:lang w:eastAsia="en-AU"/>
              </w:rPr>
              <w:t>149</w:t>
            </w:r>
          </w:p>
        </w:tc>
        <w:tc>
          <w:tcPr>
            <w:tcW w:w="2400" w:type="dxa"/>
            <w:tcBorders>
              <w:top w:val="nil"/>
              <w:left w:val="nil"/>
              <w:bottom w:val="single" w:sz="4" w:space="0" w:color="ADD6EA"/>
              <w:right w:val="nil"/>
            </w:tcBorders>
            <w:shd w:val="clear" w:color="000000" w:fill="D6E7F0"/>
            <w:noWrap/>
            <w:vAlign w:val="bottom"/>
            <w:hideMark/>
          </w:tcPr>
          <w:p w14:paraId="34EAFCF2" w14:textId="77777777" w:rsidR="006447F5" w:rsidRPr="00442A3B" w:rsidRDefault="006447F5" w:rsidP="00751407">
            <w:pPr>
              <w:pStyle w:val="CGCTablesubhead1"/>
              <w:jc w:val="right"/>
              <w:rPr>
                <w:rFonts w:eastAsia="MS Mincho" w:cs="Open Sans Semibold"/>
                <w:color w:val="000000"/>
                <w:szCs w:val="16"/>
                <w:lang w:eastAsia="en-AU"/>
              </w:rPr>
            </w:pPr>
            <w:r w:rsidRPr="00442A3B">
              <w:rPr>
                <w:lang w:eastAsia="en-AU"/>
              </w:rPr>
              <w:t>626</w:t>
            </w:r>
          </w:p>
        </w:tc>
      </w:tr>
    </w:tbl>
    <w:p w14:paraId="7A106A8B" w14:textId="08BE45F6" w:rsidR="0031794C" w:rsidRPr="00442A3B" w:rsidRDefault="0031794C" w:rsidP="0031794C">
      <w:pPr>
        <w:pStyle w:val="CGCTablenote"/>
        <w:keepNext/>
        <w:keepLines/>
      </w:pPr>
      <w:r w:rsidRPr="00442A3B">
        <w:t>Note:</w:t>
      </w:r>
      <w:r w:rsidRPr="00442A3B">
        <w:tab/>
        <w:t>Table may not add due to rounding.</w:t>
      </w:r>
      <w:r w:rsidRPr="00442A3B">
        <w:tab/>
      </w:r>
    </w:p>
    <w:p w14:paraId="00519097" w14:textId="77777777" w:rsidR="00E54AAB" w:rsidRPr="00442A3B" w:rsidRDefault="00E54AAB" w:rsidP="0031794C">
      <w:pPr>
        <w:pStyle w:val="CGCTablenote"/>
      </w:pPr>
      <w:r w:rsidRPr="00442A3B">
        <w:t>(a)</w:t>
      </w:r>
      <w:r w:rsidRPr="00442A3B">
        <w:tab/>
        <w:t>This represents the difference between applying the GST relativities and relative fiscal capacities to the GST pool. It is not the basis of the ‘no worse off’ calculation, which is a State’s relative fiscal capacity applied to the GST pool without the top-up.</w:t>
      </w:r>
    </w:p>
    <w:p w14:paraId="08BB36A1" w14:textId="77777777" w:rsidR="00165998" w:rsidRPr="00442A3B" w:rsidRDefault="00165998" w:rsidP="0031794C">
      <w:pPr>
        <w:pStyle w:val="CGCTablenote"/>
        <w:keepNext/>
        <w:keepLines/>
      </w:pPr>
      <w:r w:rsidRPr="00442A3B">
        <w:t>Source:</w:t>
      </w:r>
      <w:r w:rsidRPr="00442A3B">
        <w:tab/>
        <w:t>Commission calculation.</w:t>
      </w:r>
    </w:p>
    <w:p w14:paraId="112B7F4E" w14:textId="3E460D4E" w:rsidR="00165998" w:rsidRPr="00442A3B" w:rsidRDefault="00165998" w:rsidP="00E54AAB">
      <w:pPr>
        <w:pStyle w:val="Caption"/>
      </w:pPr>
      <w:bookmarkStart w:id="193" w:name="_Toc62487179"/>
      <w:bookmarkStart w:id="194" w:name="_Toc62487335"/>
      <w:r w:rsidRPr="00442A3B">
        <w:t>Figure 3</w:t>
      </w:r>
      <w:r w:rsidRPr="00442A3B">
        <w:noBreakHyphen/>
      </w:r>
      <w:r w:rsidRPr="00442A3B">
        <w:fldChar w:fldCharType="begin"/>
      </w:r>
      <w:r w:rsidRPr="00442A3B">
        <w:instrText>SEQ Figure \* ARABIC</w:instrText>
      </w:r>
      <w:r w:rsidRPr="00442A3B">
        <w:fldChar w:fldCharType="separate"/>
      </w:r>
      <w:r w:rsidR="00FC3D3D">
        <w:rPr>
          <w:noProof/>
        </w:rPr>
        <w:t>9</w:t>
      </w:r>
      <w:r w:rsidRPr="00442A3B">
        <w:fldChar w:fldCharType="end"/>
      </w:r>
      <w:r w:rsidRPr="00442A3B">
        <w:tab/>
        <w:t xml:space="preserve">Main changes for the Northern Territory, </w:t>
      </w:r>
      <w:r w:rsidR="005909B1" w:rsidRPr="00442A3B">
        <w:t>2021 Update</w:t>
      </w:r>
      <w:bookmarkEnd w:id="193"/>
      <w:bookmarkEnd w:id="194"/>
    </w:p>
    <w:p w14:paraId="4CBF8B62" w14:textId="71B0F7CE" w:rsidR="00165998" w:rsidRPr="00442A3B" w:rsidRDefault="00AB3B74" w:rsidP="008916D0">
      <w:pPr>
        <w:spacing w:before="0"/>
      </w:pPr>
      <w:r w:rsidRPr="00442A3B">
        <w:rPr>
          <w:noProof/>
        </w:rPr>
        <w:drawing>
          <wp:inline distT="0" distB="0" distL="0" distR="0" wp14:anchorId="6356F9BE" wp14:editId="651F8F89">
            <wp:extent cx="5831840" cy="3164619"/>
            <wp:effectExtent l="0" t="0" r="0" b="0"/>
            <wp:docPr id="23" name="Picture 23" descr="Data revisions: Population dispersion: -$49m; Indigenous status -$17m. Changes in circumstances: Growth in expenses $85m; Wage costs -$55m; Capital improvements $34m; Capital requirement -$33m; Indigenous status $2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ata revisions: Population dispersion: -$49m; Indigenous status -$17m. Changes in circumstances: Growth in expenses $85m; Wage costs -$55m; Capital improvements $34m; Capital requirement -$33m; Indigenous status $21m"/>
                    <pic:cNvPicPr/>
                  </pic:nvPicPr>
                  <pic:blipFill>
                    <a:blip r:embed="rId91">
                      <a:extLst>
                        <a:ext uri="{28A0092B-C50C-407E-A947-70E740481C1C}">
                          <a14:useLocalDpi xmlns:a14="http://schemas.microsoft.com/office/drawing/2010/main" val="0"/>
                        </a:ext>
                      </a:extLst>
                    </a:blip>
                    <a:stretch>
                      <a:fillRect/>
                    </a:stretch>
                  </pic:blipFill>
                  <pic:spPr>
                    <a:xfrm>
                      <a:off x="0" y="0"/>
                      <a:ext cx="5834538" cy="3166083"/>
                    </a:xfrm>
                    <a:prstGeom prst="rect">
                      <a:avLst/>
                    </a:prstGeom>
                  </pic:spPr>
                </pic:pic>
              </a:graphicData>
            </a:graphic>
          </wp:inline>
        </w:drawing>
      </w:r>
    </w:p>
    <w:p w14:paraId="3B3B73C9" w14:textId="333BB920" w:rsidR="005C6BD2" w:rsidRPr="00442A3B" w:rsidRDefault="00165998" w:rsidP="00B9312C">
      <w:pPr>
        <w:pStyle w:val="CGCTablenote"/>
        <w:keepNext/>
        <w:keepLines/>
        <w:spacing w:before="0"/>
        <w:sectPr w:rsidR="005C6BD2" w:rsidRPr="00442A3B" w:rsidSect="00DF5278">
          <w:headerReference w:type="default" r:id="rId92"/>
          <w:footerReference w:type="default" r:id="rId93"/>
          <w:headerReference w:type="first" r:id="rId94"/>
          <w:footerReference w:type="first" r:id="rId95"/>
          <w:footnotePr>
            <w:numRestart w:val="eachSect"/>
          </w:footnotePr>
          <w:pgSz w:w="11907" w:h="16840" w:code="9"/>
          <w:pgMar w:top="1361" w:right="1474" w:bottom="1134" w:left="1474" w:header="567" w:footer="454" w:gutter="0"/>
          <w:cols w:space="720"/>
          <w:titlePg/>
          <w:docGrid w:linePitch="360"/>
        </w:sectPr>
      </w:pPr>
      <w:r w:rsidRPr="00442A3B">
        <w:t>Source:</w:t>
      </w:r>
      <w:r w:rsidRPr="00442A3B">
        <w:tab/>
        <w:t>Commission calculation.</w:t>
      </w:r>
      <w:bookmarkStart w:id="196" w:name="_Ref62201561"/>
      <w:r w:rsidR="00B20C61" w:rsidRPr="00442A3B">
        <w:t xml:space="preserve"> </w:t>
      </w:r>
    </w:p>
    <w:p w14:paraId="098AD680" w14:textId="21E0D5CE" w:rsidR="00DF3408" w:rsidRPr="00442A3B" w:rsidRDefault="00FA34A0" w:rsidP="00422829">
      <w:pPr>
        <w:pStyle w:val="Heading2"/>
        <w:numPr>
          <w:ilvl w:val="0"/>
          <w:numId w:val="31"/>
        </w:numPr>
        <w:ind w:left="570"/>
      </w:pPr>
      <w:bookmarkStart w:id="197" w:name="_Toc65050543"/>
      <w:r w:rsidRPr="00442A3B">
        <w:lastRenderedPageBreak/>
        <w:t>New issues in this update</w:t>
      </w:r>
      <w:bookmarkEnd w:id="197"/>
    </w:p>
    <w:p w14:paraId="710A7A28" w14:textId="4977012C" w:rsidR="00B33810" w:rsidRPr="00442A3B" w:rsidRDefault="00B33810" w:rsidP="00B33810">
      <w:pPr>
        <w:pStyle w:val="NoSpacing"/>
      </w:pPr>
      <w:r w:rsidRPr="00442A3B">
        <w:rPr>
          <w:rStyle w:val="PageNumber"/>
          <w:noProof/>
        </w:rPr>
        <mc:AlternateContent>
          <mc:Choice Requires="wps">
            <w:drawing>
              <wp:anchor distT="0" distB="0" distL="114300" distR="114300" simplePos="0" relativeHeight="251657216" behindDoc="1" locked="0" layoutInCell="1" allowOverlap="1" wp14:anchorId="030CB666" wp14:editId="2CBFA4D7">
                <wp:simplePos x="0" y="0"/>
                <wp:positionH relativeFrom="column">
                  <wp:posOffset>0</wp:posOffset>
                </wp:positionH>
                <wp:positionV relativeFrom="paragraph">
                  <wp:posOffset>167945</wp:posOffset>
                </wp:positionV>
                <wp:extent cx="5724000" cy="4615891"/>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4000" cy="4615891"/>
                        </a:xfrm>
                        <a:prstGeom prst="rect">
                          <a:avLst/>
                        </a:prstGeom>
                        <a:solidFill>
                          <a:srgbClr val="EBF3F5"/>
                        </a:solidFill>
                        <a:ln w="25400" cap="flat" cmpd="sng" algn="ctr">
                          <a:noFill/>
                          <a:prstDash val="solid"/>
                        </a:ln>
                        <a:effectLst/>
                      </wps:spPr>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10581" id="Rectangle 12" o:spid="_x0000_s1026" alt="&quot;&quot;" style="position:absolute;margin-left:0;margin-top:13.2pt;width:450.7pt;height:36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" fillcolor="#ebf3f5" stroked="f" strokeweight="2pt">
                <v:textbox inset="1mm,,1mm"/>
              </v:rect>
            </w:pict>
          </mc:Fallback>
        </mc:AlternateContent>
      </w:r>
    </w:p>
    <w:p w14:paraId="0D4F92FD" w14:textId="6E91DD2D" w:rsidR="005E7737" w:rsidRPr="00442A3B" w:rsidRDefault="005E7737" w:rsidP="005E7737">
      <w:pPr>
        <w:pStyle w:val="Heading3"/>
        <w:spacing w:before="120"/>
      </w:pPr>
      <w:bookmarkStart w:id="198" w:name="_Toc65050544"/>
      <w:r w:rsidRPr="00442A3B">
        <w:t>Key points</w:t>
      </w:r>
      <w:bookmarkEnd w:id="198"/>
    </w:p>
    <w:p w14:paraId="40C69E2C" w14:textId="715ED51A" w:rsidR="005E7737" w:rsidRPr="00442A3B" w:rsidRDefault="008359D3" w:rsidP="005E7737">
      <w:pPr>
        <w:pStyle w:val="CGCBullet1"/>
      </w:pPr>
      <w:r w:rsidRPr="00442A3B">
        <w:t xml:space="preserve">In </w:t>
      </w:r>
      <w:r w:rsidR="005E7737" w:rsidRPr="00442A3B">
        <w:t xml:space="preserve">each update, the Commission consults with the States about new issues that might affect GST distribution. </w:t>
      </w:r>
    </w:p>
    <w:p w14:paraId="1EAEC28C" w14:textId="77777777" w:rsidR="005E7737" w:rsidRPr="00442A3B" w:rsidRDefault="005E7737" w:rsidP="005E7737">
      <w:pPr>
        <w:pStyle w:val="CGCBullet1"/>
      </w:pPr>
      <w:r w:rsidRPr="00442A3B">
        <w:t>The COVID-19 pandemic affected States’ revenue raising and spending priorities, and hence their fiscal capacities. The assessment period for this update covers July 2017 to June 2020, so only the last 4 months were affected by the pandemic. The impact of the pandemic may be more pronounced in the 2022 Update.</w:t>
      </w:r>
    </w:p>
    <w:p w14:paraId="316A300E" w14:textId="3B315C37" w:rsidR="005E7737" w:rsidRPr="00442A3B" w:rsidRDefault="005E7737" w:rsidP="005E7737">
      <w:pPr>
        <w:pStyle w:val="CGCBullet1"/>
      </w:pPr>
      <w:r w:rsidRPr="00442A3B">
        <w:t xml:space="preserve">The </w:t>
      </w:r>
      <w:r w:rsidR="00B33810" w:rsidRPr="00442A3B">
        <w:t>i</w:t>
      </w:r>
      <w:r w:rsidRPr="00442A3B">
        <w:t>ssues arising from the pandemic for resolution in this update included the appropriate treatment of tax waivers, rebates and deferrals, the implications of JobKeeper</w:t>
      </w:r>
      <w:r w:rsidR="00B33810" w:rsidRPr="00442A3B">
        <w:t> </w:t>
      </w:r>
      <w:r w:rsidRPr="00442A3B">
        <w:t>payments for the payroll tax assessment, and the appropriate treatment of revenue and spending under the Commonwealth-State cost sharing arrangements of the</w:t>
      </w:r>
      <w:r w:rsidR="00B33810" w:rsidRPr="00442A3B">
        <w:t> </w:t>
      </w:r>
      <w:r w:rsidRPr="00442A3B">
        <w:t>National Partnership on COVID-19 Response.</w:t>
      </w:r>
    </w:p>
    <w:p w14:paraId="3A5BCD80" w14:textId="1D52EAE8" w:rsidR="005E7737" w:rsidRPr="00442A3B" w:rsidRDefault="005E7737" w:rsidP="005E7737">
      <w:pPr>
        <w:pStyle w:val="CGCBullet1"/>
      </w:pPr>
      <w:r w:rsidRPr="00442A3B">
        <w:t xml:space="preserve">There </w:t>
      </w:r>
      <w:r w:rsidR="003F6215" w:rsidRPr="00442A3B">
        <w:t>were</w:t>
      </w:r>
      <w:r w:rsidRPr="00442A3B">
        <w:t xml:space="preserve"> grounds to suggest that </w:t>
      </w:r>
      <w:r w:rsidR="00B15D7F" w:rsidRPr="00442A3B">
        <w:t xml:space="preserve">the </w:t>
      </w:r>
      <w:r w:rsidRPr="00442A3B">
        <w:t xml:space="preserve">current health assessment </w:t>
      </w:r>
      <w:r w:rsidR="00B15D7F" w:rsidRPr="00442A3B">
        <w:t>was</w:t>
      </w:r>
      <w:r w:rsidRPr="00442A3B">
        <w:t xml:space="preserve"> unlikely to sufficiently capture the drivers of COVID-19 related health spending, but data were not yet available to show changing patterns in service use as a result of the pandemic. The Commission followed its </w:t>
      </w:r>
      <w:r w:rsidR="005909B1" w:rsidRPr="00442A3B">
        <w:t>2020 Review</w:t>
      </w:r>
      <w:r w:rsidRPr="00442A3B">
        <w:t xml:space="preserve"> guidelines to determine the appropriate treatment</w:t>
      </w:r>
      <w:r w:rsidR="00B33810" w:rsidRPr="00442A3B">
        <w:t> </w:t>
      </w:r>
      <w:r w:rsidRPr="00442A3B">
        <w:t>of Commonwealth payments. The guideline is that payments which support State services and for which expenditure needs are assessed, will affect States’ fiscal capacities. In keeping with this guideline, the Commission concluded that because Commonwealth payments under the National Partnership on COVID-19 Response had</w:t>
      </w:r>
      <w:r w:rsidR="00B33810" w:rsidRPr="00442A3B">
        <w:t> </w:t>
      </w:r>
      <w:r w:rsidRPr="00442A3B">
        <w:t>not been assessed, they should have no effect on the assessment of State fiscal capacities in this update.</w:t>
      </w:r>
    </w:p>
    <w:p w14:paraId="6340B351" w14:textId="77777777" w:rsidR="00B33810" w:rsidRPr="00442A3B" w:rsidRDefault="00B33810" w:rsidP="00B33810">
      <w:pPr>
        <w:pStyle w:val="NoSpacing"/>
      </w:pPr>
    </w:p>
    <w:p w14:paraId="0E28DA3D" w14:textId="47CB13E8" w:rsidR="00DE3F04" w:rsidRPr="00442A3B" w:rsidRDefault="00DE3F04" w:rsidP="00C83C79">
      <w:pPr>
        <w:pStyle w:val="CGCParaNumber"/>
        <w:numPr>
          <w:ilvl w:val="0"/>
          <w:numId w:val="14"/>
        </w:numPr>
        <w:ind w:left="567" w:hanging="567"/>
      </w:pPr>
      <w:r w:rsidRPr="00442A3B">
        <w:t>In each update, the Commission identifies a range of new issues that might affect the GST distribution. New issues can be grouped into the following categories:</w:t>
      </w:r>
    </w:p>
    <w:p w14:paraId="504905F7" w14:textId="0DBA7EF7" w:rsidR="00DE3F04" w:rsidRPr="00442A3B" w:rsidRDefault="00E64F41" w:rsidP="00577C8B">
      <w:pPr>
        <w:pStyle w:val="CGCBullet1"/>
      </w:pPr>
      <w:r w:rsidRPr="00442A3B">
        <w:t>a</w:t>
      </w:r>
      <w:r w:rsidR="00DE3F04" w:rsidRPr="00442A3B">
        <w:t>ssessment issues, relating to how changed circumstances are incorporated into assessments</w:t>
      </w:r>
    </w:p>
    <w:p w14:paraId="1C76AA3A" w14:textId="55DDEAA2" w:rsidR="00DE3F04" w:rsidRPr="00442A3B" w:rsidRDefault="00E64F41" w:rsidP="00577C8B">
      <w:pPr>
        <w:pStyle w:val="CGCBullet1"/>
      </w:pPr>
      <w:r w:rsidRPr="00442A3B">
        <w:t>d</w:t>
      </w:r>
      <w:r w:rsidR="00DE3F04" w:rsidRPr="00442A3B">
        <w:t xml:space="preserve">ata issues, concerning how the latest available data, </w:t>
      </w:r>
      <w:r w:rsidR="000C61D7" w:rsidRPr="00442A3B">
        <w:t>data corrections</w:t>
      </w:r>
      <w:r w:rsidR="00DE3F04" w:rsidRPr="00442A3B">
        <w:t xml:space="preserve"> or changes to data availability are incorporated into assessments</w:t>
      </w:r>
    </w:p>
    <w:p w14:paraId="0F6D3037" w14:textId="50E437AA" w:rsidR="00DE3F04" w:rsidRPr="00442A3B" w:rsidRDefault="00E64F41" w:rsidP="00577C8B">
      <w:pPr>
        <w:pStyle w:val="CGCBullet1"/>
      </w:pPr>
      <w:r w:rsidRPr="00442A3B">
        <w:t>t</w:t>
      </w:r>
      <w:r w:rsidR="00DE3F04" w:rsidRPr="00442A3B">
        <w:t xml:space="preserve">reatment of Commonwealth payments, including new payments and major changes in payment arrangements. </w:t>
      </w:r>
    </w:p>
    <w:p w14:paraId="6ADF69D9" w14:textId="77777777" w:rsidR="00DE3F04" w:rsidRPr="00442A3B" w:rsidRDefault="00DE3F04" w:rsidP="00021B66">
      <w:pPr>
        <w:pStyle w:val="CGCParaNumber"/>
        <w:ind w:left="567" w:hanging="567"/>
      </w:pPr>
      <w:r w:rsidRPr="00442A3B">
        <w:t>The COVID-19 pandemic presented a range of issues across these categories, and these are discussed together at the beginning of the chapter.</w:t>
      </w:r>
    </w:p>
    <w:p w14:paraId="17EC88B2" w14:textId="77777777" w:rsidR="00DE3F04" w:rsidRPr="00442A3B" w:rsidRDefault="00DE3F04" w:rsidP="00021B66">
      <w:pPr>
        <w:pStyle w:val="CGCParaNumber"/>
        <w:ind w:left="567" w:hanging="567"/>
      </w:pPr>
      <w:r w:rsidRPr="00442A3B">
        <w:t>There were also several data issues requiring consultation and resolution.</w:t>
      </w:r>
    </w:p>
    <w:p w14:paraId="6844C6A4" w14:textId="15C4323B" w:rsidR="00DE3F04" w:rsidRPr="00442A3B" w:rsidRDefault="00DE3F04" w:rsidP="00021B66">
      <w:pPr>
        <w:pStyle w:val="CGCParaNumber"/>
        <w:ind w:left="567" w:hanging="567"/>
      </w:pPr>
      <w:r w:rsidRPr="00442A3B">
        <w:lastRenderedPageBreak/>
        <w:t>In addition, this update mark</w:t>
      </w:r>
      <w:r w:rsidR="00287159" w:rsidRPr="00442A3B">
        <w:t>ed</w:t>
      </w:r>
      <w:r w:rsidRPr="00442A3B">
        <w:t xml:space="preserve"> the beginning of the transition to new arrangements for distributing the </w:t>
      </w:r>
      <w:r w:rsidR="00927964" w:rsidRPr="00442A3B">
        <w:t xml:space="preserve">GST </w:t>
      </w:r>
      <w:r w:rsidRPr="00442A3B">
        <w:t>pool based on the fiscally stronger of New South Wales or Victoria.</w:t>
      </w:r>
      <w:r w:rsidRPr="00442A3B">
        <w:rPr>
          <w:rStyle w:val="FootnoteReference"/>
        </w:rPr>
        <w:footnoteReference w:id="22"/>
      </w:r>
      <w:r w:rsidR="0054419E" w:rsidRPr="00442A3B">
        <w:t xml:space="preserve"> </w:t>
      </w:r>
      <w:r w:rsidRPr="00442A3B">
        <w:t xml:space="preserve">This is addressed at the end of the chapter. </w:t>
      </w:r>
    </w:p>
    <w:p w14:paraId="31856156" w14:textId="43F2CA9D" w:rsidR="00DE3F04" w:rsidRPr="00442A3B" w:rsidRDefault="00DE3F04" w:rsidP="00F02DB6">
      <w:pPr>
        <w:pStyle w:val="CGCParaNumber"/>
        <w:widowControl w:val="0"/>
        <w:ind w:left="567" w:hanging="567"/>
      </w:pPr>
      <w:r w:rsidRPr="00442A3B">
        <w:t>Before it decides how to treat new issues, the Commission consults with States. Relevant discussion papers and State responses are available on the Commission’s website (</w:t>
      </w:r>
      <w:hyperlink r:id="rId96">
        <w:r w:rsidRPr="00442A3B">
          <w:t>https://www.cgc.gov.au/inquiries/2021-update</w:t>
        </w:r>
      </w:hyperlink>
      <w:r w:rsidRPr="00442A3B">
        <w:t xml:space="preserve">). </w:t>
      </w:r>
    </w:p>
    <w:p w14:paraId="5ADF3712" w14:textId="3A397E44" w:rsidR="00FA34A0" w:rsidRPr="00442A3B" w:rsidRDefault="00DE3F04" w:rsidP="00021B66">
      <w:pPr>
        <w:pStyle w:val="CGCParaNumber"/>
        <w:ind w:left="567" w:hanging="567"/>
      </w:pPr>
      <w:r w:rsidRPr="00442A3B" w:rsidDel="008950E2">
        <w:t>This chapter describes how the Commission decided to address each of these issues</w:t>
      </w:r>
      <w:r w:rsidR="00577C8B" w:rsidRPr="00442A3B">
        <w:t>.</w:t>
      </w:r>
    </w:p>
    <w:p w14:paraId="2A0F119A" w14:textId="6B3A4897" w:rsidR="00FA34A0" w:rsidRPr="00442A3B" w:rsidRDefault="00606847" w:rsidP="00606847">
      <w:pPr>
        <w:pStyle w:val="Heading3"/>
      </w:pPr>
      <w:bookmarkStart w:id="199" w:name="_Toc65050545"/>
      <w:r w:rsidRPr="00442A3B">
        <w:t>Response to the COVID-19 pandemic</w:t>
      </w:r>
      <w:bookmarkEnd w:id="199"/>
    </w:p>
    <w:p w14:paraId="016D1CD8" w14:textId="77777777" w:rsidR="005F384B" w:rsidRPr="00442A3B" w:rsidRDefault="005F384B" w:rsidP="00021B66">
      <w:pPr>
        <w:pStyle w:val="CGCParaNumber"/>
        <w:ind w:left="567" w:hanging="567"/>
      </w:pPr>
      <w:r w:rsidRPr="00442A3B">
        <w:t xml:space="preserve">The COVID-19 pandemic has led to significant economic and social changes. These, in turn, have affected what States do with respect to revenue raising and spending priorities, and hence their fiscal capacities. </w:t>
      </w:r>
    </w:p>
    <w:p w14:paraId="51F838D9" w14:textId="62E4355A" w:rsidR="005F384B" w:rsidRPr="00442A3B" w:rsidRDefault="005F384B" w:rsidP="00021B66">
      <w:pPr>
        <w:pStyle w:val="CGCParaNumber"/>
        <w:ind w:left="567" w:hanging="567"/>
      </w:pPr>
      <w:r w:rsidRPr="00442A3B">
        <w:t xml:space="preserve">The issue for the Commission </w:t>
      </w:r>
      <w:r w:rsidR="00803921" w:rsidRPr="00442A3B">
        <w:t>was</w:t>
      </w:r>
      <w:r w:rsidRPr="00442A3B">
        <w:t xml:space="preserve"> to what extent these changes affected the </w:t>
      </w:r>
      <w:r w:rsidRPr="00442A3B">
        <w:rPr>
          <w:u w:val="single"/>
        </w:rPr>
        <w:t>relative</w:t>
      </w:r>
      <w:r w:rsidRPr="00442A3B">
        <w:t xml:space="preserve"> fiscal capacities of the States (that is, whether the pandemic had a differential impact on State fiscal capacities), and to what extent any such changes </w:t>
      </w:r>
      <w:r w:rsidR="008F3AA2" w:rsidRPr="00442A3B">
        <w:t>were</w:t>
      </w:r>
      <w:r w:rsidRPr="00442A3B">
        <w:t xml:space="preserve"> captured by the methods developed during the </w:t>
      </w:r>
      <w:r w:rsidR="005909B1" w:rsidRPr="00442A3B">
        <w:t>2020 Review</w:t>
      </w:r>
      <w:r w:rsidRPr="00442A3B">
        <w:t>.</w:t>
      </w:r>
    </w:p>
    <w:p w14:paraId="3AA9C762" w14:textId="50CBB332" w:rsidR="005F384B" w:rsidRPr="00442A3B" w:rsidRDefault="005F384B" w:rsidP="00021B66">
      <w:pPr>
        <w:pStyle w:val="CGCParaNumber"/>
        <w:ind w:left="567" w:hanging="567"/>
      </w:pPr>
      <w:r w:rsidRPr="00442A3B">
        <w:t>State circumstances for the 36 months from July 2017 to June 2020 contribute</w:t>
      </w:r>
      <w:r w:rsidR="008F3AA2" w:rsidRPr="00442A3B">
        <w:t>d</w:t>
      </w:r>
      <w:r w:rsidRPr="00442A3B">
        <w:t xml:space="preserve"> to this update, with only the last </w:t>
      </w:r>
      <w:r w:rsidR="005E563D" w:rsidRPr="00442A3B">
        <w:t>4</w:t>
      </w:r>
      <w:r w:rsidRPr="00442A3B">
        <w:t xml:space="preserve"> of these months being significantly affected by </w:t>
      </w:r>
      <w:r w:rsidR="001F567B" w:rsidRPr="00442A3B">
        <w:t>the pandemic</w:t>
      </w:r>
      <w:r w:rsidRPr="00442A3B">
        <w:t xml:space="preserve">. </w:t>
      </w:r>
    </w:p>
    <w:p w14:paraId="1E52C4C8" w14:textId="7C84B425" w:rsidR="005F384B" w:rsidRPr="00442A3B" w:rsidRDefault="005F384B" w:rsidP="00021B66">
      <w:pPr>
        <w:pStyle w:val="CGCParaNumber"/>
        <w:ind w:left="567" w:hanging="567"/>
      </w:pPr>
      <w:r w:rsidRPr="00442A3B">
        <w:t xml:space="preserve">The Commission consulted with States on the broader implications of COVID-19 for the </w:t>
      </w:r>
      <w:r w:rsidR="005909B1" w:rsidRPr="00442A3B">
        <w:t>2020 Review</w:t>
      </w:r>
      <w:r w:rsidRPr="00442A3B">
        <w:t xml:space="preserve"> methods before the terms of reference for the </w:t>
      </w:r>
      <w:r w:rsidR="005909B1" w:rsidRPr="00442A3B">
        <w:t>2021 Update</w:t>
      </w:r>
      <w:r w:rsidRPr="00442A3B">
        <w:t xml:space="preserve"> were issued. </w:t>
      </w:r>
    </w:p>
    <w:p w14:paraId="6853FFC0" w14:textId="400ED519" w:rsidR="005F384B" w:rsidRPr="00442A3B" w:rsidRDefault="005F384B" w:rsidP="00021B66">
      <w:pPr>
        <w:pStyle w:val="CGCParaNumber"/>
        <w:ind w:left="567" w:hanging="567"/>
      </w:pPr>
      <w:r w:rsidRPr="00442A3B">
        <w:t>Most States considered that State responses to the pandemic during the assessment period were sufficiently comparable to be largely accommodated by the existing assessment methods. Any differences in responses were likely to reflect differences in State circumstances rather than different policy choices.</w:t>
      </w:r>
    </w:p>
    <w:p w14:paraId="79875372" w14:textId="77777777" w:rsidR="005F384B" w:rsidRPr="00442A3B" w:rsidRDefault="005F384B" w:rsidP="00021B66">
      <w:pPr>
        <w:pStyle w:val="CGCParaNumber"/>
        <w:ind w:left="567" w:hanging="567"/>
      </w:pPr>
      <w:r w:rsidRPr="00442A3B">
        <w:t>Western Australia disagreed. It considered there were differences among State policies and efficiencies in responding to COVID-19, providing as examples its policies in relation to the mining industry and support for residential construction. Western Australia argued that because of its policy response to the pandemic, some of its revenue bases were higher than they would have been had its response been in line with the approach adopted by most States. It proposed reducing its revenue bases by some proportion to reflect the impact of this above average effort.</w:t>
      </w:r>
    </w:p>
    <w:p w14:paraId="57992F6E" w14:textId="4D78E704" w:rsidR="005F384B" w:rsidRPr="00442A3B" w:rsidRDefault="005F384B" w:rsidP="00021B66">
      <w:pPr>
        <w:pStyle w:val="CGCParaNumber"/>
        <w:ind w:left="567" w:hanging="567"/>
      </w:pPr>
      <w:r w:rsidRPr="00442A3B">
        <w:t>State budget papers indicate</w:t>
      </w:r>
      <w:r w:rsidR="00186696" w:rsidRPr="00442A3B">
        <w:t>d</w:t>
      </w:r>
      <w:r w:rsidRPr="00442A3B">
        <w:t xml:space="preserve"> that 2020-21 is </w:t>
      </w:r>
      <w:r w:rsidR="006E032A" w:rsidRPr="00442A3B">
        <w:t>the year</w:t>
      </w:r>
      <w:r w:rsidRPr="00442A3B" w:rsidDel="006E032A">
        <w:t xml:space="preserve"> </w:t>
      </w:r>
      <w:r w:rsidRPr="00442A3B">
        <w:t xml:space="preserve">States expect to see the largest budgetary effect of their responses to the COVID-19 pandemic. That year will enter the Commission’s assessment period from the 2022 Update. </w:t>
      </w:r>
    </w:p>
    <w:p w14:paraId="2ABD61E8" w14:textId="12725872" w:rsidR="005F384B" w:rsidRPr="00442A3B" w:rsidRDefault="005F384B" w:rsidP="00021B66">
      <w:pPr>
        <w:pStyle w:val="CGCParaNumber"/>
        <w:ind w:left="567" w:hanging="567"/>
      </w:pPr>
      <w:r w:rsidRPr="00442A3B">
        <w:t xml:space="preserve">The Commission will again include consideration of the implications of the pandemic in its consultation for the 2022 Update. This consultative process will provide input for setting the terms of reference for the 2022 Update. The Commission will keep the Council on Federal Financial Relations updated as it progresses this work. The scope for the Commission to change its assessment methods in response to </w:t>
      </w:r>
      <w:r w:rsidR="00D16692" w:rsidRPr="00442A3B">
        <w:t xml:space="preserve">the </w:t>
      </w:r>
      <w:r w:rsidRPr="00442A3B">
        <w:t xml:space="preserve">COVID-19 </w:t>
      </w:r>
      <w:r w:rsidR="00D16692" w:rsidRPr="00442A3B">
        <w:t xml:space="preserve">pandemic </w:t>
      </w:r>
      <w:r w:rsidRPr="00442A3B">
        <w:t>will depend on the terms of reference for the 2022 Update.</w:t>
      </w:r>
    </w:p>
    <w:p w14:paraId="7916E4D5" w14:textId="77777777" w:rsidR="00AA05A2" w:rsidRPr="00442A3B" w:rsidRDefault="00AA05A2" w:rsidP="00AA05A2">
      <w:pPr>
        <w:pStyle w:val="Heading4"/>
      </w:pPr>
      <w:bookmarkStart w:id="200" w:name="_Toc65050546"/>
      <w:r w:rsidRPr="00442A3B">
        <w:lastRenderedPageBreak/>
        <w:t>Commission approach to COVID-19 for this update</w:t>
      </w:r>
      <w:bookmarkEnd w:id="200"/>
    </w:p>
    <w:p w14:paraId="7284F05D" w14:textId="35582149" w:rsidR="00040BDC" w:rsidRPr="00442A3B" w:rsidRDefault="00040BDC" w:rsidP="00021B66">
      <w:pPr>
        <w:pStyle w:val="CGCParaNumber"/>
        <w:ind w:left="567" w:hanging="567"/>
      </w:pPr>
      <w:r w:rsidRPr="00442A3B">
        <w:t xml:space="preserve">The Commission </w:t>
      </w:r>
      <w:r w:rsidR="005D0C09" w:rsidRPr="00442A3B">
        <w:t>concluded</w:t>
      </w:r>
      <w:r w:rsidRPr="00442A3B">
        <w:t xml:space="preserve"> that State policy responses to the economic impact of </w:t>
      </w:r>
      <w:r w:rsidR="01279EA7" w:rsidRPr="00442A3B">
        <w:t xml:space="preserve">the </w:t>
      </w:r>
      <w:r w:rsidRPr="00442A3B">
        <w:t>COVID</w:t>
      </w:r>
      <w:r w:rsidR="00AF1F98" w:rsidRPr="00442A3B">
        <w:noBreakHyphen/>
      </w:r>
      <w:r w:rsidRPr="00442A3B">
        <w:t xml:space="preserve">19 </w:t>
      </w:r>
      <w:r w:rsidR="7AC07C7E" w:rsidRPr="00442A3B">
        <w:t>pandemic</w:t>
      </w:r>
      <w:r w:rsidRPr="00442A3B">
        <w:t xml:space="preserve"> in the assessment period for this update were broadly comparable, and any differences primarily reflected differences in State circumstances rather than differences in policy settings. This means the Commission </w:t>
      </w:r>
      <w:r w:rsidR="00143202" w:rsidRPr="00442A3B">
        <w:t>determined</w:t>
      </w:r>
      <w:r w:rsidRPr="00442A3B">
        <w:t xml:space="preserve"> that existing revenue assessments </w:t>
      </w:r>
      <w:r w:rsidR="00757903" w:rsidRPr="00442A3B">
        <w:t>would</w:t>
      </w:r>
      <w:r w:rsidRPr="00442A3B">
        <w:t xml:space="preserve"> largely capture the pandemic’s effects on State revenue raising capacity. </w:t>
      </w:r>
    </w:p>
    <w:p w14:paraId="710608E8" w14:textId="77777777" w:rsidR="00040BDC" w:rsidRPr="00442A3B" w:rsidRDefault="00040BDC" w:rsidP="00021B66">
      <w:pPr>
        <w:pStyle w:val="CGCParaNumber"/>
        <w:ind w:left="567" w:hanging="567"/>
      </w:pPr>
      <w:r w:rsidRPr="00442A3B">
        <w:t>The Commission consulted States on how to address the following revenue issues:</w:t>
      </w:r>
    </w:p>
    <w:p w14:paraId="0F90A67E" w14:textId="77777777" w:rsidR="00040BDC" w:rsidRPr="00442A3B" w:rsidRDefault="00040BDC" w:rsidP="007316D8">
      <w:pPr>
        <w:pStyle w:val="CGCBullet1"/>
      </w:pPr>
      <w:r w:rsidRPr="00442A3B">
        <w:t>the handling of State decisions regarding the introduction of tax waivers, rebates and deferrals</w:t>
      </w:r>
    </w:p>
    <w:p w14:paraId="3B4FED24" w14:textId="5F663E46" w:rsidR="00040BDC" w:rsidRPr="00442A3B" w:rsidRDefault="00040BDC" w:rsidP="007316D8">
      <w:pPr>
        <w:pStyle w:val="CGCBullet1"/>
      </w:pPr>
      <w:r w:rsidRPr="00442A3B">
        <w:t>the effect of JobKeeper payments on the payroll tax assessment.</w:t>
      </w:r>
    </w:p>
    <w:p w14:paraId="04494EDB" w14:textId="66C0F2F8" w:rsidR="00040BDC" w:rsidRPr="00442A3B" w:rsidRDefault="00040BDC" w:rsidP="00021B66">
      <w:pPr>
        <w:pStyle w:val="CGCParaNumber"/>
        <w:ind w:left="567" w:hanging="567"/>
      </w:pPr>
      <w:r w:rsidRPr="00442A3B">
        <w:t xml:space="preserve">States announced new spending initiatives in response to </w:t>
      </w:r>
      <w:r w:rsidR="001B45E2" w:rsidRPr="00442A3B">
        <w:t xml:space="preserve">the </w:t>
      </w:r>
      <w:r w:rsidRPr="00442A3B">
        <w:t xml:space="preserve">COVID-19 </w:t>
      </w:r>
      <w:r w:rsidR="001B45E2" w:rsidRPr="00442A3B">
        <w:t xml:space="preserve">pandemic </w:t>
      </w:r>
      <w:r w:rsidRPr="00442A3B">
        <w:t xml:space="preserve">in all expense categories. In addition, in some categories the service delivery arrangements changed significantly (for example, delivering school education remotely). In other categories, the sociodemographic make-up of service users may have changed (for example, the profile of people interacting with the health system or the police). </w:t>
      </w:r>
    </w:p>
    <w:p w14:paraId="0B62D3B2" w14:textId="3AC19CE1" w:rsidR="00040BDC" w:rsidRPr="00442A3B" w:rsidRDefault="00040BDC" w:rsidP="00021B66">
      <w:pPr>
        <w:pStyle w:val="CGCParaNumber"/>
        <w:ind w:left="567" w:hanging="567"/>
      </w:pPr>
      <w:r w:rsidRPr="00442A3B">
        <w:t xml:space="preserve">Although </w:t>
      </w:r>
      <w:r w:rsidR="001B45E2" w:rsidRPr="00442A3B">
        <w:t>pandemic</w:t>
      </w:r>
      <w:r w:rsidRPr="00442A3B">
        <w:t xml:space="preserve"> related spending was relatively small in the assessment period for this update, the issue the Commission needed to consider was whether the drivers of need for this spending had changed significantly and whether it was appropriate to apply the </w:t>
      </w:r>
      <w:r w:rsidR="005909B1" w:rsidRPr="00442A3B">
        <w:t>2020 Review</w:t>
      </w:r>
      <w:r w:rsidRPr="00442A3B" w:rsidDel="00664589">
        <w:t xml:space="preserve"> </w:t>
      </w:r>
      <w:r w:rsidRPr="00442A3B">
        <w:t xml:space="preserve">methods to this additional spending. Prior to </w:t>
      </w:r>
      <w:r w:rsidR="55B3796C" w:rsidRPr="00442A3B">
        <w:t>receiving</w:t>
      </w:r>
      <w:r w:rsidRPr="00442A3B">
        <w:t xml:space="preserve"> terms of reference, the Commission consulted with States on the approach for assessing spending in health and services to industry. Their treatment is discussed below.</w:t>
      </w:r>
    </w:p>
    <w:p w14:paraId="23F74912" w14:textId="77777777" w:rsidR="00BF0288" w:rsidRPr="00442A3B" w:rsidRDefault="00BF0288" w:rsidP="00BF0288">
      <w:pPr>
        <w:pStyle w:val="Heading4"/>
      </w:pPr>
      <w:bookmarkStart w:id="201" w:name="_Toc53763698"/>
      <w:bookmarkStart w:id="202" w:name="_Toc53763732"/>
      <w:bookmarkStart w:id="203" w:name="_Toc53763766"/>
      <w:bookmarkStart w:id="204" w:name="_Toc53763800"/>
      <w:bookmarkStart w:id="205" w:name="_Toc54098148"/>
      <w:bookmarkStart w:id="206" w:name="_Toc65050547"/>
      <w:r w:rsidRPr="00442A3B">
        <w:t>COVID-19 — Treatment of tax waivers and rebates</w:t>
      </w:r>
      <w:bookmarkEnd w:id="201"/>
      <w:bookmarkEnd w:id="202"/>
      <w:bookmarkEnd w:id="203"/>
      <w:bookmarkEnd w:id="204"/>
      <w:bookmarkEnd w:id="205"/>
      <w:bookmarkEnd w:id="206"/>
    </w:p>
    <w:p w14:paraId="750C9A94" w14:textId="77777777" w:rsidR="000C7811" w:rsidRPr="00442A3B" w:rsidRDefault="000C7811" w:rsidP="000C7811">
      <w:pPr>
        <w:pStyle w:val="Heading5"/>
      </w:pPr>
      <w:r w:rsidRPr="00442A3B">
        <w:t>Issue</w:t>
      </w:r>
    </w:p>
    <w:p w14:paraId="7F930883" w14:textId="62D99494" w:rsidR="000C7811" w:rsidRPr="00442A3B" w:rsidRDefault="000C7811" w:rsidP="00021B66">
      <w:pPr>
        <w:pStyle w:val="CGCParaNumber"/>
        <w:ind w:left="567" w:hanging="567"/>
      </w:pPr>
      <w:r w:rsidRPr="00442A3B">
        <w:t xml:space="preserve">States announced decisions to waive, in whole or in part, tax liabilities for the 2019-20 year. Some States processed their waivers as rebates. The issue for the Commission </w:t>
      </w:r>
      <w:r w:rsidR="00757903" w:rsidRPr="00442A3B">
        <w:t>was</w:t>
      </w:r>
      <w:r w:rsidRPr="00442A3B">
        <w:t xml:space="preserve"> whether to apply the same treatment to rebates as waivers, for example by introducing adjustments to remove rebates from the relevant expenses and offset them against the appropriate revenue category.</w:t>
      </w:r>
    </w:p>
    <w:p w14:paraId="46BA8765" w14:textId="77777777" w:rsidR="000C7811" w:rsidRPr="00442A3B" w:rsidRDefault="000C7811" w:rsidP="000C7811">
      <w:pPr>
        <w:pStyle w:val="Heading5"/>
      </w:pPr>
      <w:r w:rsidRPr="00442A3B">
        <w:t>State views</w:t>
      </w:r>
    </w:p>
    <w:p w14:paraId="7CE906A1" w14:textId="6059D405" w:rsidR="000C7811" w:rsidRPr="00442A3B" w:rsidRDefault="000C7811" w:rsidP="00021B66">
      <w:pPr>
        <w:pStyle w:val="CGCParaNumber"/>
        <w:ind w:left="567" w:hanging="567"/>
      </w:pPr>
      <w:r w:rsidRPr="00442A3B">
        <w:t xml:space="preserve">All States supported applying the same treatment to waivers and rebates. Most agreed they should be treated as reduced revenue </w:t>
      </w:r>
      <w:r w:rsidR="00177FEE" w:rsidRPr="00442A3B">
        <w:t xml:space="preserve">raising </w:t>
      </w:r>
      <w:r w:rsidRPr="00442A3B">
        <w:t>effort. Tasmania disagreed, saying they should be treated as COVID-19 related support to business.</w:t>
      </w:r>
    </w:p>
    <w:p w14:paraId="12B03FA2" w14:textId="77777777" w:rsidR="000C7811" w:rsidRPr="00442A3B" w:rsidRDefault="000C7811" w:rsidP="00021B66">
      <w:pPr>
        <w:pStyle w:val="CGCParaNumber"/>
        <w:ind w:left="567" w:hanging="567"/>
      </w:pPr>
      <w:r w:rsidRPr="00442A3B">
        <w:t>Victoria said that if materiality were assessed, the Commission should test the materiality of waivers and rebates jointly.</w:t>
      </w:r>
    </w:p>
    <w:p w14:paraId="0E85E81F" w14:textId="77777777" w:rsidR="000C7811" w:rsidRPr="00442A3B" w:rsidRDefault="000C7811" w:rsidP="00B010A7">
      <w:pPr>
        <w:pStyle w:val="Heading5"/>
      </w:pPr>
      <w:r w:rsidRPr="00442A3B">
        <w:t>Commission decision</w:t>
      </w:r>
    </w:p>
    <w:p w14:paraId="42269E91" w14:textId="77777777" w:rsidR="000C7811" w:rsidRPr="00442A3B" w:rsidRDefault="000C7811" w:rsidP="00021B66">
      <w:pPr>
        <w:pStyle w:val="CGCParaNumber"/>
        <w:ind w:left="567" w:hanging="567"/>
      </w:pPr>
      <w:r w:rsidRPr="00442A3B">
        <w:t>The policy intent of the waivers and rebates was the same — to provide COVID-19 related support to business. Their effect was also the same, to reduce State revenue effort. Consequently, the Commission decided that applying the same treatment to rebates as waivers was appropriate and consistent with past Commission practice.</w:t>
      </w:r>
    </w:p>
    <w:p w14:paraId="5E9DE815" w14:textId="544FD3A8" w:rsidR="000C7811" w:rsidRPr="00442A3B" w:rsidRDefault="000C7811" w:rsidP="00021B66">
      <w:pPr>
        <w:pStyle w:val="CGCParaNumber"/>
        <w:ind w:left="567" w:hanging="567"/>
      </w:pPr>
      <w:r w:rsidRPr="00442A3B">
        <w:lastRenderedPageBreak/>
        <w:t xml:space="preserve">The Commission introduced these adjustments for the 2019-20 assessment year. Although they are not necessarily material for this update, </w:t>
      </w:r>
      <w:r w:rsidR="00F92FE3" w:rsidRPr="00442A3B">
        <w:t>this approach</w:t>
      </w:r>
      <w:r w:rsidRPr="00442A3B">
        <w:t xml:space="preserve"> foreshadows their treatment in the 2022 Update, where they</w:t>
      </w:r>
      <w:r w:rsidRPr="00442A3B" w:rsidDel="006824BC">
        <w:t xml:space="preserve"> </w:t>
      </w:r>
      <w:r w:rsidRPr="00442A3B">
        <w:t xml:space="preserve">may be material. </w:t>
      </w:r>
    </w:p>
    <w:p w14:paraId="22795219" w14:textId="1917823F" w:rsidR="000C7811" w:rsidRPr="00442A3B" w:rsidRDefault="00FD3B8C" w:rsidP="00594699">
      <w:pPr>
        <w:pStyle w:val="Heading4"/>
      </w:pPr>
      <w:bookmarkStart w:id="207" w:name="_Toc53763699"/>
      <w:bookmarkStart w:id="208" w:name="_Toc53763733"/>
      <w:bookmarkStart w:id="209" w:name="_Toc53763767"/>
      <w:bookmarkStart w:id="210" w:name="_Toc53763801"/>
      <w:bookmarkStart w:id="211" w:name="_Toc54098149"/>
      <w:bookmarkStart w:id="212" w:name="_Toc65050548"/>
      <w:r w:rsidRPr="00442A3B">
        <w:t>COVID-19 — Treatment of tax deferrals</w:t>
      </w:r>
      <w:bookmarkEnd w:id="207"/>
      <w:bookmarkEnd w:id="208"/>
      <w:bookmarkEnd w:id="209"/>
      <w:bookmarkEnd w:id="210"/>
      <w:bookmarkEnd w:id="211"/>
      <w:bookmarkEnd w:id="212"/>
    </w:p>
    <w:p w14:paraId="6BE1AFA2" w14:textId="77777777" w:rsidR="00DE1CE8" w:rsidRPr="00442A3B" w:rsidRDefault="00DE1CE8" w:rsidP="00B010A7">
      <w:pPr>
        <w:pStyle w:val="Heading5"/>
      </w:pPr>
      <w:r w:rsidRPr="00442A3B">
        <w:t>Issue</w:t>
      </w:r>
    </w:p>
    <w:p w14:paraId="4C1BC5BF" w14:textId="4745FFB1" w:rsidR="00DE1CE8" w:rsidRPr="00442A3B" w:rsidRDefault="00DE1CE8" w:rsidP="00021B66">
      <w:pPr>
        <w:pStyle w:val="CGCParaNumber"/>
        <w:ind w:left="567" w:hanging="567"/>
      </w:pPr>
      <w:r w:rsidRPr="00442A3B">
        <w:t xml:space="preserve">States announced the deferral of tax liabilities for the 2019-20 year. Deferrals affect the timing of revenue collections rather than the amount collected. The issue </w:t>
      </w:r>
      <w:r w:rsidR="00DD1E7A" w:rsidRPr="00442A3B">
        <w:t>was</w:t>
      </w:r>
      <w:r w:rsidRPr="00442A3B">
        <w:t xml:space="preserve"> whether the Commission should treat deferrals on either:</w:t>
      </w:r>
    </w:p>
    <w:p w14:paraId="607E1FCE" w14:textId="77777777" w:rsidR="00DE1CE8" w:rsidRPr="00442A3B" w:rsidRDefault="00DE1CE8" w:rsidP="007316D8">
      <w:pPr>
        <w:pStyle w:val="CGCBullet1"/>
      </w:pPr>
      <w:r w:rsidRPr="00442A3B">
        <w:t>an accrual basis — that is, assess them in the year the tax liability arose</w:t>
      </w:r>
    </w:p>
    <w:p w14:paraId="6196FF7F" w14:textId="4E9D36A9" w:rsidR="00DE1CE8" w:rsidRPr="00442A3B" w:rsidRDefault="00DE1CE8" w:rsidP="007316D8">
      <w:pPr>
        <w:pStyle w:val="CGCBullet1"/>
      </w:pPr>
      <w:r w:rsidRPr="00442A3B">
        <w:t xml:space="preserve">a cash basis — that is, </w:t>
      </w:r>
      <w:r w:rsidRPr="00442A3B">
        <w:rPr>
          <w:rFonts w:eastAsia="Times New Roman" w:cs="Open Sans Light"/>
          <w:szCs w:val="20"/>
          <w:lang w:eastAsia="en-AU"/>
        </w:rPr>
        <w:t xml:space="preserve">assess them </w:t>
      </w:r>
      <w:r w:rsidRPr="00442A3B">
        <w:t xml:space="preserve">in the year the revenue </w:t>
      </w:r>
      <w:r w:rsidR="00283D69">
        <w:t>wa</w:t>
      </w:r>
      <w:r w:rsidRPr="00442A3B">
        <w:t xml:space="preserve">s collected. </w:t>
      </w:r>
    </w:p>
    <w:p w14:paraId="78D486EC" w14:textId="77777777" w:rsidR="00DE1CE8" w:rsidRPr="00442A3B" w:rsidRDefault="00DE1CE8" w:rsidP="00B010A7">
      <w:pPr>
        <w:pStyle w:val="Heading5"/>
      </w:pPr>
      <w:r w:rsidRPr="00442A3B">
        <w:t>State views</w:t>
      </w:r>
    </w:p>
    <w:p w14:paraId="0C48F922" w14:textId="0F610DC3" w:rsidR="00DE1CE8" w:rsidRPr="00442A3B" w:rsidRDefault="00DE1CE8" w:rsidP="00021B66">
      <w:pPr>
        <w:pStyle w:val="CGCParaNumber"/>
        <w:ind w:left="567" w:hanging="567"/>
      </w:pPr>
      <w:r w:rsidRPr="00442A3B">
        <w:t>All States supported treating deferrals on an accrual basis</w:t>
      </w:r>
      <w:r w:rsidR="00E52920" w:rsidRPr="00442A3B">
        <w:t xml:space="preserve"> and</w:t>
      </w:r>
      <w:r w:rsidRPr="00442A3B">
        <w:t xml:space="preserve"> provided information to assist the Commission to make the adjustments </w:t>
      </w:r>
      <w:r w:rsidR="00E14EA1" w:rsidRPr="00442A3B">
        <w:t>needed</w:t>
      </w:r>
      <w:r w:rsidRPr="00442A3B">
        <w:t xml:space="preserve">. </w:t>
      </w:r>
    </w:p>
    <w:p w14:paraId="668A4851" w14:textId="77777777" w:rsidR="00DE1CE8" w:rsidRPr="00442A3B" w:rsidRDefault="00DE1CE8" w:rsidP="00B010A7">
      <w:pPr>
        <w:pStyle w:val="Heading5"/>
      </w:pPr>
      <w:r w:rsidRPr="00442A3B">
        <w:t>Commission decision</w:t>
      </w:r>
    </w:p>
    <w:p w14:paraId="620549C1" w14:textId="77777777" w:rsidR="00DE1CE8" w:rsidRPr="00442A3B" w:rsidRDefault="00DE1CE8" w:rsidP="00021B66">
      <w:pPr>
        <w:pStyle w:val="CGCParaNumber"/>
        <w:ind w:left="567" w:hanging="567"/>
      </w:pPr>
      <w:r w:rsidRPr="00442A3B">
        <w:t>State</w:t>
      </w:r>
      <w:r w:rsidRPr="00442A3B">
        <w:rPr>
          <w:b/>
          <w:bCs/>
        </w:rPr>
        <w:t xml:space="preserve"> </w:t>
      </w:r>
      <w:r w:rsidRPr="00442A3B">
        <w:t>revenue bases are volatile and assessing revenues using a base from a different period can affect States’ assessed fiscal capacity. Under accrual accounting, revenues and expenses are recorded when a transaction occurs rather than when the payment is made.</w:t>
      </w:r>
    </w:p>
    <w:p w14:paraId="7FEB5464" w14:textId="77777777" w:rsidR="00DE1CE8" w:rsidRPr="00442A3B" w:rsidRDefault="00DE1CE8" w:rsidP="00021B66">
      <w:pPr>
        <w:pStyle w:val="CGCParaNumber"/>
        <w:ind w:left="567" w:hanging="567"/>
      </w:pPr>
      <w:r w:rsidRPr="00442A3B">
        <w:t>The Commission already calculates its adjusted budget on an accrual basis and for this update decided to apply this approach to tax deferrals as well. For deferrals treated on a cash basis, this involved using information provided by States</w:t>
      </w:r>
      <w:r w:rsidRPr="00442A3B" w:rsidDel="00BB2CDF">
        <w:t xml:space="preserve"> </w:t>
      </w:r>
      <w:r w:rsidRPr="00442A3B">
        <w:t>to move the tax deferral from the date of payment to the date of the transaction giving rise to the payment.</w:t>
      </w:r>
    </w:p>
    <w:p w14:paraId="41EC7655" w14:textId="6BB37FD0" w:rsidR="005F384B" w:rsidRPr="00442A3B" w:rsidRDefault="00DE1CE8" w:rsidP="00021B66">
      <w:pPr>
        <w:pStyle w:val="CGCParaNumber"/>
        <w:ind w:left="567" w:hanging="567"/>
      </w:pPr>
      <w:r w:rsidRPr="00442A3B">
        <w:t>Similar</w:t>
      </w:r>
      <w:r w:rsidR="00603C74" w:rsidRPr="00442A3B">
        <w:t xml:space="preserve"> to</w:t>
      </w:r>
      <w:r w:rsidRPr="00442A3B">
        <w:t xml:space="preserve"> its treatment of tax waivers and rebates, the Commission introduced adjustments for deferrals in the 2019-20 assessment year. Although not necessarily material for this update, it foreshadows their treatment in the</w:t>
      </w:r>
      <w:r w:rsidRPr="00442A3B" w:rsidDel="00BB2CDF">
        <w:t xml:space="preserve"> </w:t>
      </w:r>
      <w:r w:rsidRPr="00442A3B">
        <w:t xml:space="preserve">2022 Update, when they </w:t>
      </w:r>
      <w:r w:rsidR="00A20B1A" w:rsidRPr="00442A3B">
        <w:t>may</w:t>
      </w:r>
      <w:r w:rsidRPr="00442A3B">
        <w:t xml:space="preserve"> be material.</w:t>
      </w:r>
    </w:p>
    <w:p w14:paraId="01502F03" w14:textId="7C2E7FB1" w:rsidR="00CF72B1" w:rsidRPr="00442A3B" w:rsidRDefault="00CF72B1" w:rsidP="00CF72B1">
      <w:pPr>
        <w:pStyle w:val="Heading4"/>
      </w:pPr>
      <w:bookmarkStart w:id="213" w:name="_Toc53763700"/>
      <w:bookmarkStart w:id="214" w:name="_Toc53763734"/>
      <w:bookmarkStart w:id="215" w:name="_Toc53763768"/>
      <w:bookmarkStart w:id="216" w:name="_Toc53763802"/>
      <w:bookmarkStart w:id="217" w:name="_Toc54098150"/>
      <w:bookmarkStart w:id="218" w:name="_Toc65050549"/>
      <w:r w:rsidRPr="00442A3B">
        <w:t>COVID-19 — Treatment of JobKeeper payments</w:t>
      </w:r>
      <w:bookmarkEnd w:id="213"/>
      <w:bookmarkEnd w:id="214"/>
      <w:bookmarkEnd w:id="215"/>
      <w:bookmarkEnd w:id="216"/>
      <w:bookmarkEnd w:id="217"/>
      <w:bookmarkEnd w:id="218"/>
    </w:p>
    <w:p w14:paraId="186998B3" w14:textId="77777777" w:rsidR="001B37DA" w:rsidRPr="00442A3B" w:rsidRDefault="001B37DA" w:rsidP="00B010A7">
      <w:pPr>
        <w:pStyle w:val="Heading5"/>
      </w:pPr>
      <w:r w:rsidRPr="00442A3B">
        <w:t>Issue</w:t>
      </w:r>
    </w:p>
    <w:p w14:paraId="2613C639" w14:textId="1416E96F" w:rsidR="001B37DA" w:rsidRPr="00442A3B" w:rsidRDefault="001B37DA" w:rsidP="00021B66">
      <w:pPr>
        <w:pStyle w:val="CGCParaNumber"/>
        <w:ind w:left="567" w:hanging="567"/>
      </w:pPr>
      <w:r w:rsidRPr="00442A3B">
        <w:t>The</w:t>
      </w:r>
      <w:r w:rsidRPr="00442A3B">
        <w:rPr>
          <w:b/>
          <w:bCs/>
        </w:rPr>
        <w:t xml:space="preserve"> </w:t>
      </w:r>
      <w:r w:rsidRPr="00442A3B">
        <w:t xml:space="preserve">JobKeeper Payment scheme is a Commonwealth funded wage subsidy to eligible employers significantly affected by the COVID-19 pandemic. For the period considered in this update, the </w:t>
      </w:r>
      <w:r w:rsidR="00283D69">
        <w:t>scheme</w:t>
      </w:r>
      <w:r w:rsidRPr="00442A3B">
        <w:t xml:space="preserve"> provided an amount of $1,500 per fortnight, before tax, for each eligible employee to assist businesses to retain their employees. The payments were made directly to eligible employers, who were responsible for passing them on to eligible employees through their payroll systems.</w:t>
      </w:r>
    </w:p>
    <w:p w14:paraId="5FA83F37" w14:textId="77777777" w:rsidR="001B37DA" w:rsidRPr="00442A3B" w:rsidRDefault="001B37DA" w:rsidP="00021B66">
      <w:pPr>
        <w:pStyle w:val="CGCParaNumber"/>
        <w:ind w:left="567" w:hanging="567"/>
      </w:pPr>
      <w:r w:rsidRPr="00442A3B">
        <w:t>Most States exempted JobKeeper payments from payroll tax. New South Wales and Victoria exempted</w:t>
      </w:r>
      <w:r w:rsidRPr="00442A3B">
        <w:rPr>
          <w:b/>
          <w:bCs/>
        </w:rPr>
        <w:t xml:space="preserve"> </w:t>
      </w:r>
      <w:r w:rsidRPr="00442A3B">
        <w:t>only ‘top-up payments’ (amounts above an employee’s standard salary).</w:t>
      </w:r>
    </w:p>
    <w:p w14:paraId="548DF7E5" w14:textId="782392E9" w:rsidR="001B37DA" w:rsidRPr="00442A3B" w:rsidRDefault="001B37DA" w:rsidP="00021B66">
      <w:pPr>
        <w:pStyle w:val="CGCParaNumber"/>
        <w:ind w:left="567" w:hanging="567"/>
      </w:pPr>
      <w:r w:rsidRPr="00442A3B">
        <w:t>The Australian Bureau of Statistics (ABS) classifie</w:t>
      </w:r>
      <w:r w:rsidR="00757903" w:rsidRPr="00442A3B">
        <w:t>d</w:t>
      </w:r>
      <w:r w:rsidRPr="00442A3B">
        <w:t xml:space="preserve"> these payments as wages and salaries and </w:t>
      </w:r>
      <w:r w:rsidR="00757903" w:rsidRPr="00442A3B">
        <w:t>was</w:t>
      </w:r>
      <w:r w:rsidRPr="00442A3B">
        <w:t xml:space="preserve"> unable to separate them from other wages and salaries. The States were consulted on whether the Commission should attempt to remove JobKeeper payments from its payroll tax base.</w:t>
      </w:r>
    </w:p>
    <w:p w14:paraId="656C0101" w14:textId="77777777" w:rsidR="001B37DA" w:rsidRPr="00442A3B" w:rsidRDefault="001B37DA" w:rsidP="00B010A7">
      <w:pPr>
        <w:pStyle w:val="Heading5"/>
      </w:pPr>
      <w:r w:rsidRPr="00442A3B">
        <w:lastRenderedPageBreak/>
        <w:t>State views</w:t>
      </w:r>
    </w:p>
    <w:p w14:paraId="7B6F6404" w14:textId="77777777" w:rsidR="001B37DA" w:rsidRPr="00442A3B" w:rsidRDefault="001B37DA" w:rsidP="00021B66">
      <w:pPr>
        <w:pStyle w:val="CGCParaNumber"/>
        <w:ind w:left="567" w:hanging="567"/>
      </w:pPr>
      <w:r w:rsidRPr="00442A3B">
        <w:rPr>
          <w:rFonts w:eastAsia="Open Sans Light" w:cs="Open Sans Light"/>
        </w:rPr>
        <w:t xml:space="preserve">On </w:t>
      </w:r>
      <w:r w:rsidRPr="00442A3B">
        <w:t>practicality grounds and in the absence of a reliable dataset that would allow the Commission to make accurate adjustments, most States accepted assessing JobKeeper payments as part of the payroll tax revenue base.</w:t>
      </w:r>
    </w:p>
    <w:p w14:paraId="7B5CF9CA" w14:textId="6ED7AFA8" w:rsidR="001B37DA" w:rsidRPr="00442A3B" w:rsidRDefault="001B37DA" w:rsidP="00021B66">
      <w:pPr>
        <w:pStyle w:val="CGCParaNumber"/>
        <w:ind w:left="567" w:hanging="567"/>
      </w:pPr>
      <w:r w:rsidRPr="00442A3B">
        <w:t>Some States questioned</w:t>
      </w:r>
      <w:r w:rsidRPr="00442A3B">
        <w:rPr>
          <w:rFonts w:eastAsia="Open Sans Light" w:cs="Open Sans Light"/>
        </w:rPr>
        <w:t xml:space="preserve"> the materiality of making an adjustment</w:t>
      </w:r>
      <w:r w:rsidR="00BC2040" w:rsidRPr="00442A3B">
        <w:rPr>
          <w:rFonts w:eastAsia="Open Sans Light" w:cs="Open Sans Light"/>
        </w:rPr>
        <w:t xml:space="preserve"> to remove </w:t>
      </w:r>
      <w:r w:rsidR="00534F04" w:rsidRPr="00442A3B">
        <w:rPr>
          <w:rFonts w:eastAsia="Open Sans Light" w:cs="Open Sans Light"/>
        </w:rPr>
        <w:t>the payments</w:t>
      </w:r>
      <w:r w:rsidRPr="00442A3B">
        <w:rPr>
          <w:rFonts w:eastAsia="Open Sans Light" w:cs="Open Sans Light"/>
        </w:rPr>
        <w:t>.</w:t>
      </w:r>
    </w:p>
    <w:p w14:paraId="38E7C2D4" w14:textId="77777777" w:rsidR="001B37DA" w:rsidRPr="00442A3B" w:rsidRDefault="001B37DA" w:rsidP="00B010A7">
      <w:pPr>
        <w:pStyle w:val="Heading5"/>
      </w:pPr>
      <w:r w:rsidRPr="00442A3B">
        <w:t>Commission decision</w:t>
      </w:r>
    </w:p>
    <w:p w14:paraId="2E2A1004" w14:textId="35660271" w:rsidR="001B37DA" w:rsidRPr="00442A3B" w:rsidRDefault="001B37DA" w:rsidP="00021B66">
      <w:pPr>
        <w:pStyle w:val="CGCParaNumber"/>
        <w:ind w:left="567" w:hanging="567"/>
      </w:pPr>
      <w:r w:rsidRPr="00442A3B">
        <w:t>Since</w:t>
      </w:r>
      <w:r w:rsidRPr="00442A3B">
        <w:rPr>
          <w:b/>
          <w:bCs/>
        </w:rPr>
        <w:t xml:space="preserve"> </w:t>
      </w:r>
      <w:r w:rsidRPr="00442A3B">
        <w:t>t</w:t>
      </w:r>
      <w:r w:rsidRPr="00442A3B">
        <w:rPr>
          <w:rFonts w:eastAsia="Open Sans Light" w:cs="Open Sans Light"/>
        </w:rPr>
        <w:t xml:space="preserve">he ABS </w:t>
      </w:r>
      <w:r w:rsidR="00757903" w:rsidRPr="00442A3B">
        <w:rPr>
          <w:rFonts w:eastAsia="Open Sans Light" w:cs="Open Sans Light"/>
        </w:rPr>
        <w:t>was</w:t>
      </w:r>
      <w:r w:rsidRPr="00442A3B">
        <w:rPr>
          <w:rFonts w:eastAsia="Open Sans Light" w:cs="Open Sans Light"/>
        </w:rPr>
        <w:t xml:space="preserve"> unable to identify JobKeeper payments separately, the Commission </w:t>
      </w:r>
      <w:r w:rsidR="00B57837" w:rsidRPr="00442A3B">
        <w:rPr>
          <w:rFonts w:eastAsia="Open Sans Light" w:cs="Open Sans Light"/>
        </w:rPr>
        <w:t>could not</w:t>
      </w:r>
      <w:r w:rsidRPr="00442A3B">
        <w:rPr>
          <w:rFonts w:eastAsia="Open Sans Light" w:cs="Open Sans Light"/>
        </w:rPr>
        <w:t xml:space="preserve"> </w:t>
      </w:r>
      <w:r w:rsidRPr="00442A3B">
        <w:t>reliably</w:t>
      </w:r>
      <w:r w:rsidRPr="00442A3B">
        <w:rPr>
          <w:rFonts w:eastAsia="Open Sans Light" w:cs="Open Sans Light"/>
        </w:rPr>
        <w:t xml:space="preserve"> remove them from its assessment of the payroll tax revenue base. </w:t>
      </w:r>
    </w:p>
    <w:p w14:paraId="1EB52A7E" w14:textId="19148F98" w:rsidR="001B37DA" w:rsidRPr="00442A3B" w:rsidRDefault="001B37DA" w:rsidP="00021B66">
      <w:pPr>
        <w:pStyle w:val="CGCParaNumber"/>
        <w:ind w:left="567" w:hanging="567"/>
      </w:pPr>
      <w:r w:rsidRPr="00442A3B">
        <w:t>In addition</w:t>
      </w:r>
      <w:r w:rsidRPr="00442A3B">
        <w:rPr>
          <w:b/>
          <w:bCs/>
        </w:rPr>
        <w:t>,</w:t>
      </w:r>
      <w:r w:rsidRPr="00442A3B">
        <w:t xml:space="preserve"> there are features of the payments that suggest</w:t>
      </w:r>
      <w:r w:rsidR="00757903" w:rsidRPr="00442A3B">
        <w:t>ed</w:t>
      </w:r>
      <w:r w:rsidRPr="00442A3B">
        <w:t xml:space="preserve"> an adjustment would not be material. For example:</w:t>
      </w:r>
    </w:p>
    <w:p w14:paraId="272BF0BA" w14:textId="691AD09C" w:rsidR="001B37DA" w:rsidRPr="00442A3B" w:rsidRDefault="001B37DA" w:rsidP="007316D8">
      <w:pPr>
        <w:pStyle w:val="CGCBullet1"/>
      </w:pPr>
      <w:r w:rsidRPr="00442A3B">
        <w:t xml:space="preserve">the payments were only made for 13 weeks of the assessment </w:t>
      </w:r>
      <w:r w:rsidR="00CB34EF" w:rsidRPr="00442A3B">
        <w:t>period</w:t>
      </w:r>
      <w:r w:rsidRPr="00442A3B">
        <w:t xml:space="preserve"> of 156 weeks</w:t>
      </w:r>
    </w:p>
    <w:p w14:paraId="5BBED7F3" w14:textId="77777777" w:rsidR="001B37DA" w:rsidRPr="00442A3B" w:rsidRDefault="001B37DA" w:rsidP="007316D8">
      <w:pPr>
        <w:pStyle w:val="CGCBullet1"/>
      </w:pPr>
      <w:r w:rsidRPr="00442A3B">
        <w:t>eligibility requirements meant only a proportion of businesses received the payment</w:t>
      </w:r>
    </w:p>
    <w:p w14:paraId="436F70F3" w14:textId="77777777" w:rsidR="001B37DA" w:rsidRPr="00442A3B" w:rsidRDefault="001B37DA" w:rsidP="007316D8">
      <w:pPr>
        <w:pStyle w:val="CGCBullet1"/>
      </w:pPr>
      <w:r w:rsidRPr="00442A3B">
        <w:t>many eligible businesses would have had a payroll below the threshold and so would not be represented in the payroll tax base</w:t>
      </w:r>
    </w:p>
    <w:p w14:paraId="254CF4CB" w14:textId="0B85DE3D" w:rsidR="001B37DA" w:rsidRPr="00442A3B" w:rsidRDefault="001B37DA" w:rsidP="007316D8">
      <w:pPr>
        <w:pStyle w:val="CGCBullet1"/>
      </w:pPr>
      <w:r w:rsidRPr="00442A3B">
        <w:t>New South Wales and Victoria, which appear</w:t>
      </w:r>
      <w:r w:rsidR="00757903" w:rsidRPr="00442A3B">
        <w:t>ed</w:t>
      </w:r>
      <w:r w:rsidRPr="00442A3B">
        <w:t xml:space="preserve"> to account for nearly two-thirds of JobKeeper payments, exempt</w:t>
      </w:r>
      <w:r w:rsidR="00757903" w:rsidRPr="00442A3B">
        <w:t>ed</w:t>
      </w:r>
      <w:r w:rsidRPr="00442A3B">
        <w:t xml:space="preserve"> only part of the payment from payroll tax.</w:t>
      </w:r>
    </w:p>
    <w:p w14:paraId="1457D369" w14:textId="132A7D40" w:rsidR="001B37DA" w:rsidRPr="00442A3B" w:rsidRDefault="001B37DA" w:rsidP="00021B66">
      <w:pPr>
        <w:pStyle w:val="CGCParaNumber"/>
        <w:ind w:left="567" w:hanging="567"/>
      </w:pPr>
      <w:r w:rsidRPr="00442A3B">
        <w:t>After</w:t>
      </w:r>
      <w:r w:rsidRPr="00442A3B">
        <w:rPr>
          <w:rFonts w:eastAsia="Open Sans Light" w:cs="Open Sans Light"/>
        </w:rPr>
        <w:t xml:space="preserve"> considering these issues, the Commission decided, on practicality grounds, not to adjust the payroll tax base for JobKeeper payments</w:t>
      </w:r>
      <w:r w:rsidRPr="00442A3B">
        <w:rPr>
          <w:rFonts w:eastAsia="Open Sans Light" w:cs="Open Sans Light"/>
          <w:b/>
          <w:bCs/>
        </w:rPr>
        <w:t>.</w:t>
      </w:r>
    </w:p>
    <w:p w14:paraId="6013ABEE" w14:textId="3A7936F9" w:rsidR="00B010A7" w:rsidRPr="00442A3B" w:rsidRDefault="004E0A01" w:rsidP="004E0A01">
      <w:pPr>
        <w:pStyle w:val="Heading4"/>
      </w:pPr>
      <w:bookmarkStart w:id="219" w:name="_Toc65050550"/>
      <w:r w:rsidRPr="00442A3B">
        <w:t>COVID-19 — Treatment of revenue and spending under the National Partnership on COVID-19 Response</w:t>
      </w:r>
      <w:bookmarkEnd w:id="219"/>
    </w:p>
    <w:p w14:paraId="03A118BE" w14:textId="77777777" w:rsidR="009828CD" w:rsidRPr="00442A3B" w:rsidRDefault="009828CD" w:rsidP="009828CD">
      <w:pPr>
        <w:pStyle w:val="Heading5"/>
      </w:pPr>
      <w:r w:rsidRPr="00442A3B">
        <w:t>Issue</w:t>
      </w:r>
    </w:p>
    <w:p w14:paraId="563EE087" w14:textId="316B533C" w:rsidR="009828CD" w:rsidRPr="00442A3B" w:rsidRDefault="009828CD" w:rsidP="00021B66">
      <w:pPr>
        <w:pStyle w:val="CGCParaNumber"/>
        <w:ind w:left="567" w:hanging="567"/>
      </w:pPr>
      <w:bookmarkStart w:id="220" w:name="_Ref64285254"/>
      <w:r w:rsidRPr="00442A3B">
        <w:t xml:space="preserve">In support of the national response to the pandemic, the </w:t>
      </w:r>
      <w:bookmarkStart w:id="221" w:name="_Hlk62813943"/>
      <w:r w:rsidRPr="00442A3B">
        <w:t>National Partnership on COVID-19 Response</w:t>
      </w:r>
      <w:bookmarkEnd w:id="221"/>
      <w:r w:rsidRPr="00442A3B">
        <w:t xml:space="preserve"> was established. The agreement includes a Commonwealth</w:t>
      </w:r>
      <w:r w:rsidR="00C53D4C">
        <w:t>-</w:t>
      </w:r>
      <w:r w:rsidRPr="00442A3B">
        <w:t>State cost-sharing arrangement for specific COVID-19 related public hospital and public health expenditure incurred after 21 January 2020. In 2019-20, $1.8 billion</w:t>
      </w:r>
      <w:r w:rsidRPr="00442A3B">
        <w:rPr>
          <w:rStyle w:val="FootnoteReference"/>
        </w:rPr>
        <w:footnoteReference w:id="23"/>
      </w:r>
      <w:r w:rsidRPr="00442A3B">
        <w:t xml:space="preserve"> </w:t>
      </w:r>
      <w:r w:rsidR="00B311A7" w:rsidRPr="00442A3B">
        <w:t>was</w:t>
      </w:r>
      <w:r w:rsidRPr="00442A3B">
        <w:t xml:space="preserve"> provided by the Commonwealth to the States under this agreement.</w:t>
      </w:r>
      <w:r w:rsidRPr="00442A3B">
        <w:rPr>
          <w:rStyle w:val="FootnoteReference"/>
        </w:rPr>
        <w:footnoteReference w:id="24"/>
      </w:r>
      <w:bookmarkEnd w:id="220"/>
      <w:r w:rsidRPr="00442A3B">
        <w:t xml:space="preserve"> </w:t>
      </w:r>
    </w:p>
    <w:p w14:paraId="45387B07" w14:textId="6468C106" w:rsidR="009828CD" w:rsidRPr="00442A3B" w:rsidRDefault="009828CD" w:rsidP="00021B66">
      <w:pPr>
        <w:pStyle w:val="CGCParaNumber"/>
        <w:ind w:left="567" w:hanging="567"/>
      </w:pPr>
      <w:r w:rsidRPr="00442A3B">
        <w:t xml:space="preserve">The issue for the Commission </w:t>
      </w:r>
      <w:r w:rsidR="00367914" w:rsidRPr="00442A3B">
        <w:t>was</w:t>
      </w:r>
      <w:r w:rsidRPr="00442A3B">
        <w:t xml:space="preserve"> how to treat these Commonwealth payments</w:t>
      </w:r>
      <w:r w:rsidRPr="00442A3B">
        <w:rPr>
          <w:rFonts w:eastAsia="Times New Roman" w:cs="Open Sans Light"/>
          <w:lang w:eastAsia="en-AU"/>
        </w:rPr>
        <w:t xml:space="preserve"> — </w:t>
      </w:r>
      <w:r w:rsidRPr="00442A3B">
        <w:t xml:space="preserve">specifically, whether they should be included in assessing State fiscal capacities. The effect of including the payments would be to assess States’ needs for these payments using the drivers in the current health assessment. </w:t>
      </w:r>
      <w:r w:rsidR="00ED1735" w:rsidRPr="00442A3B">
        <w:t>The health assessment uses the most recently available administrative data to determine the drivers of health spending. Based on the currently available data, Indigeneity and remoteness are key drivers.</w:t>
      </w:r>
    </w:p>
    <w:p w14:paraId="22D4892C" w14:textId="65191F86" w:rsidR="009828CD" w:rsidRPr="00442A3B" w:rsidRDefault="009828CD" w:rsidP="00021B66">
      <w:pPr>
        <w:pStyle w:val="CGCParaNumber"/>
        <w:ind w:left="567" w:hanging="567"/>
      </w:pPr>
      <w:r w:rsidRPr="00442A3B">
        <w:t xml:space="preserve">Alternatively, the </w:t>
      </w:r>
      <w:r w:rsidR="00834000" w:rsidRPr="00442A3B">
        <w:t>Commonwealth</w:t>
      </w:r>
      <w:r w:rsidRPr="00442A3B">
        <w:t xml:space="preserve"> payments could be excluded from affecting fiscal capacities. The effect of excluding them is that they </w:t>
      </w:r>
      <w:r w:rsidR="00590AE2" w:rsidRPr="00442A3B">
        <w:t>would</w:t>
      </w:r>
      <w:r w:rsidRPr="00442A3B">
        <w:t xml:space="preserve"> not affect the distribution of GST. </w:t>
      </w:r>
    </w:p>
    <w:p w14:paraId="4E9F175A" w14:textId="6A607020" w:rsidR="009828CD" w:rsidRPr="00442A3B" w:rsidRDefault="009828CD" w:rsidP="00021B66">
      <w:pPr>
        <w:pStyle w:val="CGCParaNumber"/>
        <w:ind w:left="567" w:hanging="567"/>
      </w:pPr>
      <w:bookmarkStart w:id="222" w:name="_Ref64285353"/>
      <w:r w:rsidRPr="00442A3B">
        <w:lastRenderedPageBreak/>
        <w:t xml:space="preserve">The </w:t>
      </w:r>
      <w:r w:rsidR="00C53D4C">
        <w:t xml:space="preserve">Commission’s </w:t>
      </w:r>
      <w:r w:rsidR="005909B1" w:rsidRPr="00442A3B">
        <w:t>2020 </w:t>
      </w:r>
      <w:r w:rsidR="00C53D4C">
        <w:t>r</w:t>
      </w:r>
      <w:r w:rsidR="005909B1" w:rsidRPr="00442A3B">
        <w:t>eview</w:t>
      </w:r>
      <w:r w:rsidRPr="00442A3B">
        <w:t xml:space="preserve"> of methods endorsed a set of guidelines to assist in making decisions on a case-by-case basis on the treatment of Commonwealth </w:t>
      </w:r>
      <w:r w:rsidR="008F22D3" w:rsidRPr="00442A3B">
        <w:t>p</w:t>
      </w:r>
      <w:r w:rsidRPr="00442A3B">
        <w:t xml:space="preserve">ayments for </w:t>
      </w:r>
      <w:r w:rsidR="008F22D3" w:rsidRPr="00442A3B">
        <w:t>s</w:t>
      </w:r>
      <w:r w:rsidRPr="00442A3B">
        <w:t xml:space="preserve">pecific </w:t>
      </w:r>
      <w:r w:rsidR="008F22D3" w:rsidRPr="00442A3B">
        <w:t>p</w:t>
      </w:r>
      <w:r w:rsidRPr="00442A3B">
        <w:t>urposes. The guideline</w:t>
      </w:r>
      <w:r w:rsidR="0003363B" w:rsidRPr="00442A3B">
        <w:t>s</w:t>
      </w:r>
      <w:r w:rsidRPr="00442A3B">
        <w:t xml:space="preserve"> say, ‘Payments that support State services, and for which expenditure needs are assessed, will have an impact on State fiscal capacities.’ Consequently, the issue to be decided is whether the </w:t>
      </w:r>
      <w:r w:rsidR="000606D1" w:rsidRPr="00442A3B">
        <w:t xml:space="preserve">Commonwealth </w:t>
      </w:r>
      <w:r w:rsidRPr="00442A3B">
        <w:t xml:space="preserve">payments </w:t>
      </w:r>
      <w:r w:rsidR="00194C99" w:rsidRPr="00442A3B">
        <w:t>under the National Partnership on COVID-19 Response</w:t>
      </w:r>
      <w:r w:rsidRPr="00442A3B">
        <w:t xml:space="preserve"> support State services and whether expenditure needs are assessed, having regard to the main purpose or driver of the payments.</w:t>
      </w:r>
      <w:bookmarkEnd w:id="222"/>
      <w:r w:rsidRPr="00442A3B">
        <w:t xml:space="preserve"> </w:t>
      </w:r>
    </w:p>
    <w:p w14:paraId="484FC4A4" w14:textId="77777777" w:rsidR="009828CD" w:rsidRPr="00442A3B" w:rsidRDefault="009828CD" w:rsidP="00021B66">
      <w:pPr>
        <w:pStyle w:val="CGCParaNumber"/>
        <w:ind w:left="567" w:hanging="567"/>
      </w:pPr>
      <w:r w:rsidRPr="00442A3B">
        <w:t xml:space="preserve">While half of the spending under this agreement was funded by the Commonwealth, the other half ($1.8 billion) was funded by the States. Prior to receiving the terms of reference for this update, the States were consulted on the appropriate treatment of COVID-related health spending. Specifically, the States were asked to consider whether it was appropriate to continue to use the existing methods for assessing all health expenditure, or whether to consider COVID-related health spending along the same lines as natural disaster spending (where the full amount is assessed on an actual per capita basis). </w:t>
      </w:r>
    </w:p>
    <w:p w14:paraId="3737A577" w14:textId="56A87CD1" w:rsidR="009828CD" w:rsidRPr="00442A3B" w:rsidRDefault="009828CD" w:rsidP="00021B66">
      <w:pPr>
        <w:pStyle w:val="CGCParaNumber"/>
        <w:ind w:left="567" w:hanging="567"/>
      </w:pPr>
      <w:r w:rsidRPr="00442A3B">
        <w:t xml:space="preserve">An actual per capita assessment of this spending would </w:t>
      </w:r>
      <w:r w:rsidR="008F1C7A" w:rsidRPr="00442A3B">
        <w:t xml:space="preserve">have </w:t>
      </w:r>
      <w:r w:rsidRPr="00442A3B">
        <w:t>involve</w:t>
      </w:r>
      <w:r w:rsidR="008F1C7A" w:rsidRPr="00442A3B">
        <w:t>d</w:t>
      </w:r>
      <w:r w:rsidRPr="00442A3B">
        <w:t xml:space="preserve"> a change in the method of assessment and, given that the terms of reference require</w:t>
      </w:r>
      <w:r w:rsidR="008F1C7A" w:rsidRPr="00442A3B">
        <w:t>d</w:t>
      </w:r>
      <w:r w:rsidRPr="00442A3B">
        <w:t xml:space="preserve"> the application of </w:t>
      </w:r>
      <w:r w:rsidR="005909B1" w:rsidRPr="00442A3B">
        <w:t>2020 Review</w:t>
      </w:r>
      <w:r w:rsidRPr="00442A3B">
        <w:t xml:space="preserve"> methods, this approach </w:t>
      </w:r>
      <w:r w:rsidR="008F1C7A" w:rsidRPr="00442A3B">
        <w:t>was</w:t>
      </w:r>
      <w:r w:rsidRPr="00442A3B">
        <w:t xml:space="preserve"> precluded in this update. Nevertheless, the States raised several points relevant to the Commission’s decision on how to treat the Commonwealth payments and these </w:t>
      </w:r>
      <w:r w:rsidR="008F1C7A" w:rsidRPr="00442A3B">
        <w:t>were</w:t>
      </w:r>
      <w:r w:rsidRPr="00442A3B">
        <w:t xml:space="preserve"> considered in that context.</w:t>
      </w:r>
    </w:p>
    <w:p w14:paraId="31223F03" w14:textId="77777777" w:rsidR="008538FB" w:rsidRPr="00442A3B" w:rsidRDefault="008538FB" w:rsidP="008538FB">
      <w:pPr>
        <w:pStyle w:val="Heading5"/>
      </w:pPr>
      <w:r w:rsidRPr="00442A3B">
        <w:t>State views</w:t>
      </w:r>
    </w:p>
    <w:p w14:paraId="09D82B96" w14:textId="7C52F604" w:rsidR="008538FB" w:rsidRPr="00442A3B" w:rsidRDefault="008538FB" w:rsidP="00021B66">
      <w:pPr>
        <w:pStyle w:val="CGCParaNumber"/>
        <w:ind w:left="567" w:hanging="567"/>
      </w:pPr>
      <w:r w:rsidRPr="00442A3B">
        <w:t xml:space="preserve">Some States considered the </w:t>
      </w:r>
      <w:r w:rsidR="005909B1" w:rsidRPr="00442A3B">
        <w:t>2020 Review</w:t>
      </w:r>
      <w:r w:rsidRPr="00442A3B">
        <w:t xml:space="preserve"> methods would capture the drivers of COVID-19 related health expenditure. The ACT and Western Australia considered that the existing disabilities adequately captured the average sociodemographic profile of COVID-19 health service users, particularly for hospital services. Western Australia, South Australia and Queensland were concerned that State spending was influenced by policy considerations (that is, that individual State policies varied from an average policy). These views suggest</w:t>
      </w:r>
      <w:r w:rsidR="004A25FF" w:rsidRPr="00442A3B">
        <w:t>ed</w:t>
      </w:r>
      <w:r w:rsidRPr="00442A3B">
        <w:t xml:space="preserve"> that it would be appropriate to include </w:t>
      </w:r>
      <w:r w:rsidR="00E420C9" w:rsidRPr="00442A3B">
        <w:t xml:space="preserve">all of </w:t>
      </w:r>
      <w:r w:rsidRPr="00442A3B">
        <w:t>the Commonwealth payments and apply the health assessment to the spending.</w:t>
      </w:r>
    </w:p>
    <w:p w14:paraId="450CD6A2" w14:textId="5C1D7583" w:rsidR="008538FB" w:rsidRPr="00442A3B" w:rsidRDefault="008538FB" w:rsidP="00021B66">
      <w:pPr>
        <w:pStyle w:val="CGCParaNumber"/>
        <w:ind w:left="567" w:hanging="567"/>
      </w:pPr>
      <w:r w:rsidRPr="00442A3B">
        <w:t>New South Wales, Victoria and Tasmania considered that the policy differences in spending covered by the National Partnership on COVID-19 Response were either negligible or much smaller than the non-policy differences. In addition, these states considered that the drivers of state COVID</w:t>
      </w:r>
      <w:r w:rsidR="00AE2CA0" w:rsidRPr="00442A3B">
        <w:t>-19</w:t>
      </w:r>
      <w:r w:rsidRPr="00442A3B">
        <w:t xml:space="preserve"> spending were not adequately captured by the current health assessment. This suggest</w:t>
      </w:r>
      <w:r w:rsidR="00127C15" w:rsidRPr="00442A3B">
        <w:t>ed</w:t>
      </w:r>
      <w:r w:rsidRPr="00442A3B">
        <w:t xml:space="preserve"> that it would be appropriate to exclude the Commonwealth payments on the basis that needs had not been assessed. </w:t>
      </w:r>
    </w:p>
    <w:p w14:paraId="11F459AB" w14:textId="77777777" w:rsidR="00FE2C10" w:rsidRPr="00442A3B" w:rsidRDefault="00FE2C10" w:rsidP="00FE2C10">
      <w:pPr>
        <w:pStyle w:val="Heading5"/>
      </w:pPr>
      <w:r w:rsidRPr="00442A3B">
        <w:t>Commission decision</w:t>
      </w:r>
    </w:p>
    <w:p w14:paraId="66209EB4" w14:textId="245B8B87" w:rsidR="00FE2C10" w:rsidRPr="00442A3B" w:rsidRDefault="00FE2C10" w:rsidP="00021B66">
      <w:pPr>
        <w:pStyle w:val="CGCParaNumber"/>
        <w:ind w:left="567" w:hanging="567"/>
      </w:pPr>
      <w:bookmarkStart w:id="223" w:name="_Ref64285431"/>
      <w:r w:rsidRPr="00442A3B">
        <w:t>With respect to the guideline</w:t>
      </w:r>
      <w:r w:rsidR="00080634" w:rsidRPr="00442A3B">
        <w:t>s</w:t>
      </w:r>
      <w:r w:rsidRPr="00442A3B">
        <w:t xml:space="preserve"> from the </w:t>
      </w:r>
      <w:r w:rsidR="005909B1" w:rsidRPr="00442A3B">
        <w:t>2020 Review</w:t>
      </w:r>
      <w:r w:rsidRPr="00442A3B">
        <w:t xml:space="preserve"> on the treatment of Commonwealth </w:t>
      </w:r>
      <w:r w:rsidR="002E5560" w:rsidRPr="00442A3B">
        <w:t>p</w:t>
      </w:r>
      <w:r w:rsidRPr="00442A3B">
        <w:t xml:space="preserve">ayments for </w:t>
      </w:r>
      <w:r w:rsidR="002E5560" w:rsidRPr="00442A3B">
        <w:t>s</w:t>
      </w:r>
      <w:r w:rsidRPr="00442A3B">
        <w:t xml:space="preserve">pecific </w:t>
      </w:r>
      <w:r w:rsidR="002E5560" w:rsidRPr="00442A3B">
        <w:t>p</w:t>
      </w:r>
      <w:r w:rsidRPr="00442A3B">
        <w:t>urposes, the Commission consider</w:t>
      </w:r>
      <w:r w:rsidR="00A86E8D" w:rsidRPr="00442A3B">
        <w:t>ed</w:t>
      </w:r>
      <w:r w:rsidRPr="00442A3B">
        <w:t xml:space="preserve"> that this payment support</w:t>
      </w:r>
      <w:r w:rsidR="008509EC" w:rsidRPr="00442A3B">
        <w:t>ed</w:t>
      </w:r>
      <w:r w:rsidRPr="00442A3B">
        <w:t xml:space="preserve"> State services. This </w:t>
      </w:r>
      <w:r w:rsidR="006B74EF" w:rsidRPr="00442A3B">
        <w:t>left</w:t>
      </w:r>
      <w:r w:rsidRPr="00442A3B">
        <w:t xml:space="preserve"> the question of whether needs </w:t>
      </w:r>
      <w:r w:rsidR="0097159D" w:rsidRPr="00442A3B">
        <w:t>are</w:t>
      </w:r>
      <w:r w:rsidRPr="00442A3B">
        <w:t xml:space="preserve"> assessed.</w:t>
      </w:r>
      <w:bookmarkEnd w:id="223"/>
    </w:p>
    <w:p w14:paraId="0C755854" w14:textId="67DF846D" w:rsidR="00FE2C10" w:rsidRPr="00442A3B" w:rsidRDefault="00FE2C10" w:rsidP="00021B66">
      <w:pPr>
        <w:pStyle w:val="CGCParaNumber"/>
        <w:ind w:left="567" w:hanging="567"/>
      </w:pPr>
      <w:r w:rsidRPr="00442A3B">
        <w:t>The Commission note</w:t>
      </w:r>
      <w:r w:rsidR="00A86E8D" w:rsidRPr="00442A3B">
        <w:t>d</w:t>
      </w:r>
      <w:r w:rsidRPr="00442A3B">
        <w:t xml:space="preserve"> that the pattern of spending covered by the agreement may differ from the pattern of</w:t>
      </w:r>
      <w:r w:rsidRPr="00442A3B" w:rsidDel="00B44836">
        <w:t xml:space="preserve"> </w:t>
      </w:r>
      <w:r w:rsidRPr="00442A3B">
        <w:t>assessed</w:t>
      </w:r>
      <w:r w:rsidRPr="00442A3B" w:rsidDel="00B44836">
        <w:t xml:space="preserve"> health needs based on the </w:t>
      </w:r>
      <w:r w:rsidR="005909B1" w:rsidRPr="00442A3B">
        <w:t>2020 Review</w:t>
      </w:r>
      <w:r w:rsidRPr="00442A3B" w:rsidDel="00B44836">
        <w:t xml:space="preserve"> methods</w:t>
      </w:r>
      <w:r w:rsidRPr="00442A3B">
        <w:t>.</w:t>
      </w:r>
      <w:r w:rsidRPr="00442A3B" w:rsidDel="00B44836">
        <w:t xml:space="preserve"> </w:t>
      </w:r>
      <w:r w:rsidRPr="00442A3B">
        <w:t>The health assessment currently recognises higher service use rates among Indigenous people and people living in remote areas. This may not be the case with COVID-19 related health expenditure, as the pandemic has had a bigger impact in cities.</w:t>
      </w:r>
    </w:p>
    <w:p w14:paraId="0CCA4870" w14:textId="77777777" w:rsidR="00FE2C10" w:rsidRPr="00442A3B" w:rsidRDefault="00FE2C10" w:rsidP="00021B66">
      <w:pPr>
        <w:pStyle w:val="CGCParaNumber"/>
        <w:ind w:left="567" w:hanging="567"/>
      </w:pPr>
      <w:r w:rsidRPr="00442A3B">
        <w:lastRenderedPageBreak/>
        <w:t xml:space="preserve">The Commission does not yet have access to health administrative data for 2019-20 that would show the emergence of changing patterns of service use. These data for health services undertaken in a hospital setting will flow through into the health assessment from the 2022 Update. </w:t>
      </w:r>
    </w:p>
    <w:p w14:paraId="4749B3D3" w14:textId="67048BCA" w:rsidR="00FE2C10" w:rsidRPr="00442A3B" w:rsidRDefault="00FE2C10" w:rsidP="00021B66">
      <w:pPr>
        <w:pStyle w:val="CGCParaNumber"/>
        <w:ind w:left="567" w:hanging="567"/>
      </w:pPr>
      <w:r w:rsidRPr="00442A3B">
        <w:t>However, as noted</w:t>
      </w:r>
      <w:r w:rsidR="006B74EF" w:rsidRPr="00442A3B">
        <w:t>,</w:t>
      </w:r>
      <w:r w:rsidRPr="00442A3B">
        <w:t xml:space="preserve"> there are grounds to suggest that the current health assessment is unlikely to sufficiently capture the drivers of </w:t>
      </w:r>
      <w:r w:rsidR="00355F39" w:rsidRPr="00442A3B">
        <w:t>COVID</w:t>
      </w:r>
      <w:r w:rsidR="00DB3A41" w:rsidRPr="00442A3B">
        <w:t xml:space="preserve">-19 </w:t>
      </w:r>
      <w:r w:rsidR="00ED546C" w:rsidRPr="00442A3B">
        <w:t>related health</w:t>
      </w:r>
      <w:r w:rsidRPr="00442A3B">
        <w:t xml:space="preserve"> spending. </w:t>
      </w:r>
    </w:p>
    <w:p w14:paraId="718475E6" w14:textId="01BFF8D7" w:rsidR="00FE2C10" w:rsidRPr="00442A3B" w:rsidRDefault="00FE2C10" w:rsidP="00021B66">
      <w:pPr>
        <w:pStyle w:val="CGCParaNumber"/>
        <w:ind w:left="567" w:hanging="567"/>
      </w:pPr>
      <w:r w:rsidRPr="00442A3B">
        <w:t>Given this uncertainty, the Commission consider</w:t>
      </w:r>
      <w:r w:rsidR="003747FB" w:rsidRPr="00442A3B">
        <w:t>ed</w:t>
      </w:r>
      <w:r w:rsidRPr="00442A3B">
        <w:t xml:space="preserve"> it appropriate that the needs for the expenditure supported by this payment ha</w:t>
      </w:r>
      <w:r w:rsidR="008509EC" w:rsidRPr="00442A3B">
        <w:t>d</w:t>
      </w:r>
      <w:r w:rsidRPr="00442A3B">
        <w:t xml:space="preserve"> not been assessed. Accordingly, the Commission decided that Commonwealth payments under the National Partnership on COVID-19 Response should have no effect on its assessments of State fiscal capacities in this update. This </w:t>
      </w:r>
      <w:r w:rsidR="008509EC" w:rsidRPr="00442A3B">
        <w:t>was</w:t>
      </w:r>
      <w:r w:rsidRPr="00442A3B">
        <w:t xml:space="preserve"> achieved by excluding these payments from States’ assessed revenue and making an equivalent reduction in States’ spending.</w:t>
      </w:r>
    </w:p>
    <w:p w14:paraId="01ABE701" w14:textId="75B31EBF" w:rsidR="00FE2C10" w:rsidRPr="00442A3B" w:rsidRDefault="00FE2C10" w:rsidP="00021B66">
      <w:pPr>
        <w:pStyle w:val="CGCParaNumber"/>
        <w:ind w:left="567" w:hanging="567"/>
      </w:pPr>
      <w:r w:rsidRPr="00442A3B">
        <w:t>For State funded spending under the National Partnership on COVID-19 Response, the Commission consider</w:t>
      </w:r>
      <w:r w:rsidR="008509EC" w:rsidRPr="00442A3B">
        <w:t>ed</w:t>
      </w:r>
      <w:r w:rsidRPr="00442A3B">
        <w:t xml:space="preserve"> that the only available approach in line with the terms of reference for this update </w:t>
      </w:r>
      <w:r w:rsidR="008509EC" w:rsidRPr="00442A3B">
        <w:t>was</w:t>
      </w:r>
      <w:r w:rsidRPr="00442A3B">
        <w:t xml:space="preserve"> to apply the </w:t>
      </w:r>
      <w:r w:rsidR="005909B1" w:rsidRPr="00442A3B">
        <w:t>2020 Review</w:t>
      </w:r>
      <w:r w:rsidRPr="00442A3B">
        <w:t xml:space="preserve"> health assessment, notwithstanding the uncertainty as to whether it adequately capture</w:t>
      </w:r>
      <w:r w:rsidR="005A1CED" w:rsidRPr="00442A3B">
        <w:t>d</w:t>
      </w:r>
      <w:r w:rsidRPr="00442A3B">
        <w:t xml:space="preserve"> the drivers of COVID-related expenditure. </w:t>
      </w:r>
    </w:p>
    <w:p w14:paraId="3AC9BAF3" w14:textId="3F274AB4" w:rsidR="00FE2C10" w:rsidRPr="00442A3B" w:rsidRDefault="00FE2C10" w:rsidP="00021B66">
      <w:pPr>
        <w:pStyle w:val="CGCParaNumber"/>
        <w:ind w:left="567" w:hanging="567"/>
      </w:pPr>
      <w:r w:rsidRPr="00442A3B">
        <w:t>The Commission acknowledge</w:t>
      </w:r>
      <w:r w:rsidR="004A09DB" w:rsidRPr="00442A3B">
        <w:t>d</w:t>
      </w:r>
      <w:r w:rsidRPr="00442A3B">
        <w:t xml:space="preserve"> that this mean</w:t>
      </w:r>
      <w:r w:rsidR="00607285" w:rsidRPr="00442A3B">
        <w:t>t</w:t>
      </w:r>
      <w:r w:rsidRPr="00442A3B">
        <w:t xml:space="preserve"> that half of the spending under this agreement </w:t>
      </w:r>
      <w:r w:rsidR="008509EC" w:rsidRPr="00442A3B">
        <w:t>was</w:t>
      </w:r>
      <w:r w:rsidRPr="00442A3B">
        <w:t xml:space="preserve"> assessed under the </w:t>
      </w:r>
      <w:r w:rsidR="005909B1" w:rsidRPr="00442A3B">
        <w:t>2020 Review</w:t>
      </w:r>
      <w:r w:rsidRPr="00442A3B">
        <w:t xml:space="preserve"> health assessment, while half </w:t>
      </w:r>
      <w:r w:rsidR="008509EC" w:rsidRPr="00442A3B">
        <w:t>was</w:t>
      </w:r>
      <w:r w:rsidRPr="00442A3B">
        <w:t xml:space="preserve"> excluded from the assessment of State fiscal capacities (effectively, applying an actual per capita assessment, or upholding the </w:t>
      </w:r>
      <w:r w:rsidR="00477378" w:rsidRPr="00442A3B">
        <w:t>Commonwealth’s</w:t>
      </w:r>
      <w:r w:rsidRPr="00442A3B">
        <w:t xml:space="preserve"> funding allocation pattern). While the treatment of expenditure funded by the Commonwealth differ</w:t>
      </w:r>
      <w:r w:rsidR="008509EC" w:rsidRPr="00442A3B">
        <w:t>ed</w:t>
      </w:r>
      <w:r w:rsidRPr="00442A3B">
        <w:t xml:space="preserve"> from that funded by the States, given the uncertainty involved and the absence of data to assess the drivers of COVID</w:t>
      </w:r>
      <w:r w:rsidR="00032EA5" w:rsidRPr="00442A3B">
        <w:noBreakHyphen/>
      </w:r>
      <w:r w:rsidRPr="00442A3B">
        <w:t>related health expenditure, the Commission consider</w:t>
      </w:r>
      <w:r w:rsidR="00027C0F" w:rsidRPr="00442A3B">
        <w:t>ed</w:t>
      </w:r>
      <w:r w:rsidRPr="00442A3B">
        <w:t xml:space="preserve"> this is an appropriate outcome. </w:t>
      </w:r>
    </w:p>
    <w:p w14:paraId="6815CED9" w14:textId="629A9231" w:rsidR="00FE2C10" w:rsidRPr="00442A3B" w:rsidRDefault="00FE2C10" w:rsidP="00021B66">
      <w:pPr>
        <w:pStyle w:val="CGCParaNumber"/>
        <w:ind w:left="567" w:hanging="567"/>
      </w:pPr>
      <w:bookmarkStart w:id="224" w:name="_Ref64285282"/>
      <w:r w:rsidRPr="00442A3B">
        <w:t xml:space="preserve">As future health data will incorporate spending patterns influenced by the pandemic, the health assessment will evolve </w:t>
      </w:r>
      <w:r w:rsidR="000374FD" w:rsidRPr="00442A3B">
        <w:t>over time</w:t>
      </w:r>
      <w:r w:rsidRPr="00442A3B">
        <w:t xml:space="preserve"> </w:t>
      </w:r>
      <w:r w:rsidR="000374FD" w:rsidRPr="00442A3B">
        <w:t>to</w:t>
      </w:r>
      <w:r w:rsidRPr="00442A3B">
        <w:t xml:space="preserve"> consider the drivers of COVID-19 health spending. This will be captured in future updates.</w:t>
      </w:r>
      <w:bookmarkEnd w:id="224"/>
    </w:p>
    <w:p w14:paraId="377B3CAF" w14:textId="665E50A0" w:rsidR="002511C8" w:rsidRPr="00442A3B" w:rsidRDefault="002511C8" w:rsidP="002511C8">
      <w:pPr>
        <w:pStyle w:val="Heading4"/>
      </w:pPr>
      <w:bookmarkStart w:id="225" w:name="_Toc65050551"/>
      <w:r w:rsidRPr="00442A3B">
        <w:t>COVID-19 — Treatment of funding for infection control training and legal assistance services</w:t>
      </w:r>
      <w:bookmarkEnd w:id="225"/>
    </w:p>
    <w:p w14:paraId="47D36D94" w14:textId="77777777" w:rsidR="00227C49" w:rsidRPr="00442A3B" w:rsidRDefault="00227C49" w:rsidP="00227C49">
      <w:pPr>
        <w:pStyle w:val="Heading5"/>
      </w:pPr>
      <w:r w:rsidRPr="00442A3B">
        <w:t>Issue</w:t>
      </w:r>
    </w:p>
    <w:p w14:paraId="151F97EA" w14:textId="2A7D3F59" w:rsidR="00227C49" w:rsidRPr="00442A3B" w:rsidRDefault="00227C49" w:rsidP="00021B66">
      <w:pPr>
        <w:pStyle w:val="CGCParaNumber"/>
        <w:ind w:left="567" w:hanging="567"/>
      </w:pPr>
      <w:r w:rsidRPr="00442A3B">
        <w:t>The $8.</w:t>
      </w:r>
      <w:r w:rsidR="003B1475" w:rsidRPr="00442A3B">
        <w:t>4</w:t>
      </w:r>
      <w:r w:rsidRPr="00442A3B">
        <w:t xml:space="preserve"> million National Infection Control Training Fund provides free or low fee training on infection control, delivered through training packages endorsed by the Australian Industry and Skills Committee. Primary recipients </w:t>
      </w:r>
      <w:r w:rsidR="00EA47B6" w:rsidRPr="00442A3B">
        <w:t>are</w:t>
      </w:r>
      <w:r w:rsidRPr="00442A3B">
        <w:t xml:space="preserve"> workers in industry including retail, tourism, hospitality cleaning, security, transport and logistics. </w:t>
      </w:r>
    </w:p>
    <w:p w14:paraId="7813BAFB" w14:textId="4E82C51A" w:rsidR="00227C49" w:rsidRPr="00442A3B" w:rsidRDefault="00227C49" w:rsidP="00021B66">
      <w:pPr>
        <w:pStyle w:val="CGCParaNumber"/>
        <w:ind w:left="567" w:hanging="567"/>
      </w:pPr>
      <w:r w:rsidRPr="00442A3B">
        <w:t xml:space="preserve">There </w:t>
      </w:r>
      <w:r w:rsidR="008509EC" w:rsidRPr="00442A3B">
        <w:t>was</w:t>
      </w:r>
      <w:r w:rsidRPr="00442A3B">
        <w:t xml:space="preserve"> $2</w:t>
      </w:r>
      <w:r w:rsidR="00134D84" w:rsidRPr="00442A3B">
        <w:t>7.9</w:t>
      </w:r>
      <w:r w:rsidRPr="00442A3B">
        <w:t> million funding for legal assistance services to help address the impact of COVID-19.</w:t>
      </w:r>
    </w:p>
    <w:p w14:paraId="27F91A42" w14:textId="5B8AD0E6" w:rsidR="00227C49" w:rsidRPr="00442A3B" w:rsidRDefault="00227C49" w:rsidP="00021B66">
      <w:pPr>
        <w:pStyle w:val="CGCParaNumber"/>
        <w:ind w:left="567" w:hanging="567"/>
      </w:pPr>
      <w:r w:rsidRPr="00442A3B">
        <w:t xml:space="preserve">The issue for the Commission </w:t>
      </w:r>
      <w:r w:rsidR="00FD7174" w:rsidRPr="00442A3B">
        <w:t>was</w:t>
      </w:r>
      <w:r w:rsidRPr="00442A3B">
        <w:t xml:space="preserve"> whether the needs these payments are seeking to address are currently assessed.</w:t>
      </w:r>
    </w:p>
    <w:p w14:paraId="1A711F2F" w14:textId="77777777" w:rsidR="00227C49" w:rsidRPr="00442A3B" w:rsidRDefault="00227C49" w:rsidP="00C47369">
      <w:pPr>
        <w:pStyle w:val="Heading5"/>
        <w:keepLines/>
      </w:pPr>
      <w:r w:rsidRPr="00442A3B">
        <w:lastRenderedPageBreak/>
        <w:t>State views</w:t>
      </w:r>
    </w:p>
    <w:p w14:paraId="00C61350" w14:textId="0ECB50F3" w:rsidR="00227C49" w:rsidRPr="00442A3B" w:rsidRDefault="00227C49" w:rsidP="00C47369">
      <w:pPr>
        <w:pStyle w:val="CGCParaNumber"/>
        <w:keepNext/>
        <w:keepLines/>
        <w:ind w:left="567" w:hanging="567"/>
      </w:pPr>
      <w:r w:rsidRPr="00442A3B">
        <w:t>Western Australia considered legal assistance funding and the National Infection Control Fund should affect relativities. It noted that these payments affect</w:t>
      </w:r>
      <w:r w:rsidR="008509EC" w:rsidRPr="00442A3B">
        <w:t>ed</w:t>
      </w:r>
      <w:r w:rsidRPr="00442A3B">
        <w:t xml:space="preserve"> fiscal capacities, the experiences of States </w:t>
      </w:r>
      <w:r w:rsidR="008509EC" w:rsidRPr="00442A3B">
        <w:t>were</w:t>
      </w:r>
      <w:r w:rsidRPr="00442A3B">
        <w:t xml:space="preserve"> not policy neutral, and payments were not distributed on average needs.</w:t>
      </w:r>
    </w:p>
    <w:p w14:paraId="49DF913E" w14:textId="353ED930" w:rsidR="00227C49" w:rsidRPr="00442A3B" w:rsidRDefault="00227C49" w:rsidP="00021B66">
      <w:pPr>
        <w:pStyle w:val="CGCParaNumber"/>
        <w:ind w:left="567" w:hanging="567"/>
      </w:pPr>
      <w:r w:rsidRPr="00442A3B">
        <w:t xml:space="preserve">The ACT considered that training delivered under the fund </w:t>
      </w:r>
      <w:r w:rsidR="008509EC" w:rsidRPr="00442A3B">
        <w:t>was</w:t>
      </w:r>
      <w:r w:rsidRPr="00442A3B">
        <w:t xml:space="preserve"> not likely to be appreciably different from courses delivered in any other priority training area, nor </w:t>
      </w:r>
      <w:r w:rsidR="00DC3176" w:rsidRPr="00442A3B">
        <w:t>were</w:t>
      </w:r>
      <w:r w:rsidRPr="00442A3B">
        <w:t xml:space="preserve"> the sociodemographic characteristics of training recipients substantially different to those already considered in the post-secondary school assessment. Given the absence of evidence indicating a material differential impact in the distribution of students in training places funded under this initiative, the payment should affect fiscal relativities.</w:t>
      </w:r>
    </w:p>
    <w:p w14:paraId="20D3E5AC" w14:textId="18C79AA9" w:rsidR="00227C49" w:rsidRPr="00442A3B" w:rsidRDefault="00227C49" w:rsidP="00021B66">
      <w:pPr>
        <w:pStyle w:val="CGCParaNumber"/>
        <w:ind w:left="567" w:hanging="567"/>
      </w:pPr>
      <w:r w:rsidRPr="00442A3B">
        <w:t xml:space="preserve">The ACT also considered there </w:t>
      </w:r>
      <w:r w:rsidR="006F25A8" w:rsidRPr="00442A3B">
        <w:t>was</w:t>
      </w:r>
      <w:r w:rsidRPr="00442A3B">
        <w:t xml:space="preserve"> no clear evidence to indicate the drivers of COVID-19 legal assistance funding </w:t>
      </w:r>
      <w:r w:rsidR="00DC3176" w:rsidRPr="00442A3B">
        <w:t>were</w:t>
      </w:r>
      <w:r w:rsidRPr="00442A3B">
        <w:t xml:space="preserve"> materially different to the current legal services assessment drivers. Additionally, the terms of the project require</w:t>
      </w:r>
      <w:r w:rsidR="00DC3176" w:rsidRPr="00442A3B">
        <w:t>d</w:t>
      </w:r>
      <w:r w:rsidRPr="00442A3B">
        <w:t xml:space="preserve"> at least 40% of funds be allocated to domestic violence matters. As domestic violence is a criminal matter, the expenditure would be related to criminal courts, which are assessed differentially under the </w:t>
      </w:r>
      <w:r w:rsidR="005909B1" w:rsidRPr="00442A3B">
        <w:t>2020 Review</w:t>
      </w:r>
      <w:r w:rsidRPr="00442A3B">
        <w:t xml:space="preserve"> methodology.</w:t>
      </w:r>
    </w:p>
    <w:p w14:paraId="7C1EB6DF" w14:textId="60E48F22" w:rsidR="00227C49" w:rsidRPr="00442A3B" w:rsidRDefault="00227C49" w:rsidP="00021B66">
      <w:pPr>
        <w:pStyle w:val="CGCParaNumber"/>
        <w:ind w:left="567" w:hanging="567"/>
      </w:pPr>
      <w:r w:rsidRPr="00442A3B">
        <w:t xml:space="preserve">Tasmania </w:t>
      </w:r>
      <w:r w:rsidR="00AF58E0" w:rsidRPr="00442A3B">
        <w:t>argued</w:t>
      </w:r>
      <w:r w:rsidRPr="00442A3B">
        <w:t xml:space="preserve"> that COVID-19 related payments </w:t>
      </w:r>
      <w:r w:rsidR="00DC3176" w:rsidRPr="00442A3B">
        <w:t>were</w:t>
      </w:r>
      <w:r w:rsidRPr="00442A3B">
        <w:t xml:space="preserve"> driven by specific needs that </w:t>
      </w:r>
      <w:r w:rsidR="00DC3176" w:rsidRPr="00442A3B">
        <w:t>arose</w:t>
      </w:r>
      <w:r w:rsidRPr="00442A3B">
        <w:t xml:space="preserve"> out of the pandemic and not by the same needs faced by States prior to the pandemic, so the payments should have no impact on the assessment of States’ capacity.</w:t>
      </w:r>
    </w:p>
    <w:p w14:paraId="415A7C7A" w14:textId="77777777" w:rsidR="00227C49" w:rsidRPr="00442A3B" w:rsidRDefault="00227C49" w:rsidP="00227C49">
      <w:pPr>
        <w:pStyle w:val="Heading5"/>
      </w:pPr>
      <w:r w:rsidRPr="00442A3B">
        <w:t>Commission decision</w:t>
      </w:r>
    </w:p>
    <w:p w14:paraId="47662AB6" w14:textId="1727FA78" w:rsidR="00227C49" w:rsidRPr="00442A3B" w:rsidRDefault="00227C49" w:rsidP="00021B66">
      <w:pPr>
        <w:pStyle w:val="CGCParaNumber"/>
        <w:ind w:left="567" w:hanging="567"/>
      </w:pPr>
      <w:bookmarkStart w:id="226" w:name="_Toc106707729"/>
      <w:bookmarkStart w:id="227" w:name="_Toc155675939"/>
      <w:bookmarkStart w:id="228" w:name="_Toc174415774"/>
      <w:bookmarkStart w:id="229" w:name="_Toc174415848"/>
      <w:bookmarkStart w:id="230" w:name="_Toc174415939"/>
      <w:bookmarkStart w:id="231" w:name="_Toc174416624"/>
      <w:bookmarkStart w:id="232" w:name="_Toc174416666"/>
      <w:bookmarkStart w:id="233" w:name="_Toc174416679"/>
      <w:r w:rsidRPr="00442A3B">
        <w:t>The Commission acknowledge</w:t>
      </w:r>
      <w:r w:rsidR="006762FF" w:rsidRPr="00442A3B">
        <w:t>d</w:t>
      </w:r>
      <w:r w:rsidRPr="00442A3B">
        <w:t xml:space="preserve"> Western Australia’s argument that the payments </w:t>
      </w:r>
      <w:r w:rsidR="009164FF" w:rsidRPr="00442A3B">
        <w:t xml:space="preserve">do </w:t>
      </w:r>
      <w:r w:rsidRPr="00442A3B">
        <w:t xml:space="preserve">not </w:t>
      </w:r>
      <w:r w:rsidR="009164FF" w:rsidRPr="00442A3B">
        <w:t xml:space="preserve">reflect </w:t>
      </w:r>
      <w:r w:rsidRPr="00442A3B">
        <w:t xml:space="preserve">policy neutral measures of need. Policy neutrality is not, however, a criterion determining the treatment of Commonwealth payments. Similarly, for the ACT argument regarding materiality, while the distribution of payments may not be dramatically different to the pattern of assessed needs, there is no threshold for how different these needs must be. As the disabilities affecting this payment are not assessed, the Commission’s guidelines indicate the payment should be excluded. </w:t>
      </w:r>
    </w:p>
    <w:p w14:paraId="35817284" w14:textId="4348E683" w:rsidR="00227C49" w:rsidRPr="00442A3B" w:rsidRDefault="00227C49" w:rsidP="00021B66">
      <w:pPr>
        <w:pStyle w:val="CGCParaNumber"/>
        <w:ind w:left="567" w:hanging="567"/>
      </w:pPr>
      <w:r w:rsidRPr="00442A3B">
        <w:t>While the Commission accept</w:t>
      </w:r>
      <w:r w:rsidR="008A4A64" w:rsidRPr="00442A3B">
        <w:t>ed</w:t>
      </w:r>
      <w:r w:rsidRPr="00442A3B">
        <w:t xml:space="preserve"> that the payments support</w:t>
      </w:r>
      <w:r w:rsidR="00DC3176" w:rsidRPr="00442A3B">
        <w:t>ed</w:t>
      </w:r>
      <w:r w:rsidRPr="00442A3B">
        <w:t xml:space="preserve"> State services, it consider</w:t>
      </w:r>
      <w:r w:rsidR="008A4A64" w:rsidRPr="00442A3B">
        <w:t>ed</w:t>
      </w:r>
      <w:r w:rsidRPr="00442A3B">
        <w:t xml:space="preserve"> that these payments </w:t>
      </w:r>
      <w:r w:rsidR="00DC3176" w:rsidRPr="00442A3B">
        <w:t>were</w:t>
      </w:r>
      <w:r w:rsidRPr="00442A3B">
        <w:t xml:space="preserve"> seeking to address particular challenges arising from </w:t>
      </w:r>
      <w:r w:rsidR="00A103CC" w:rsidRPr="00442A3B">
        <w:t xml:space="preserve">the </w:t>
      </w:r>
      <w:r w:rsidRPr="00442A3B">
        <w:t xml:space="preserve">COVID-19 </w:t>
      </w:r>
      <w:r w:rsidR="00A103CC" w:rsidRPr="00442A3B">
        <w:t>pandemic</w:t>
      </w:r>
      <w:r w:rsidRPr="00442A3B">
        <w:t xml:space="preserve"> that are not reflected in the current assessments. Therefore, it is appropriate that the payments </w:t>
      </w:r>
      <w:r w:rsidR="00DC3176" w:rsidRPr="00442A3B">
        <w:t>did</w:t>
      </w:r>
      <w:r w:rsidRPr="00442A3B">
        <w:t xml:space="preserve"> not affect relativities.</w:t>
      </w:r>
    </w:p>
    <w:p w14:paraId="3E8F957D" w14:textId="77777777" w:rsidR="00926559" w:rsidRPr="00442A3B" w:rsidRDefault="00926559" w:rsidP="00926559">
      <w:pPr>
        <w:pStyle w:val="Heading4"/>
      </w:pPr>
      <w:bookmarkStart w:id="234" w:name="_Toc65050552"/>
      <w:r w:rsidRPr="00442A3B">
        <w:t>COVID-19 — Treatment of business support spending</w:t>
      </w:r>
      <w:bookmarkEnd w:id="234"/>
    </w:p>
    <w:bookmarkEnd w:id="226"/>
    <w:bookmarkEnd w:id="227"/>
    <w:bookmarkEnd w:id="228"/>
    <w:bookmarkEnd w:id="229"/>
    <w:bookmarkEnd w:id="230"/>
    <w:bookmarkEnd w:id="231"/>
    <w:bookmarkEnd w:id="232"/>
    <w:bookmarkEnd w:id="233"/>
    <w:p w14:paraId="2A37AA7A" w14:textId="77777777" w:rsidR="000603DB" w:rsidRPr="00442A3B" w:rsidRDefault="000603DB" w:rsidP="000603DB">
      <w:pPr>
        <w:pStyle w:val="Heading5"/>
      </w:pPr>
      <w:r w:rsidRPr="00442A3B">
        <w:t>Issue</w:t>
      </w:r>
    </w:p>
    <w:p w14:paraId="3493E5E2" w14:textId="3F65F684" w:rsidR="000603DB" w:rsidRPr="00442A3B" w:rsidRDefault="000603DB" w:rsidP="00021B66">
      <w:pPr>
        <w:pStyle w:val="CGCParaNumber"/>
        <w:ind w:left="567" w:hanging="567"/>
      </w:pPr>
      <w:r w:rsidRPr="00442A3B">
        <w:t>States announced new spending measures to support businesses in response to the COVID</w:t>
      </w:r>
      <w:r w:rsidR="005462EF" w:rsidRPr="00442A3B">
        <w:noBreakHyphen/>
      </w:r>
      <w:r w:rsidRPr="00442A3B">
        <w:t xml:space="preserve">19 pandemic. Some of the additional business support spending has been classified in the services to industry category, which covers State spending on the regulation and development of businesses and industries. In addition, responses to the summer bushfires and drought contributed to an increase in business development spending in 2019-20. </w:t>
      </w:r>
    </w:p>
    <w:p w14:paraId="28E6E798" w14:textId="2ED75602" w:rsidR="000603DB" w:rsidRPr="00442A3B" w:rsidRDefault="000603DB" w:rsidP="00021B66">
      <w:pPr>
        <w:pStyle w:val="CGCParaNumber"/>
        <w:ind w:left="567" w:hanging="567"/>
      </w:pPr>
      <w:r w:rsidRPr="00442A3B">
        <w:t xml:space="preserve">In the </w:t>
      </w:r>
      <w:r w:rsidR="005909B1" w:rsidRPr="00442A3B">
        <w:t>2020 Review</w:t>
      </w:r>
      <w:r w:rsidRPr="00442A3B">
        <w:t xml:space="preserve">, the Commission decided to apportion spending between business development and regulation in each of the services to industry components — agriculture, mining and other industries — based on State provided data from 2015-16 to 2017-18 (the best available at the time). Based on this data, the apportionment is: 50% regulation/50% </w:t>
      </w:r>
      <w:r w:rsidRPr="00442A3B">
        <w:lastRenderedPageBreak/>
        <w:t xml:space="preserve">business development for agriculture; 80% regulation/20% business development for mining; and 53% regulation/47% business development for the other industries component. </w:t>
      </w:r>
    </w:p>
    <w:p w14:paraId="3D4F798D" w14:textId="04092B0A" w:rsidR="000603DB" w:rsidRPr="00442A3B" w:rsidRDefault="000603DB" w:rsidP="00021B66">
      <w:pPr>
        <w:pStyle w:val="CGCParaNumber"/>
        <w:ind w:left="567" w:hanging="567"/>
      </w:pPr>
      <w:r w:rsidRPr="00442A3B">
        <w:t>States were consulted on whether the split remain</w:t>
      </w:r>
      <w:r w:rsidR="00B52736" w:rsidRPr="00442A3B">
        <w:t>ed</w:t>
      </w:r>
      <w:r w:rsidRPr="00442A3B">
        <w:t xml:space="preserve"> appropriate for the other industries component given the increase in spending to support business in the context of the pandemic. If the split </w:t>
      </w:r>
      <w:r w:rsidR="00B52736" w:rsidRPr="00442A3B">
        <w:t>was</w:t>
      </w:r>
      <w:r w:rsidRPr="00442A3B">
        <w:t xml:space="preserve"> considered to under-estimate spending on other industries business development in 2019-20, the issues for the Commission </w:t>
      </w:r>
      <w:r w:rsidR="005D742C" w:rsidRPr="00442A3B">
        <w:t>were</w:t>
      </w:r>
      <w:r w:rsidRPr="00442A3B">
        <w:t xml:space="preserve"> whether the implications of such an outcome </w:t>
      </w:r>
      <w:r w:rsidR="00B52736" w:rsidRPr="00442A3B">
        <w:t>were</w:t>
      </w:r>
      <w:r w:rsidRPr="00442A3B">
        <w:t xml:space="preserve"> material and whether any adjustment would constitute a method change.</w:t>
      </w:r>
    </w:p>
    <w:p w14:paraId="2CF6ED11" w14:textId="77777777" w:rsidR="000603DB" w:rsidRPr="00442A3B" w:rsidRDefault="000603DB" w:rsidP="000603DB">
      <w:pPr>
        <w:pStyle w:val="Heading5"/>
      </w:pPr>
      <w:r w:rsidRPr="00442A3B">
        <w:t>State views</w:t>
      </w:r>
    </w:p>
    <w:p w14:paraId="17F16CA9" w14:textId="77777777" w:rsidR="000603DB" w:rsidRPr="00442A3B" w:rsidRDefault="000603DB" w:rsidP="00021B66">
      <w:pPr>
        <w:pStyle w:val="CGCParaNumber"/>
        <w:ind w:left="567" w:hanging="567"/>
      </w:pPr>
      <w:r w:rsidRPr="00442A3B">
        <w:t>States agreed that additional spending recorded in the other industries component should be considered as additional business development spending rather than any additional spending on regulation expenses.</w:t>
      </w:r>
    </w:p>
    <w:p w14:paraId="23E24DD0" w14:textId="27A0D431" w:rsidR="000603DB" w:rsidRPr="00442A3B" w:rsidRDefault="000603DB" w:rsidP="00021B66">
      <w:pPr>
        <w:pStyle w:val="CGCParaNumber"/>
        <w:ind w:left="567" w:hanging="567"/>
      </w:pPr>
      <w:r w:rsidRPr="00442A3B">
        <w:t xml:space="preserve">All States agreed with the principle that the Commission should adjust the split between regulation and business development spending for the 2019-20 assessment year if the actual additional business development spending was sufficiently large to make a material difference to the distribution of GST </w:t>
      </w:r>
      <w:r w:rsidR="0070522B" w:rsidRPr="00442A3B">
        <w:t>pool</w:t>
      </w:r>
      <w:r w:rsidRPr="00442A3B">
        <w:t>.</w:t>
      </w:r>
    </w:p>
    <w:p w14:paraId="3BCFE3CD" w14:textId="6F9F0426" w:rsidR="000603DB" w:rsidRPr="00442A3B" w:rsidRDefault="000603DB" w:rsidP="00021B66">
      <w:pPr>
        <w:pStyle w:val="CGCParaNumber"/>
        <w:ind w:left="567" w:hanging="567"/>
      </w:pPr>
      <w:r w:rsidRPr="00442A3B">
        <w:t xml:space="preserve">However, there was disagreement about whether it would be a method change or a data issue. Tasmania and the Northern Territory considered it to be a method change, while Victoria and the ACT argued that it would be a data change. </w:t>
      </w:r>
    </w:p>
    <w:p w14:paraId="31631500" w14:textId="77777777" w:rsidR="000603DB" w:rsidRPr="00442A3B" w:rsidRDefault="000603DB" w:rsidP="000603DB">
      <w:pPr>
        <w:pStyle w:val="Heading5"/>
      </w:pPr>
      <w:r w:rsidRPr="00442A3B">
        <w:t>Commission decision</w:t>
      </w:r>
    </w:p>
    <w:p w14:paraId="41297F8F" w14:textId="1D1E43C8" w:rsidR="000603DB" w:rsidRPr="00442A3B" w:rsidRDefault="000603DB" w:rsidP="00021B66">
      <w:pPr>
        <w:pStyle w:val="CGCParaNumber"/>
        <w:ind w:left="567" w:hanging="567"/>
        <w:rPr>
          <w:rFonts w:eastAsia="Open Sans Light" w:cs="Open Sans Light"/>
        </w:rPr>
      </w:pPr>
      <w:r w:rsidRPr="00442A3B">
        <w:rPr>
          <w:rFonts w:eastAsia="Open Sans Light" w:cs="Open Sans Light"/>
        </w:rPr>
        <w:t>While the Commission acknowledge</w:t>
      </w:r>
      <w:r w:rsidR="005D742C" w:rsidRPr="00442A3B">
        <w:rPr>
          <w:rFonts w:eastAsia="Open Sans Light" w:cs="Open Sans Light"/>
        </w:rPr>
        <w:t>d</w:t>
      </w:r>
      <w:r w:rsidRPr="00442A3B">
        <w:rPr>
          <w:rFonts w:eastAsia="Open Sans Light" w:cs="Open Sans Light"/>
        </w:rPr>
        <w:t xml:space="preserve"> that extra spending in this area likely reflect</w:t>
      </w:r>
      <w:r w:rsidR="00907930" w:rsidRPr="00442A3B">
        <w:rPr>
          <w:rFonts w:eastAsia="Open Sans Light" w:cs="Open Sans Light"/>
        </w:rPr>
        <w:t>ed</w:t>
      </w:r>
      <w:r w:rsidRPr="00442A3B">
        <w:rPr>
          <w:rFonts w:eastAsia="Open Sans Light" w:cs="Open Sans Light"/>
        </w:rPr>
        <w:t xml:space="preserve"> business development rather than regulation, re-estimated splits between regulation and business </w:t>
      </w:r>
      <w:r w:rsidRPr="00442A3B">
        <w:t>development</w:t>
      </w:r>
      <w:r w:rsidRPr="00442A3B">
        <w:rPr>
          <w:rFonts w:eastAsia="Open Sans Light" w:cs="Open Sans Light"/>
        </w:rPr>
        <w:t xml:space="preserve"> spending suggest</w:t>
      </w:r>
      <w:r w:rsidR="00907930" w:rsidRPr="00442A3B">
        <w:rPr>
          <w:rFonts w:eastAsia="Open Sans Light" w:cs="Open Sans Light"/>
        </w:rPr>
        <w:t>ed</w:t>
      </w:r>
      <w:r w:rsidRPr="00442A3B">
        <w:rPr>
          <w:rFonts w:eastAsia="Open Sans Light" w:cs="Open Sans Light"/>
        </w:rPr>
        <w:t xml:space="preserve"> the effect would not result in a material change to relative fiscal capacities.</w:t>
      </w:r>
      <w:r w:rsidRPr="00442A3B">
        <w:rPr>
          <w:rStyle w:val="FootnoteReference"/>
          <w:rFonts w:eastAsia="Open Sans Light" w:cs="Open Sans Light"/>
        </w:rPr>
        <w:footnoteReference w:id="25"/>
      </w:r>
    </w:p>
    <w:p w14:paraId="700F73A1" w14:textId="3BED285D" w:rsidR="000603DB" w:rsidRPr="00442A3B" w:rsidRDefault="000603DB" w:rsidP="00021B66">
      <w:pPr>
        <w:pStyle w:val="CGCParaNumber"/>
        <w:ind w:left="567" w:hanging="567"/>
      </w:pPr>
      <w:r w:rsidRPr="00442A3B">
        <w:rPr>
          <w:rFonts w:eastAsia="Open Sans Light" w:cs="Open Sans Light"/>
        </w:rPr>
        <w:t xml:space="preserve">The Commission’s </w:t>
      </w:r>
      <w:r w:rsidR="005909B1" w:rsidRPr="00442A3B">
        <w:rPr>
          <w:rFonts w:eastAsia="Open Sans Light" w:cs="Open Sans Light"/>
        </w:rPr>
        <w:t>2020 Review</w:t>
      </w:r>
      <w:r w:rsidRPr="00442A3B">
        <w:rPr>
          <w:rFonts w:eastAsia="Open Sans Light" w:cs="Open Sans Light"/>
        </w:rPr>
        <w:t xml:space="preserve"> report (Volume 2, Part B, </w:t>
      </w:r>
      <w:r w:rsidR="00B33810" w:rsidRPr="00442A3B">
        <w:rPr>
          <w:rFonts w:eastAsia="Open Sans Light" w:cs="Open Sans Light"/>
        </w:rPr>
        <w:t>Chapter</w:t>
      </w:r>
      <w:r w:rsidRPr="00442A3B">
        <w:rPr>
          <w:rFonts w:eastAsia="Open Sans Light" w:cs="Open Sans Light"/>
        </w:rPr>
        <w:t xml:space="preserve"> 22 Services to industry) states that </w:t>
      </w:r>
      <w:r w:rsidR="0093428E">
        <w:rPr>
          <w:rFonts w:eastAsia="Open Sans Light" w:cs="Open Sans Light"/>
        </w:rPr>
        <w:t>‘</w:t>
      </w:r>
      <w:r w:rsidRPr="00442A3B">
        <w:rPr>
          <w:rFonts w:eastAsia="Open Sans Light" w:cs="Open Sans Light"/>
        </w:rPr>
        <w:t xml:space="preserve">The proportions [regulation vs business development] will apply in all updates using </w:t>
      </w:r>
      <w:r w:rsidR="005909B1" w:rsidRPr="00442A3B">
        <w:t>2020 Review</w:t>
      </w:r>
      <w:r w:rsidRPr="00442A3B">
        <w:rPr>
          <w:rFonts w:eastAsia="Open Sans Light" w:cs="Open Sans Light"/>
        </w:rPr>
        <w:t xml:space="preserve"> methods.’ This indicates that a change in the split would be a method change. That is, if the impact </w:t>
      </w:r>
      <w:r w:rsidRPr="00442A3B">
        <w:rPr>
          <w:rFonts w:eastAsia="Times New Roman" w:cs="Open Sans Light"/>
          <w:lang w:eastAsia="en-AU"/>
        </w:rPr>
        <w:t>were</w:t>
      </w:r>
      <w:r w:rsidRPr="00442A3B">
        <w:rPr>
          <w:rFonts w:eastAsia="Open Sans Light" w:cs="Open Sans Light"/>
        </w:rPr>
        <w:t xml:space="preserve"> material in the 2022 Update, the terms of reference would need to allow calculation of a new split. </w:t>
      </w:r>
    </w:p>
    <w:p w14:paraId="0F3B896C" w14:textId="77777777" w:rsidR="00F8298D" w:rsidRPr="00442A3B" w:rsidRDefault="00F8298D" w:rsidP="00F8298D">
      <w:pPr>
        <w:pStyle w:val="Heading3"/>
      </w:pPr>
      <w:bookmarkStart w:id="235" w:name="_Toc65050553"/>
      <w:r w:rsidRPr="00442A3B">
        <w:t>Data</w:t>
      </w:r>
      <w:r w:rsidRPr="00442A3B" w:rsidDel="004F62AB">
        <w:t xml:space="preserve"> </w:t>
      </w:r>
      <w:r w:rsidRPr="00442A3B">
        <w:t>issues</w:t>
      </w:r>
      <w:bookmarkEnd w:id="235"/>
    </w:p>
    <w:p w14:paraId="442C67F0" w14:textId="397DC54D" w:rsidR="00DC22FD" w:rsidRPr="00442A3B" w:rsidRDefault="00DC22FD" w:rsidP="00021B66">
      <w:pPr>
        <w:pStyle w:val="CGCParaNumber"/>
        <w:ind w:left="567" w:hanging="567"/>
        <w:rPr>
          <w:rFonts w:eastAsia="Open Sans Light" w:cs="Open Sans Light"/>
        </w:rPr>
      </w:pPr>
      <w:r w:rsidRPr="00442A3B">
        <w:rPr>
          <w:rFonts w:eastAsia="Open Sans Light" w:cs="Open Sans Light"/>
        </w:rPr>
        <w:t>This section covers several data issues for this update</w:t>
      </w:r>
      <w:r w:rsidR="009F273C" w:rsidRPr="00442A3B">
        <w:rPr>
          <w:rFonts w:eastAsia="Open Sans Light" w:cs="Open Sans Light"/>
        </w:rPr>
        <w:t xml:space="preserve">, </w:t>
      </w:r>
      <w:r w:rsidRPr="00442A3B">
        <w:rPr>
          <w:rFonts w:eastAsia="Open Sans Light" w:cs="Open Sans Light"/>
        </w:rPr>
        <w:t>involv</w:t>
      </w:r>
      <w:r w:rsidR="009F273C" w:rsidRPr="00442A3B">
        <w:rPr>
          <w:rFonts w:eastAsia="Open Sans Light" w:cs="Open Sans Light"/>
        </w:rPr>
        <w:t>ing</w:t>
      </w:r>
      <w:r w:rsidRPr="00442A3B">
        <w:rPr>
          <w:rFonts w:eastAsia="Open Sans Light" w:cs="Open Sans Light"/>
        </w:rPr>
        <w:t xml:space="preserve"> new sources of data, revised data, </w:t>
      </w:r>
      <w:r w:rsidRPr="00442A3B">
        <w:t>data</w:t>
      </w:r>
      <w:r w:rsidRPr="00442A3B">
        <w:rPr>
          <w:rFonts w:eastAsia="Open Sans Light" w:cs="Open Sans Light"/>
        </w:rPr>
        <w:t xml:space="preserve"> corrections, and the treatment of data.</w:t>
      </w:r>
    </w:p>
    <w:p w14:paraId="42C2BC0A" w14:textId="77777777" w:rsidR="00717961" w:rsidRPr="00442A3B" w:rsidRDefault="00717961" w:rsidP="00717961">
      <w:pPr>
        <w:pStyle w:val="Heading4"/>
      </w:pPr>
      <w:bookmarkStart w:id="236" w:name="_Toc65050554"/>
      <w:bookmarkStart w:id="237" w:name="_Toc48052154"/>
      <w:bookmarkStart w:id="238" w:name="_Toc53763724"/>
      <w:bookmarkStart w:id="239" w:name="_Toc53763758"/>
      <w:bookmarkStart w:id="240" w:name="_Toc53763792"/>
      <w:bookmarkStart w:id="241" w:name="_Toc53763826"/>
      <w:bookmarkStart w:id="242" w:name="_Toc54098160"/>
      <w:bookmarkStart w:id="243" w:name="_Toc57379354"/>
      <w:r w:rsidRPr="00442A3B">
        <w:t>Natural disaster relief</w:t>
      </w:r>
      <w:bookmarkEnd w:id="236"/>
      <w:r w:rsidRPr="00442A3B">
        <w:t xml:space="preserve"> </w:t>
      </w:r>
      <w:bookmarkEnd w:id="237"/>
      <w:bookmarkEnd w:id="238"/>
      <w:bookmarkEnd w:id="239"/>
      <w:bookmarkEnd w:id="240"/>
      <w:bookmarkEnd w:id="241"/>
      <w:bookmarkEnd w:id="242"/>
      <w:bookmarkEnd w:id="243"/>
    </w:p>
    <w:p w14:paraId="2F0A4008" w14:textId="77777777" w:rsidR="002D3A41" w:rsidRPr="00442A3B" w:rsidRDefault="002D3A41" w:rsidP="0066568A">
      <w:pPr>
        <w:pStyle w:val="Heading5"/>
      </w:pPr>
      <w:r w:rsidRPr="00442A3B">
        <w:t>Issue</w:t>
      </w:r>
    </w:p>
    <w:p w14:paraId="3747354B" w14:textId="61E129D4" w:rsidR="002D3A41" w:rsidRPr="00442A3B" w:rsidRDefault="002D3A41" w:rsidP="00021B66">
      <w:pPr>
        <w:pStyle w:val="CGCParaNumber"/>
        <w:ind w:left="567" w:hanging="567"/>
      </w:pPr>
      <w:r w:rsidRPr="00442A3B">
        <w:t xml:space="preserve">The issue for the Commission </w:t>
      </w:r>
      <w:r w:rsidR="007F18EB" w:rsidRPr="00442A3B">
        <w:t>was</w:t>
      </w:r>
      <w:r w:rsidRPr="00442A3B">
        <w:t xml:space="preserve"> whether to stop assessing needs for the full value of concessional loans and assess needs only for the value of interest rate subsidies. Needs are assessed on an actual per capita basis.</w:t>
      </w:r>
    </w:p>
    <w:p w14:paraId="41D4558A" w14:textId="77777777" w:rsidR="002D3A41" w:rsidRPr="00442A3B" w:rsidRDefault="002D3A41" w:rsidP="00021B66">
      <w:pPr>
        <w:pStyle w:val="CGCParaNumber"/>
        <w:ind w:left="567" w:hanging="567"/>
      </w:pPr>
      <w:r w:rsidRPr="00442A3B">
        <w:lastRenderedPageBreak/>
        <w:t xml:space="preserve">The natural disaster relief expenses assessment recognises the net costs States incur due to natural disasters. The Disaster Recovery Funding Arrangements 2018 determine the specific expenses for which costs will be shared and the share of costs that the Commonwealth and States will fund. </w:t>
      </w:r>
    </w:p>
    <w:p w14:paraId="09E25A11" w14:textId="77777777" w:rsidR="002D3A41" w:rsidRPr="00442A3B" w:rsidRDefault="002D3A41" w:rsidP="00021B66">
      <w:pPr>
        <w:pStyle w:val="CGCParaNumber"/>
        <w:ind w:left="567" w:hanging="567"/>
      </w:pPr>
      <w:r w:rsidRPr="00442A3B">
        <w:t xml:space="preserve">The arrangements support relief for businesses, </w:t>
      </w:r>
      <w:bookmarkStart w:id="244" w:name="_Hlk62199142"/>
      <w:r w:rsidRPr="00442A3B">
        <w:t xml:space="preserve">charities, and individuals </w:t>
      </w:r>
      <w:bookmarkEnd w:id="244"/>
      <w:r w:rsidRPr="00442A3B">
        <w:t>in the form of concessional loans. Concessional loans provided by States to businesses, charities, and individuals are repayable. As such, the net cost to States is the subsidy States provide on interest attached to the loans. The Commission had intended to assess needs for this service.</w:t>
      </w:r>
    </w:p>
    <w:p w14:paraId="4BA5E3DD" w14:textId="77777777" w:rsidR="002D3A41" w:rsidRPr="00442A3B" w:rsidRDefault="002D3A41" w:rsidP="00021B66">
      <w:pPr>
        <w:pStyle w:val="CGCParaNumber"/>
        <w:ind w:left="567" w:hanging="567"/>
      </w:pPr>
      <w:r w:rsidRPr="00442A3B">
        <w:t xml:space="preserve">However, the Commission’s previous assessments used data on the total value of the loan rather than the value of the interest rate subsidy. </w:t>
      </w:r>
    </w:p>
    <w:p w14:paraId="36237D23" w14:textId="459488AA" w:rsidR="002D3A41" w:rsidRPr="00442A3B" w:rsidRDefault="002D3A41" w:rsidP="00021B66">
      <w:pPr>
        <w:pStyle w:val="CGCParaNumber"/>
        <w:ind w:left="567" w:hanging="567"/>
      </w:pPr>
      <w:r w:rsidRPr="00442A3B">
        <w:t xml:space="preserve">States were consulted on the Commission’s intention to correct this in the </w:t>
      </w:r>
      <w:r w:rsidR="005909B1" w:rsidRPr="00442A3B">
        <w:t>2021 Update</w:t>
      </w:r>
      <w:r w:rsidRPr="00442A3B">
        <w:t xml:space="preserve">. </w:t>
      </w:r>
    </w:p>
    <w:p w14:paraId="0A84781E" w14:textId="77777777" w:rsidR="002D3A41" w:rsidRPr="00442A3B" w:rsidRDefault="002D3A41" w:rsidP="002D3A41">
      <w:pPr>
        <w:pStyle w:val="Heading5"/>
      </w:pPr>
      <w:bookmarkStart w:id="245" w:name="_Toc53763725"/>
      <w:bookmarkStart w:id="246" w:name="_Toc53763759"/>
      <w:bookmarkStart w:id="247" w:name="_Toc53763793"/>
      <w:bookmarkStart w:id="248" w:name="_Toc53763827"/>
      <w:r w:rsidRPr="00442A3B">
        <w:t>State views</w:t>
      </w:r>
      <w:bookmarkEnd w:id="245"/>
      <w:bookmarkEnd w:id="246"/>
      <w:bookmarkEnd w:id="247"/>
      <w:bookmarkEnd w:id="248"/>
    </w:p>
    <w:p w14:paraId="1700C68E" w14:textId="77777777" w:rsidR="002D3A41" w:rsidRPr="00442A3B" w:rsidRDefault="002D3A41" w:rsidP="00021B66">
      <w:pPr>
        <w:pStyle w:val="CGCParaNumber"/>
        <w:ind w:left="567" w:hanging="567"/>
      </w:pPr>
      <w:r w:rsidRPr="00442A3B">
        <w:t>Most States supported the Commission correcting this error. Western Australia did not oppose the correction but noted the expenses involved are small and the reporting burden is disproportionate. It stated this change should not be made as the impact is immaterial. Queensland did not support the correction.</w:t>
      </w:r>
    </w:p>
    <w:p w14:paraId="13CDFD25" w14:textId="77777777" w:rsidR="002D3A41" w:rsidRPr="00442A3B" w:rsidRDefault="002D3A41" w:rsidP="00021B66">
      <w:pPr>
        <w:pStyle w:val="CGCParaNumber"/>
        <w:ind w:left="567" w:hanging="567"/>
      </w:pPr>
      <w:r w:rsidRPr="00442A3B">
        <w:t>Several States suggested that the Commission standardise its measure of the State cost of borrowing.</w:t>
      </w:r>
    </w:p>
    <w:p w14:paraId="607539D3" w14:textId="77777777" w:rsidR="002D3A41" w:rsidRPr="00442A3B" w:rsidRDefault="002D3A41" w:rsidP="002D3A41">
      <w:pPr>
        <w:pStyle w:val="Heading5"/>
      </w:pPr>
      <w:r w:rsidRPr="00442A3B">
        <w:t>Commission decision</w:t>
      </w:r>
    </w:p>
    <w:p w14:paraId="0C383523" w14:textId="3936CA40" w:rsidR="002D3A41" w:rsidRPr="00442A3B" w:rsidRDefault="002D3A41" w:rsidP="00021B66">
      <w:pPr>
        <w:pStyle w:val="CGCParaNumber"/>
        <w:ind w:left="567" w:hanging="567"/>
      </w:pPr>
      <w:r w:rsidRPr="00442A3B">
        <w:t xml:space="preserve">The Commission decided that the measurement of natural disaster relief should only assess the value of interest rate subsidies when States provide concessional interest rate loans to businesses, charities, and individuals. </w:t>
      </w:r>
    </w:p>
    <w:p w14:paraId="635B3F41" w14:textId="53C25992" w:rsidR="002D3A41" w:rsidRPr="00442A3B" w:rsidRDefault="002D3A41" w:rsidP="00021B66">
      <w:pPr>
        <w:pStyle w:val="CGCParaNumber"/>
        <w:ind w:left="567" w:hanging="567"/>
      </w:pPr>
      <w:r w:rsidRPr="00442A3B">
        <w:t>Regarding the issue of a standard cost of borrowing measure, the Commission will work with States ahead of the 2022 Update to agree on a standardised measure to improve the consistency and simplicity of the natural disaster relief assessment.</w:t>
      </w:r>
    </w:p>
    <w:p w14:paraId="19D0C06A" w14:textId="77777777" w:rsidR="00B07412" w:rsidRPr="00442A3B" w:rsidRDefault="00B07412" w:rsidP="00B07412">
      <w:pPr>
        <w:pStyle w:val="Heading4"/>
      </w:pPr>
      <w:bookmarkStart w:id="249" w:name="_Toc57379356"/>
      <w:bookmarkStart w:id="250" w:name="_Toc65050555"/>
      <w:r w:rsidRPr="00442A3B">
        <w:t>Health assessment — non-admitted patient</w:t>
      </w:r>
      <w:bookmarkEnd w:id="249"/>
      <w:r w:rsidRPr="00442A3B">
        <w:t xml:space="preserve"> data</w:t>
      </w:r>
      <w:bookmarkEnd w:id="250"/>
    </w:p>
    <w:p w14:paraId="02B5ADEB" w14:textId="77777777" w:rsidR="00892C4A" w:rsidRPr="00442A3B" w:rsidRDefault="00892C4A" w:rsidP="008301E3">
      <w:pPr>
        <w:pStyle w:val="Heading5"/>
      </w:pPr>
      <w:r w:rsidRPr="00442A3B">
        <w:t>Issue</w:t>
      </w:r>
    </w:p>
    <w:p w14:paraId="0EDDCB58" w14:textId="7BAA27F9" w:rsidR="00892C4A" w:rsidRPr="00442A3B" w:rsidRDefault="00892C4A" w:rsidP="00021B66">
      <w:pPr>
        <w:pStyle w:val="CGCParaNumber"/>
        <w:ind w:left="567" w:hanging="567"/>
      </w:pPr>
      <w:r w:rsidRPr="00442A3B">
        <w:t xml:space="preserve">The issue for the Commission </w:t>
      </w:r>
      <w:r w:rsidR="004251C7" w:rsidRPr="00442A3B">
        <w:t>was</w:t>
      </w:r>
      <w:r w:rsidRPr="00442A3B">
        <w:t xml:space="preserve"> whether to start using national weighted activity unit data for the assessment of non-admitted patients. It currently uses proxy data.</w:t>
      </w:r>
    </w:p>
    <w:p w14:paraId="6DCEA092" w14:textId="799A226A" w:rsidR="00892C4A" w:rsidRPr="00442A3B" w:rsidRDefault="00892C4A" w:rsidP="00021B66">
      <w:pPr>
        <w:pStyle w:val="CGCParaNumber"/>
        <w:ind w:left="567" w:hanging="567"/>
      </w:pPr>
      <w:r w:rsidRPr="00442A3B">
        <w:t>The Commission’s assessment of needs for health spending</w:t>
      </w:r>
      <w:r w:rsidRPr="00442A3B" w:rsidDel="0012087B">
        <w:t xml:space="preserve"> </w:t>
      </w:r>
      <w:r w:rsidRPr="00442A3B">
        <w:t xml:space="preserve">relies mainly on data from the </w:t>
      </w:r>
      <w:bookmarkStart w:id="251" w:name="_Hlk62199278"/>
      <w:r w:rsidRPr="00442A3B">
        <w:t>Independent Hospital Pricing Authority</w:t>
      </w:r>
      <w:bookmarkEnd w:id="251"/>
      <w:r w:rsidRPr="00442A3B">
        <w:t>. The assessment of the admitted patients and emergency department health components use</w:t>
      </w:r>
      <w:r w:rsidR="00CE64E2" w:rsidRPr="00442A3B">
        <w:t>s</w:t>
      </w:r>
      <w:r w:rsidRPr="00442A3B">
        <w:t xml:space="preserve"> the Independent Hospital Pricing Authority’s </w:t>
      </w:r>
      <w:bookmarkStart w:id="252" w:name="_Hlk62199691"/>
      <w:r w:rsidRPr="00442A3B">
        <w:t>national weighted activity unit data</w:t>
      </w:r>
      <w:bookmarkEnd w:id="252"/>
      <w:r w:rsidRPr="00442A3B">
        <w:t xml:space="preserve">. </w:t>
      </w:r>
    </w:p>
    <w:p w14:paraId="2AF2FB53" w14:textId="5DE9694C" w:rsidR="00892C4A" w:rsidRPr="00442A3B" w:rsidRDefault="00892C4A" w:rsidP="00021B66">
      <w:pPr>
        <w:pStyle w:val="CGCParaNumber"/>
        <w:ind w:left="567" w:hanging="567"/>
      </w:pPr>
      <w:r w:rsidRPr="00442A3B">
        <w:t xml:space="preserve">Up to and including the </w:t>
      </w:r>
      <w:r w:rsidR="005909B1" w:rsidRPr="00442A3B">
        <w:t>2020 Review</w:t>
      </w:r>
      <w:r w:rsidRPr="00442A3B">
        <w:t>, the Commission did not use national weighted activity unit data for the assessment of non</w:t>
      </w:r>
      <w:r w:rsidR="42ACFF50" w:rsidRPr="00442A3B">
        <w:t>-</w:t>
      </w:r>
      <w:r w:rsidRPr="00442A3B">
        <w:t>admitted patient expenses as the data were still developing. Instead, the assessment used admitted patient separations as a proxy indicator to measure service use by non</w:t>
      </w:r>
      <w:r w:rsidR="4B96B19E" w:rsidRPr="00442A3B">
        <w:t>-</w:t>
      </w:r>
      <w:r w:rsidRPr="00442A3B">
        <w:t>admitted patients. Regional cost and service delivery scale adjustments, derived using emergency department separations, were applied to admitted patient separations to measure the cost weighted use of non-admitted hospital services.</w:t>
      </w:r>
    </w:p>
    <w:p w14:paraId="46A06369" w14:textId="741E4C4A" w:rsidR="00892C4A" w:rsidRPr="00442A3B" w:rsidRDefault="00892C4A" w:rsidP="00AD6EAB">
      <w:pPr>
        <w:pStyle w:val="CGCParaNumber"/>
        <w:keepNext/>
        <w:keepLines/>
        <w:ind w:left="567" w:hanging="567"/>
      </w:pPr>
      <w:r w:rsidRPr="00442A3B">
        <w:lastRenderedPageBreak/>
        <w:t xml:space="preserve">The Commission said in its </w:t>
      </w:r>
      <w:r w:rsidR="005909B1" w:rsidRPr="00442A3B">
        <w:t>2020 Review</w:t>
      </w:r>
      <w:r w:rsidRPr="00442A3B">
        <w:t xml:space="preserve"> report that during 2020 it would review the 2018-19 non-admitted patient national weighted activity unit data and consult with States on whether to use these data from 2021. The Independent Hospital Pricing Authority advised that the 2018-19 non-admitted patient data are more reliable and may now be sufficiently robust for use in the health assessment. </w:t>
      </w:r>
    </w:p>
    <w:p w14:paraId="12129F32" w14:textId="77777777" w:rsidR="00892C4A" w:rsidRPr="00442A3B" w:rsidRDefault="00892C4A" w:rsidP="008301E3">
      <w:pPr>
        <w:pStyle w:val="Heading5"/>
      </w:pPr>
      <w:r w:rsidRPr="00442A3B">
        <w:t>State views</w:t>
      </w:r>
    </w:p>
    <w:p w14:paraId="6F71F1CA" w14:textId="3B5573A4" w:rsidR="00892C4A" w:rsidRPr="00442A3B" w:rsidRDefault="00892C4A" w:rsidP="00021B66">
      <w:pPr>
        <w:pStyle w:val="CGCParaNumber"/>
        <w:ind w:left="567" w:hanging="567"/>
      </w:pPr>
      <w:r w:rsidRPr="00442A3B">
        <w:t xml:space="preserve">New South Wales, Victoria and the ACT supported using 2018-19 national weighted activity unit data for non-admitted patients instead of the Commission’s previous proxy data, for all </w:t>
      </w:r>
      <w:r w:rsidR="005E563D" w:rsidRPr="00442A3B">
        <w:t>3</w:t>
      </w:r>
      <w:r w:rsidRPr="00442A3B">
        <w:t xml:space="preserve"> assessment years in this update.</w:t>
      </w:r>
    </w:p>
    <w:p w14:paraId="0155CE2B" w14:textId="4F86193E" w:rsidR="00892C4A" w:rsidRPr="00442A3B" w:rsidRDefault="00892C4A" w:rsidP="00021B66">
      <w:pPr>
        <w:pStyle w:val="CGCParaNumber"/>
        <w:ind w:left="567" w:hanging="567"/>
      </w:pPr>
      <w:r w:rsidRPr="00442A3B">
        <w:t>Queensland and Western Australia supported the proposal in principle</w:t>
      </w:r>
      <w:r w:rsidRPr="00442A3B">
        <w:rPr>
          <w:b/>
          <w:bCs/>
        </w:rPr>
        <w:t xml:space="preserve"> </w:t>
      </w:r>
      <w:r w:rsidRPr="00442A3B">
        <w:t>but had some concerns with the quality of the existing data. South Australia, Tasmania and the Northern Territory supported the continued use of the proxy data. The concerns raised by these States can be grouped into two categories</w:t>
      </w:r>
      <w:r w:rsidR="00FC597B" w:rsidRPr="00442A3B">
        <w:t>, discussed below</w:t>
      </w:r>
      <w:r w:rsidRPr="00442A3B" w:rsidDel="00FC597B">
        <w:t>.</w:t>
      </w:r>
    </w:p>
    <w:p w14:paraId="13D174D1" w14:textId="77777777" w:rsidR="00505048" w:rsidRPr="00442A3B" w:rsidRDefault="00505048" w:rsidP="008301E3">
      <w:pPr>
        <w:pStyle w:val="Heading6"/>
      </w:pPr>
      <w:r w:rsidRPr="00442A3B">
        <w:t>Scope/reliability of non-admitted patient data</w:t>
      </w:r>
    </w:p>
    <w:p w14:paraId="657B267A" w14:textId="77777777" w:rsidR="00505048" w:rsidRPr="00442A3B" w:rsidRDefault="00505048" w:rsidP="00021B66">
      <w:pPr>
        <w:pStyle w:val="CGCParaNumber"/>
        <w:ind w:left="567" w:hanging="567"/>
      </w:pPr>
      <w:r w:rsidRPr="00442A3B">
        <w:t>Tasmania considered that the non-admitted patient national weighted activity unit data are not comprehensive, as some</w:t>
      </w:r>
      <w:r w:rsidRPr="00442A3B" w:rsidDel="00D43187">
        <w:t xml:space="preserve"> </w:t>
      </w:r>
      <w:r w:rsidRPr="00442A3B">
        <w:t xml:space="preserve">activity falls outside the scope of the National Health Reform Agreement. For example, general practice and primary care clinics in public hospitals are excluded from the national weighted activity unit data for non-admitted patients, even though they are included in Government Finance Statistics outpatient expense data. Tasmania suggested that the Commission apply adjustments to the data to account for underrepresentation of non-admitted patient services. </w:t>
      </w:r>
    </w:p>
    <w:p w14:paraId="40800B22" w14:textId="77777777" w:rsidR="00505048" w:rsidRPr="00442A3B" w:rsidRDefault="00505048" w:rsidP="00021B66">
      <w:pPr>
        <w:pStyle w:val="CGCParaNumber"/>
        <w:ind w:left="567" w:hanging="567"/>
      </w:pPr>
      <w:r w:rsidRPr="00442A3B">
        <w:t>South Australia raised concerns about the comprehensiveness of the data at the patient level, pointing out that there are often discrepancies in record counts between patient level data and aggregate data.</w:t>
      </w:r>
    </w:p>
    <w:p w14:paraId="0B37F803" w14:textId="77777777" w:rsidR="00505048" w:rsidRPr="00442A3B" w:rsidRDefault="00505048" w:rsidP="00021B66">
      <w:pPr>
        <w:pStyle w:val="CGCParaNumber"/>
        <w:ind w:left="567" w:hanging="567"/>
      </w:pPr>
      <w:r w:rsidRPr="00442A3B">
        <w:t>Queensland advised that the non-admitted patient data classify service usage based on the characteristics of clinics but do not capture patient specific information. Queensland proposed the Commission defer the use of these data until the Independent Hospital Pricing Authority implements its Australian Non-Admitted Care Classification, which will describe services according to patient characteristics and the complexity of care required.</w:t>
      </w:r>
    </w:p>
    <w:p w14:paraId="7D324AB3" w14:textId="77777777" w:rsidR="00505048" w:rsidRPr="00442A3B" w:rsidRDefault="00505048" w:rsidP="008301E3">
      <w:pPr>
        <w:pStyle w:val="Heading6"/>
      </w:pPr>
      <w:r w:rsidRPr="00442A3B">
        <w:t>Remoteness adjustments</w:t>
      </w:r>
    </w:p>
    <w:p w14:paraId="0D68BD66" w14:textId="5A6C7005" w:rsidR="00505048" w:rsidRPr="00442A3B" w:rsidRDefault="00505048" w:rsidP="00021B66">
      <w:pPr>
        <w:pStyle w:val="CGCParaNumber"/>
        <w:ind w:left="567" w:hanging="567"/>
      </w:pPr>
      <w:r w:rsidRPr="00442A3B">
        <w:t xml:space="preserve">The Independent Hospital Pricing Authority has not applied remoteness adjustments to the 2018-19 non-admitted patient data, even though it does </w:t>
      </w:r>
      <w:r w:rsidR="006F3C88" w:rsidRPr="00442A3B">
        <w:t xml:space="preserve">so </w:t>
      </w:r>
      <w:r w:rsidRPr="00442A3B">
        <w:t>for the 2018-19 admitted patient and emergency department national weighted activity unit data.</w:t>
      </w:r>
      <w:r w:rsidRPr="00442A3B" w:rsidDel="00F20D18">
        <w:t xml:space="preserve"> </w:t>
      </w:r>
      <w:r w:rsidRPr="00442A3B">
        <w:t>The Northern Territory noted that in the 2020 Review the Commission accepted the conceptual case that remoteness has an impact on the use and cost of delivering non-admitted patient services, as has the Independent Hospital Pricing Authority, evidenced by its inclusion of remoteness adjustments from 2019-20</w:t>
      </w:r>
      <w:r w:rsidRPr="00442A3B">
        <w:rPr>
          <w:rStyle w:val="FootnoteReference"/>
        </w:rPr>
        <w:footnoteReference w:id="26"/>
      </w:r>
      <w:r w:rsidRPr="00442A3B">
        <w:t>.</w:t>
      </w:r>
    </w:p>
    <w:p w14:paraId="0636BC03" w14:textId="77777777" w:rsidR="00505048" w:rsidRPr="00442A3B" w:rsidRDefault="00505048" w:rsidP="00021B66">
      <w:pPr>
        <w:pStyle w:val="CGCParaNumber"/>
        <w:ind w:left="567" w:hanging="567"/>
      </w:pPr>
      <w:r w:rsidRPr="00442A3B">
        <w:t xml:space="preserve">Western Australia and the Northern Territory proposed the Commission apply remoteness adjustments to the 2018-19 </w:t>
      </w:r>
      <w:bookmarkStart w:id="253" w:name="_Hlk62130170"/>
      <w:r w:rsidRPr="00442A3B">
        <w:t xml:space="preserve">non-admitted patient </w:t>
      </w:r>
      <w:bookmarkEnd w:id="253"/>
      <w:r w:rsidRPr="00442A3B">
        <w:t>national weighted activity unit data based on the adjustments used by the Independent Hospital Pricing Authority for admitted patients.</w:t>
      </w:r>
    </w:p>
    <w:p w14:paraId="5281B35A" w14:textId="77777777" w:rsidR="00C25703" w:rsidRPr="00442A3B" w:rsidRDefault="00C25703" w:rsidP="00AB1147">
      <w:pPr>
        <w:pStyle w:val="Heading5"/>
        <w:keepLines/>
      </w:pPr>
      <w:r w:rsidRPr="00442A3B">
        <w:lastRenderedPageBreak/>
        <w:t>Commission decision</w:t>
      </w:r>
    </w:p>
    <w:p w14:paraId="54CA5B6F" w14:textId="77777777" w:rsidR="00C25703" w:rsidRPr="00442A3B" w:rsidRDefault="00C25703" w:rsidP="00AB1147">
      <w:pPr>
        <w:pStyle w:val="Heading6"/>
      </w:pPr>
      <w:r w:rsidRPr="00442A3B">
        <w:t>Scope/reliability of non-admitted patient data</w:t>
      </w:r>
    </w:p>
    <w:p w14:paraId="7222A60F" w14:textId="7340C1ED" w:rsidR="00C25703" w:rsidRPr="00442A3B" w:rsidRDefault="00C25703" w:rsidP="00AB1147">
      <w:pPr>
        <w:pStyle w:val="CGCParaNumber"/>
        <w:keepNext/>
        <w:keepLines/>
        <w:ind w:left="567" w:hanging="567"/>
      </w:pPr>
      <w:r w:rsidRPr="00442A3B">
        <w:t>The Commission acknowledge</w:t>
      </w:r>
      <w:r w:rsidR="00CB4540" w:rsidRPr="00442A3B">
        <w:t>d</w:t>
      </w:r>
      <w:r w:rsidRPr="00442A3B">
        <w:t xml:space="preserve"> that further improvements to the quality of non-admitted patient data are desirable but delaying the use of this data until improvements are made must be weighed against the quality of alternative data, which to date have been admitted patient separations.</w:t>
      </w:r>
    </w:p>
    <w:p w14:paraId="36498D81" w14:textId="3C227B36" w:rsidR="00C25703" w:rsidRPr="00442A3B" w:rsidRDefault="00C25703" w:rsidP="00021B66">
      <w:pPr>
        <w:pStyle w:val="CGCParaNumber"/>
        <w:ind w:left="567" w:hanging="567"/>
      </w:pPr>
      <w:r w:rsidRPr="00442A3B">
        <w:t>A comparison of non-admitted patient national weighted activity unit data with the proxy indicator shows that the proxy considerably overestimates spending for high-cost groups. On the other hand, analysis of Australian Institute of Health and Welfare data suggest</w:t>
      </w:r>
      <w:r w:rsidR="00573590" w:rsidRPr="00442A3B">
        <w:t>ed</w:t>
      </w:r>
      <w:r w:rsidRPr="00442A3B">
        <w:t xml:space="preserve"> that the non-admitted patient activity not eligible for National Health Reform Agreement funding constitute</w:t>
      </w:r>
      <w:r w:rsidR="00573590" w:rsidRPr="00442A3B">
        <w:t>d</w:t>
      </w:r>
      <w:r w:rsidRPr="00442A3B">
        <w:t xml:space="preserve"> only about 9.5% of total separations in 2017-18 and 5.0% in 2018-19. In addition, to compensate for patient level reporting being below aggregate level reporting, the Commission scaled up patient level separations in line with the user profile of hospitals in the same remoteness region with the same funding type.</w:t>
      </w:r>
    </w:p>
    <w:p w14:paraId="3EC651AC" w14:textId="31865796" w:rsidR="00C25703" w:rsidRPr="00442A3B" w:rsidRDefault="00C25703" w:rsidP="00021B66">
      <w:pPr>
        <w:pStyle w:val="CGCParaNumber"/>
        <w:ind w:left="567" w:hanging="567"/>
        <w:rPr>
          <w:bCs/>
        </w:rPr>
      </w:pPr>
      <w:r w:rsidRPr="00442A3B">
        <w:t xml:space="preserve">Regarding Queensland’s concern about the current non-admitted patient classification being based on the type of clinic and clinician providing the service (rather than patient specific information), non-admitted patient services are less diverse than other hospital services, so costs for different procedures (and therefore national weighted activity unit values) vary less from the average. Therefore, </w:t>
      </w:r>
      <w:r w:rsidR="00E228CA" w:rsidRPr="00442A3B">
        <w:t xml:space="preserve">the Commission considered </w:t>
      </w:r>
      <w:r w:rsidRPr="00442A3B">
        <w:t xml:space="preserve">this simpler classification </w:t>
      </w:r>
      <w:r w:rsidR="00B93100" w:rsidRPr="00442A3B">
        <w:t xml:space="preserve">to be </w:t>
      </w:r>
      <w:r w:rsidRPr="00442A3B">
        <w:t>sufficient until the Australian Non-Admitted Care Classification is implemented.</w:t>
      </w:r>
    </w:p>
    <w:p w14:paraId="64FFBDEB" w14:textId="77777777" w:rsidR="00BF2E72" w:rsidRPr="00442A3B" w:rsidRDefault="00BF2E72" w:rsidP="008301E3">
      <w:pPr>
        <w:pStyle w:val="Heading6"/>
        <w:rPr>
          <w:sz w:val="24"/>
        </w:rPr>
      </w:pPr>
      <w:r w:rsidRPr="00442A3B">
        <w:t>Remoteness adjustments</w:t>
      </w:r>
    </w:p>
    <w:p w14:paraId="4225BEDB" w14:textId="2B7ECB32" w:rsidR="00BF2E72" w:rsidRPr="00442A3B" w:rsidRDefault="00BF2E72" w:rsidP="00021B66">
      <w:pPr>
        <w:pStyle w:val="CGCParaNumber"/>
        <w:ind w:left="567" w:hanging="567"/>
      </w:pPr>
      <w:r w:rsidRPr="00442A3B">
        <w:t>The Commission agree</w:t>
      </w:r>
      <w:r w:rsidR="00E228CA" w:rsidRPr="00442A3B">
        <w:t>d</w:t>
      </w:r>
      <w:r w:rsidRPr="00442A3B">
        <w:t xml:space="preserve"> with the point raised by several States that remoteness has an impact on the cost of delivering non-admitted patient services. </w:t>
      </w:r>
    </w:p>
    <w:p w14:paraId="3D17B345" w14:textId="2229AA80" w:rsidR="00BF2E72" w:rsidRPr="00442A3B" w:rsidRDefault="00BF2E72" w:rsidP="00021B66">
      <w:pPr>
        <w:pStyle w:val="CGCParaNumber"/>
        <w:ind w:left="567" w:hanging="567"/>
      </w:pPr>
      <w:r w:rsidRPr="00442A3B">
        <w:t>One way to incorporate the impact of remoteness on per episode service cost would be to apply a remote cost loading to the 2018-19 national weighted activity unit data, as suggested by Western Australia and the Northern Territory. Some double counting may occur as the higher costs associated with remoteness are</w:t>
      </w:r>
      <w:r w:rsidRPr="00442A3B" w:rsidDel="005A4AD2">
        <w:t xml:space="preserve"> </w:t>
      </w:r>
      <w:r w:rsidRPr="00442A3B">
        <w:t xml:space="preserve">implicitly contained in the other cost weights embedded in the unadjusted 2018-19 national weighted activity unit. </w:t>
      </w:r>
    </w:p>
    <w:p w14:paraId="5145447E" w14:textId="77777777" w:rsidR="00BF2E72" w:rsidRPr="00442A3B" w:rsidRDefault="00BF2E72" w:rsidP="00021B66">
      <w:pPr>
        <w:pStyle w:val="CGCParaNumber"/>
        <w:ind w:left="567" w:hanging="567"/>
      </w:pPr>
      <w:r w:rsidRPr="00442A3B">
        <w:t>An alternative approach would be to use non-admitted patient separations, rather than national weighted activity unit data, and apply a remoteness loading to the separations data. The downside of this approach is that the differences in service costs associated with complexity and Indigeneity (which are contained in the national weighted activity unit), would not be captured. However, the exclusion of these factors does not make a material difference to the assessed expenses of any state.</w:t>
      </w:r>
    </w:p>
    <w:p w14:paraId="69617B39" w14:textId="258C10CE" w:rsidR="00BF2E72" w:rsidRPr="00442A3B" w:rsidRDefault="00BF2E72" w:rsidP="00021B66">
      <w:pPr>
        <w:pStyle w:val="CGCParaNumber"/>
        <w:ind w:left="567" w:hanging="567"/>
      </w:pPr>
      <w:r w:rsidRPr="00442A3B">
        <w:t>On balance, the Commission considered that using 2018-19 non-admitted patient separations for each assessment year, adjusted for additional service costs associated with remoteness, is the appropriate basis for assessment in this update.</w:t>
      </w:r>
      <w:r w:rsidRPr="00442A3B" w:rsidDel="0064217B">
        <w:t xml:space="preserve"> </w:t>
      </w:r>
      <w:r w:rsidR="00A41F75" w:rsidRPr="00442A3B">
        <w:t>This proxy</w:t>
      </w:r>
      <w:r w:rsidRPr="00442A3B" w:rsidDel="00722F89">
        <w:t xml:space="preserve"> </w:t>
      </w:r>
      <w:r w:rsidRPr="00442A3B">
        <w:t>takes account of the key driver of differences in per unit service costs, without overestimating its impact. In future updates, the Commission will use non-admitted patient national weighted activity unit data in the assessment because the Independent Hospital Pricing Authority will provide remoteness loadings for non-admitted patients from the 2019-20 financial year.</w:t>
      </w:r>
    </w:p>
    <w:p w14:paraId="522AC7D8" w14:textId="77777777" w:rsidR="00992295" w:rsidRPr="00442A3B" w:rsidRDefault="00992295" w:rsidP="00992295">
      <w:pPr>
        <w:pStyle w:val="Heading4"/>
      </w:pPr>
      <w:bookmarkStart w:id="254" w:name="_Toc57379357"/>
      <w:bookmarkStart w:id="255" w:name="_Toc65050556"/>
      <w:r w:rsidRPr="00442A3B">
        <w:lastRenderedPageBreak/>
        <w:t xml:space="preserve">Health assessment — data on Indigenous grants </w:t>
      </w:r>
      <w:bookmarkEnd w:id="254"/>
      <w:r w:rsidRPr="00442A3B">
        <w:t>in community health</w:t>
      </w:r>
      <w:bookmarkEnd w:id="255"/>
    </w:p>
    <w:p w14:paraId="1AF4C872" w14:textId="77777777" w:rsidR="00761444" w:rsidRPr="00442A3B" w:rsidRDefault="00761444" w:rsidP="006F1D2E">
      <w:pPr>
        <w:pStyle w:val="Heading5"/>
      </w:pPr>
      <w:r w:rsidRPr="00442A3B">
        <w:t>Issue</w:t>
      </w:r>
    </w:p>
    <w:p w14:paraId="3BBA6F2B" w14:textId="77777777" w:rsidR="00761444" w:rsidRPr="00442A3B" w:rsidRDefault="00761444" w:rsidP="00021B66">
      <w:pPr>
        <w:pStyle w:val="CGCParaNumber"/>
        <w:ind w:left="567" w:hanging="567"/>
      </w:pPr>
      <w:r w:rsidRPr="00442A3B">
        <w:t xml:space="preserve">The Commission adjusts the assessed expenses for community health to recognise that State spending is affected by the availability of Commonwealth funding through the Indigenous Australians’ Health Program (Indigenous grants) for health services provided by Aboriginal Community Controlled Health Services. </w:t>
      </w:r>
    </w:p>
    <w:p w14:paraId="7A478F79" w14:textId="77777777" w:rsidR="00761444" w:rsidRPr="00442A3B" w:rsidRDefault="00761444" w:rsidP="008301E3">
      <w:pPr>
        <w:pStyle w:val="CGCBullet1"/>
      </w:pPr>
      <w:bookmarkStart w:id="256" w:name="_Hlk57042748"/>
      <w:r w:rsidRPr="00442A3B">
        <w:t xml:space="preserve">Aboriginal Community Controlled Health </w:t>
      </w:r>
      <w:bookmarkEnd w:id="256"/>
      <w:r w:rsidRPr="00442A3B">
        <w:t xml:space="preserve">Services provide clinical care and health education, promotion, screening, immunisation and counselling, as well as specific programs such as hearing health, sexual health, substance use and mental health. </w:t>
      </w:r>
    </w:p>
    <w:p w14:paraId="26580068" w14:textId="24CA5FB2" w:rsidR="00761444" w:rsidRPr="00442A3B" w:rsidRDefault="00761444" w:rsidP="008301E3">
      <w:pPr>
        <w:pStyle w:val="CGCBullet1"/>
      </w:pPr>
      <w:r w:rsidRPr="00442A3B">
        <w:t>If a State’s share of the actual Indigenous grants is higher than its share of the sociodemographic groups that, on average, such grants serve, then it would be assessed as needing less GST compared to the other States.</w:t>
      </w:r>
    </w:p>
    <w:p w14:paraId="19145B8B" w14:textId="40D8CA81" w:rsidR="00761444" w:rsidRPr="00442A3B" w:rsidRDefault="00761444" w:rsidP="00021B66">
      <w:pPr>
        <w:pStyle w:val="CGCParaNumber"/>
        <w:ind w:left="567" w:hanging="567"/>
      </w:pPr>
      <w:r w:rsidRPr="00442A3B">
        <w:t xml:space="preserve">In its </w:t>
      </w:r>
      <w:r w:rsidR="005909B1" w:rsidRPr="00442A3B">
        <w:t>2020 Review</w:t>
      </w:r>
      <w:r w:rsidRPr="00442A3B">
        <w:t xml:space="preserve">, the Commission allocated these services based on the remoteness area and Indigenous socioeconomic status (SES) quintile of the site location of the service. </w:t>
      </w:r>
    </w:p>
    <w:p w14:paraId="3D089B18" w14:textId="038DC14F" w:rsidR="00761444" w:rsidRPr="00442A3B" w:rsidRDefault="00761444" w:rsidP="00021B66">
      <w:pPr>
        <w:pStyle w:val="CGCParaNumber"/>
        <w:ind w:left="567" w:hanging="567"/>
      </w:pPr>
      <w:r w:rsidRPr="00442A3B">
        <w:t xml:space="preserve">However, </w:t>
      </w:r>
      <w:bookmarkStart w:id="257" w:name="_Hlk57042141"/>
      <w:r w:rsidRPr="00442A3B">
        <w:t xml:space="preserve">site location information </w:t>
      </w:r>
      <w:bookmarkEnd w:id="257"/>
      <w:r w:rsidRPr="00442A3B">
        <w:t xml:space="preserve">was not collected for 2018-19. Organisations with multiple sites were assigned the remoteness area and SES quintile of </w:t>
      </w:r>
      <w:bookmarkStart w:id="258" w:name="_Hlk57043068"/>
      <w:r w:rsidRPr="00442A3B">
        <w:t>the organisation</w:t>
      </w:r>
      <w:r w:rsidR="00B754BA" w:rsidRPr="00442A3B">
        <w:t>’s</w:t>
      </w:r>
      <w:r w:rsidRPr="00442A3B">
        <w:t xml:space="preserve"> address</w:t>
      </w:r>
      <w:bookmarkEnd w:id="258"/>
      <w:r w:rsidRPr="00442A3B">
        <w:t>.</w:t>
      </w:r>
    </w:p>
    <w:p w14:paraId="0E32B905" w14:textId="77777777" w:rsidR="00761444" w:rsidRPr="00442A3B" w:rsidRDefault="00761444" w:rsidP="00021B66">
      <w:pPr>
        <w:pStyle w:val="CGCParaNumber"/>
        <w:ind w:left="567" w:hanging="567"/>
      </w:pPr>
      <w:r w:rsidRPr="00442A3B">
        <w:t xml:space="preserve">States were consulted on whether, for this update, the Commission should allocate Indigenous grants using the </w:t>
      </w:r>
      <w:bookmarkStart w:id="259" w:name="_Hlk57975606"/>
      <w:r w:rsidRPr="00442A3B">
        <w:t>site distribution information from the 2017-18 financial year</w:t>
      </w:r>
      <w:bookmarkEnd w:id="259"/>
      <w:r w:rsidRPr="00442A3B">
        <w:t xml:space="preserve">, or instead </w:t>
      </w:r>
      <w:bookmarkStart w:id="260" w:name="_Hlk57284279"/>
      <w:r w:rsidRPr="00442A3B">
        <w:t>use the 2018-19 grants data based on the Aboriginal Community Controlled Health Service organisation address.</w:t>
      </w:r>
      <w:bookmarkEnd w:id="260"/>
    </w:p>
    <w:p w14:paraId="4AF0AB5D" w14:textId="77777777" w:rsidR="00761444" w:rsidRPr="00442A3B" w:rsidRDefault="00761444" w:rsidP="008301E3">
      <w:pPr>
        <w:pStyle w:val="Heading5"/>
      </w:pPr>
      <w:r w:rsidRPr="00442A3B">
        <w:t>State views</w:t>
      </w:r>
    </w:p>
    <w:p w14:paraId="0DEAF19E" w14:textId="3AA6A1FA" w:rsidR="00761444" w:rsidRPr="00442A3B" w:rsidRDefault="00761444" w:rsidP="00021B66">
      <w:pPr>
        <w:pStyle w:val="CGCParaNumber"/>
        <w:ind w:left="567" w:hanging="567"/>
      </w:pPr>
      <w:r w:rsidRPr="00442A3B">
        <w:t>Victoria, Queensland, Western Australia, South Australia, Tasmania and the ACT supported the use of site distribution information from the 2017</w:t>
      </w:r>
      <w:r w:rsidRPr="00442A3B">
        <w:noBreakHyphen/>
        <w:t xml:space="preserve">18 financial year to allocate grant funding for the </w:t>
      </w:r>
      <w:r w:rsidR="005909B1" w:rsidRPr="00442A3B">
        <w:t>2021 Update</w:t>
      </w:r>
      <w:r w:rsidRPr="00442A3B">
        <w:t>. Western Australia recommended the Commission seek site information data directly from Aboriginal Community Controlled Health Services in future if it is not available from the Australian Institute of Health and Welfare. The Northern Territory did not support the use of site distribution information from the 2017</w:t>
      </w:r>
      <w:r w:rsidRPr="00442A3B">
        <w:noBreakHyphen/>
        <w:t xml:space="preserve">18 financial year to allocate grant funding for the </w:t>
      </w:r>
      <w:r w:rsidR="005909B1" w:rsidRPr="00442A3B">
        <w:t>2021 Update</w:t>
      </w:r>
      <w:r w:rsidRPr="00442A3B">
        <w:t xml:space="preserve">. </w:t>
      </w:r>
    </w:p>
    <w:p w14:paraId="09440448" w14:textId="77777777" w:rsidR="00761444" w:rsidRPr="00442A3B" w:rsidRDefault="00761444" w:rsidP="008301E3">
      <w:pPr>
        <w:pStyle w:val="Heading5"/>
      </w:pPr>
      <w:bookmarkStart w:id="261" w:name="_Hlk58922848"/>
      <w:r w:rsidRPr="00442A3B">
        <w:t>Commission decision</w:t>
      </w:r>
    </w:p>
    <w:bookmarkEnd w:id="261"/>
    <w:p w14:paraId="1164F562" w14:textId="670AAC13" w:rsidR="00761444" w:rsidRPr="00442A3B" w:rsidRDefault="00761444" w:rsidP="00021B66">
      <w:pPr>
        <w:pStyle w:val="CGCParaNumber"/>
        <w:ind w:left="567" w:hanging="567"/>
      </w:pPr>
      <w:r w:rsidRPr="00442A3B">
        <w:rPr>
          <w:lang w:val="en-GB"/>
        </w:rPr>
        <w:t xml:space="preserve">The </w:t>
      </w:r>
      <w:r w:rsidRPr="00442A3B">
        <w:t>Commission</w:t>
      </w:r>
      <w:r w:rsidRPr="00442A3B">
        <w:rPr>
          <w:lang w:val="en-GB"/>
        </w:rPr>
        <w:t xml:space="preserve"> decided to allocate Indigenous grants using the site distribution information from the 2017-18 financial year as this</w:t>
      </w:r>
      <w:r w:rsidRPr="00442A3B" w:rsidDel="00AA27B3">
        <w:rPr>
          <w:lang w:val="en-GB"/>
        </w:rPr>
        <w:t xml:space="preserve"> </w:t>
      </w:r>
      <w:r w:rsidRPr="00442A3B">
        <w:rPr>
          <w:lang w:val="en-GB"/>
        </w:rPr>
        <w:t xml:space="preserve">more closely aligns the distribution of </w:t>
      </w:r>
      <w:r w:rsidRPr="00442A3B">
        <w:t>Aboriginal Community Controlled Health Services</w:t>
      </w:r>
      <w:r w:rsidRPr="00442A3B">
        <w:rPr>
          <w:lang w:val="en-GB"/>
        </w:rPr>
        <w:t xml:space="preserve"> spending with the population groups that benefit from the services.</w:t>
      </w:r>
    </w:p>
    <w:p w14:paraId="7FC6BE09" w14:textId="77777777" w:rsidR="00992C05" w:rsidRPr="00442A3B" w:rsidRDefault="00992C05" w:rsidP="008301E3">
      <w:pPr>
        <w:pStyle w:val="Heading4"/>
      </w:pPr>
      <w:bookmarkStart w:id="262" w:name="_Toc65050557"/>
      <w:r w:rsidRPr="00442A3B">
        <w:t>Health assessment — service delivery scale</w:t>
      </w:r>
      <w:r w:rsidRPr="00442A3B" w:rsidDel="00EE004D">
        <w:t xml:space="preserve"> </w:t>
      </w:r>
      <w:r w:rsidRPr="00442A3B">
        <w:t>adjustment in community health</w:t>
      </w:r>
      <w:bookmarkEnd w:id="262"/>
    </w:p>
    <w:p w14:paraId="16AF675B" w14:textId="77777777" w:rsidR="00092F69" w:rsidRPr="00442A3B" w:rsidRDefault="00092F69" w:rsidP="008301E3">
      <w:pPr>
        <w:pStyle w:val="Heading5"/>
      </w:pPr>
      <w:r w:rsidRPr="00442A3B">
        <w:t>Issue</w:t>
      </w:r>
    </w:p>
    <w:p w14:paraId="05E0036F" w14:textId="7CDE4B4A" w:rsidR="00092F69" w:rsidRPr="00442A3B" w:rsidRDefault="00092F69" w:rsidP="00021B66">
      <w:pPr>
        <w:pStyle w:val="CGCParaNumber"/>
        <w:ind w:left="567" w:hanging="567"/>
      </w:pPr>
      <w:r w:rsidRPr="00442A3B">
        <w:t xml:space="preserve">The Commission bases its assessment of the sociodemographic composition for community health on emergency department triage categories 4 and 5 national weighted activity unit data. </w:t>
      </w:r>
      <w:r w:rsidR="00DA0308" w:rsidRPr="00442A3B">
        <w:t>It</w:t>
      </w:r>
      <w:r w:rsidRPr="00442A3B">
        <w:t xml:space="preserve"> </w:t>
      </w:r>
      <w:r w:rsidR="002A0815" w:rsidRPr="00442A3B">
        <w:t>then</w:t>
      </w:r>
      <w:r w:rsidRPr="00442A3B">
        <w:t xml:space="preserve"> adjusts the national weighted activity unit data to reflect the higher cost of providing services in remote locations due to the lack of scale efficiencies.</w:t>
      </w:r>
    </w:p>
    <w:p w14:paraId="7DF0745D" w14:textId="675BD9B6" w:rsidR="00092F69" w:rsidRPr="00442A3B" w:rsidRDefault="00092F69" w:rsidP="00021B66">
      <w:pPr>
        <w:pStyle w:val="CGCParaNumber"/>
        <w:ind w:left="567" w:hanging="567"/>
        <w:rPr>
          <w:lang w:val="en-US"/>
        </w:rPr>
      </w:pPr>
      <w:r w:rsidRPr="00442A3B">
        <w:rPr>
          <w:lang w:val="en-US"/>
        </w:rPr>
        <w:lastRenderedPageBreak/>
        <w:t xml:space="preserve">For </w:t>
      </w:r>
      <w:r w:rsidRPr="00442A3B">
        <w:t>the</w:t>
      </w:r>
      <w:r w:rsidRPr="00442A3B">
        <w:rPr>
          <w:lang w:val="en-US"/>
        </w:rPr>
        <w:t xml:space="preserve"> </w:t>
      </w:r>
      <w:r w:rsidR="005909B1" w:rsidRPr="00442A3B">
        <w:rPr>
          <w:lang w:val="en-US"/>
        </w:rPr>
        <w:t>2020 Review</w:t>
      </w:r>
      <w:r w:rsidRPr="00442A3B">
        <w:rPr>
          <w:lang w:val="en-US"/>
        </w:rPr>
        <w:t xml:space="preserve">, the Commission applied a service delivery scale adjustment to these emergency department </w:t>
      </w:r>
      <w:r w:rsidRPr="00442A3B">
        <w:t>national weighted activity unit data from</w:t>
      </w:r>
      <w:r w:rsidRPr="00442A3B">
        <w:rPr>
          <w:lang w:val="en-US"/>
        </w:rPr>
        <w:t xml:space="preserve"> block funded hospitals, but not from activity based funded hospitals. Therefore, only a subset of the relevant national weighted activity units was adjusted to recognise the higher cost of providing services in remote locations.</w:t>
      </w:r>
      <w:r w:rsidR="003370E9" w:rsidRPr="00442A3B">
        <w:rPr>
          <w:lang w:val="en-US"/>
        </w:rPr>
        <w:t xml:space="preserve"> The States were not consulted on this matter as it was a correction of an error.</w:t>
      </w:r>
    </w:p>
    <w:p w14:paraId="1799F021" w14:textId="5C62D802" w:rsidR="00B820A2" w:rsidRPr="00442A3B" w:rsidRDefault="00B820A2" w:rsidP="00021B66">
      <w:pPr>
        <w:pStyle w:val="CGCParaNumber"/>
        <w:ind w:left="567" w:hanging="567"/>
        <w:rPr>
          <w:lang w:val="en-US"/>
        </w:rPr>
      </w:pPr>
      <w:r w:rsidRPr="00442A3B">
        <w:rPr>
          <w:lang w:val="en-US"/>
        </w:rPr>
        <w:t xml:space="preserve">The impact of applying service delivery scale (SDS) more broadly is shown in </w:t>
      </w:r>
      <w:r w:rsidR="005A296E" w:rsidRPr="00442A3B">
        <w:rPr>
          <w:lang w:val="en-US"/>
        </w:rPr>
        <w:fldChar w:fldCharType="begin"/>
      </w:r>
      <w:r w:rsidR="005A296E" w:rsidRPr="00442A3B">
        <w:rPr>
          <w:lang w:val="en-US"/>
        </w:rPr>
        <w:instrText xml:space="preserve"> REF _Ref63161813 \h </w:instrText>
      </w:r>
      <w:r w:rsidR="00442A3B">
        <w:rPr>
          <w:lang w:val="en-US"/>
        </w:rPr>
        <w:instrText xml:space="preserve"> \* MERGEFORMAT </w:instrText>
      </w:r>
      <w:r w:rsidR="005A296E" w:rsidRPr="00442A3B">
        <w:rPr>
          <w:lang w:val="en-US"/>
        </w:rPr>
      </w:r>
      <w:r w:rsidR="005A296E" w:rsidRPr="00442A3B">
        <w:rPr>
          <w:lang w:val="en-US"/>
        </w:rPr>
        <w:fldChar w:fldCharType="separate"/>
      </w:r>
      <w:r w:rsidR="00FC3D3D" w:rsidRPr="00442A3B">
        <w:t>Table 4</w:t>
      </w:r>
      <w:r w:rsidR="00FC3D3D" w:rsidRPr="00442A3B">
        <w:noBreakHyphen/>
      </w:r>
      <w:r w:rsidR="00FC3D3D">
        <w:t>1</w:t>
      </w:r>
      <w:r w:rsidR="005A296E" w:rsidRPr="00442A3B">
        <w:rPr>
          <w:lang w:val="en-US"/>
        </w:rPr>
        <w:fldChar w:fldCharType="end"/>
      </w:r>
      <w:r w:rsidR="005A296E" w:rsidRPr="00442A3B">
        <w:rPr>
          <w:lang w:val="en-US"/>
        </w:rPr>
        <w:t>.</w:t>
      </w:r>
    </w:p>
    <w:p w14:paraId="079DD385" w14:textId="626A5877" w:rsidR="00B820A2" w:rsidRPr="00442A3B" w:rsidRDefault="00B820A2" w:rsidP="00B820A2">
      <w:pPr>
        <w:pStyle w:val="Caption"/>
      </w:pPr>
      <w:bookmarkStart w:id="263" w:name="_Ref63068092"/>
      <w:bookmarkStart w:id="264" w:name="_Ref63161813"/>
      <w:r w:rsidRPr="00442A3B">
        <w:t xml:space="preserve">Table </w:t>
      </w:r>
      <w:bookmarkEnd w:id="263"/>
      <w:r w:rsidR="00835CAE" w:rsidRPr="00442A3B">
        <w:t>4</w:t>
      </w:r>
      <w:r w:rsidR="00835CAE" w:rsidRPr="00442A3B">
        <w:noBreakHyphen/>
      </w:r>
      <w:fldSimple w:instr=" SEQ Table \* ARABIC\r 1 ">
        <w:r w:rsidR="00FC3D3D">
          <w:rPr>
            <w:noProof/>
          </w:rPr>
          <w:t>1</w:t>
        </w:r>
      </w:fldSimple>
      <w:bookmarkEnd w:id="264"/>
      <w:r w:rsidRPr="00442A3B">
        <w:tab/>
        <w:t>Illustrative impact on GST distribution in 2021-22 of applying service delivery scale to all activity</w:t>
      </w:r>
    </w:p>
    <w:tbl>
      <w:tblPr>
        <w:tblW w:w="8902" w:type="dxa"/>
        <w:tblCellMar>
          <w:left w:w="28" w:type="dxa"/>
          <w:right w:w="28" w:type="dxa"/>
        </w:tblCellMar>
        <w:tblLook w:val="04A0" w:firstRow="1" w:lastRow="0" w:firstColumn="1" w:lastColumn="0" w:noHBand="0" w:noVBand="1"/>
      </w:tblPr>
      <w:tblGrid>
        <w:gridCol w:w="2513"/>
        <w:gridCol w:w="709"/>
        <w:gridCol w:w="710"/>
        <w:gridCol w:w="710"/>
        <w:gridCol w:w="710"/>
        <w:gridCol w:w="710"/>
        <w:gridCol w:w="710"/>
        <w:gridCol w:w="710"/>
        <w:gridCol w:w="710"/>
        <w:gridCol w:w="710"/>
      </w:tblGrid>
      <w:tr w:rsidR="005E1F0D" w:rsidRPr="00442A3B" w14:paraId="561D1074" w14:textId="77777777" w:rsidTr="0077236E">
        <w:trPr>
          <w:trHeight w:val="375"/>
        </w:trPr>
        <w:tc>
          <w:tcPr>
            <w:tcW w:w="2480" w:type="dxa"/>
            <w:tcBorders>
              <w:top w:val="nil"/>
              <w:left w:val="nil"/>
              <w:bottom w:val="nil"/>
              <w:right w:val="nil"/>
            </w:tcBorders>
            <w:shd w:val="clear" w:color="000000" w:fill="006991"/>
            <w:noWrap/>
            <w:vAlign w:val="center"/>
            <w:hideMark/>
          </w:tcPr>
          <w:p w14:paraId="4CC84B44" w14:textId="77777777" w:rsidR="00B820A2" w:rsidRPr="00442A3B" w:rsidRDefault="00B820A2" w:rsidP="009E113A">
            <w:pPr>
              <w:tabs>
                <w:tab w:val="clear" w:pos="567"/>
              </w:tabs>
              <w:spacing w:before="0" w:line="240" w:lineRule="auto"/>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 </w:t>
            </w:r>
          </w:p>
        </w:tc>
        <w:tc>
          <w:tcPr>
            <w:tcW w:w="700" w:type="dxa"/>
            <w:tcBorders>
              <w:top w:val="nil"/>
              <w:left w:val="nil"/>
              <w:bottom w:val="nil"/>
              <w:right w:val="nil"/>
            </w:tcBorders>
            <w:shd w:val="clear" w:color="000000" w:fill="006991"/>
            <w:vAlign w:val="center"/>
            <w:hideMark/>
          </w:tcPr>
          <w:p w14:paraId="3AFC4127" w14:textId="77777777" w:rsidR="00B820A2" w:rsidRPr="00442A3B" w:rsidRDefault="00B820A2" w:rsidP="009E113A">
            <w:pPr>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NSW</w:t>
            </w:r>
          </w:p>
        </w:tc>
        <w:tc>
          <w:tcPr>
            <w:tcW w:w="700" w:type="dxa"/>
            <w:tcBorders>
              <w:top w:val="nil"/>
              <w:left w:val="nil"/>
              <w:bottom w:val="nil"/>
              <w:right w:val="nil"/>
            </w:tcBorders>
            <w:shd w:val="clear" w:color="000000" w:fill="006991"/>
            <w:vAlign w:val="center"/>
            <w:hideMark/>
          </w:tcPr>
          <w:p w14:paraId="7A5C39A6" w14:textId="77777777" w:rsidR="00B820A2" w:rsidRPr="00442A3B" w:rsidRDefault="00B820A2" w:rsidP="009E113A">
            <w:pPr>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Vic</w:t>
            </w:r>
          </w:p>
        </w:tc>
        <w:tc>
          <w:tcPr>
            <w:tcW w:w="700" w:type="dxa"/>
            <w:tcBorders>
              <w:top w:val="nil"/>
              <w:left w:val="nil"/>
              <w:bottom w:val="nil"/>
              <w:right w:val="nil"/>
            </w:tcBorders>
            <w:shd w:val="clear" w:color="000000" w:fill="006991"/>
            <w:vAlign w:val="center"/>
            <w:hideMark/>
          </w:tcPr>
          <w:p w14:paraId="3F1C9642" w14:textId="77777777" w:rsidR="00B820A2" w:rsidRPr="00442A3B" w:rsidRDefault="00B820A2" w:rsidP="009E113A">
            <w:pPr>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Qld</w:t>
            </w:r>
          </w:p>
        </w:tc>
        <w:tc>
          <w:tcPr>
            <w:tcW w:w="700" w:type="dxa"/>
            <w:tcBorders>
              <w:top w:val="nil"/>
              <w:left w:val="nil"/>
              <w:bottom w:val="nil"/>
              <w:right w:val="nil"/>
            </w:tcBorders>
            <w:shd w:val="clear" w:color="000000" w:fill="006991"/>
            <w:vAlign w:val="center"/>
            <w:hideMark/>
          </w:tcPr>
          <w:p w14:paraId="46BD2CAE" w14:textId="77777777" w:rsidR="00B820A2" w:rsidRPr="00442A3B" w:rsidRDefault="00B820A2" w:rsidP="009E113A">
            <w:pPr>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WA</w:t>
            </w:r>
          </w:p>
        </w:tc>
        <w:tc>
          <w:tcPr>
            <w:tcW w:w="700" w:type="dxa"/>
            <w:tcBorders>
              <w:top w:val="nil"/>
              <w:left w:val="nil"/>
              <w:bottom w:val="nil"/>
              <w:right w:val="nil"/>
            </w:tcBorders>
            <w:shd w:val="clear" w:color="000000" w:fill="006991"/>
            <w:vAlign w:val="center"/>
            <w:hideMark/>
          </w:tcPr>
          <w:p w14:paraId="6267ECB8" w14:textId="77777777" w:rsidR="00B820A2" w:rsidRPr="00442A3B" w:rsidRDefault="00B820A2" w:rsidP="009E113A">
            <w:pPr>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SA</w:t>
            </w:r>
          </w:p>
        </w:tc>
        <w:tc>
          <w:tcPr>
            <w:tcW w:w="700" w:type="dxa"/>
            <w:tcBorders>
              <w:top w:val="nil"/>
              <w:left w:val="nil"/>
              <w:bottom w:val="nil"/>
              <w:right w:val="nil"/>
            </w:tcBorders>
            <w:shd w:val="clear" w:color="000000" w:fill="006991"/>
            <w:noWrap/>
            <w:vAlign w:val="center"/>
            <w:hideMark/>
          </w:tcPr>
          <w:p w14:paraId="47F1430F" w14:textId="77777777" w:rsidR="00B820A2" w:rsidRPr="00442A3B" w:rsidRDefault="00B820A2" w:rsidP="009E113A">
            <w:pPr>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Tas</w:t>
            </w:r>
          </w:p>
        </w:tc>
        <w:tc>
          <w:tcPr>
            <w:tcW w:w="700" w:type="dxa"/>
            <w:tcBorders>
              <w:top w:val="nil"/>
              <w:left w:val="nil"/>
              <w:bottom w:val="nil"/>
              <w:right w:val="nil"/>
            </w:tcBorders>
            <w:shd w:val="clear" w:color="000000" w:fill="006991"/>
            <w:vAlign w:val="center"/>
            <w:hideMark/>
          </w:tcPr>
          <w:p w14:paraId="0DA665BA" w14:textId="77777777" w:rsidR="00B820A2" w:rsidRPr="00442A3B" w:rsidRDefault="00B820A2" w:rsidP="009E113A">
            <w:pPr>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ACT</w:t>
            </w:r>
          </w:p>
        </w:tc>
        <w:tc>
          <w:tcPr>
            <w:tcW w:w="700" w:type="dxa"/>
            <w:tcBorders>
              <w:top w:val="nil"/>
              <w:left w:val="nil"/>
              <w:bottom w:val="nil"/>
              <w:right w:val="nil"/>
            </w:tcBorders>
            <w:shd w:val="clear" w:color="000000" w:fill="006991"/>
            <w:vAlign w:val="center"/>
            <w:hideMark/>
          </w:tcPr>
          <w:p w14:paraId="43994ACA" w14:textId="77777777" w:rsidR="00B820A2" w:rsidRPr="00442A3B" w:rsidRDefault="00B820A2" w:rsidP="009E113A">
            <w:pPr>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NT</w:t>
            </w:r>
          </w:p>
        </w:tc>
        <w:tc>
          <w:tcPr>
            <w:tcW w:w="700" w:type="dxa"/>
            <w:tcBorders>
              <w:top w:val="nil"/>
              <w:left w:val="nil"/>
              <w:bottom w:val="nil"/>
              <w:right w:val="nil"/>
            </w:tcBorders>
            <w:shd w:val="clear" w:color="000000" w:fill="006991"/>
            <w:vAlign w:val="center"/>
            <w:hideMark/>
          </w:tcPr>
          <w:p w14:paraId="6AD70664" w14:textId="77777777" w:rsidR="00B820A2" w:rsidRPr="00442A3B" w:rsidRDefault="00B820A2" w:rsidP="009E113A">
            <w:pPr>
              <w:tabs>
                <w:tab w:val="clear" w:pos="567"/>
              </w:tabs>
              <w:spacing w:before="0" w:line="240" w:lineRule="auto"/>
              <w:jc w:val="right"/>
              <w:rPr>
                <w:rFonts w:ascii="Open Sans Semibold" w:eastAsia="MS Mincho" w:hAnsi="Open Sans Semibold" w:cs="Open Sans Semibold"/>
                <w:color w:val="FFFFFF"/>
                <w:sz w:val="16"/>
                <w:szCs w:val="16"/>
                <w:lang w:eastAsia="en-AU"/>
              </w:rPr>
            </w:pPr>
            <w:r w:rsidRPr="00442A3B">
              <w:rPr>
                <w:rFonts w:ascii="Open Sans Semibold" w:eastAsia="MS Mincho" w:hAnsi="Open Sans Semibold" w:cs="Open Sans Semibold"/>
                <w:color w:val="FFFFFF"/>
                <w:sz w:val="16"/>
                <w:szCs w:val="16"/>
                <w:lang w:eastAsia="en-AU"/>
              </w:rPr>
              <w:t>Total</w:t>
            </w:r>
          </w:p>
        </w:tc>
      </w:tr>
      <w:tr w:rsidR="005E1F0D" w:rsidRPr="00442A3B" w14:paraId="2F19766B" w14:textId="77777777" w:rsidTr="0077236E">
        <w:trPr>
          <w:trHeight w:val="315"/>
        </w:trPr>
        <w:tc>
          <w:tcPr>
            <w:tcW w:w="2480" w:type="dxa"/>
            <w:tcBorders>
              <w:top w:val="nil"/>
              <w:left w:val="nil"/>
              <w:bottom w:val="single" w:sz="4" w:space="0" w:color="ADD6EA"/>
              <w:right w:val="nil"/>
            </w:tcBorders>
            <w:shd w:val="clear" w:color="000000" w:fill="FFFFFF"/>
            <w:vAlign w:val="bottom"/>
            <w:hideMark/>
          </w:tcPr>
          <w:p w14:paraId="340D2229" w14:textId="77777777" w:rsidR="00B820A2" w:rsidRPr="00442A3B" w:rsidRDefault="00B820A2" w:rsidP="009E113A">
            <w:pPr>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Broad application of SDS $m</w:t>
            </w:r>
          </w:p>
        </w:tc>
        <w:tc>
          <w:tcPr>
            <w:tcW w:w="700" w:type="dxa"/>
            <w:tcBorders>
              <w:top w:val="nil"/>
              <w:left w:val="nil"/>
              <w:bottom w:val="single" w:sz="4" w:space="0" w:color="ADD6EA"/>
              <w:right w:val="nil"/>
            </w:tcBorders>
            <w:shd w:val="clear" w:color="000000" w:fill="FFFFFF"/>
            <w:vAlign w:val="bottom"/>
            <w:hideMark/>
          </w:tcPr>
          <w:p w14:paraId="76E44792" w14:textId="77777777" w:rsidR="00B820A2" w:rsidRPr="00442A3B" w:rsidRDefault="00B820A2" w:rsidP="009E113A">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2,910</w:t>
            </w:r>
          </w:p>
        </w:tc>
        <w:tc>
          <w:tcPr>
            <w:tcW w:w="700" w:type="dxa"/>
            <w:tcBorders>
              <w:top w:val="nil"/>
              <w:left w:val="nil"/>
              <w:bottom w:val="single" w:sz="4" w:space="0" w:color="ADD6EA"/>
              <w:right w:val="nil"/>
            </w:tcBorders>
            <w:shd w:val="clear" w:color="000000" w:fill="FFFFFF"/>
            <w:vAlign w:val="bottom"/>
            <w:hideMark/>
          </w:tcPr>
          <w:p w14:paraId="2E9AB396" w14:textId="77777777" w:rsidR="00B820A2" w:rsidRPr="00442A3B" w:rsidRDefault="00B820A2" w:rsidP="009E113A">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2,312</w:t>
            </w:r>
          </w:p>
        </w:tc>
        <w:tc>
          <w:tcPr>
            <w:tcW w:w="700" w:type="dxa"/>
            <w:tcBorders>
              <w:top w:val="nil"/>
              <w:left w:val="nil"/>
              <w:bottom w:val="single" w:sz="4" w:space="0" w:color="ADD6EA"/>
              <w:right w:val="nil"/>
            </w:tcBorders>
            <w:shd w:val="clear" w:color="000000" w:fill="FFFFFF"/>
            <w:vAlign w:val="bottom"/>
            <w:hideMark/>
          </w:tcPr>
          <w:p w14:paraId="7FE84B98" w14:textId="77777777" w:rsidR="00B820A2" w:rsidRPr="00442A3B" w:rsidRDefault="00B820A2" w:rsidP="009E113A">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2,164</w:t>
            </w:r>
          </w:p>
        </w:tc>
        <w:tc>
          <w:tcPr>
            <w:tcW w:w="700" w:type="dxa"/>
            <w:tcBorders>
              <w:top w:val="nil"/>
              <w:left w:val="nil"/>
              <w:bottom w:val="single" w:sz="4" w:space="0" w:color="ADD6EA"/>
              <w:right w:val="nil"/>
            </w:tcBorders>
            <w:shd w:val="clear" w:color="000000" w:fill="FFFFFF"/>
            <w:vAlign w:val="bottom"/>
            <w:hideMark/>
          </w:tcPr>
          <w:p w14:paraId="0DA8F8B6" w14:textId="77777777" w:rsidR="00B820A2" w:rsidRPr="00442A3B" w:rsidRDefault="00B820A2" w:rsidP="009E113A">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1,164</w:t>
            </w:r>
          </w:p>
        </w:tc>
        <w:tc>
          <w:tcPr>
            <w:tcW w:w="700" w:type="dxa"/>
            <w:tcBorders>
              <w:top w:val="nil"/>
              <w:left w:val="nil"/>
              <w:bottom w:val="single" w:sz="4" w:space="0" w:color="ADD6EA"/>
              <w:right w:val="nil"/>
            </w:tcBorders>
            <w:shd w:val="clear" w:color="000000" w:fill="FFFFFF"/>
            <w:vAlign w:val="bottom"/>
            <w:hideMark/>
          </w:tcPr>
          <w:p w14:paraId="265A2693" w14:textId="77777777" w:rsidR="00B820A2" w:rsidRPr="00442A3B" w:rsidRDefault="00B820A2" w:rsidP="009E113A">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705</w:t>
            </w:r>
          </w:p>
        </w:tc>
        <w:tc>
          <w:tcPr>
            <w:tcW w:w="700" w:type="dxa"/>
            <w:tcBorders>
              <w:top w:val="nil"/>
              <w:left w:val="nil"/>
              <w:bottom w:val="single" w:sz="4" w:space="0" w:color="ADD6EA"/>
              <w:right w:val="nil"/>
            </w:tcBorders>
            <w:shd w:val="clear" w:color="000000" w:fill="FFFFFF"/>
            <w:vAlign w:val="bottom"/>
            <w:hideMark/>
          </w:tcPr>
          <w:p w14:paraId="6B86A1AD" w14:textId="77777777" w:rsidR="00B820A2" w:rsidRPr="00442A3B" w:rsidRDefault="00B820A2" w:rsidP="009E113A">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331</w:t>
            </w:r>
          </w:p>
        </w:tc>
        <w:tc>
          <w:tcPr>
            <w:tcW w:w="700" w:type="dxa"/>
            <w:tcBorders>
              <w:top w:val="nil"/>
              <w:left w:val="nil"/>
              <w:bottom w:val="single" w:sz="4" w:space="0" w:color="ADD6EA"/>
              <w:right w:val="nil"/>
            </w:tcBorders>
            <w:shd w:val="clear" w:color="000000" w:fill="FFFFFF"/>
            <w:vAlign w:val="bottom"/>
            <w:hideMark/>
          </w:tcPr>
          <w:p w14:paraId="26F5669B" w14:textId="77777777" w:rsidR="00B820A2" w:rsidRPr="00442A3B" w:rsidRDefault="00B820A2" w:rsidP="009E113A">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157</w:t>
            </w:r>
          </w:p>
        </w:tc>
        <w:tc>
          <w:tcPr>
            <w:tcW w:w="700" w:type="dxa"/>
            <w:tcBorders>
              <w:top w:val="nil"/>
              <w:left w:val="nil"/>
              <w:bottom w:val="single" w:sz="4" w:space="0" w:color="ADD6EA"/>
              <w:right w:val="nil"/>
            </w:tcBorders>
            <w:shd w:val="clear" w:color="000000" w:fill="FFFFFF"/>
            <w:vAlign w:val="bottom"/>
            <w:hideMark/>
          </w:tcPr>
          <w:p w14:paraId="2F6E0C6B" w14:textId="77777777" w:rsidR="00B820A2" w:rsidRPr="00442A3B" w:rsidRDefault="00B820A2" w:rsidP="009E113A">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206</w:t>
            </w:r>
          </w:p>
        </w:tc>
        <w:tc>
          <w:tcPr>
            <w:tcW w:w="700" w:type="dxa"/>
            <w:tcBorders>
              <w:top w:val="nil"/>
              <w:left w:val="nil"/>
              <w:bottom w:val="single" w:sz="4" w:space="0" w:color="ADD6EA"/>
              <w:right w:val="nil"/>
            </w:tcBorders>
            <w:shd w:val="clear" w:color="000000" w:fill="FFFFFF"/>
            <w:vAlign w:val="bottom"/>
            <w:hideMark/>
          </w:tcPr>
          <w:p w14:paraId="2BDF42FC" w14:textId="77777777" w:rsidR="00B820A2" w:rsidRPr="00442A3B" w:rsidRDefault="00B820A2" w:rsidP="009E113A">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9,950</w:t>
            </w:r>
          </w:p>
        </w:tc>
      </w:tr>
      <w:tr w:rsidR="005E1F0D" w:rsidRPr="00442A3B" w14:paraId="4B54FFDC" w14:textId="77777777" w:rsidTr="0077236E">
        <w:trPr>
          <w:trHeight w:val="315"/>
        </w:trPr>
        <w:tc>
          <w:tcPr>
            <w:tcW w:w="2480" w:type="dxa"/>
            <w:tcBorders>
              <w:top w:val="nil"/>
              <w:left w:val="nil"/>
              <w:bottom w:val="single" w:sz="4" w:space="0" w:color="ADD6EA"/>
              <w:right w:val="nil"/>
            </w:tcBorders>
            <w:shd w:val="clear" w:color="000000" w:fill="FFFFFF"/>
            <w:vAlign w:val="bottom"/>
            <w:hideMark/>
          </w:tcPr>
          <w:p w14:paraId="7EE0BB89" w14:textId="77777777" w:rsidR="00B820A2" w:rsidRPr="00442A3B" w:rsidRDefault="00B820A2" w:rsidP="009E113A">
            <w:pPr>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Narrow application of SDS $m</w:t>
            </w:r>
          </w:p>
        </w:tc>
        <w:tc>
          <w:tcPr>
            <w:tcW w:w="700" w:type="dxa"/>
            <w:tcBorders>
              <w:top w:val="nil"/>
              <w:left w:val="nil"/>
              <w:bottom w:val="single" w:sz="4" w:space="0" w:color="ADD6EA"/>
              <w:right w:val="nil"/>
            </w:tcBorders>
            <w:shd w:val="clear" w:color="000000" w:fill="FFFFFF"/>
            <w:vAlign w:val="bottom"/>
            <w:hideMark/>
          </w:tcPr>
          <w:p w14:paraId="0E8780B7" w14:textId="77777777" w:rsidR="00B820A2" w:rsidRPr="00442A3B" w:rsidRDefault="00B820A2" w:rsidP="009E113A">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2,930</w:t>
            </w:r>
          </w:p>
        </w:tc>
        <w:tc>
          <w:tcPr>
            <w:tcW w:w="700" w:type="dxa"/>
            <w:tcBorders>
              <w:top w:val="nil"/>
              <w:left w:val="nil"/>
              <w:bottom w:val="single" w:sz="4" w:space="0" w:color="ADD6EA"/>
              <w:right w:val="nil"/>
            </w:tcBorders>
            <w:shd w:val="clear" w:color="000000" w:fill="FFFFFF"/>
            <w:vAlign w:val="bottom"/>
            <w:hideMark/>
          </w:tcPr>
          <w:p w14:paraId="7F61AF63" w14:textId="77777777" w:rsidR="00B820A2" w:rsidRPr="00442A3B" w:rsidRDefault="00B820A2" w:rsidP="009E113A">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2,336</w:t>
            </w:r>
          </w:p>
        </w:tc>
        <w:tc>
          <w:tcPr>
            <w:tcW w:w="700" w:type="dxa"/>
            <w:tcBorders>
              <w:top w:val="nil"/>
              <w:left w:val="nil"/>
              <w:bottom w:val="single" w:sz="4" w:space="0" w:color="ADD6EA"/>
              <w:right w:val="nil"/>
            </w:tcBorders>
            <w:shd w:val="clear" w:color="000000" w:fill="FFFFFF"/>
            <w:vAlign w:val="bottom"/>
            <w:hideMark/>
          </w:tcPr>
          <w:p w14:paraId="61927108" w14:textId="77777777" w:rsidR="00B820A2" w:rsidRPr="00442A3B" w:rsidRDefault="00B820A2" w:rsidP="009E113A">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2,151</w:t>
            </w:r>
          </w:p>
        </w:tc>
        <w:tc>
          <w:tcPr>
            <w:tcW w:w="700" w:type="dxa"/>
            <w:tcBorders>
              <w:top w:val="nil"/>
              <w:left w:val="nil"/>
              <w:bottom w:val="single" w:sz="4" w:space="0" w:color="ADD6EA"/>
              <w:right w:val="nil"/>
            </w:tcBorders>
            <w:shd w:val="clear" w:color="000000" w:fill="FFFFFF"/>
            <w:vAlign w:val="bottom"/>
            <w:hideMark/>
          </w:tcPr>
          <w:p w14:paraId="4A073AB7" w14:textId="77777777" w:rsidR="00B820A2" w:rsidRPr="00442A3B" w:rsidRDefault="00B820A2" w:rsidP="009E113A">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1,156</w:t>
            </w:r>
          </w:p>
        </w:tc>
        <w:tc>
          <w:tcPr>
            <w:tcW w:w="700" w:type="dxa"/>
            <w:tcBorders>
              <w:top w:val="nil"/>
              <w:left w:val="nil"/>
              <w:bottom w:val="single" w:sz="4" w:space="0" w:color="ADD6EA"/>
              <w:right w:val="nil"/>
            </w:tcBorders>
            <w:shd w:val="clear" w:color="000000" w:fill="FFFFFF"/>
            <w:vAlign w:val="bottom"/>
            <w:hideMark/>
          </w:tcPr>
          <w:p w14:paraId="12644D29" w14:textId="77777777" w:rsidR="00B820A2" w:rsidRPr="00442A3B" w:rsidRDefault="00B820A2" w:rsidP="009E113A">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704</w:t>
            </w:r>
          </w:p>
        </w:tc>
        <w:tc>
          <w:tcPr>
            <w:tcW w:w="700" w:type="dxa"/>
            <w:tcBorders>
              <w:top w:val="nil"/>
              <w:left w:val="nil"/>
              <w:bottom w:val="single" w:sz="4" w:space="0" w:color="ADD6EA"/>
              <w:right w:val="nil"/>
            </w:tcBorders>
            <w:shd w:val="clear" w:color="000000" w:fill="FFFFFF"/>
            <w:vAlign w:val="bottom"/>
            <w:hideMark/>
          </w:tcPr>
          <w:p w14:paraId="2CF0C6BB" w14:textId="77777777" w:rsidR="00B820A2" w:rsidRPr="00442A3B" w:rsidRDefault="00B820A2" w:rsidP="009E113A">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326</w:t>
            </w:r>
          </w:p>
        </w:tc>
        <w:tc>
          <w:tcPr>
            <w:tcW w:w="700" w:type="dxa"/>
            <w:tcBorders>
              <w:top w:val="nil"/>
              <w:left w:val="nil"/>
              <w:bottom w:val="single" w:sz="4" w:space="0" w:color="ADD6EA"/>
              <w:right w:val="nil"/>
            </w:tcBorders>
            <w:shd w:val="clear" w:color="000000" w:fill="FFFFFF"/>
            <w:vAlign w:val="bottom"/>
            <w:hideMark/>
          </w:tcPr>
          <w:p w14:paraId="2C04CD8D" w14:textId="77777777" w:rsidR="00B820A2" w:rsidRPr="00442A3B" w:rsidRDefault="00B820A2" w:rsidP="009E113A">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160</w:t>
            </w:r>
          </w:p>
        </w:tc>
        <w:tc>
          <w:tcPr>
            <w:tcW w:w="700" w:type="dxa"/>
            <w:tcBorders>
              <w:top w:val="nil"/>
              <w:left w:val="nil"/>
              <w:bottom w:val="single" w:sz="4" w:space="0" w:color="ADD6EA"/>
              <w:right w:val="nil"/>
            </w:tcBorders>
            <w:shd w:val="clear" w:color="000000" w:fill="FFFFFF"/>
            <w:vAlign w:val="bottom"/>
            <w:hideMark/>
          </w:tcPr>
          <w:p w14:paraId="4F4E56FD" w14:textId="77777777" w:rsidR="00B820A2" w:rsidRPr="00442A3B" w:rsidRDefault="00B820A2" w:rsidP="009E113A">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188</w:t>
            </w:r>
          </w:p>
        </w:tc>
        <w:tc>
          <w:tcPr>
            <w:tcW w:w="700" w:type="dxa"/>
            <w:tcBorders>
              <w:top w:val="nil"/>
              <w:left w:val="nil"/>
              <w:bottom w:val="single" w:sz="4" w:space="0" w:color="ADD6EA"/>
              <w:right w:val="nil"/>
            </w:tcBorders>
            <w:shd w:val="clear" w:color="000000" w:fill="FFFFFF"/>
            <w:vAlign w:val="bottom"/>
            <w:hideMark/>
          </w:tcPr>
          <w:p w14:paraId="0B6C0DAB" w14:textId="77777777" w:rsidR="00B820A2" w:rsidRPr="00442A3B" w:rsidRDefault="00B820A2" w:rsidP="009E113A">
            <w:pPr>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9,950</w:t>
            </w:r>
          </w:p>
        </w:tc>
      </w:tr>
      <w:tr w:rsidR="005E1F0D" w:rsidRPr="00442A3B" w14:paraId="054A4A61" w14:textId="77777777" w:rsidTr="0077236E">
        <w:trPr>
          <w:trHeight w:val="315"/>
        </w:trPr>
        <w:tc>
          <w:tcPr>
            <w:tcW w:w="2480" w:type="dxa"/>
            <w:tcBorders>
              <w:top w:val="nil"/>
              <w:left w:val="nil"/>
              <w:bottom w:val="single" w:sz="4" w:space="0" w:color="ADD6EA"/>
              <w:right w:val="nil"/>
            </w:tcBorders>
            <w:shd w:val="clear" w:color="000000" w:fill="D6E7F0"/>
            <w:vAlign w:val="bottom"/>
            <w:hideMark/>
          </w:tcPr>
          <w:p w14:paraId="16E8713E" w14:textId="77777777" w:rsidR="00B820A2" w:rsidRPr="00442A3B" w:rsidRDefault="00B820A2" w:rsidP="009E113A">
            <w:pPr>
              <w:tabs>
                <w:tab w:val="clear" w:pos="567"/>
              </w:tabs>
              <w:spacing w:before="0" w:line="240" w:lineRule="auto"/>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Difference $m</w:t>
            </w:r>
          </w:p>
        </w:tc>
        <w:tc>
          <w:tcPr>
            <w:tcW w:w="700" w:type="dxa"/>
            <w:tcBorders>
              <w:top w:val="nil"/>
              <w:left w:val="nil"/>
              <w:bottom w:val="single" w:sz="4" w:space="0" w:color="ADD6EA"/>
              <w:right w:val="nil"/>
            </w:tcBorders>
            <w:shd w:val="clear" w:color="000000" w:fill="D6E7F0"/>
            <w:vAlign w:val="bottom"/>
            <w:hideMark/>
          </w:tcPr>
          <w:p w14:paraId="6E4D1496" w14:textId="77777777" w:rsidR="00B820A2" w:rsidRPr="00442A3B" w:rsidRDefault="00B820A2" w:rsidP="009E113A">
            <w:pPr>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-21</w:t>
            </w:r>
          </w:p>
        </w:tc>
        <w:tc>
          <w:tcPr>
            <w:tcW w:w="700" w:type="dxa"/>
            <w:tcBorders>
              <w:top w:val="nil"/>
              <w:left w:val="nil"/>
              <w:bottom w:val="single" w:sz="4" w:space="0" w:color="ADD6EA"/>
              <w:right w:val="nil"/>
            </w:tcBorders>
            <w:shd w:val="clear" w:color="000000" w:fill="D6E7F0"/>
            <w:vAlign w:val="bottom"/>
            <w:hideMark/>
          </w:tcPr>
          <w:p w14:paraId="1E1BC01F" w14:textId="77777777" w:rsidR="00B820A2" w:rsidRPr="00442A3B" w:rsidRDefault="00B820A2" w:rsidP="009E113A">
            <w:pPr>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-24</w:t>
            </w:r>
          </w:p>
        </w:tc>
        <w:tc>
          <w:tcPr>
            <w:tcW w:w="700" w:type="dxa"/>
            <w:tcBorders>
              <w:top w:val="nil"/>
              <w:left w:val="nil"/>
              <w:bottom w:val="single" w:sz="4" w:space="0" w:color="ADD6EA"/>
              <w:right w:val="nil"/>
            </w:tcBorders>
            <w:shd w:val="clear" w:color="000000" w:fill="D6E7F0"/>
            <w:vAlign w:val="bottom"/>
            <w:hideMark/>
          </w:tcPr>
          <w:p w14:paraId="29A62208" w14:textId="77777777" w:rsidR="00B820A2" w:rsidRPr="00442A3B" w:rsidRDefault="00B820A2" w:rsidP="009E113A">
            <w:pPr>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13</w:t>
            </w:r>
          </w:p>
        </w:tc>
        <w:tc>
          <w:tcPr>
            <w:tcW w:w="700" w:type="dxa"/>
            <w:tcBorders>
              <w:top w:val="nil"/>
              <w:left w:val="nil"/>
              <w:bottom w:val="single" w:sz="4" w:space="0" w:color="ADD6EA"/>
              <w:right w:val="nil"/>
            </w:tcBorders>
            <w:shd w:val="clear" w:color="000000" w:fill="D6E7F0"/>
            <w:vAlign w:val="bottom"/>
            <w:hideMark/>
          </w:tcPr>
          <w:p w14:paraId="65744C4B" w14:textId="77777777" w:rsidR="00B820A2" w:rsidRPr="00442A3B" w:rsidRDefault="00B820A2" w:rsidP="009E113A">
            <w:pPr>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8</w:t>
            </w:r>
          </w:p>
        </w:tc>
        <w:tc>
          <w:tcPr>
            <w:tcW w:w="700" w:type="dxa"/>
            <w:tcBorders>
              <w:top w:val="nil"/>
              <w:left w:val="nil"/>
              <w:bottom w:val="single" w:sz="4" w:space="0" w:color="ADD6EA"/>
              <w:right w:val="nil"/>
            </w:tcBorders>
            <w:shd w:val="clear" w:color="000000" w:fill="D6E7F0"/>
            <w:vAlign w:val="bottom"/>
            <w:hideMark/>
          </w:tcPr>
          <w:p w14:paraId="399FCCB6" w14:textId="77777777" w:rsidR="00B820A2" w:rsidRPr="00442A3B" w:rsidRDefault="00B820A2" w:rsidP="009E113A">
            <w:pPr>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1</w:t>
            </w:r>
          </w:p>
        </w:tc>
        <w:tc>
          <w:tcPr>
            <w:tcW w:w="700" w:type="dxa"/>
            <w:tcBorders>
              <w:top w:val="nil"/>
              <w:left w:val="nil"/>
              <w:bottom w:val="single" w:sz="4" w:space="0" w:color="ADD6EA"/>
              <w:right w:val="nil"/>
            </w:tcBorders>
            <w:shd w:val="clear" w:color="000000" w:fill="D6E7F0"/>
            <w:vAlign w:val="bottom"/>
            <w:hideMark/>
          </w:tcPr>
          <w:p w14:paraId="427D386F" w14:textId="77777777" w:rsidR="00B820A2" w:rsidRPr="00442A3B" w:rsidRDefault="00B820A2" w:rsidP="009E113A">
            <w:pPr>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5</w:t>
            </w:r>
          </w:p>
        </w:tc>
        <w:tc>
          <w:tcPr>
            <w:tcW w:w="700" w:type="dxa"/>
            <w:tcBorders>
              <w:top w:val="nil"/>
              <w:left w:val="nil"/>
              <w:bottom w:val="single" w:sz="4" w:space="0" w:color="ADD6EA"/>
              <w:right w:val="nil"/>
            </w:tcBorders>
            <w:shd w:val="clear" w:color="000000" w:fill="D6E7F0"/>
            <w:vAlign w:val="bottom"/>
            <w:hideMark/>
          </w:tcPr>
          <w:p w14:paraId="58EADDC1" w14:textId="77777777" w:rsidR="00B820A2" w:rsidRPr="00442A3B" w:rsidRDefault="00B820A2" w:rsidP="009E113A">
            <w:pPr>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-3</w:t>
            </w:r>
          </w:p>
        </w:tc>
        <w:tc>
          <w:tcPr>
            <w:tcW w:w="700" w:type="dxa"/>
            <w:tcBorders>
              <w:top w:val="nil"/>
              <w:left w:val="nil"/>
              <w:bottom w:val="single" w:sz="4" w:space="0" w:color="ADD6EA"/>
              <w:right w:val="nil"/>
            </w:tcBorders>
            <w:shd w:val="clear" w:color="000000" w:fill="D6E7F0"/>
            <w:vAlign w:val="bottom"/>
            <w:hideMark/>
          </w:tcPr>
          <w:p w14:paraId="454A1060" w14:textId="77777777" w:rsidR="00B820A2" w:rsidRPr="00442A3B" w:rsidRDefault="00B820A2" w:rsidP="009E113A">
            <w:pPr>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18</w:t>
            </w:r>
          </w:p>
        </w:tc>
        <w:tc>
          <w:tcPr>
            <w:tcW w:w="700" w:type="dxa"/>
            <w:tcBorders>
              <w:top w:val="nil"/>
              <w:left w:val="nil"/>
              <w:bottom w:val="single" w:sz="4" w:space="0" w:color="ADD6EA"/>
              <w:right w:val="nil"/>
            </w:tcBorders>
            <w:shd w:val="clear" w:color="000000" w:fill="D6E7F0"/>
            <w:vAlign w:val="bottom"/>
            <w:hideMark/>
          </w:tcPr>
          <w:p w14:paraId="456315DB" w14:textId="77777777" w:rsidR="00B820A2" w:rsidRPr="00442A3B" w:rsidRDefault="00B820A2" w:rsidP="009E113A">
            <w:pPr>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0</w:t>
            </w:r>
          </w:p>
        </w:tc>
      </w:tr>
      <w:tr w:rsidR="005E1F0D" w:rsidRPr="00442A3B" w14:paraId="6210FF6E" w14:textId="77777777" w:rsidTr="0077236E">
        <w:trPr>
          <w:trHeight w:val="315"/>
        </w:trPr>
        <w:tc>
          <w:tcPr>
            <w:tcW w:w="2480" w:type="dxa"/>
            <w:tcBorders>
              <w:top w:val="nil"/>
              <w:left w:val="nil"/>
              <w:bottom w:val="single" w:sz="4" w:space="0" w:color="ADD6EA"/>
              <w:right w:val="nil"/>
            </w:tcBorders>
            <w:shd w:val="clear" w:color="000000" w:fill="D6E7F0"/>
            <w:vAlign w:val="bottom"/>
            <w:hideMark/>
          </w:tcPr>
          <w:p w14:paraId="0E141A39" w14:textId="77777777" w:rsidR="00B820A2" w:rsidRPr="00442A3B" w:rsidRDefault="00B820A2" w:rsidP="009E113A">
            <w:pPr>
              <w:tabs>
                <w:tab w:val="clear" w:pos="567"/>
              </w:tabs>
              <w:spacing w:before="0" w:line="240" w:lineRule="auto"/>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Difference $pc</w:t>
            </w:r>
          </w:p>
        </w:tc>
        <w:tc>
          <w:tcPr>
            <w:tcW w:w="700" w:type="dxa"/>
            <w:tcBorders>
              <w:top w:val="nil"/>
              <w:left w:val="nil"/>
              <w:bottom w:val="single" w:sz="4" w:space="0" w:color="ADD6EA"/>
              <w:right w:val="nil"/>
            </w:tcBorders>
            <w:shd w:val="clear" w:color="000000" w:fill="D6E7F0"/>
            <w:vAlign w:val="bottom"/>
            <w:hideMark/>
          </w:tcPr>
          <w:p w14:paraId="343EABEA" w14:textId="77777777" w:rsidR="00B820A2" w:rsidRPr="00442A3B" w:rsidRDefault="00B820A2" w:rsidP="009E113A">
            <w:pPr>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-3</w:t>
            </w:r>
          </w:p>
        </w:tc>
        <w:tc>
          <w:tcPr>
            <w:tcW w:w="700" w:type="dxa"/>
            <w:tcBorders>
              <w:top w:val="nil"/>
              <w:left w:val="nil"/>
              <w:bottom w:val="single" w:sz="4" w:space="0" w:color="ADD6EA"/>
              <w:right w:val="nil"/>
            </w:tcBorders>
            <w:shd w:val="clear" w:color="000000" w:fill="D6E7F0"/>
            <w:vAlign w:val="bottom"/>
            <w:hideMark/>
          </w:tcPr>
          <w:p w14:paraId="6355F41E" w14:textId="77777777" w:rsidR="00B820A2" w:rsidRPr="00442A3B" w:rsidRDefault="00B820A2" w:rsidP="009E113A">
            <w:pPr>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-4</w:t>
            </w:r>
          </w:p>
        </w:tc>
        <w:tc>
          <w:tcPr>
            <w:tcW w:w="700" w:type="dxa"/>
            <w:tcBorders>
              <w:top w:val="nil"/>
              <w:left w:val="nil"/>
              <w:bottom w:val="single" w:sz="4" w:space="0" w:color="ADD6EA"/>
              <w:right w:val="nil"/>
            </w:tcBorders>
            <w:shd w:val="clear" w:color="000000" w:fill="D6E7F0"/>
            <w:vAlign w:val="bottom"/>
            <w:hideMark/>
          </w:tcPr>
          <w:p w14:paraId="73830101" w14:textId="77777777" w:rsidR="00B820A2" w:rsidRPr="00442A3B" w:rsidRDefault="00B820A2" w:rsidP="009E113A">
            <w:pPr>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2</w:t>
            </w:r>
          </w:p>
        </w:tc>
        <w:tc>
          <w:tcPr>
            <w:tcW w:w="700" w:type="dxa"/>
            <w:tcBorders>
              <w:top w:val="nil"/>
              <w:left w:val="nil"/>
              <w:bottom w:val="single" w:sz="4" w:space="0" w:color="ADD6EA"/>
              <w:right w:val="nil"/>
            </w:tcBorders>
            <w:shd w:val="clear" w:color="000000" w:fill="D6E7F0"/>
            <w:vAlign w:val="bottom"/>
            <w:hideMark/>
          </w:tcPr>
          <w:p w14:paraId="03CA88F7" w14:textId="77777777" w:rsidR="00B820A2" w:rsidRPr="00442A3B" w:rsidRDefault="00B820A2" w:rsidP="009E113A">
            <w:pPr>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3</w:t>
            </w:r>
          </w:p>
        </w:tc>
        <w:tc>
          <w:tcPr>
            <w:tcW w:w="700" w:type="dxa"/>
            <w:tcBorders>
              <w:top w:val="nil"/>
              <w:left w:val="nil"/>
              <w:bottom w:val="single" w:sz="4" w:space="0" w:color="ADD6EA"/>
              <w:right w:val="nil"/>
            </w:tcBorders>
            <w:shd w:val="clear" w:color="000000" w:fill="D6E7F0"/>
            <w:vAlign w:val="bottom"/>
            <w:hideMark/>
          </w:tcPr>
          <w:p w14:paraId="0BF51A1D" w14:textId="77777777" w:rsidR="00B820A2" w:rsidRPr="00442A3B" w:rsidRDefault="00B820A2" w:rsidP="009E113A">
            <w:pPr>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1</w:t>
            </w:r>
          </w:p>
        </w:tc>
        <w:tc>
          <w:tcPr>
            <w:tcW w:w="700" w:type="dxa"/>
            <w:tcBorders>
              <w:top w:val="nil"/>
              <w:left w:val="nil"/>
              <w:bottom w:val="single" w:sz="4" w:space="0" w:color="ADD6EA"/>
              <w:right w:val="nil"/>
            </w:tcBorders>
            <w:shd w:val="clear" w:color="000000" w:fill="D6E7F0"/>
            <w:vAlign w:val="bottom"/>
            <w:hideMark/>
          </w:tcPr>
          <w:p w14:paraId="54F78EB8" w14:textId="77777777" w:rsidR="00B820A2" w:rsidRPr="00442A3B" w:rsidRDefault="00B820A2" w:rsidP="009E113A">
            <w:pPr>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10</w:t>
            </w:r>
          </w:p>
        </w:tc>
        <w:tc>
          <w:tcPr>
            <w:tcW w:w="700" w:type="dxa"/>
            <w:tcBorders>
              <w:top w:val="nil"/>
              <w:left w:val="nil"/>
              <w:bottom w:val="single" w:sz="4" w:space="0" w:color="ADD6EA"/>
              <w:right w:val="nil"/>
            </w:tcBorders>
            <w:shd w:val="clear" w:color="000000" w:fill="D6E7F0"/>
            <w:vAlign w:val="bottom"/>
            <w:hideMark/>
          </w:tcPr>
          <w:p w14:paraId="382B0DEC" w14:textId="77777777" w:rsidR="00B820A2" w:rsidRPr="00442A3B" w:rsidRDefault="00B820A2" w:rsidP="009E113A">
            <w:pPr>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-6</w:t>
            </w:r>
          </w:p>
        </w:tc>
        <w:tc>
          <w:tcPr>
            <w:tcW w:w="700" w:type="dxa"/>
            <w:tcBorders>
              <w:top w:val="nil"/>
              <w:left w:val="nil"/>
              <w:bottom w:val="single" w:sz="4" w:space="0" w:color="ADD6EA"/>
              <w:right w:val="nil"/>
            </w:tcBorders>
            <w:shd w:val="clear" w:color="000000" w:fill="D6E7F0"/>
            <w:vAlign w:val="bottom"/>
            <w:hideMark/>
          </w:tcPr>
          <w:p w14:paraId="66C1F1D8" w14:textId="77777777" w:rsidR="00B820A2" w:rsidRPr="00442A3B" w:rsidRDefault="00B820A2" w:rsidP="009E113A">
            <w:pPr>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75</w:t>
            </w:r>
          </w:p>
        </w:tc>
        <w:tc>
          <w:tcPr>
            <w:tcW w:w="700" w:type="dxa"/>
            <w:tcBorders>
              <w:top w:val="nil"/>
              <w:left w:val="nil"/>
              <w:bottom w:val="single" w:sz="4" w:space="0" w:color="ADD6EA"/>
              <w:right w:val="nil"/>
            </w:tcBorders>
            <w:shd w:val="clear" w:color="000000" w:fill="D6E7F0"/>
            <w:vAlign w:val="bottom"/>
            <w:hideMark/>
          </w:tcPr>
          <w:p w14:paraId="3967E6E0" w14:textId="77777777" w:rsidR="00B820A2" w:rsidRPr="00442A3B" w:rsidRDefault="00B820A2" w:rsidP="009E113A">
            <w:pPr>
              <w:tabs>
                <w:tab w:val="clear" w:pos="567"/>
              </w:tabs>
              <w:spacing w:before="0" w:line="240" w:lineRule="auto"/>
              <w:jc w:val="right"/>
              <w:rPr>
                <w:rFonts w:ascii="Open Sans Semibold" w:eastAsia="MS Mincho" w:hAnsi="Open Sans Semibold" w:cs="Open Sans Semibold"/>
                <w:color w:val="000000"/>
                <w:sz w:val="16"/>
                <w:szCs w:val="16"/>
                <w:lang w:eastAsia="en-AU"/>
              </w:rPr>
            </w:pPr>
            <w:r w:rsidRPr="00442A3B">
              <w:rPr>
                <w:rFonts w:ascii="Open Sans Semibold" w:eastAsia="MS Mincho" w:hAnsi="Open Sans Semibold" w:cs="Open Sans Semibold"/>
                <w:color w:val="000000"/>
                <w:sz w:val="16"/>
                <w:szCs w:val="16"/>
                <w:lang w:eastAsia="en-AU"/>
              </w:rPr>
              <w:t>0</w:t>
            </w:r>
          </w:p>
        </w:tc>
      </w:tr>
    </w:tbl>
    <w:p w14:paraId="412419EB" w14:textId="77777777" w:rsidR="00B820A2" w:rsidRPr="00442A3B" w:rsidRDefault="00B820A2" w:rsidP="00B820A2">
      <w:pPr>
        <w:pStyle w:val="CGCTablerow"/>
      </w:pPr>
      <w:r w:rsidRPr="00442A3B">
        <w:t>Source:</w:t>
      </w:r>
      <w:r w:rsidRPr="00442A3B">
        <w:tab/>
      </w:r>
      <w:r w:rsidRPr="00442A3B">
        <w:tab/>
        <w:t>Commission calculation.</w:t>
      </w:r>
    </w:p>
    <w:p w14:paraId="7DB46230" w14:textId="77777777" w:rsidR="00AD0706" w:rsidRPr="00442A3B" w:rsidRDefault="00AD0706" w:rsidP="00AD0706">
      <w:pPr>
        <w:pStyle w:val="Heading5"/>
      </w:pPr>
      <w:r w:rsidRPr="00442A3B">
        <w:t>Commission decision</w:t>
      </w:r>
    </w:p>
    <w:p w14:paraId="0C27D070" w14:textId="235FF313" w:rsidR="00AD0706" w:rsidRPr="00442A3B" w:rsidRDefault="00AD0706" w:rsidP="00021B66">
      <w:pPr>
        <w:pStyle w:val="CGCParaNumber"/>
        <w:ind w:left="567" w:hanging="567"/>
        <w:rPr>
          <w:lang w:val="en-US"/>
        </w:rPr>
      </w:pPr>
      <w:r w:rsidRPr="00442A3B">
        <w:rPr>
          <w:lang w:val="en-US"/>
        </w:rPr>
        <w:t xml:space="preserve">The </w:t>
      </w:r>
      <w:r w:rsidRPr="00442A3B">
        <w:t>Commission</w:t>
      </w:r>
      <w:r w:rsidRPr="00442A3B">
        <w:rPr>
          <w:lang w:val="en-US"/>
        </w:rPr>
        <w:t xml:space="preserve"> </w:t>
      </w:r>
      <w:r w:rsidR="001F5766" w:rsidRPr="00442A3B">
        <w:rPr>
          <w:lang w:val="en-US"/>
        </w:rPr>
        <w:t>applied</w:t>
      </w:r>
      <w:r w:rsidRPr="00442A3B">
        <w:rPr>
          <w:lang w:val="en-US"/>
        </w:rPr>
        <w:t xml:space="preserve"> the service delivery scale adjustment to all relevant national weighted activity units in this update. It ha</w:t>
      </w:r>
      <w:r w:rsidR="001F5766" w:rsidRPr="00442A3B">
        <w:rPr>
          <w:lang w:val="en-US"/>
        </w:rPr>
        <w:t>d</w:t>
      </w:r>
      <w:r w:rsidRPr="00442A3B">
        <w:rPr>
          <w:lang w:val="en-US"/>
        </w:rPr>
        <w:t xml:space="preserve"> a material positive impact on the distribution of GST for the Northern Territory. </w:t>
      </w:r>
    </w:p>
    <w:p w14:paraId="7F17201A" w14:textId="77777777" w:rsidR="00724404" w:rsidRPr="00442A3B" w:rsidRDefault="00724404" w:rsidP="00724404">
      <w:pPr>
        <w:pStyle w:val="Heading4"/>
      </w:pPr>
      <w:bookmarkStart w:id="265" w:name="_Toc57379358"/>
      <w:bookmarkStart w:id="266" w:name="_Toc65050558"/>
      <w:r w:rsidRPr="00442A3B">
        <w:t>Stamp duty and land tax</w:t>
      </w:r>
      <w:bookmarkEnd w:id="265"/>
      <w:bookmarkEnd w:id="266"/>
    </w:p>
    <w:p w14:paraId="61EC4ED5" w14:textId="77777777" w:rsidR="004132BC" w:rsidRPr="00442A3B" w:rsidRDefault="004132BC" w:rsidP="004132BC">
      <w:pPr>
        <w:pStyle w:val="Heading5"/>
        <w:keepLines/>
      </w:pPr>
      <w:r w:rsidRPr="00442A3B">
        <w:t>Issue</w:t>
      </w:r>
    </w:p>
    <w:p w14:paraId="41993299" w14:textId="77777777" w:rsidR="004132BC" w:rsidRPr="00442A3B" w:rsidRDefault="004132BC" w:rsidP="00021B66">
      <w:pPr>
        <w:pStyle w:val="CGCParaNumber"/>
        <w:ind w:left="567" w:hanging="567"/>
      </w:pPr>
      <w:bookmarkStart w:id="267" w:name="_Hlk62117476"/>
      <w:r w:rsidRPr="00442A3B">
        <w:t>State Revenue Offices</w:t>
      </w:r>
      <w:bookmarkEnd w:id="267"/>
      <w:r w:rsidRPr="00442A3B">
        <w:t xml:space="preserve"> provide transaction data that support the Commission’s land tax, stamp duty on conveyances and mining assessments.</w:t>
      </w:r>
    </w:p>
    <w:p w14:paraId="2D36DCAB" w14:textId="44B5BF35" w:rsidR="004132BC" w:rsidRPr="00442A3B" w:rsidRDefault="008E184E" w:rsidP="00021B66">
      <w:pPr>
        <w:pStyle w:val="CGCParaNumber"/>
        <w:ind w:left="567" w:hanging="567"/>
      </w:pPr>
      <w:r w:rsidRPr="00442A3B">
        <w:t>At times</w:t>
      </w:r>
      <w:r w:rsidR="00691DA0" w:rsidRPr="00442A3B">
        <w:t>,</w:t>
      </w:r>
      <w:r w:rsidR="004132BC" w:rsidRPr="00442A3B">
        <w:t xml:space="preserve"> the State Revenue Offices revise data they provided in a prior </w:t>
      </w:r>
      <w:r w:rsidR="00417578" w:rsidRPr="00442A3B">
        <w:t>update</w:t>
      </w:r>
      <w:r w:rsidR="004132BC" w:rsidRPr="00442A3B">
        <w:t>. In recent years,</w:t>
      </w:r>
      <w:r w:rsidR="004132BC" w:rsidRPr="00442A3B" w:rsidDel="0064217B">
        <w:t xml:space="preserve"> the</w:t>
      </w:r>
      <w:r w:rsidR="004132BC" w:rsidRPr="00442A3B">
        <w:t xml:space="preserve"> size of revisions has increased markedly. Large revisions increase the volatility of State relativities and negatively affect State budget management. Large revisions also raise concerns over the reliability of State provided data. </w:t>
      </w:r>
    </w:p>
    <w:p w14:paraId="2CBC51BB" w14:textId="77777777" w:rsidR="004132BC" w:rsidRPr="00442A3B" w:rsidRDefault="004132BC" w:rsidP="00021B66">
      <w:pPr>
        <w:pStyle w:val="CGCParaNumber"/>
        <w:ind w:left="567" w:hanging="567"/>
      </w:pPr>
      <w:r w:rsidRPr="00442A3B">
        <w:t>The Commission consulted States on whether, where there are large revisions in future years, it should seek additional information on the reason for the revision from the relevant State and share it with other States.</w:t>
      </w:r>
    </w:p>
    <w:p w14:paraId="4F9842F5" w14:textId="77777777" w:rsidR="004132BC" w:rsidRPr="00442A3B" w:rsidRDefault="004132BC" w:rsidP="004132BC">
      <w:pPr>
        <w:pStyle w:val="Heading5"/>
      </w:pPr>
      <w:bookmarkStart w:id="268" w:name="_Hlk57363852"/>
      <w:r w:rsidRPr="00442A3B">
        <w:t>State views</w:t>
      </w:r>
    </w:p>
    <w:bookmarkEnd w:id="268"/>
    <w:p w14:paraId="1F4D8A8C" w14:textId="77777777" w:rsidR="004132BC" w:rsidRPr="00442A3B" w:rsidRDefault="004132BC" w:rsidP="00021B66">
      <w:pPr>
        <w:pStyle w:val="CGCParaNumber"/>
        <w:ind w:left="567" w:hanging="567"/>
      </w:pPr>
      <w:r w:rsidRPr="00442A3B">
        <w:t>While States noted some revenue revisions are unavoidable, they supported the proposal to provide additional information to explain large revisions.</w:t>
      </w:r>
    </w:p>
    <w:p w14:paraId="7CC8D2A8" w14:textId="77777777" w:rsidR="004132BC" w:rsidRPr="00442A3B" w:rsidRDefault="004132BC" w:rsidP="004132BC">
      <w:pPr>
        <w:pStyle w:val="Heading5"/>
      </w:pPr>
      <w:r w:rsidRPr="00442A3B">
        <w:t>Commission decision</w:t>
      </w:r>
    </w:p>
    <w:p w14:paraId="3F4660E8" w14:textId="61EA4552" w:rsidR="004132BC" w:rsidRPr="00442A3B" w:rsidRDefault="004132BC" w:rsidP="00021B66">
      <w:pPr>
        <w:pStyle w:val="CGCParaNumber"/>
        <w:ind w:left="567" w:hanging="567"/>
      </w:pPr>
      <w:r w:rsidRPr="00442A3B">
        <w:t>The Commission acknowledge</w:t>
      </w:r>
      <w:r w:rsidR="00974DE4" w:rsidRPr="00442A3B">
        <w:t>d</w:t>
      </w:r>
      <w:r w:rsidRPr="00442A3B">
        <w:t xml:space="preserve"> the efforts States are making to improve the consistency of the data they provide. Where relevant, the Commission will seek additional information from States </w:t>
      </w:r>
      <w:r w:rsidR="00351CF2" w:rsidRPr="00442A3B">
        <w:t xml:space="preserve">in future </w:t>
      </w:r>
      <w:r w:rsidRPr="00442A3B">
        <w:t>to include in its reports explaining the reason for large revisions.</w:t>
      </w:r>
    </w:p>
    <w:p w14:paraId="5EA121D7" w14:textId="77777777" w:rsidR="008734A3" w:rsidRPr="00442A3B" w:rsidRDefault="008734A3" w:rsidP="008734A3">
      <w:pPr>
        <w:pStyle w:val="Heading4"/>
      </w:pPr>
      <w:bookmarkStart w:id="269" w:name="_Toc57379359"/>
      <w:bookmarkStart w:id="270" w:name="_Toc65050559"/>
      <w:r w:rsidRPr="00442A3B">
        <w:lastRenderedPageBreak/>
        <w:t>Duties on sale of major State assets</w:t>
      </w:r>
      <w:bookmarkEnd w:id="269"/>
      <w:bookmarkEnd w:id="270"/>
    </w:p>
    <w:p w14:paraId="16801176" w14:textId="77777777" w:rsidR="0070293D" w:rsidRPr="00442A3B" w:rsidRDefault="0070293D" w:rsidP="006F1D2E">
      <w:pPr>
        <w:pStyle w:val="Heading5"/>
      </w:pPr>
      <w:r w:rsidRPr="00442A3B">
        <w:t>Issue</w:t>
      </w:r>
    </w:p>
    <w:p w14:paraId="4A2A9663" w14:textId="60A4DF05" w:rsidR="0070293D" w:rsidRPr="00442A3B" w:rsidRDefault="0070293D" w:rsidP="00021B66">
      <w:pPr>
        <w:pStyle w:val="CGCParaNumber"/>
        <w:ind w:left="567" w:hanging="567"/>
      </w:pPr>
      <w:r w:rsidRPr="00442A3B">
        <w:t>In the 2020 Review, the Commission</w:t>
      </w:r>
      <w:r w:rsidRPr="00442A3B">
        <w:rPr>
          <w:b/>
          <w:bCs/>
        </w:rPr>
        <w:t xml:space="preserve"> </w:t>
      </w:r>
      <w:r w:rsidRPr="00442A3B">
        <w:t>decided the following stamp duties should not affect State assessed fiscal capacities:</w:t>
      </w:r>
    </w:p>
    <w:p w14:paraId="5ED8287B" w14:textId="77777777" w:rsidR="0070293D" w:rsidRPr="00442A3B" w:rsidRDefault="0070293D" w:rsidP="00D87C2D">
      <w:pPr>
        <w:pStyle w:val="CGCBullet1"/>
      </w:pPr>
      <w:r w:rsidRPr="00442A3B">
        <w:t>the sale of major State assets</w:t>
      </w:r>
    </w:p>
    <w:p w14:paraId="2595F2B1" w14:textId="77777777" w:rsidR="0070293D" w:rsidRPr="00442A3B" w:rsidRDefault="0070293D" w:rsidP="00D87C2D">
      <w:pPr>
        <w:pStyle w:val="CGCBullet1"/>
      </w:pPr>
      <w:r w:rsidRPr="00442A3B">
        <w:t>corporate reconstructions</w:t>
      </w:r>
    </w:p>
    <w:p w14:paraId="048C3B62" w14:textId="77777777" w:rsidR="0070293D" w:rsidRPr="00442A3B" w:rsidRDefault="0070293D" w:rsidP="00D87C2D">
      <w:pPr>
        <w:pStyle w:val="CGCBullet1"/>
      </w:pPr>
      <w:r w:rsidRPr="00442A3B">
        <w:t>non-real property transactions.</w:t>
      </w:r>
    </w:p>
    <w:p w14:paraId="12CED23B" w14:textId="2E6986B1" w:rsidR="0070293D" w:rsidRPr="00442A3B" w:rsidRDefault="00853571" w:rsidP="00021B66">
      <w:pPr>
        <w:pStyle w:val="CGCParaNumber"/>
        <w:ind w:left="567" w:hanging="567"/>
      </w:pPr>
      <w:r w:rsidRPr="00442A3B">
        <w:rPr>
          <w:lang w:eastAsia="en-AU"/>
        </w:rPr>
        <w:t>On the presumption they were classified as conveyance revenue</w:t>
      </w:r>
      <w:r w:rsidR="00B307F4" w:rsidRPr="00442A3B">
        <w:t xml:space="preserve">, the Commission </w:t>
      </w:r>
      <w:r w:rsidR="00294227" w:rsidRPr="00442A3B">
        <w:t>removed th</w:t>
      </w:r>
      <w:r w:rsidR="005F7687" w:rsidRPr="00442A3B">
        <w:t xml:space="preserve">em from the conveyances category and </w:t>
      </w:r>
      <w:r w:rsidR="00D23A65" w:rsidRPr="00442A3B">
        <w:t xml:space="preserve">put them in </w:t>
      </w:r>
      <w:r w:rsidR="008F61EF" w:rsidRPr="00442A3B">
        <w:t>the other revenue category</w:t>
      </w:r>
      <w:r w:rsidR="00DD4BFF" w:rsidRPr="00442A3B">
        <w:t>.</w:t>
      </w:r>
      <w:r w:rsidR="00294227" w:rsidRPr="00442A3B">
        <w:t xml:space="preserve"> </w:t>
      </w:r>
    </w:p>
    <w:p w14:paraId="2363DAAE" w14:textId="66833278" w:rsidR="0070293D" w:rsidRPr="00442A3B" w:rsidRDefault="0070293D" w:rsidP="00021B66">
      <w:pPr>
        <w:pStyle w:val="CGCParaNumber"/>
        <w:ind w:left="567" w:hanging="567"/>
      </w:pPr>
      <w:r w:rsidRPr="00442A3B">
        <w:t>The Commission sought data on these duties from the States and used that data to reclassify them. However, data for the first two assessment years are sourced from the ABS and the issue that arises is whether the ABS includes the duties as conveyance revenue. The issue only arises in relation to duties on the sale of major State assets.</w:t>
      </w:r>
    </w:p>
    <w:p w14:paraId="48C9165C" w14:textId="4DAD9E16" w:rsidR="0070293D" w:rsidRPr="00442A3B" w:rsidRDefault="0070293D" w:rsidP="00021B66">
      <w:pPr>
        <w:pStyle w:val="CGCParaNumber"/>
        <w:ind w:left="567" w:hanging="567"/>
      </w:pPr>
      <w:r w:rsidRPr="00442A3B">
        <w:t xml:space="preserve">The ABS </w:t>
      </w:r>
      <w:r w:rsidR="00D922A3" w:rsidRPr="00442A3B">
        <w:t xml:space="preserve">at </w:t>
      </w:r>
      <w:r w:rsidRPr="00442A3B">
        <w:t>times classifies duties on the sale of major State assets as conveyance revenue and as non</w:t>
      </w:r>
      <w:r w:rsidR="35FD7C67" w:rsidRPr="00442A3B">
        <w:t>-</w:t>
      </w:r>
      <w:r w:rsidRPr="00442A3B">
        <w:t>conveyance revenue</w:t>
      </w:r>
      <w:r w:rsidR="00D55099" w:rsidRPr="00442A3B">
        <w:t xml:space="preserve"> at other times</w:t>
      </w:r>
      <w:r w:rsidRPr="00442A3B">
        <w:t>. The duties only need to be reclassified if the ABS classifies them as conveyance revenue.</w:t>
      </w:r>
    </w:p>
    <w:p w14:paraId="656B9665" w14:textId="7AC2F187" w:rsidR="0070293D" w:rsidRPr="00442A3B" w:rsidRDefault="0070293D" w:rsidP="00021B66">
      <w:pPr>
        <w:pStyle w:val="CGCParaNumber"/>
        <w:ind w:left="567" w:hanging="567"/>
      </w:pPr>
      <w:r w:rsidRPr="00442A3B">
        <w:t>As it appeared the ABS classified most duties on the sale of major State assets as non</w:t>
      </w:r>
      <w:r w:rsidR="7CE5F72A" w:rsidRPr="00442A3B">
        <w:t>-</w:t>
      </w:r>
      <w:r w:rsidRPr="00442A3B">
        <w:t>conveyance revenue, and therefore no adjustment was required, the Commission consulted States on whether</w:t>
      </w:r>
      <w:r w:rsidR="00267DB3" w:rsidRPr="00442A3B">
        <w:t>,</w:t>
      </w:r>
      <w:r w:rsidRPr="00442A3B">
        <w:t xml:space="preserve"> for simplicity</w:t>
      </w:r>
      <w:r w:rsidR="00267DB3" w:rsidRPr="00442A3B">
        <w:t xml:space="preserve">, it should </w:t>
      </w:r>
      <w:r w:rsidRPr="00442A3B">
        <w:t xml:space="preserve">cease the adjustment to the ABS data. </w:t>
      </w:r>
    </w:p>
    <w:p w14:paraId="6B758BC3" w14:textId="77777777" w:rsidR="0070293D" w:rsidRPr="00442A3B" w:rsidRDefault="0070293D" w:rsidP="006F1D2E">
      <w:pPr>
        <w:pStyle w:val="Heading5"/>
      </w:pPr>
      <w:r w:rsidRPr="00442A3B">
        <w:t>State views</w:t>
      </w:r>
    </w:p>
    <w:p w14:paraId="177FA756" w14:textId="3C9860D5" w:rsidR="0070293D" w:rsidRPr="00442A3B" w:rsidRDefault="0070293D" w:rsidP="00021B66">
      <w:pPr>
        <w:pStyle w:val="CGCParaNumber"/>
        <w:ind w:left="567" w:hanging="567"/>
      </w:pPr>
      <w:r w:rsidRPr="00442A3B">
        <w:t>States agreed with the principle that</w:t>
      </w:r>
      <w:r w:rsidR="009570CC" w:rsidRPr="00442A3B">
        <w:t>,</w:t>
      </w:r>
      <w:r w:rsidRPr="00442A3B">
        <w:t xml:space="preserve"> if these duties were misclassified, they should be reclassified. However, some queried whether ceasing the adjustment was appropriate. States noted that while the ABS classified most of these duties as non</w:t>
      </w:r>
      <w:r w:rsidR="581C506C" w:rsidRPr="00442A3B">
        <w:t>-</w:t>
      </w:r>
      <w:r w:rsidRPr="00442A3B">
        <w:t xml:space="preserve">conveyance revenue in the 2020 Review, that might not be the case in future inquiries.  </w:t>
      </w:r>
    </w:p>
    <w:p w14:paraId="17434C83" w14:textId="77777777" w:rsidR="0070293D" w:rsidRPr="00442A3B" w:rsidRDefault="0070293D" w:rsidP="006F1D2E">
      <w:pPr>
        <w:pStyle w:val="Heading5"/>
      </w:pPr>
      <w:r w:rsidRPr="00442A3B">
        <w:t>Commission decision</w:t>
      </w:r>
    </w:p>
    <w:p w14:paraId="0BDAEEE5" w14:textId="5D96DB09" w:rsidR="0070293D" w:rsidRPr="00442A3B" w:rsidRDefault="0070293D" w:rsidP="00021B66">
      <w:pPr>
        <w:pStyle w:val="CGCParaNumber"/>
        <w:ind w:left="567" w:hanging="567"/>
      </w:pPr>
      <w:r w:rsidRPr="00442A3B">
        <w:t xml:space="preserve">The Commission’s view </w:t>
      </w:r>
      <w:r w:rsidR="00444511" w:rsidRPr="00442A3B">
        <w:t>was</w:t>
      </w:r>
      <w:r w:rsidRPr="00442A3B">
        <w:t xml:space="preserve"> that duties on the sale of major State assets should not affect a State’s assessed fiscal capacity. It achieves this by reclassifying them from the conveyance category to the other revenue category. This reclassification is only required when the ABS classifies these duties as conveyance revenue.</w:t>
      </w:r>
    </w:p>
    <w:p w14:paraId="690B8E99" w14:textId="19F4951C" w:rsidR="0070293D" w:rsidRPr="00442A3B" w:rsidRDefault="0070293D" w:rsidP="00021B66">
      <w:pPr>
        <w:pStyle w:val="CGCParaNumber"/>
        <w:ind w:left="567" w:hanging="567"/>
      </w:pPr>
      <w:r w:rsidRPr="00442A3B">
        <w:t>The Commission compare</w:t>
      </w:r>
      <w:r w:rsidR="00BC0D40" w:rsidRPr="00442A3B">
        <w:t>d</w:t>
      </w:r>
      <w:r w:rsidRPr="00442A3B">
        <w:t xml:space="preserve"> the State provided data on duties on the sale of major State assets with ABS data to determine whether the ABS ha</w:t>
      </w:r>
      <w:r w:rsidR="00BC0D40" w:rsidRPr="00442A3B">
        <w:t>d</w:t>
      </w:r>
      <w:r w:rsidRPr="00442A3B">
        <w:t xml:space="preserve"> classified these duties as conveyance revenue. If it ha</w:t>
      </w:r>
      <w:r w:rsidR="00BC0D40" w:rsidRPr="00442A3B">
        <w:t>d</w:t>
      </w:r>
      <w:r w:rsidRPr="00442A3B">
        <w:t xml:space="preserve">, the Commission </w:t>
      </w:r>
      <w:r w:rsidR="00BC0D40" w:rsidRPr="00442A3B">
        <w:t>made an</w:t>
      </w:r>
      <w:r w:rsidRPr="00442A3B">
        <w:t xml:space="preserve"> adjustment to reclassify them to the other revenue category so </w:t>
      </w:r>
      <w:r w:rsidR="00953208" w:rsidRPr="00442A3B">
        <w:t xml:space="preserve">that </w:t>
      </w:r>
      <w:r w:rsidRPr="00442A3B">
        <w:t>they d</w:t>
      </w:r>
      <w:r w:rsidR="00BC0D40" w:rsidRPr="00442A3B">
        <w:t>id</w:t>
      </w:r>
      <w:r w:rsidRPr="00442A3B">
        <w:t xml:space="preserve"> not affect States’ assessed fiscal capacities.</w:t>
      </w:r>
    </w:p>
    <w:p w14:paraId="4059B08D" w14:textId="77777777" w:rsidR="003905BD" w:rsidRPr="00442A3B" w:rsidRDefault="003905BD" w:rsidP="003905BD">
      <w:pPr>
        <w:pStyle w:val="Heading4"/>
      </w:pPr>
      <w:bookmarkStart w:id="271" w:name="_Toc65050560"/>
      <w:r w:rsidRPr="00442A3B">
        <w:t>Wage costs assessment</w:t>
      </w:r>
      <w:bookmarkEnd w:id="271"/>
      <w:r w:rsidRPr="00442A3B">
        <w:t xml:space="preserve"> </w:t>
      </w:r>
    </w:p>
    <w:p w14:paraId="3D7800B3" w14:textId="77777777" w:rsidR="00E87A27" w:rsidRPr="00442A3B" w:rsidRDefault="00E87A27" w:rsidP="00E87A27">
      <w:pPr>
        <w:pStyle w:val="Heading5"/>
        <w:keepLines/>
      </w:pPr>
      <w:r w:rsidRPr="00442A3B">
        <w:t>Issue</w:t>
      </w:r>
    </w:p>
    <w:p w14:paraId="3FBFA90C" w14:textId="552AB873" w:rsidR="00E87A27" w:rsidRPr="00442A3B" w:rsidRDefault="00E87A27" w:rsidP="00021B66">
      <w:pPr>
        <w:pStyle w:val="CGCParaNumber"/>
        <w:ind w:left="567" w:hanging="567"/>
      </w:pPr>
      <w:r w:rsidRPr="00442A3B">
        <w:t xml:space="preserve">The issue for the Commission </w:t>
      </w:r>
      <w:r w:rsidR="001542C5" w:rsidRPr="00442A3B">
        <w:t>was</w:t>
      </w:r>
      <w:r w:rsidRPr="00442A3B">
        <w:t xml:space="preserve"> whether to use the latest available data for this assessment. This would involve incorporating ABS data revisions in the previous two assessment years.</w:t>
      </w:r>
    </w:p>
    <w:p w14:paraId="36C4F8EB" w14:textId="4D436F0F" w:rsidR="00E87A27" w:rsidRPr="00442A3B" w:rsidRDefault="00E87A27" w:rsidP="00F278FE">
      <w:pPr>
        <w:pStyle w:val="CGCParaNumber"/>
        <w:keepNext/>
        <w:keepLines/>
        <w:ind w:left="567" w:hanging="567"/>
      </w:pPr>
      <w:r w:rsidRPr="00442A3B">
        <w:lastRenderedPageBreak/>
        <w:t xml:space="preserve">In its </w:t>
      </w:r>
      <w:r w:rsidR="005909B1" w:rsidRPr="00442A3B">
        <w:t>2020 Review</w:t>
      </w:r>
      <w:r w:rsidRPr="00442A3B">
        <w:t xml:space="preserve"> report the Commission noted that the ABS had revised the Characteristics of Employment survey data used in the calculation of wages costs modelled outcomes. The Commission’s view was that, in line with the terms of reference direction to use the latest available data, it should re-run its model for earlier years which would involve incorporating data revisions. However, since the Commission had not had time to consult States on the issue, it decided to retain the previously modelled outcomes for 2016-17 and 2017-18 and consult with States in this update on any changes resulting from revisions to ABS data.</w:t>
      </w:r>
    </w:p>
    <w:p w14:paraId="3D8E14C1" w14:textId="3DAD2478" w:rsidR="00E87A27" w:rsidRPr="00442A3B" w:rsidRDefault="00192120" w:rsidP="00021B66">
      <w:pPr>
        <w:pStyle w:val="CGCParaNumber"/>
        <w:ind w:left="567" w:hanging="567"/>
      </w:pPr>
      <w:r w:rsidRPr="00442A3B">
        <w:t>Since the 2016 Update, t</w:t>
      </w:r>
      <w:r w:rsidR="00E87A27" w:rsidRPr="00442A3B">
        <w:t xml:space="preserve">he Commission has used data from the Characteristics of Employment survey </w:t>
      </w:r>
      <w:r w:rsidR="00042DC2" w:rsidRPr="00442A3B">
        <w:t xml:space="preserve">as a proxy </w:t>
      </w:r>
      <w:r w:rsidR="00030F5B" w:rsidRPr="00442A3B">
        <w:t xml:space="preserve">for labour market pressures on public sector wages </w:t>
      </w:r>
      <w:r w:rsidR="00E87A27" w:rsidRPr="00442A3B">
        <w:t>in its wage costs assessment. The ABS advise</w:t>
      </w:r>
      <w:r w:rsidR="00083D7D" w:rsidRPr="00442A3B">
        <w:t>d</w:t>
      </w:r>
      <w:r w:rsidR="00E87A27" w:rsidRPr="00442A3B">
        <w:t xml:space="preserve"> that the revisions primarily relate to the definition of employees and changes to its imputation and process for considering outliers. The revisions also include</w:t>
      </w:r>
      <w:r w:rsidR="000E64A8" w:rsidRPr="00442A3B">
        <w:t>d</w:t>
      </w:r>
      <w:r w:rsidR="00E87A27" w:rsidRPr="00442A3B">
        <w:t xml:space="preserve"> new benchmarks to reflect the latest revisions to estimated resident population data.</w:t>
      </w:r>
    </w:p>
    <w:p w14:paraId="0EBF1199" w14:textId="77777777" w:rsidR="00E87A27" w:rsidRPr="00442A3B" w:rsidRDefault="00E87A27" w:rsidP="00021B66">
      <w:pPr>
        <w:pStyle w:val="CGCParaNumber"/>
        <w:ind w:left="567" w:hanging="567"/>
      </w:pPr>
      <w:r w:rsidRPr="00442A3B">
        <w:t>As the ABS had not previously revised these data, the usual practice for the Commission had been to bring in the modelled outcomes for the latest assessment year and retain the outcomes from the previous inquiry for the earlier two years.</w:t>
      </w:r>
    </w:p>
    <w:p w14:paraId="5312DA1F" w14:textId="26FB7B59" w:rsidR="00E87A27" w:rsidRPr="00442A3B" w:rsidRDefault="0AB72C56" w:rsidP="00021B66">
      <w:pPr>
        <w:pStyle w:val="CGCParaNumber"/>
        <w:ind w:left="567" w:hanging="567"/>
      </w:pPr>
      <w:r w:rsidRPr="00442A3B">
        <w:t xml:space="preserve">The Commission </w:t>
      </w:r>
      <w:r w:rsidR="49399AFF" w:rsidRPr="00442A3B">
        <w:t>re-estimated</w:t>
      </w:r>
      <w:r w:rsidRPr="00442A3B">
        <w:t xml:space="preserve"> its econometric model using the revised data for 2017</w:t>
      </w:r>
      <w:r w:rsidRPr="00442A3B">
        <w:noBreakHyphen/>
        <w:t>18 and 2018</w:t>
      </w:r>
      <w:r w:rsidRPr="00442A3B">
        <w:noBreakHyphen/>
        <w:t>19.</w:t>
      </w:r>
      <w:r w:rsidR="00E87A27" w:rsidRPr="00442A3B">
        <w:rPr>
          <w:rStyle w:val="FootnoteReference"/>
        </w:rPr>
        <w:footnoteReference w:id="27"/>
      </w:r>
      <w:r w:rsidRPr="00442A3B">
        <w:t xml:space="preserve"> </w:t>
      </w:r>
      <w:r w:rsidR="00187342" w:rsidRPr="00442A3B">
        <w:fldChar w:fldCharType="begin"/>
      </w:r>
      <w:r w:rsidR="00187342" w:rsidRPr="00442A3B">
        <w:instrText xml:space="preserve"> REF _Ref63162449 \h  \* MERGEFORMAT </w:instrText>
      </w:r>
      <w:r w:rsidR="00187342" w:rsidRPr="00442A3B">
        <w:fldChar w:fldCharType="separate"/>
      </w:r>
      <w:r w:rsidR="00FC3D3D" w:rsidRPr="00442A3B">
        <w:t>Table 4-</w:t>
      </w:r>
      <w:r w:rsidR="00FC3D3D">
        <w:t>2</w:t>
      </w:r>
      <w:r w:rsidR="00187342" w:rsidRPr="00442A3B">
        <w:fldChar w:fldCharType="end"/>
      </w:r>
      <w:r w:rsidR="3E3FD7FE" w:rsidRPr="00442A3B">
        <w:t xml:space="preserve"> </w:t>
      </w:r>
      <w:r w:rsidRPr="00442A3B">
        <w:t>shows the change in relative private sector wage levels</w:t>
      </w:r>
      <w:r w:rsidR="10BC4227" w:rsidRPr="00442A3B">
        <w:t xml:space="preserve"> </w:t>
      </w:r>
      <w:r w:rsidR="3E5196F4" w:rsidRPr="00442A3B">
        <w:t xml:space="preserve">after applying </w:t>
      </w:r>
      <w:r w:rsidRPr="00442A3B">
        <w:t xml:space="preserve">the </w:t>
      </w:r>
      <w:r w:rsidR="3E3FD7FE" w:rsidRPr="00442A3B">
        <w:t xml:space="preserve">(low) </w:t>
      </w:r>
      <w:r w:rsidRPr="00442A3B">
        <w:t>12.5% discount</w:t>
      </w:r>
      <w:r w:rsidR="1941F652" w:rsidRPr="00442A3B">
        <w:t>.</w:t>
      </w:r>
      <w:r w:rsidRPr="00442A3B">
        <w:t xml:space="preserve"> </w:t>
      </w:r>
      <w:r w:rsidR="00DF30F3" w:rsidRPr="00442A3B">
        <w:t xml:space="preserve">The Commission applied a </w:t>
      </w:r>
      <w:r w:rsidR="00091366" w:rsidRPr="00442A3B">
        <w:t xml:space="preserve">discount because of </w:t>
      </w:r>
      <w:r w:rsidR="00417197" w:rsidRPr="00442A3B">
        <w:t xml:space="preserve">some uncertainty about </w:t>
      </w:r>
      <w:r w:rsidR="00091366" w:rsidRPr="00442A3B">
        <w:t xml:space="preserve">the </w:t>
      </w:r>
      <w:r w:rsidR="00417197" w:rsidRPr="00442A3B">
        <w:t>accuracy of the assessment.</w:t>
      </w:r>
    </w:p>
    <w:p w14:paraId="0003C8AC" w14:textId="2720773C" w:rsidR="00411108" w:rsidRPr="00442A3B" w:rsidRDefault="00411108" w:rsidP="00187342">
      <w:pPr>
        <w:pStyle w:val="Caption"/>
      </w:pPr>
      <w:bookmarkStart w:id="272" w:name="_Ref47338310"/>
      <w:bookmarkStart w:id="273" w:name="_Ref63162449"/>
      <w:r w:rsidRPr="00442A3B">
        <w:t xml:space="preserve">Table </w:t>
      </w:r>
      <w:bookmarkEnd w:id="272"/>
      <w:r w:rsidRPr="00442A3B">
        <w:t>4-</w:t>
      </w:r>
      <w:r w:rsidR="00EC1531" w:rsidRPr="00442A3B">
        <w:fldChar w:fldCharType="begin"/>
      </w:r>
      <w:r w:rsidR="00EC1531" w:rsidRPr="00442A3B">
        <w:instrText>SEQ Table \* ARABIC</w:instrText>
      </w:r>
      <w:r w:rsidR="00EC1531" w:rsidRPr="00442A3B">
        <w:fldChar w:fldCharType="separate"/>
      </w:r>
      <w:r w:rsidR="00FC3D3D">
        <w:rPr>
          <w:noProof/>
        </w:rPr>
        <w:t>2</w:t>
      </w:r>
      <w:r w:rsidR="00EC1531" w:rsidRPr="00442A3B">
        <w:fldChar w:fldCharType="end"/>
      </w:r>
      <w:bookmarkEnd w:id="273"/>
      <w:r w:rsidRPr="00442A3B">
        <w:tab/>
        <w:t>Relative private sector wages, original and revised data, 2017-18 and 2018-19</w:t>
      </w:r>
    </w:p>
    <w:tbl>
      <w:tblPr>
        <w:tblW w:w="8902" w:type="dxa"/>
        <w:tblCellMar>
          <w:left w:w="28" w:type="dxa"/>
          <w:right w:w="28" w:type="dxa"/>
        </w:tblCellMar>
        <w:tblLook w:val="04A0" w:firstRow="1" w:lastRow="0" w:firstColumn="1" w:lastColumn="0" w:noHBand="0" w:noVBand="1"/>
      </w:tblPr>
      <w:tblGrid>
        <w:gridCol w:w="1457"/>
        <w:gridCol w:w="1068"/>
        <w:gridCol w:w="913"/>
        <w:gridCol w:w="952"/>
        <w:gridCol w:w="952"/>
        <w:gridCol w:w="875"/>
        <w:gridCol w:w="933"/>
        <w:gridCol w:w="971"/>
        <w:gridCol w:w="894"/>
      </w:tblGrid>
      <w:tr w:rsidR="00411108" w:rsidRPr="00442A3B" w14:paraId="0EA7C861" w14:textId="77777777" w:rsidTr="005C3EAA">
        <w:trPr>
          <w:trHeight w:val="381"/>
        </w:trPr>
        <w:tc>
          <w:tcPr>
            <w:tcW w:w="1500" w:type="dxa"/>
            <w:tcBorders>
              <w:top w:val="single" w:sz="4" w:space="0" w:color="ADD6EA"/>
              <w:left w:val="nil"/>
              <w:bottom w:val="single" w:sz="4" w:space="0" w:color="ADD6EA"/>
              <w:right w:val="nil"/>
            </w:tcBorders>
            <w:shd w:val="clear" w:color="000000" w:fill="006991"/>
            <w:vAlign w:val="center"/>
            <w:hideMark/>
          </w:tcPr>
          <w:p w14:paraId="2C36214A" w14:textId="77777777" w:rsidR="00411108" w:rsidRPr="00442A3B" w:rsidRDefault="00411108" w:rsidP="00BD6FE5">
            <w:pPr>
              <w:pStyle w:val="CGCTableHeading"/>
              <w:jc w:val="right"/>
              <w:rPr>
                <w:lang w:eastAsia="en-AU"/>
              </w:rPr>
            </w:pPr>
            <w:r w:rsidRPr="00442A3B">
              <w:rPr>
                <w:lang w:eastAsia="en-AU"/>
              </w:rPr>
              <w:t xml:space="preserve"> </w:t>
            </w:r>
          </w:p>
        </w:tc>
        <w:tc>
          <w:tcPr>
            <w:tcW w:w="1100" w:type="dxa"/>
            <w:tcBorders>
              <w:top w:val="single" w:sz="4" w:space="0" w:color="ADD6EA"/>
              <w:left w:val="nil"/>
              <w:bottom w:val="single" w:sz="4" w:space="0" w:color="ADD6EA"/>
              <w:right w:val="nil"/>
            </w:tcBorders>
            <w:shd w:val="clear" w:color="000000" w:fill="006991"/>
            <w:vAlign w:val="center"/>
            <w:hideMark/>
          </w:tcPr>
          <w:p w14:paraId="33A7CD35" w14:textId="77777777" w:rsidR="00411108" w:rsidRPr="00442A3B" w:rsidRDefault="00411108" w:rsidP="00BD6FE5">
            <w:pPr>
              <w:pStyle w:val="CGCTableHeading"/>
              <w:jc w:val="right"/>
              <w:rPr>
                <w:lang w:eastAsia="en-AU"/>
              </w:rPr>
            </w:pPr>
            <w:r w:rsidRPr="00442A3B">
              <w:rPr>
                <w:lang w:eastAsia="en-AU"/>
              </w:rPr>
              <w:t>NSW</w:t>
            </w:r>
          </w:p>
        </w:tc>
        <w:tc>
          <w:tcPr>
            <w:tcW w:w="940" w:type="dxa"/>
            <w:tcBorders>
              <w:top w:val="single" w:sz="4" w:space="0" w:color="ADD6EA"/>
              <w:left w:val="nil"/>
              <w:bottom w:val="single" w:sz="4" w:space="0" w:color="ADD6EA"/>
              <w:right w:val="nil"/>
            </w:tcBorders>
            <w:shd w:val="clear" w:color="000000" w:fill="006991"/>
            <w:vAlign w:val="center"/>
            <w:hideMark/>
          </w:tcPr>
          <w:p w14:paraId="477829D5" w14:textId="77777777" w:rsidR="00411108" w:rsidRPr="00442A3B" w:rsidRDefault="00411108" w:rsidP="00BD6FE5">
            <w:pPr>
              <w:pStyle w:val="CGCTableHeading"/>
              <w:jc w:val="right"/>
              <w:rPr>
                <w:lang w:eastAsia="en-AU"/>
              </w:rPr>
            </w:pPr>
            <w:r w:rsidRPr="00442A3B">
              <w:rPr>
                <w:lang w:eastAsia="en-AU"/>
              </w:rPr>
              <w:t>Vic</w:t>
            </w:r>
          </w:p>
        </w:tc>
        <w:tc>
          <w:tcPr>
            <w:tcW w:w="980" w:type="dxa"/>
            <w:tcBorders>
              <w:top w:val="single" w:sz="4" w:space="0" w:color="ADD6EA"/>
              <w:left w:val="nil"/>
              <w:bottom w:val="single" w:sz="4" w:space="0" w:color="ADD6EA"/>
              <w:right w:val="nil"/>
            </w:tcBorders>
            <w:shd w:val="clear" w:color="000000" w:fill="006991"/>
            <w:vAlign w:val="center"/>
            <w:hideMark/>
          </w:tcPr>
          <w:p w14:paraId="67E99BB8" w14:textId="77777777" w:rsidR="00411108" w:rsidRPr="00442A3B" w:rsidRDefault="00411108" w:rsidP="00BD6FE5">
            <w:pPr>
              <w:pStyle w:val="CGCTableHeading"/>
              <w:jc w:val="right"/>
              <w:rPr>
                <w:lang w:eastAsia="en-AU"/>
              </w:rPr>
            </w:pPr>
            <w:r w:rsidRPr="00442A3B">
              <w:rPr>
                <w:lang w:eastAsia="en-AU"/>
              </w:rPr>
              <w:t>Qld</w:t>
            </w:r>
          </w:p>
        </w:tc>
        <w:tc>
          <w:tcPr>
            <w:tcW w:w="980" w:type="dxa"/>
            <w:tcBorders>
              <w:top w:val="single" w:sz="4" w:space="0" w:color="ADD6EA"/>
              <w:left w:val="nil"/>
              <w:bottom w:val="single" w:sz="4" w:space="0" w:color="ADD6EA"/>
              <w:right w:val="nil"/>
            </w:tcBorders>
            <w:shd w:val="clear" w:color="000000" w:fill="006991"/>
            <w:vAlign w:val="center"/>
            <w:hideMark/>
          </w:tcPr>
          <w:p w14:paraId="0807C102" w14:textId="77777777" w:rsidR="00411108" w:rsidRPr="00442A3B" w:rsidRDefault="00411108" w:rsidP="00BD6FE5">
            <w:pPr>
              <w:pStyle w:val="CGCTableHeading"/>
              <w:jc w:val="right"/>
              <w:rPr>
                <w:lang w:eastAsia="en-AU"/>
              </w:rPr>
            </w:pPr>
            <w:r w:rsidRPr="00442A3B">
              <w:rPr>
                <w:lang w:eastAsia="en-AU"/>
              </w:rPr>
              <w:t>WA</w:t>
            </w:r>
          </w:p>
        </w:tc>
        <w:tc>
          <w:tcPr>
            <w:tcW w:w="900" w:type="dxa"/>
            <w:tcBorders>
              <w:top w:val="single" w:sz="4" w:space="0" w:color="ADD6EA"/>
              <w:left w:val="nil"/>
              <w:bottom w:val="single" w:sz="4" w:space="0" w:color="ADD6EA"/>
              <w:right w:val="nil"/>
            </w:tcBorders>
            <w:shd w:val="clear" w:color="000000" w:fill="006991"/>
            <w:vAlign w:val="center"/>
            <w:hideMark/>
          </w:tcPr>
          <w:p w14:paraId="2C841111" w14:textId="77777777" w:rsidR="00411108" w:rsidRPr="00442A3B" w:rsidRDefault="00411108" w:rsidP="00BD6FE5">
            <w:pPr>
              <w:pStyle w:val="CGCTableHeading"/>
              <w:jc w:val="right"/>
              <w:rPr>
                <w:lang w:eastAsia="en-AU"/>
              </w:rPr>
            </w:pPr>
            <w:r w:rsidRPr="00442A3B">
              <w:rPr>
                <w:lang w:eastAsia="en-AU"/>
              </w:rPr>
              <w:t>SA</w:t>
            </w:r>
          </w:p>
        </w:tc>
        <w:tc>
          <w:tcPr>
            <w:tcW w:w="960" w:type="dxa"/>
            <w:tcBorders>
              <w:top w:val="single" w:sz="4" w:space="0" w:color="ADD6EA"/>
              <w:left w:val="nil"/>
              <w:bottom w:val="single" w:sz="4" w:space="0" w:color="ADD6EA"/>
              <w:right w:val="nil"/>
            </w:tcBorders>
            <w:shd w:val="clear" w:color="000000" w:fill="006991"/>
            <w:vAlign w:val="center"/>
            <w:hideMark/>
          </w:tcPr>
          <w:p w14:paraId="618F7A83" w14:textId="77777777" w:rsidR="00411108" w:rsidRPr="00442A3B" w:rsidRDefault="00411108" w:rsidP="00BD6FE5">
            <w:pPr>
              <w:pStyle w:val="CGCTableHeading"/>
              <w:jc w:val="right"/>
              <w:rPr>
                <w:lang w:eastAsia="en-AU"/>
              </w:rPr>
            </w:pPr>
            <w:r w:rsidRPr="00442A3B">
              <w:rPr>
                <w:lang w:eastAsia="en-AU"/>
              </w:rPr>
              <w:t>Tas</w:t>
            </w:r>
          </w:p>
        </w:tc>
        <w:tc>
          <w:tcPr>
            <w:tcW w:w="1000" w:type="dxa"/>
            <w:tcBorders>
              <w:top w:val="single" w:sz="4" w:space="0" w:color="ADD6EA"/>
              <w:left w:val="nil"/>
              <w:bottom w:val="single" w:sz="4" w:space="0" w:color="ADD6EA"/>
              <w:right w:val="nil"/>
            </w:tcBorders>
            <w:shd w:val="clear" w:color="000000" w:fill="006991"/>
            <w:vAlign w:val="center"/>
            <w:hideMark/>
          </w:tcPr>
          <w:p w14:paraId="585BDC6A" w14:textId="77777777" w:rsidR="00411108" w:rsidRPr="00442A3B" w:rsidRDefault="00411108" w:rsidP="00BD6FE5">
            <w:pPr>
              <w:pStyle w:val="CGCTableHeading"/>
              <w:jc w:val="right"/>
              <w:rPr>
                <w:lang w:eastAsia="en-AU"/>
              </w:rPr>
            </w:pPr>
            <w:r w:rsidRPr="00442A3B">
              <w:rPr>
                <w:lang w:eastAsia="en-AU"/>
              </w:rPr>
              <w:t>ACT</w:t>
            </w:r>
          </w:p>
        </w:tc>
        <w:tc>
          <w:tcPr>
            <w:tcW w:w="920" w:type="dxa"/>
            <w:tcBorders>
              <w:top w:val="single" w:sz="4" w:space="0" w:color="ADD6EA"/>
              <w:left w:val="nil"/>
              <w:bottom w:val="single" w:sz="4" w:space="0" w:color="ADD6EA"/>
              <w:right w:val="nil"/>
            </w:tcBorders>
            <w:shd w:val="clear" w:color="000000" w:fill="006991"/>
            <w:vAlign w:val="center"/>
            <w:hideMark/>
          </w:tcPr>
          <w:p w14:paraId="5723ACC4" w14:textId="77777777" w:rsidR="00411108" w:rsidRPr="00442A3B" w:rsidRDefault="00411108" w:rsidP="00BD6FE5">
            <w:pPr>
              <w:pStyle w:val="CGCTableHeading"/>
              <w:jc w:val="right"/>
              <w:rPr>
                <w:lang w:eastAsia="en-AU"/>
              </w:rPr>
            </w:pPr>
            <w:r w:rsidRPr="00442A3B">
              <w:rPr>
                <w:lang w:eastAsia="en-AU"/>
              </w:rPr>
              <w:t>NT</w:t>
            </w:r>
          </w:p>
        </w:tc>
      </w:tr>
      <w:tr w:rsidR="00411108" w:rsidRPr="00442A3B" w14:paraId="6D8DB0EE" w14:textId="77777777" w:rsidTr="005C3EAA">
        <w:trPr>
          <w:trHeight w:val="315"/>
        </w:trPr>
        <w:tc>
          <w:tcPr>
            <w:tcW w:w="1500" w:type="dxa"/>
            <w:tcBorders>
              <w:top w:val="nil"/>
              <w:left w:val="nil"/>
              <w:bottom w:val="nil"/>
              <w:right w:val="nil"/>
            </w:tcBorders>
            <w:shd w:val="clear" w:color="auto" w:fill="auto"/>
            <w:noWrap/>
            <w:vAlign w:val="bottom"/>
            <w:hideMark/>
          </w:tcPr>
          <w:p w14:paraId="55BED74D" w14:textId="77777777" w:rsidR="00411108" w:rsidRPr="00442A3B" w:rsidRDefault="00411108" w:rsidP="00411108">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 xml:space="preserve">Original </w:t>
            </w:r>
          </w:p>
        </w:tc>
        <w:tc>
          <w:tcPr>
            <w:tcW w:w="1100" w:type="dxa"/>
            <w:tcBorders>
              <w:top w:val="nil"/>
              <w:left w:val="nil"/>
              <w:bottom w:val="nil"/>
              <w:right w:val="nil"/>
            </w:tcBorders>
            <w:shd w:val="clear" w:color="auto" w:fill="auto"/>
            <w:noWrap/>
            <w:vAlign w:val="bottom"/>
            <w:hideMark/>
          </w:tcPr>
          <w:p w14:paraId="1556894E" w14:textId="77777777" w:rsidR="00411108" w:rsidRPr="00442A3B" w:rsidRDefault="00411108" w:rsidP="00411108">
            <w:pPr>
              <w:keepNext/>
              <w:keepLines/>
              <w:tabs>
                <w:tab w:val="clear" w:pos="567"/>
              </w:tabs>
              <w:spacing w:before="0" w:line="240" w:lineRule="auto"/>
              <w:rPr>
                <w:rFonts w:eastAsia="Times New Roman" w:cs="Open Sans Light"/>
                <w:sz w:val="16"/>
                <w:szCs w:val="16"/>
                <w:lang w:eastAsia="en-AU"/>
              </w:rPr>
            </w:pPr>
          </w:p>
        </w:tc>
        <w:tc>
          <w:tcPr>
            <w:tcW w:w="940" w:type="dxa"/>
            <w:tcBorders>
              <w:top w:val="nil"/>
              <w:left w:val="nil"/>
              <w:bottom w:val="nil"/>
              <w:right w:val="nil"/>
            </w:tcBorders>
            <w:shd w:val="clear" w:color="auto" w:fill="auto"/>
            <w:noWrap/>
            <w:vAlign w:val="bottom"/>
            <w:hideMark/>
          </w:tcPr>
          <w:p w14:paraId="33DE3121" w14:textId="77777777" w:rsidR="00411108" w:rsidRPr="00442A3B" w:rsidRDefault="00411108" w:rsidP="00411108">
            <w:pPr>
              <w:keepNext/>
              <w:keepLines/>
              <w:tabs>
                <w:tab w:val="clear" w:pos="567"/>
              </w:tabs>
              <w:spacing w:before="0" w:line="240" w:lineRule="auto"/>
              <w:jc w:val="right"/>
              <w:rPr>
                <w:rFonts w:ascii="MS Mincho" w:eastAsia="MS Mincho" w:hAnsi="MS Mincho" w:cs="MS Mincho"/>
                <w:sz w:val="16"/>
                <w:szCs w:val="16"/>
                <w:lang w:eastAsia="en-AU"/>
              </w:rPr>
            </w:pPr>
          </w:p>
        </w:tc>
        <w:tc>
          <w:tcPr>
            <w:tcW w:w="980" w:type="dxa"/>
            <w:tcBorders>
              <w:top w:val="nil"/>
              <w:left w:val="nil"/>
              <w:bottom w:val="nil"/>
              <w:right w:val="nil"/>
            </w:tcBorders>
            <w:shd w:val="clear" w:color="auto" w:fill="auto"/>
            <w:noWrap/>
            <w:vAlign w:val="bottom"/>
            <w:hideMark/>
          </w:tcPr>
          <w:p w14:paraId="6E0F96E0" w14:textId="77777777" w:rsidR="00411108" w:rsidRPr="00442A3B" w:rsidRDefault="00411108" w:rsidP="00411108">
            <w:pPr>
              <w:keepNext/>
              <w:keepLines/>
              <w:tabs>
                <w:tab w:val="clear" w:pos="567"/>
              </w:tabs>
              <w:spacing w:before="0" w:line="240" w:lineRule="auto"/>
              <w:jc w:val="right"/>
              <w:rPr>
                <w:rFonts w:ascii="MS Mincho" w:eastAsia="MS Mincho" w:hAnsi="MS Mincho" w:cs="MS Mincho"/>
                <w:sz w:val="16"/>
                <w:szCs w:val="16"/>
                <w:lang w:eastAsia="en-AU"/>
              </w:rPr>
            </w:pPr>
          </w:p>
        </w:tc>
        <w:tc>
          <w:tcPr>
            <w:tcW w:w="980" w:type="dxa"/>
            <w:tcBorders>
              <w:top w:val="nil"/>
              <w:left w:val="nil"/>
              <w:bottom w:val="nil"/>
              <w:right w:val="nil"/>
            </w:tcBorders>
            <w:shd w:val="clear" w:color="auto" w:fill="auto"/>
            <w:noWrap/>
            <w:vAlign w:val="bottom"/>
            <w:hideMark/>
          </w:tcPr>
          <w:p w14:paraId="671C120C" w14:textId="77777777" w:rsidR="00411108" w:rsidRPr="00442A3B" w:rsidRDefault="00411108" w:rsidP="00411108">
            <w:pPr>
              <w:keepNext/>
              <w:keepLines/>
              <w:tabs>
                <w:tab w:val="clear" w:pos="567"/>
              </w:tabs>
              <w:spacing w:before="0" w:line="240" w:lineRule="auto"/>
              <w:jc w:val="right"/>
              <w:rPr>
                <w:rFonts w:ascii="MS Mincho" w:eastAsia="MS Mincho" w:hAnsi="MS Mincho" w:cs="MS Mincho"/>
                <w:sz w:val="16"/>
                <w:szCs w:val="16"/>
                <w:lang w:eastAsia="en-AU"/>
              </w:rPr>
            </w:pPr>
          </w:p>
        </w:tc>
        <w:tc>
          <w:tcPr>
            <w:tcW w:w="900" w:type="dxa"/>
            <w:tcBorders>
              <w:top w:val="nil"/>
              <w:left w:val="nil"/>
              <w:bottom w:val="nil"/>
              <w:right w:val="nil"/>
            </w:tcBorders>
            <w:shd w:val="clear" w:color="auto" w:fill="auto"/>
            <w:noWrap/>
            <w:vAlign w:val="bottom"/>
            <w:hideMark/>
          </w:tcPr>
          <w:p w14:paraId="3AED4E2C" w14:textId="77777777" w:rsidR="00411108" w:rsidRPr="00442A3B" w:rsidRDefault="00411108" w:rsidP="00411108">
            <w:pPr>
              <w:keepNext/>
              <w:keepLines/>
              <w:tabs>
                <w:tab w:val="clear" w:pos="567"/>
              </w:tabs>
              <w:spacing w:before="0" w:line="240" w:lineRule="auto"/>
              <w:jc w:val="right"/>
              <w:rPr>
                <w:rFonts w:ascii="MS Mincho" w:eastAsia="MS Mincho" w:hAnsi="MS Mincho" w:cs="MS Mincho"/>
                <w:sz w:val="16"/>
                <w:szCs w:val="16"/>
                <w:lang w:eastAsia="en-AU"/>
              </w:rPr>
            </w:pPr>
          </w:p>
        </w:tc>
        <w:tc>
          <w:tcPr>
            <w:tcW w:w="960" w:type="dxa"/>
            <w:tcBorders>
              <w:top w:val="nil"/>
              <w:left w:val="nil"/>
              <w:bottom w:val="nil"/>
              <w:right w:val="nil"/>
            </w:tcBorders>
            <w:shd w:val="clear" w:color="auto" w:fill="auto"/>
            <w:noWrap/>
            <w:vAlign w:val="bottom"/>
            <w:hideMark/>
          </w:tcPr>
          <w:p w14:paraId="3CDCB278" w14:textId="77777777" w:rsidR="00411108" w:rsidRPr="00442A3B" w:rsidRDefault="00411108" w:rsidP="00411108">
            <w:pPr>
              <w:keepNext/>
              <w:keepLines/>
              <w:tabs>
                <w:tab w:val="clear" w:pos="567"/>
              </w:tabs>
              <w:spacing w:before="0" w:line="240" w:lineRule="auto"/>
              <w:jc w:val="right"/>
              <w:rPr>
                <w:rFonts w:ascii="MS Mincho" w:eastAsia="MS Mincho" w:hAnsi="MS Mincho" w:cs="MS Mincho"/>
                <w:sz w:val="16"/>
                <w:szCs w:val="16"/>
                <w:lang w:eastAsia="en-AU"/>
              </w:rPr>
            </w:pPr>
          </w:p>
        </w:tc>
        <w:tc>
          <w:tcPr>
            <w:tcW w:w="1000" w:type="dxa"/>
            <w:tcBorders>
              <w:top w:val="nil"/>
              <w:left w:val="nil"/>
              <w:bottom w:val="nil"/>
              <w:right w:val="nil"/>
            </w:tcBorders>
            <w:shd w:val="clear" w:color="auto" w:fill="auto"/>
            <w:noWrap/>
            <w:vAlign w:val="bottom"/>
            <w:hideMark/>
          </w:tcPr>
          <w:p w14:paraId="79B7802E" w14:textId="77777777" w:rsidR="00411108" w:rsidRPr="00442A3B" w:rsidRDefault="00411108" w:rsidP="00411108">
            <w:pPr>
              <w:keepNext/>
              <w:keepLines/>
              <w:tabs>
                <w:tab w:val="clear" w:pos="567"/>
              </w:tabs>
              <w:spacing w:before="0" w:line="240" w:lineRule="auto"/>
              <w:jc w:val="right"/>
              <w:rPr>
                <w:rFonts w:ascii="MS Mincho" w:eastAsia="MS Mincho" w:hAnsi="MS Mincho" w:cs="MS Mincho"/>
                <w:sz w:val="16"/>
                <w:szCs w:val="16"/>
                <w:lang w:eastAsia="en-AU"/>
              </w:rPr>
            </w:pPr>
          </w:p>
        </w:tc>
        <w:tc>
          <w:tcPr>
            <w:tcW w:w="920" w:type="dxa"/>
            <w:tcBorders>
              <w:top w:val="nil"/>
              <w:left w:val="nil"/>
              <w:bottom w:val="nil"/>
              <w:right w:val="nil"/>
            </w:tcBorders>
            <w:shd w:val="clear" w:color="auto" w:fill="auto"/>
            <w:noWrap/>
            <w:vAlign w:val="bottom"/>
            <w:hideMark/>
          </w:tcPr>
          <w:p w14:paraId="0FBD55B5" w14:textId="77777777" w:rsidR="00411108" w:rsidRPr="00442A3B" w:rsidRDefault="00411108" w:rsidP="00411108">
            <w:pPr>
              <w:keepNext/>
              <w:keepLines/>
              <w:tabs>
                <w:tab w:val="clear" w:pos="567"/>
              </w:tabs>
              <w:spacing w:before="0" w:line="240" w:lineRule="auto"/>
              <w:jc w:val="right"/>
              <w:rPr>
                <w:rFonts w:ascii="MS Mincho" w:eastAsia="MS Mincho" w:hAnsi="MS Mincho" w:cs="MS Mincho"/>
                <w:sz w:val="16"/>
                <w:szCs w:val="16"/>
                <w:lang w:eastAsia="en-AU"/>
              </w:rPr>
            </w:pPr>
          </w:p>
        </w:tc>
      </w:tr>
      <w:tr w:rsidR="00411108" w:rsidRPr="00442A3B" w14:paraId="5441C177" w14:textId="77777777" w:rsidTr="005C3EAA">
        <w:trPr>
          <w:trHeight w:val="315"/>
        </w:trPr>
        <w:tc>
          <w:tcPr>
            <w:tcW w:w="1500" w:type="dxa"/>
            <w:tcBorders>
              <w:top w:val="single" w:sz="4" w:space="0" w:color="ADD6EA"/>
              <w:left w:val="nil"/>
              <w:bottom w:val="single" w:sz="4" w:space="0" w:color="ADD6EA"/>
              <w:right w:val="nil"/>
            </w:tcBorders>
            <w:shd w:val="clear" w:color="auto" w:fill="auto"/>
            <w:vAlign w:val="bottom"/>
            <w:hideMark/>
          </w:tcPr>
          <w:p w14:paraId="6FC992CB" w14:textId="77777777" w:rsidR="00411108" w:rsidRPr="00442A3B" w:rsidRDefault="00411108" w:rsidP="00411108">
            <w:pPr>
              <w:keepNext/>
              <w:keepLines/>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2017-18</w:t>
            </w:r>
          </w:p>
        </w:tc>
        <w:tc>
          <w:tcPr>
            <w:tcW w:w="1100" w:type="dxa"/>
            <w:tcBorders>
              <w:top w:val="single" w:sz="4" w:space="0" w:color="ADD6EA"/>
              <w:left w:val="nil"/>
              <w:bottom w:val="single" w:sz="4" w:space="0" w:color="ADD6EA"/>
              <w:right w:val="nil"/>
            </w:tcBorders>
            <w:shd w:val="clear" w:color="auto" w:fill="auto"/>
            <w:vAlign w:val="bottom"/>
            <w:hideMark/>
          </w:tcPr>
          <w:p w14:paraId="23116B29"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0.9%</w:t>
            </w:r>
          </w:p>
        </w:tc>
        <w:tc>
          <w:tcPr>
            <w:tcW w:w="940" w:type="dxa"/>
            <w:tcBorders>
              <w:top w:val="single" w:sz="4" w:space="0" w:color="ADD6EA"/>
              <w:left w:val="nil"/>
              <w:bottom w:val="single" w:sz="4" w:space="0" w:color="ADD6EA"/>
              <w:right w:val="nil"/>
            </w:tcBorders>
            <w:shd w:val="clear" w:color="auto" w:fill="auto"/>
            <w:vAlign w:val="bottom"/>
            <w:hideMark/>
          </w:tcPr>
          <w:p w14:paraId="6E48CFA5"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0.6%</w:t>
            </w:r>
          </w:p>
        </w:tc>
        <w:tc>
          <w:tcPr>
            <w:tcW w:w="980" w:type="dxa"/>
            <w:tcBorders>
              <w:top w:val="single" w:sz="4" w:space="0" w:color="ADD6EA"/>
              <w:left w:val="nil"/>
              <w:bottom w:val="single" w:sz="4" w:space="0" w:color="ADD6EA"/>
              <w:right w:val="nil"/>
            </w:tcBorders>
            <w:shd w:val="clear" w:color="auto" w:fill="auto"/>
            <w:vAlign w:val="bottom"/>
            <w:hideMark/>
          </w:tcPr>
          <w:p w14:paraId="7A52DF47"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-0.6%</w:t>
            </w:r>
          </w:p>
        </w:tc>
        <w:tc>
          <w:tcPr>
            <w:tcW w:w="980" w:type="dxa"/>
            <w:tcBorders>
              <w:top w:val="single" w:sz="4" w:space="0" w:color="ADD6EA"/>
              <w:left w:val="nil"/>
              <w:bottom w:val="single" w:sz="4" w:space="0" w:color="ADD6EA"/>
              <w:right w:val="nil"/>
            </w:tcBorders>
            <w:shd w:val="clear" w:color="auto" w:fill="auto"/>
            <w:vAlign w:val="bottom"/>
            <w:hideMark/>
          </w:tcPr>
          <w:p w14:paraId="584CAE30"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-1.1%</w:t>
            </w:r>
          </w:p>
        </w:tc>
        <w:tc>
          <w:tcPr>
            <w:tcW w:w="900" w:type="dxa"/>
            <w:tcBorders>
              <w:top w:val="single" w:sz="4" w:space="0" w:color="ADD6EA"/>
              <w:left w:val="nil"/>
              <w:bottom w:val="single" w:sz="4" w:space="0" w:color="ADD6EA"/>
              <w:right w:val="nil"/>
            </w:tcBorders>
            <w:shd w:val="clear" w:color="auto" w:fill="auto"/>
            <w:vAlign w:val="bottom"/>
            <w:hideMark/>
          </w:tcPr>
          <w:p w14:paraId="10C349F9"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-4.0%</w:t>
            </w:r>
          </w:p>
        </w:tc>
        <w:tc>
          <w:tcPr>
            <w:tcW w:w="960" w:type="dxa"/>
            <w:tcBorders>
              <w:top w:val="single" w:sz="4" w:space="0" w:color="ADD6EA"/>
              <w:left w:val="nil"/>
              <w:bottom w:val="single" w:sz="4" w:space="0" w:color="ADD6EA"/>
              <w:right w:val="nil"/>
            </w:tcBorders>
            <w:shd w:val="clear" w:color="auto" w:fill="auto"/>
            <w:vAlign w:val="bottom"/>
            <w:hideMark/>
          </w:tcPr>
          <w:p w14:paraId="2EF98377"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-4.6%</w:t>
            </w:r>
          </w:p>
        </w:tc>
        <w:tc>
          <w:tcPr>
            <w:tcW w:w="1000" w:type="dxa"/>
            <w:tcBorders>
              <w:top w:val="single" w:sz="4" w:space="0" w:color="ADD6EA"/>
              <w:left w:val="nil"/>
              <w:bottom w:val="single" w:sz="4" w:space="0" w:color="ADD6EA"/>
              <w:right w:val="nil"/>
            </w:tcBorders>
            <w:shd w:val="clear" w:color="auto" w:fill="auto"/>
            <w:vAlign w:val="bottom"/>
            <w:hideMark/>
          </w:tcPr>
          <w:p w14:paraId="353533F0"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7.6%</w:t>
            </w:r>
          </w:p>
        </w:tc>
        <w:tc>
          <w:tcPr>
            <w:tcW w:w="920" w:type="dxa"/>
            <w:tcBorders>
              <w:top w:val="single" w:sz="4" w:space="0" w:color="ADD6EA"/>
              <w:left w:val="nil"/>
              <w:bottom w:val="single" w:sz="4" w:space="0" w:color="ADD6EA"/>
              <w:right w:val="nil"/>
            </w:tcBorders>
            <w:shd w:val="clear" w:color="auto" w:fill="auto"/>
            <w:vAlign w:val="bottom"/>
            <w:hideMark/>
          </w:tcPr>
          <w:p w14:paraId="55165182"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4.7%</w:t>
            </w:r>
          </w:p>
        </w:tc>
      </w:tr>
      <w:tr w:rsidR="00411108" w:rsidRPr="00442A3B" w14:paraId="79F90382" w14:textId="77777777" w:rsidTr="005C3EAA">
        <w:trPr>
          <w:trHeight w:val="315"/>
        </w:trPr>
        <w:tc>
          <w:tcPr>
            <w:tcW w:w="1500" w:type="dxa"/>
            <w:tcBorders>
              <w:top w:val="nil"/>
              <w:left w:val="nil"/>
              <w:bottom w:val="single" w:sz="4" w:space="0" w:color="ADD6EA"/>
              <w:right w:val="nil"/>
            </w:tcBorders>
            <w:shd w:val="clear" w:color="auto" w:fill="auto"/>
            <w:vAlign w:val="bottom"/>
            <w:hideMark/>
          </w:tcPr>
          <w:p w14:paraId="79A7D8E1" w14:textId="77777777" w:rsidR="00411108" w:rsidRPr="00442A3B" w:rsidRDefault="00411108" w:rsidP="00411108">
            <w:pPr>
              <w:keepNext/>
              <w:keepLines/>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2018-19</w:t>
            </w:r>
          </w:p>
        </w:tc>
        <w:tc>
          <w:tcPr>
            <w:tcW w:w="1100" w:type="dxa"/>
            <w:tcBorders>
              <w:top w:val="nil"/>
              <w:left w:val="nil"/>
              <w:bottom w:val="single" w:sz="4" w:space="0" w:color="ADD6EA"/>
              <w:right w:val="nil"/>
            </w:tcBorders>
            <w:shd w:val="clear" w:color="auto" w:fill="auto"/>
            <w:vAlign w:val="bottom"/>
            <w:hideMark/>
          </w:tcPr>
          <w:p w14:paraId="37382A19"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1.0%</w:t>
            </w:r>
          </w:p>
        </w:tc>
        <w:tc>
          <w:tcPr>
            <w:tcW w:w="940" w:type="dxa"/>
            <w:tcBorders>
              <w:top w:val="nil"/>
              <w:left w:val="nil"/>
              <w:bottom w:val="single" w:sz="4" w:space="0" w:color="ADD6EA"/>
              <w:right w:val="nil"/>
            </w:tcBorders>
            <w:shd w:val="clear" w:color="auto" w:fill="auto"/>
            <w:vAlign w:val="bottom"/>
            <w:hideMark/>
          </w:tcPr>
          <w:p w14:paraId="00B3CC64"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-0.9%</w:t>
            </w:r>
          </w:p>
        </w:tc>
        <w:tc>
          <w:tcPr>
            <w:tcW w:w="980" w:type="dxa"/>
            <w:tcBorders>
              <w:top w:val="nil"/>
              <w:left w:val="nil"/>
              <w:bottom w:val="single" w:sz="4" w:space="0" w:color="ADD6EA"/>
              <w:right w:val="nil"/>
            </w:tcBorders>
            <w:shd w:val="clear" w:color="auto" w:fill="auto"/>
            <w:vAlign w:val="bottom"/>
            <w:hideMark/>
          </w:tcPr>
          <w:p w14:paraId="0CB4BA80"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-0.7%</w:t>
            </w:r>
          </w:p>
        </w:tc>
        <w:tc>
          <w:tcPr>
            <w:tcW w:w="980" w:type="dxa"/>
            <w:tcBorders>
              <w:top w:val="nil"/>
              <w:left w:val="nil"/>
              <w:bottom w:val="single" w:sz="4" w:space="0" w:color="ADD6EA"/>
              <w:right w:val="nil"/>
            </w:tcBorders>
            <w:shd w:val="clear" w:color="auto" w:fill="auto"/>
            <w:vAlign w:val="bottom"/>
            <w:hideMark/>
          </w:tcPr>
          <w:p w14:paraId="0C636D63"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2.8%</w:t>
            </w:r>
          </w:p>
        </w:tc>
        <w:tc>
          <w:tcPr>
            <w:tcW w:w="900" w:type="dxa"/>
            <w:tcBorders>
              <w:top w:val="nil"/>
              <w:left w:val="nil"/>
              <w:bottom w:val="single" w:sz="4" w:space="0" w:color="ADD6EA"/>
              <w:right w:val="nil"/>
            </w:tcBorders>
            <w:shd w:val="clear" w:color="auto" w:fill="auto"/>
            <w:vAlign w:val="bottom"/>
            <w:hideMark/>
          </w:tcPr>
          <w:p w14:paraId="5D68265F"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-3.4%</w:t>
            </w:r>
          </w:p>
        </w:tc>
        <w:tc>
          <w:tcPr>
            <w:tcW w:w="960" w:type="dxa"/>
            <w:tcBorders>
              <w:top w:val="nil"/>
              <w:left w:val="nil"/>
              <w:bottom w:val="single" w:sz="4" w:space="0" w:color="ADD6EA"/>
              <w:right w:val="nil"/>
            </w:tcBorders>
            <w:shd w:val="clear" w:color="auto" w:fill="auto"/>
            <w:vAlign w:val="bottom"/>
            <w:hideMark/>
          </w:tcPr>
          <w:p w14:paraId="7F9503EE"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-4.4%</w:t>
            </w:r>
          </w:p>
        </w:tc>
        <w:tc>
          <w:tcPr>
            <w:tcW w:w="1000" w:type="dxa"/>
            <w:tcBorders>
              <w:top w:val="nil"/>
              <w:left w:val="nil"/>
              <w:bottom w:val="single" w:sz="4" w:space="0" w:color="ADD6EA"/>
              <w:right w:val="nil"/>
            </w:tcBorders>
            <w:shd w:val="clear" w:color="auto" w:fill="auto"/>
            <w:vAlign w:val="bottom"/>
            <w:hideMark/>
          </w:tcPr>
          <w:p w14:paraId="12C4BBE6"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3.0%</w:t>
            </w:r>
          </w:p>
        </w:tc>
        <w:tc>
          <w:tcPr>
            <w:tcW w:w="920" w:type="dxa"/>
            <w:tcBorders>
              <w:top w:val="nil"/>
              <w:left w:val="nil"/>
              <w:bottom w:val="single" w:sz="4" w:space="0" w:color="ADD6EA"/>
              <w:right w:val="nil"/>
            </w:tcBorders>
            <w:shd w:val="clear" w:color="auto" w:fill="auto"/>
            <w:vAlign w:val="bottom"/>
            <w:hideMark/>
          </w:tcPr>
          <w:p w14:paraId="2069128A"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4.6%</w:t>
            </w:r>
          </w:p>
        </w:tc>
      </w:tr>
      <w:tr w:rsidR="00411108" w:rsidRPr="00442A3B" w14:paraId="6F285318" w14:textId="77777777" w:rsidTr="005C3EAA">
        <w:trPr>
          <w:trHeight w:val="315"/>
        </w:trPr>
        <w:tc>
          <w:tcPr>
            <w:tcW w:w="1500" w:type="dxa"/>
            <w:tcBorders>
              <w:top w:val="nil"/>
              <w:left w:val="nil"/>
              <w:bottom w:val="nil"/>
              <w:right w:val="nil"/>
            </w:tcBorders>
            <w:shd w:val="clear" w:color="auto" w:fill="auto"/>
            <w:noWrap/>
            <w:vAlign w:val="bottom"/>
            <w:hideMark/>
          </w:tcPr>
          <w:p w14:paraId="61088816" w14:textId="77777777" w:rsidR="00411108" w:rsidRPr="00442A3B" w:rsidRDefault="00411108" w:rsidP="00411108">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Revised</w:t>
            </w:r>
          </w:p>
        </w:tc>
        <w:tc>
          <w:tcPr>
            <w:tcW w:w="1100" w:type="dxa"/>
            <w:tcBorders>
              <w:top w:val="nil"/>
              <w:left w:val="nil"/>
              <w:bottom w:val="nil"/>
              <w:right w:val="nil"/>
            </w:tcBorders>
            <w:shd w:val="clear" w:color="auto" w:fill="auto"/>
            <w:noWrap/>
            <w:vAlign w:val="bottom"/>
            <w:hideMark/>
          </w:tcPr>
          <w:p w14:paraId="1F59A98F" w14:textId="77777777" w:rsidR="00411108" w:rsidRPr="00442A3B" w:rsidRDefault="00411108" w:rsidP="00411108">
            <w:pPr>
              <w:keepNext/>
              <w:keepLines/>
              <w:tabs>
                <w:tab w:val="clear" w:pos="567"/>
              </w:tabs>
              <w:spacing w:before="0" w:line="240" w:lineRule="auto"/>
              <w:rPr>
                <w:rFonts w:eastAsia="Times New Roman" w:cs="Open Sans Light"/>
                <w:sz w:val="16"/>
                <w:szCs w:val="16"/>
                <w:lang w:eastAsia="en-AU"/>
              </w:rPr>
            </w:pPr>
          </w:p>
        </w:tc>
        <w:tc>
          <w:tcPr>
            <w:tcW w:w="940" w:type="dxa"/>
            <w:tcBorders>
              <w:top w:val="nil"/>
              <w:left w:val="nil"/>
              <w:bottom w:val="nil"/>
              <w:right w:val="nil"/>
            </w:tcBorders>
            <w:shd w:val="clear" w:color="auto" w:fill="auto"/>
            <w:noWrap/>
            <w:vAlign w:val="bottom"/>
            <w:hideMark/>
          </w:tcPr>
          <w:p w14:paraId="4DCA8633" w14:textId="77777777" w:rsidR="00411108" w:rsidRPr="00442A3B" w:rsidRDefault="00411108" w:rsidP="00411108">
            <w:pPr>
              <w:keepNext/>
              <w:keepLines/>
              <w:tabs>
                <w:tab w:val="clear" w:pos="567"/>
              </w:tabs>
              <w:spacing w:before="0" w:line="240" w:lineRule="auto"/>
              <w:jc w:val="right"/>
              <w:rPr>
                <w:rFonts w:ascii="MS Mincho" w:eastAsia="MS Mincho" w:hAnsi="MS Mincho" w:cs="MS Mincho"/>
                <w:sz w:val="16"/>
                <w:szCs w:val="16"/>
                <w:lang w:eastAsia="en-AU"/>
              </w:rPr>
            </w:pPr>
          </w:p>
        </w:tc>
        <w:tc>
          <w:tcPr>
            <w:tcW w:w="980" w:type="dxa"/>
            <w:tcBorders>
              <w:top w:val="nil"/>
              <w:left w:val="nil"/>
              <w:bottom w:val="nil"/>
              <w:right w:val="nil"/>
            </w:tcBorders>
            <w:shd w:val="clear" w:color="auto" w:fill="auto"/>
            <w:noWrap/>
            <w:vAlign w:val="bottom"/>
            <w:hideMark/>
          </w:tcPr>
          <w:p w14:paraId="6D8B35A8" w14:textId="77777777" w:rsidR="00411108" w:rsidRPr="00442A3B" w:rsidRDefault="00411108" w:rsidP="00411108">
            <w:pPr>
              <w:keepNext/>
              <w:keepLines/>
              <w:tabs>
                <w:tab w:val="clear" w:pos="567"/>
              </w:tabs>
              <w:spacing w:before="0" w:line="240" w:lineRule="auto"/>
              <w:jc w:val="right"/>
              <w:rPr>
                <w:rFonts w:ascii="MS Mincho" w:eastAsia="MS Mincho" w:hAnsi="MS Mincho" w:cs="MS Mincho"/>
                <w:sz w:val="16"/>
                <w:szCs w:val="16"/>
                <w:lang w:eastAsia="en-AU"/>
              </w:rPr>
            </w:pPr>
          </w:p>
        </w:tc>
        <w:tc>
          <w:tcPr>
            <w:tcW w:w="980" w:type="dxa"/>
            <w:tcBorders>
              <w:top w:val="nil"/>
              <w:left w:val="nil"/>
              <w:bottom w:val="nil"/>
              <w:right w:val="nil"/>
            </w:tcBorders>
            <w:shd w:val="clear" w:color="auto" w:fill="auto"/>
            <w:noWrap/>
            <w:vAlign w:val="bottom"/>
            <w:hideMark/>
          </w:tcPr>
          <w:p w14:paraId="109653C9" w14:textId="77777777" w:rsidR="00411108" w:rsidRPr="00442A3B" w:rsidRDefault="00411108" w:rsidP="00411108">
            <w:pPr>
              <w:keepNext/>
              <w:keepLines/>
              <w:tabs>
                <w:tab w:val="clear" w:pos="567"/>
              </w:tabs>
              <w:spacing w:before="0" w:line="240" w:lineRule="auto"/>
              <w:jc w:val="right"/>
              <w:rPr>
                <w:rFonts w:ascii="MS Mincho" w:eastAsia="MS Mincho" w:hAnsi="MS Mincho" w:cs="MS Mincho"/>
                <w:sz w:val="16"/>
                <w:szCs w:val="16"/>
                <w:lang w:eastAsia="en-AU"/>
              </w:rPr>
            </w:pPr>
          </w:p>
        </w:tc>
        <w:tc>
          <w:tcPr>
            <w:tcW w:w="900" w:type="dxa"/>
            <w:tcBorders>
              <w:top w:val="nil"/>
              <w:left w:val="nil"/>
              <w:bottom w:val="nil"/>
              <w:right w:val="nil"/>
            </w:tcBorders>
            <w:shd w:val="clear" w:color="auto" w:fill="auto"/>
            <w:noWrap/>
            <w:vAlign w:val="bottom"/>
            <w:hideMark/>
          </w:tcPr>
          <w:p w14:paraId="72191345" w14:textId="77777777" w:rsidR="00411108" w:rsidRPr="00442A3B" w:rsidRDefault="00411108" w:rsidP="00411108">
            <w:pPr>
              <w:keepNext/>
              <w:keepLines/>
              <w:tabs>
                <w:tab w:val="clear" w:pos="567"/>
              </w:tabs>
              <w:spacing w:before="0" w:line="240" w:lineRule="auto"/>
              <w:jc w:val="right"/>
              <w:rPr>
                <w:rFonts w:ascii="MS Mincho" w:eastAsia="MS Mincho" w:hAnsi="MS Mincho" w:cs="MS Mincho"/>
                <w:sz w:val="16"/>
                <w:szCs w:val="16"/>
                <w:lang w:eastAsia="en-AU"/>
              </w:rPr>
            </w:pPr>
          </w:p>
        </w:tc>
        <w:tc>
          <w:tcPr>
            <w:tcW w:w="960" w:type="dxa"/>
            <w:tcBorders>
              <w:top w:val="nil"/>
              <w:left w:val="nil"/>
              <w:bottom w:val="nil"/>
              <w:right w:val="nil"/>
            </w:tcBorders>
            <w:shd w:val="clear" w:color="auto" w:fill="auto"/>
            <w:noWrap/>
            <w:vAlign w:val="bottom"/>
            <w:hideMark/>
          </w:tcPr>
          <w:p w14:paraId="47052252" w14:textId="77777777" w:rsidR="00411108" w:rsidRPr="00442A3B" w:rsidRDefault="00411108" w:rsidP="00411108">
            <w:pPr>
              <w:keepNext/>
              <w:keepLines/>
              <w:tabs>
                <w:tab w:val="clear" w:pos="567"/>
              </w:tabs>
              <w:spacing w:before="0" w:line="240" w:lineRule="auto"/>
              <w:jc w:val="right"/>
              <w:rPr>
                <w:rFonts w:ascii="MS Mincho" w:eastAsia="MS Mincho" w:hAnsi="MS Mincho" w:cs="MS Mincho"/>
                <w:sz w:val="16"/>
                <w:szCs w:val="16"/>
                <w:lang w:eastAsia="en-AU"/>
              </w:rPr>
            </w:pPr>
          </w:p>
        </w:tc>
        <w:tc>
          <w:tcPr>
            <w:tcW w:w="1000" w:type="dxa"/>
            <w:tcBorders>
              <w:top w:val="nil"/>
              <w:left w:val="nil"/>
              <w:bottom w:val="nil"/>
              <w:right w:val="nil"/>
            </w:tcBorders>
            <w:shd w:val="clear" w:color="auto" w:fill="auto"/>
            <w:noWrap/>
            <w:vAlign w:val="bottom"/>
            <w:hideMark/>
          </w:tcPr>
          <w:p w14:paraId="2B027F21" w14:textId="77777777" w:rsidR="00411108" w:rsidRPr="00442A3B" w:rsidRDefault="00411108" w:rsidP="00411108">
            <w:pPr>
              <w:keepNext/>
              <w:keepLines/>
              <w:tabs>
                <w:tab w:val="clear" w:pos="567"/>
              </w:tabs>
              <w:spacing w:before="0" w:line="240" w:lineRule="auto"/>
              <w:jc w:val="right"/>
              <w:rPr>
                <w:rFonts w:ascii="MS Mincho" w:eastAsia="MS Mincho" w:hAnsi="MS Mincho" w:cs="MS Mincho"/>
                <w:sz w:val="16"/>
                <w:szCs w:val="16"/>
                <w:lang w:eastAsia="en-AU"/>
              </w:rPr>
            </w:pPr>
          </w:p>
        </w:tc>
        <w:tc>
          <w:tcPr>
            <w:tcW w:w="920" w:type="dxa"/>
            <w:tcBorders>
              <w:top w:val="nil"/>
              <w:left w:val="nil"/>
              <w:bottom w:val="nil"/>
              <w:right w:val="nil"/>
            </w:tcBorders>
            <w:shd w:val="clear" w:color="auto" w:fill="auto"/>
            <w:noWrap/>
            <w:vAlign w:val="bottom"/>
            <w:hideMark/>
          </w:tcPr>
          <w:p w14:paraId="19D3D894" w14:textId="77777777" w:rsidR="00411108" w:rsidRPr="00442A3B" w:rsidRDefault="00411108" w:rsidP="00411108">
            <w:pPr>
              <w:keepNext/>
              <w:keepLines/>
              <w:tabs>
                <w:tab w:val="clear" w:pos="567"/>
              </w:tabs>
              <w:spacing w:before="0" w:line="240" w:lineRule="auto"/>
              <w:jc w:val="right"/>
              <w:rPr>
                <w:rFonts w:ascii="MS Mincho" w:eastAsia="MS Mincho" w:hAnsi="MS Mincho" w:cs="MS Mincho"/>
                <w:sz w:val="16"/>
                <w:szCs w:val="16"/>
                <w:lang w:eastAsia="en-AU"/>
              </w:rPr>
            </w:pPr>
          </w:p>
        </w:tc>
      </w:tr>
      <w:tr w:rsidR="00411108" w:rsidRPr="00442A3B" w14:paraId="5D1F6F92" w14:textId="77777777" w:rsidTr="005C3EAA">
        <w:trPr>
          <w:trHeight w:val="315"/>
        </w:trPr>
        <w:tc>
          <w:tcPr>
            <w:tcW w:w="1500" w:type="dxa"/>
            <w:tcBorders>
              <w:top w:val="single" w:sz="4" w:space="0" w:color="ADD6EA"/>
              <w:left w:val="nil"/>
              <w:bottom w:val="single" w:sz="4" w:space="0" w:color="ADD6EA"/>
              <w:right w:val="nil"/>
            </w:tcBorders>
            <w:shd w:val="clear" w:color="auto" w:fill="auto"/>
            <w:vAlign w:val="bottom"/>
            <w:hideMark/>
          </w:tcPr>
          <w:p w14:paraId="7908BBCC" w14:textId="77777777" w:rsidR="00411108" w:rsidRPr="00442A3B" w:rsidRDefault="00411108" w:rsidP="00411108">
            <w:pPr>
              <w:keepNext/>
              <w:keepLines/>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2017-18</w:t>
            </w:r>
          </w:p>
        </w:tc>
        <w:tc>
          <w:tcPr>
            <w:tcW w:w="1100" w:type="dxa"/>
            <w:tcBorders>
              <w:top w:val="single" w:sz="4" w:space="0" w:color="ADD6EA"/>
              <w:left w:val="nil"/>
              <w:bottom w:val="single" w:sz="4" w:space="0" w:color="ADD6EA"/>
              <w:right w:val="nil"/>
            </w:tcBorders>
            <w:shd w:val="clear" w:color="auto" w:fill="auto"/>
            <w:vAlign w:val="bottom"/>
            <w:hideMark/>
          </w:tcPr>
          <w:p w14:paraId="5F197984"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1.3%</w:t>
            </w:r>
          </w:p>
        </w:tc>
        <w:tc>
          <w:tcPr>
            <w:tcW w:w="940" w:type="dxa"/>
            <w:tcBorders>
              <w:top w:val="single" w:sz="4" w:space="0" w:color="ADD6EA"/>
              <w:left w:val="nil"/>
              <w:bottom w:val="single" w:sz="4" w:space="0" w:color="ADD6EA"/>
              <w:right w:val="nil"/>
            </w:tcBorders>
            <w:shd w:val="clear" w:color="auto" w:fill="auto"/>
            <w:vAlign w:val="bottom"/>
            <w:hideMark/>
          </w:tcPr>
          <w:p w14:paraId="6F57B942"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0.0%</w:t>
            </w:r>
          </w:p>
        </w:tc>
        <w:tc>
          <w:tcPr>
            <w:tcW w:w="980" w:type="dxa"/>
            <w:tcBorders>
              <w:top w:val="single" w:sz="4" w:space="0" w:color="ADD6EA"/>
              <w:left w:val="nil"/>
              <w:bottom w:val="single" w:sz="4" w:space="0" w:color="ADD6EA"/>
              <w:right w:val="nil"/>
            </w:tcBorders>
            <w:shd w:val="clear" w:color="auto" w:fill="auto"/>
            <w:vAlign w:val="bottom"/>
            <w:hideMark/>
          </w:tcPr>
          <w:p w14:paraId="136AFFEE"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-0.3%</w:t>
            </w:r>
          </w:p>
        </w:tc>
        <w:tc>
          <w:tcPr>
            <w:tcW w:w="980" w:type="dxa"/>
            <w:tcBorders>
              <w:top w:val="single" w:sz="4" w:space="0" w:color="ADD6EA"/>
              <w:left w:val="nil"/>
              <w:bottom w:val="single" w:sz="4" w:space="0" w:color="ADD6EA"/>
              <w:right w:val="nil"/>
            </w:tcBorders>
            <w:shd w:val="clear" w:color="auto" w:fill="auto"/>
            <w:vAlign w:val="bottom"/>
            <w:hideMark/>
          </w:tcPr>
          <w:p w14:paraId="0AE9171E"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-0.2%</w:t>
            </w:r>
          </w:p>
        </w:tc>
        <w:tc>
          <w:tcPr>
            <w:tcW w:w="900" w:type="dxa"/>
            <w:tcBorders>
              <w:top w:val="single" w:sz="4" w:space="0" w:color="ADD6EA"/>
              <w:left w:val="nil"/>
              <w:bottom w:val="single" w:sz="4" w:space="0" w:color="ADD6EA"/>
              <w:right w:val="nil"/>
            </w:tcBorders>
            <w:shd w:val="clear" w:color="auto" w:fill="auto"/>
            <w:vAlign w:val="bottom"/>
            <w:hideMark/>
          </w:tcPr>
          <w:p w14:paraId="2B28A295"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-5.6%</w:t>
            </w:r>
          </w:p>
        </w:tc>
        <w:tc>
          <w:tcPr>
            <w:tcW w:w="960" w:type="dxa"/>
            <w:tcBorders>
              <w:top w:val="single" w:sz="4" w:space="0" w:color="ADD6EA"/>
              <w:left w:val="nil"/>
              <w:bottom w:val="single" w:sz="4" w:space="0" w:color="ADD6EA"/>
              <w:right w:val="nil"/>
            </w:tcBorders>
            <w:shd w:val="clear" w:color="auto" w:fill="auto"/>
            <w:vAlign w:val="bottom"/>
            <w:hideMark/>
          </w:tcPr>
          <w:p w14:paraId="50F1E8F2"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-5.5%</w:t>
            </w:r>
          </w:p>
        </w:tc>
        <w:tc>
          <w:tcPr>
            <w:tcW w:w="1000" w:type="dxa"/>
            <w:tcBorders>
              <w:top w:val="single" w:sz="4" w:space="0" w:color="ADD6EA"/>
              <w:left w:val="nil"/>
              <w:bottom w:val="single" w:sz="4" w:space="0" w:color="ADD6EA"/>
              <w:right w:val="nil"/>
            </w:tcBorders>
            <w:shd w:val="clear" w:color="auto" w:fill="auto"/>
            <w:vAlign w:val="bottom"/>
            <w:hideMark/>
          </w:tcPr>
          <w:p w14:paraId="6B827C4E"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7.5%</w:t>
            </w:r>
          </w:p>
        </w:tc>
        <w:tc>
          <w:tcPr>
            <w:tcW w:w="920" w:type="dxa"/>
            <w:tcBorders>
              <w:top w:val="single" w:sz="4" w:space="0" w:color="ADD6EA"/>
              <w:left w:val="nil"/>
              <w:bottom w:val="single" w:sz="4" w:space="0" w:color="ADD6EA"/>
              <w:right w:val="nil"/>
            </w:tcBorders>
            <w:shd w:val="clear" w:color="auto" w:fill="auto"/>
            <w:vAlign w:val="bottom"/>
            <w:hideMark/>
          </w:tcPr>
          <w:p w14:paraId="07E7A7DD"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4.7%</w:t>
            </w:r>
          </w:p>
        </w:tc>
      </w:tr>
      <w:tr w:rsidR="00411108" w:rsidRPr="00442A3B" w14:paraId="2E220B89" w14:textId="77777777" w:rsidTr="005C3EAA">
        <w:trPr>
          <w:trHeight w:val="315"/>
        </w:trPr>
        <w:tc>
          <w:tcPr>
            <w:tcW w:w="1500" w:type="dxa"/>
            <w:tcBorders>
              <w:top w:val="nil"/>
              <w:left w:val="nil"/>
              <w:bottom w:val="single" w:sz="4" w:space="0" w:color="ADD6EA"/>
              <w:right w:val="nil"/>
            </w:tcBorders>
            <w:shd w:val="clear" w:color="auto" w:fill="auto"/>
            <w:vAlign w:val="bottom"/>
            <w:hideMark/>
          </w:tcPr>
          <w:p w14:paraId="1A082D47" w14:textId="77777777" w:rsidR="00411108" w:rsidRPr="00442A3B" w:rsidRDefault="00411108" w:rsidP="00411108">
            <w:pPr>
              <w:keepNext/>
              <w:keepLines/>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2018-19</w:t>
            </w:r>
          </w:p>
        </w:tc>
        <w:tc>
          <w:tcPr>
            <w:tcW w:w="1100" w:type="dxa"/>
            <w:tcBorders>
              <w:top w:val="nil"/>
              <w:left w:val="nil"/>
              <w:bottom w:val="single" w:sz="4" w:space="0" w:color="ADD6EA"/>
              <w:right w:val="nil"/>
            </w:tcBorders>
            <w:shd w:val="clear" w:color="auto" w:fill="auto"/>
            <w:vAlign w:val="bottom"/>
            <w:hideMark/>
          </w:tcPr>
          <w:p w14:paraId="46BDAC39"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1.4%</w:t>
            </w:r>
          </w:p>
        </w:tc>
        <w:tc>
          <w:tcPr>
            <w:tcW w:w="940" w:type="dxa"/>
            <w:tcBorders>
              <w:top w:val="nil"/>
              <w:left w:val="nil"/>
              <w:bottom w:val="single" w:sz="4" w:space="0" w:color="ADD6EA"/>
              <w:right w:val="nil"/>
            </w:tcBorders>
            <w:shd w:val="clear" w:color="auto" w:fill="auto"/>
            <w:vAlign w:val="bottom"/>
            <w:hideMark/>
          </w:tcPr>
          <w:p w14:paraId="7584DFB8"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-0.9%</w:t>
            </w:r>
          </w:p>
        </w:tc>
        <w:tc>
          <w:tcPr>
            <w:tcW w:w="980" w:type="dxa"/>
            <w:tcBorders>
              <w:top w:val="nil"/>
              <w:left w:val="nil"/>
              <w:bottom w:val="single" w:sz="4" w:space="0" w:color="ADD6EA"/>
              <w:right w:val="nil"/>
            </w:tcBorders>
            <w:shd w:val="clear" w:color="auto" w:fill="auto"/>
            <w:vAlign w:val="bottom"/>
            <w:hideMark/>
          </w:tcPr>
          <w:p w14:paraId="05878DF5"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-1.4%</w:t>
            </w:r>
          </w:p>
        </w:tc>
        <w:tc>
          <w:tcPr>
            <w:tcW w:w="980" w:type="dxa"/>
            <w:tcBorders>
              <w:top w:val="nil"/>
              <w:left w:val="nil"/>
              <w:bottom w:val="single" w:sz="4" w:space="0" w:color="ADD6EA"/>
              <w:right w:val="nil"/>
            </w:tcBorders>
            <w:shd w:val="clear" w:color="auto" w:fill="auto"/>
            <w:vAlign w:val="bottom"/>
            <w:hideMark/>
          </w:tcPr>
          <w:p w14:paraId="3C5DAA13"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3.2%</w:t>
            </w:r>
          </w:p>
        </w:tc>
        <w:tc>
          <w:tcPr>
            <w:tcW w:w="900" w:type="dxa"/>
            <w:tcBorders>
              <w:top w:val="nil"/>
              <w:left w:val="nil"/>
              <w:bottom w:val="single" w:sz="4" w:space="0" w:color="ADD6EA"/>
              <w:right w:val="nil"/>
            </w:tcBorders>
            <w:shd w:val="clear" w:color="auto" w:fill="auto"/>
            <w:vAlign w:val="bottom"/>
            <w:hideMark/>
          </w:tcPr>
          <w:p w14:paraId="70526BF9"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-3.8%</w:t>
            </w:r>
          </w:p>
        </w:tc>
        <w:tc>
          <w:tcPr>
            <w:tcW w:w="960" w:type="dxa"/>
            <w:tcBorders>
              <w:top w:val="nil"/>
              <w:left w:val="nil"/>
              <w:bottom w:val="single" w:sz="4" w:space="0" w:color="ADD6EA"/>
              <w:right w:val="nil"/>
            </w:tcBorders>
            <w:shd w:val="clear" w:color="auto" w:fill="auto"/>
            <w:vAlign w:val="bottom"/>
            <w:hideMark/>
          </w:tcPr>
          <w:p w14:paraId="25051DD4"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-5.1%</w:t>
            </w:r>
          </w:p>
        </w:tc>
        <w:tc>
          <w:tcPr>
            <w:tcW w:w="1000" w:type="dxa"/>
            <w:tcBorders>
              <w:top w:val="nil"/>
              <w:left w:val="nil"/>
              <w:bottom w:val="single" w:sz="4" w:space="0" w:color="ADD6EA"/>
              <w:right w:val="nil"/>
            </w:tcBorders>
            <w:shd w:val="clear" w:color="auto" w:fill="auto"/>
            <w:vAlign w:val="bottom"/>
            <w:hideMark/>
          </w:tcPr>
          <w:p w14:paraId="505616EC"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2.9%</w:t>
            </w:r>
          </w:p>
        </w:tc>
        <w:tc>
          <w:tcPr>
            <w:tcW w:w="920" w:type="dxa"/>
            <w:tcBorders>
              <w:top w:val="nil"/>
              <w:left w:val="nil"/>
              <w:bottom w:val="single" w:sz="4" w:space="0" w:color="ADD6EA"/>
              <w:right w:val="nil"/>
            </w:tcBorders>
            <w:shd w:val="clear" w:color="auto" w:fill="auto"/>
            <w:vAlign w:val="bottom"/>
            <w:hideMark/>
          </w:tcPr>
          <w:p w14:paraId="11BA2B76"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4.7%</w:t>
            </w:r>
          </w:p>
        </w:tc>
      </w:tr>
      <w:tr w:rsidR="00411108" w:rsidRPr="00442A3B" w14:paraId="3A14E9A1" w14:textId="77777777" w:rsidTr="005C3EAA">
        <w:trPr>
          <w:trHeight w:val="315"/>
        </w:trPr>
        <w:tc>
          <w:tcPr>
            <w:tcW w:w="1500" w:type="dxa"/>
            <w:tcBorders>
              <w:top w:val="nil"/>
              <w:left w:val="nil"/>
              <w:bottom w:val="nil"/>
              <w:right w:val="nil"/>
            </w:tcBorders>
            <w:shd w:val="clear" w:color="auto" w:fill="auto"/>
            <w:noWrap/>
            <w:vAlign w:val="bottom"/>
            <w:hideMark/>
          </w:tcPr>
          <w:p w14:paraId="6B214D0D" w14:textId="77777777" w:rsidR="00411108" w:rsidRPr="00442A3B" w:rsidRDefault="00411108" w:rsidP="00411108">
            <w:pPr>
              <w:keepNext/>
              <w:keepLines/>
              <w:tabs>
                <w:tab w:val="clear" w:pos="567"/>
              </w:tabs>
              <w:spacing w:before="0" w:line="240" w:lineRule="auto"/>
              <w:rPr>
                <w:rFonts w:eastAsia="Times New Roman" w:cs="Open Sans Light"/>
                <w:sz w:val="16"/>
                <w:szCs w:val="16"/>
                <w:lang w:eastAsia="en-AU"/>
              </w:rPr>
            </w:pPr>
            <w:r w:rsidRPr="00442A3B">
              <w:rPr>
                <w:rFonts w:eastAsia="Times New Roman" w:cs="Open Sans Light"/>
                <w:sz w:val="16"/>
                <w:szCs w:val="16"/>
                <w:lang w:eastAsia="en-AU"/>
              </w:rPr>
              <w:t>Difference</w:t>
            </w:r>
          </w:p>
        </w:tc>
        <w:tc>
          <w:tcPr>
            <w:tcW w:w="1100" w:type="dxa"/>
            <w:tcBorders>
              <w:top w:val="nil"/>
              <w:left w:val="nil"/>
              <w:bottom w:val="nil"/>
              <w:right w:val="nil"/>
            </w:tcBorders>
            <w:shd w:val="clear" w:color="auto" w:fill="auto"/>
            <w:noWrap/>
            <w:vAlign w:val="bottom"/>
            <w:hideMark/>
          </w:tcPr>
          <w:p w14:paraId="7795D418" w14:textId="77777777" w:rsidR="00411108" w:rsidRPr="00442A3B" w:rsidRDefault="00411108" w:rsidP="00411108">
            <w:pPr>
              <w:keepNext/>
              <w:keepLines/>
              <w:tabs>
                <w:tab w:val="clear" w:pos="567"/>
              </w:tabs>
              <w:spacing w:before="0" w:line="240" w:lineRule="auto"/>
              <w:rPr>
                <w:rFonts w:eastAsia="Times New Roman" w:cs="Open Sans Light"/>
                <w:sz w:val="16"/>
                <w:szCs w:val="16"/>
                <w:lang w:eastAsia="en-AU"/>
              </w:rPr>
            </w:pPr>
          </w:p>
        </w:tc>
        <w:tc>
          <w:tcPr>
            <w:tcW w:w="940" w:type="dxa"/>
            <w:tcBorders>
              <w:top w:val="nil"/>
              <w:left w:val="nil"/>
              <w:bottom w:val="nil"/>
              <w:right w:val="nil"/>
            </w:tcBorders>
            <w:shd w:val="clear" w:color="auto" w:fill="auto"/>
            <w:noWrap/>
            <w:vAlign w:val="bottom"/>
            <w:hideMark/>
          </w:tcPr>
          <w:p w14:paraId="49F69DF8" w14:textId="77777777" w:rsidR="00411108" w:rsidRPr="00442A3B" w:rsidRDefault="00411108" w:rsidP="00411108">
            <w:pPr>
              <w:keepNext/>
              <w:keepLines/>
              <w:tabs>
                <w:tab w:val="clear" w:pos="567"/>
              </w:tabs>
              <w:spacing w:before="0" w:line="240" w:lineRule="auto"/>
              <w:jc w:val="right"/>
              <w:rPr>
                <w:rFonts w:ascii="MS Mincho" w:eastAsia="MS Mincho" w:hAnsi="MS Mincho" w:cs="MS Mincho"/>
                <w:sz w:val="16"/>
                <w:szCs w:val="16"/>
                <w:lang w:eastAsia="en-AU"/>
              </w:rPr>
            </w:pPr>
          </w:p>
        </w:tc>
        <w:tc>
          <w:tcPr>
            <w:tcW w:w="980" w:type="dxa"/>
            <w:tcBorders>
              <w:top w:val="nil"/>
              <w:left w:val="nil"/>
              <w:bottom w:val="nil"/>
              <w:right w:val="nil"/>
            </w:tcBorders>
            <w:shd w:val="clear" w:color="auto" w:fill="auto"/>
            <w:noWrap/>
            <w:vAlign w:val="bottom"/>
            <w:hideMark/>
          </w:tcPr>
          <w:p w14:paraId="151719AC" w14:textId="77777777" w:rsidR="00411108" w:rsidRPr="00442A3B" w:rsidRDefault="00411108" w:rsidP="00411108">
            <w:pPr>
              <w:keepNext/>
              <w:keepLines/>
              <w:tabs>
                <w:tab w:val="clear" w:pos="567"/>
              </w:tabs>
              <w:spacing w:before="0" w:line="240" w:lineRule="auto"/>
              <w:jc w:val="right"/>
              <w:rPr>
                <w:rFonts w:ascii="MS Mincho" w:eastAsia="MS Mincho" w:hAnsi="MS Mincho" w:cs="MS Mincho"/>
                <w:sz w:val="16"/>
                <w:szCs w:val="16"/>
                <w:lang w:eastAsia="en-AU"/>
              </w:rPr>
            </w:pPr>
          </w:p>
        </w:tc>
        <w:tc>
          <w:tcPr>
            <w:tcW w:w="980" w:type="dxa"/>
            <w:tcBorders>
              <w:top w:val="nil"/>
              <w:left w:val="nil"/>
              <w:bottom w:val="nil"/>
              <w:right w:val="nil"/>
            </w:tcBorders>
            <w:shd w:val="clear" w:color="auto" w:fill="auto"/>
            <w:noWrap/>
            <w:vAlign w:val="bottom"/>
            <w:hideMark/>
          </w:tcPr>
          <w:p w14:paraId="3240A883" w14:textId="77777777" w:rsidR="00411108" w:rsidRPr="00442A3B" w:rsidRDefault="00411108" w:rsidP="00411108">
            <w:pPr>
              <w:keepNext/>
              <w:keepLines/>
              <w:tabs>
                <w:tab w:val="clear" w:pos="567"/>
              </w:tabs>
              <w:spacing w:before="0" w:line="240" w:lineRule="auto"/>
              <w:jc w:val="right"/>
              <w:rPr>
                <w:rFonts w:ascii="MS Mincho" w:eastAsia="MS Mincho" w:hAnsi="MS Mincho" w:cs="MS Mincho"/>
                <w:sz w:val="16"/>
                <w:szCs w:val="16"/>
                <w:lang w:eastAsia="en-AU"/>
              </w:rPr>
            </w:pPr>
          </w:p>
        </w:tc>
        <w:tc>
          <w:tcPr>
            <w:tcW w:w="900" w:type="dxa"/>
            <w:tcBorders>
              <w:top w:val="nil"/>
              <w:left w:val="nil"/>
              <w:bottom w:val="nil"/>
              <w:right w:val="nil"/>
            </w:tcBorders>
            <w:shd w:val="clear" w:color="auto" w:fill="auto"/>
            <w:noWrap/>
            <w:vAlign w:val="bottom"/>
            <w:hideMark/>
          </w:tcPr>
          <w:p w14:paraId="758D78F0" w14:textId="77777777" w:rsidR="00411108" w:rsidRPr="00442A3B" w:rsidRDefault="00411108" w:rsidP="00411108">
            <w:pPr>
              <w:keepNext/>
              <w:keepLines/>
              <w:tabs>
                <w:tab w:val="clear" w:pos="567"/>
              </w:tabs>
              <w:spacing w:before="0" w:line="240" w:lineRule="auto"/>
              <w:jc w:val="right"/>
              <w:rPr>
                <w:rFonts w:ascii="MS Mincho" w:eastAsia="MS Mincho" w:hAnsi="MS Mincho" w:cs="MS Mincho"/>
                <w:sz w:val="16"/>
                <w:szCs w:val="16"/>
                <w:lang w:eastAsia="en-AU"/>
              </w:rPr>
            </w:pPr>
          </w:p>
        </w:tc>
        <w:tc>
          <w:tcPr>
            <w:tcW w:w="960" w:type="dxa"/>
            <w:tcBorders>
              <w:top w:val="nil"/>
              <w:left w:val="nil"/>
              <w:bottom w:val="nil"/>
              <w:right w:val="nil"/>
            </w:tcBorders>
            <w:shd w:val="clear" w:color="auto" w:fill="auto"/>
            <w:noWrap/>
            <w:vAlign w:val="bottom"/>
            <w:hideMark/>
          </w:tcPr>
          <w:p w14:paraId="4F6576BD" w14:textId="77777777" w:rsidR="00411108" w:rsidRPr="00442A3B" w:rsidRDefault="00411108" w:rsidP="00411108">
            <w:pPr>
              <w:keepNext/>
              <w:keepLines/>
              <w:tabs>
                <w:tab w:val="clear" w:pos="567"/>
              </w:tabs>
              <w:spacing w:before="0" w:line="240" w:lineRule="auto"/>
              <w:jc w:val="right"/>
              <w:rPr>
                <w:rFonts w:ascii="MS Mincho" w:eastAsia="MS Mincho" w:hAnsi="MS Mincho" w:cs="MS Mincho"/>
                <w:sz w:val="16"/>
                <w:szCs w:val="16"/>
                <w:lang w:eastAsia="en-AU"/>
              </w:rPr>
            </w:pPr>
          </w:p>
        </w:tc>
        <w:tc>
          <w:tcPr>
            <w:tcW w:w="1000" w:type="dxa"/>
            <w:tcBorders>
              <w:top w:val="nil"/>
              <w:left w:val="nil"/>
              <w:bottom w:val="nil"/>
              <w:right w:val="nil"/>
            </w:tcBorders>
            <w:shd w:val="clear" w:color="auto" w:fill="auto"/>
            <w:noWrap/>
            <w:vAlign w:val="bottom"/>
            <w:hideMark/>
          </w:tcPr>
          <w:p w14:paraId="02890BB4" w14:textId="77777777" w:rsidR="00411108" w:rsidRPr="00442A3B" w:rsidRDefault="00411108" w:rsidP="00411108">
            <w:pPr>
              <w:keepNext/>
              <w:keepLines/>
              <w:tabs>
                <w:tab w:val="clear" w:pos="567"/>
              </w:tabs>
              <w:spacing w:before="0" w:line="240" w:lineRule="auto"/>
              <w:jc w:val="right"/>
              <w:rPr>
                <w:rFonts w:ascii="MS Mincho" w:eastAsia="MS Mincho" w:hAnsi="MS Mincho" w:cs="MS Mincho"/>
                <w:sz w:val="16"/>
                <w:szCs w:val="16"/>
                <w:lang w:eastAsia="en-AU"/>
              </w:rPr>
            </w:pPr>
          </w:p>
        </w:tc>
        <w:tc>
          <w:tcPr>
            <w:tcW w:w="920" w:type="dxa"/>
            <w:tcBorders>
              <w:top w:val="nil"/>
              <w:left w:val="nil"/>
              <w:bottom w:val="nil"/>
              <w:right w:val="nil"/>
            </w:tcBorders>
            <w:shd w:val="clear" w:color="auto" w:fill="auto"/>
            <w:noWrap/>
            <w:vAlign w:val="bottom"/>
            <w:hideMark/>
          </w:tcPr>
          <w:p w14:paraId="5E92A01A" w14:textId="77777777" w:rsidR="00411108" w:rsidRPr="00442A3B" w:rsidRDefault="00411108" w:rsidP="00411108">
            <w:pPr>
              <w:keepNext/>
              <w:keepLines/>
              <w:tabs>
                <w:tab w:val="clear" w:pos="567"/>
              </w:tabs>
              <w:spacing w:before="0" w:line="240" w:lineRule="auto"/>
              <w:jc w:val="right"/>
              <w:rPr>
                <w:rFonts w:ascii="MS Mincho" w:eastAsia="MS Mincho" w:hAnsi="MS Mincho" w:cs="MS Mincho"/>
                <w:sz w:val="16"/>
                <w:szCs w:val="16"/>
                <w:lang w:eastAsia="en-AU"/>
              </w:rPr>
            </w:pPr>
          </w:p>
        </w:tc>
      </w:tr>
      <w:tr w:rsidR="00411108" w:rsidRPr="00442A3B" w14:paraId="63C15B93" w14:textId="77777777" w:rsidTr="005C3EAA">
        <w:trPr>
          <w:trHeight w:val="315"/>
        </w:trPr>
        <w:tc>
          <w:tcPr>
            <w:tcW w:w="1500" w:type="dxa"/>
            <w:tcBorders>
              <w:top w:val="single" w:sz="4" w:space="0" w:color="ADD6EA"/>
              <w:left w:val="nil"/>
              <w:bottom w:val="single" w:sz="4" w:space="0" w:color="ADD6EA"/>
              <w:right w:val="nil"/>
            </w:tcBorders>
            <w:shd w:val="clear" w:color="auto" w:fill="auto"/>
            <w:vAlign w:val="bottom"/>
            <w:hideMark/>
          </w:tcPr>
          <w:p w14:paraId="4F538A59" w14:textId="77777777" w:rsidR="00411108" w:rsidRPr="00442A3B" w:rsidRDefault="00411108" w:rsidP="00411108">
            <w:pPr>
              <w:keepNext/>
              <w:keepLines/>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2017-18</w:t>
            </w:r>
          </w:p>
        </w:tc>
        <w:tc>
          <w:tcPr>
            <w:tcW w:w="1100" w:type="dxa"/>
            <w:tcBorders>
              <w:top w:val="single" w:sz="4" w:space="0" w:color="ADD6EA"/>
              <w:left w:val="nil"/>
              <w:bottom w:val="single" w:sz="4" w:space="0" w:color="ADD6EA"/>
              <w:right w:val="nil"/>
            </w:tcBorders>
            <w:shd w:val="clear" w:color="auto" w:fill="auto"/>
            <w:vAlign w:val="bottom"/>
            <w:hideMark/>
          </w:tcPr>
          <w:p w14:paraId="52EF4F66"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0.4%</w:t>
            </w:r>
          </w:p>
        </w:tc>
        <w:tc>
          <w:tcPr>
            <w:tcW w:w="940" w:type="dxa"/>
            <w:tcBorders>
              <w:top w:val="single" w:sz="4" w:space="0" w:color="ADD6EA"/>
              <w:left w:val="nil"/>
              <w:bottom w:val="single" w:sz="4" w:space="0" w:color="ADD6EA"/>
              <w:right w:val="nil"/>
            </w:tcBorders>
            <w:shd w:val="clear" w:color="auto" w:fill="auto"/>
            <w:vAlign w:val="bottom"/>
            <w:hideMark/>
          </w:tcPr>
          <w:p w14:paraId="41C5D871"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-0.6%</w:t>
            </w:r>
          </w:p>
        </w:tc>
        <w:tc>
          <w:tcPr>
            <w:tcW w:w="980" w:type="dxa"/>
            <w:tcBorders>
              <w:top w:val="single" w:sz="4" w:space="0" w:color="ADD6EA"/>
              <w:left w:val="nil"/>
              <w:bottom w:val="single" w:sz="4" w:space="0" w:color="ADD6EA"/>
              <w:right w:val="nil"/>
            </w:tcBorders>
            <w:shd w:val="clear" w:color="auto" w:fill="auto"/>
            <w:vAlign w:val="bottom"/>
            <w:hideMark/>
          </w:tcPr>
          <w:p w14:paraId="5E0D3F77"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0.4%</w:t>
            </w:r>
          </w:p>
        </w:tc>
        <w:tc>
          <w:tcPr>
            <w:tcW w:w="980" w:type="dxa"/>
            <w:tcBorders>
              <w:top w:val="single" w:sz="4" w:space="0" w:color="ADD6EA"/>
              <w:left w:val="nil"/>
              <w:bottom w:val="single" w:sz="4" w:space="0" w:color="ADD6EA"/>
              <w:right w:val="nil"/>
            </w:tcBorders>
            <w:shd w:val="clear" w:color="auto" w:fill="auto"/>
            <w:vAlign w:val="bottom"/>
            <w:hideMark/>
          </w:tcPr>
          <w:p w14:paraId="3D489EF5"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0.8%</w:t>
            </w:r>
          </w:p>
        </w:tc>
        <w:tc>
          <w:tcPr>
            <w:tcW w:w="900" w:type="dxa"/>
            <w:tcBorders>
              <w:top w:val="single" w:sz="4" w:space="0" w:color="ADD6EA"/>
              <w:left w:val="nil"/>
              <w:bottom w:val="single" w:sz="4" w:space="0" w:color="ADD6EA"/>
              <w:right w:val="nil"/>
            </w:tcBorders>
            <w:shd w:val="clear" w:color="auto" w:fill="auto"/>
            <w:vAlign w:val="bottom"/>
            <w:hideMark/>
          </w:tcPr>
          <w:p w14:paraId="2606F7F8"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-1.6%</w:t>
            </w:r>
          </w:p>
        </w:tc>
        <w:tc>
          <w:tcPr>
            <w:tcW w:w="960" w:type="dxa"/>
            <w:tcBorders>
              <w:top w:val="single" w:sz="4" w:space="0" w:color="ADD6EA"/>
              <w:left w:val="nil"/>
              <w:bottom w:val="single" w:sz="4" w:space="0" w:color="ADD6EA"/>
              <w:right w:val="nil"/>
            </w:tcBorders>
            <w:shd w:val="clear" w:color="auto" w:fill="auto"/>
            <w:vAlign w:val="bottom"/>
            <w:hideMark/>
          </w:tcPr>
          <w:p w14:paraId="7463AC33"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-0.9%</w:t>
            </w:r>
          </w:p>
        </w:tc>
        <w:tc>
          <w:tcPr>
            <w:tcW w:w="1000" w:type="dxa"/>
            <w:tcBorders>
              <w:top w:val="single" w:sz="4" w:space="0" w:color="ADD6EA"/>
              <w:left w:val="nil"/>
              <w:bottom w:val="single" w:sz="4" w:space="0" w:color="ADD6EA"/>
              <w:right w:val="nil"/>
            </w:tcBorders>
            <w:shd w:val="clear" w:color="auto" w:fill="auto"/>
            <w:vAlign w:val="bottom"/>
            <w:hideMark/>
          </w:tcPr>
          <w:p w14:paraId="2ED208D4"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0.0%</w:t>
            </w:r>
          </w:p>
        </w:tc>
        <w:tc>
          <w:tcPr>
            <w:tcW w:w="920" w:type="dxa"/>
            <w:tcBorders>
              <w:top w:val="single" w:sz="4" w:space="0" w:color="ADD6EA"/>
              <w:left w:val="nil"/>
              <w:bottom w:val="single" w:sz="4" w:space="0" w:color="ADD6EA"/>
              <w:right w:val="nil"/>
            </w:tcBorders>
            <w:shd w:val="clear" w:color="auto" w:fill="auto"/>
            <w:vAlign w:val="bottom"/>
            <w:hideMark/>
          </w:tcPr>
          <w:p w14:paraId="4AA980DC"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0.0%</w:t>
            </w:r>
          </w:p>
        </w:tc>
      </w:tr>
      <w:tr w:rsidR="00411108" w:rsidRPr="00442A3B" w14:paraId="4798789F" w14:textId="77777777" w:rsidTr="005C3EAA">
        <w:trPr>
          <w:trHeight w:val="315"/>
        </w:trPr>
        <w:tc>
          <w:tcPr>
            <w:tcW w:w="1500" w:type="dxa"/>
            <w:tcBorders>
              <w:top w:val="nil"/>
              <w:left w:val="nil"/>
              <w:bottom w:val="single" w:sz="4" w:space="0" w:color="ADD6EA"/>
              <w:right w:val="nil"/>
            </w:tcBorders>
            <w:shd w:val="clear" w:color="auto" w:fill="auto"/>
            <w:vAlign w:val="bottom"/>
            <w:hideMark/>
          </w:tcPr>
          <w:p w14:paraId="0BE30693" w14:textId="77777777" w:rsidR="00411108" w:rsidRPr="00442A3B" w:rsidRDefault="00411108" w:rsidP="00411108">
            <w:pPr>
              <w:keepNext/>
              <w:keepLines/>
              <w:tabs>
                <w:tab w:val="clear" w:pos="567"/>
              </w:tabs>
              <w:spacing w:before="0" w:line="240" w:lineRule="auto"/>
              <w:ind w:firstLineChars="100" w:firstLine="160"/>
              <w:rPr>
                <w:rFonts w:eastAsia="Times New Roman" w:cs="Open Sans Light"/>
                <w:sz w:val="16"/>
                <w:szCs w:val="16"/>
                <w:lang w:eastAsia="en-AU"/>
              </w:rPr>
            </w:pPr>
            <w:r w:rsidRPr="00442A3B">
              <w:rPr>
                <w:rFonts w:eastAsia="Times New Roman" w:cs="Open Sans Light"/>
                <w:sz w:val="16"/>
                <w:szCs w:val="16"/>
                <w:lang w:eastAsia="en-AU"/>
              </w:rPr>
              <w:t>2018-19</w:t>
            </w:r>
          </w:p>
        </w:tc>
        <w:tc>
          <w:tcPr>
            <w:tcW w:w="1100" w:type="dxa"/>
            <w:tcBorders>
              <w:top w:val="nil"/>
              <w:left w:val="nil"/>
              <w:bottom w:val="single" w:sz="4" w:space="0" w:color="ADD6EA"/>
              <w:right w:val="nil"/>
            </w:tcBorders>
            <w:shd w:val="clear" w:color="auto" w:fill="auto"/>
            <w:vAlign w:val="bottom"/>
            <w:hideMark/>
          </w:tcPr>
          <w:p w14:paraId="1F7FE5A9"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0.4%</w:t>
            </w:r>
          </w:p>
        </w:tc>
        <w:tc>
          <w:tcPr>
            <w:tcW w:w="940" w:type="dxa"/>
            <w:tcBorders>
              <w:top w:val="nil"/>
              <w:left w:val="nil"/>
              <w:bottom w:val="single" w:sz="4" w:space="0" w:color="ADD6EA"/>
              <w:right w:val="nil"/>
            </w:tcBorders>
            <w:shd w:val="clear" w:color="auto" w:fill="auto"/>
            <w:vAlign w:val="bottom"/>
            <w:hideMark/>
          </w:tcPr>
          <w:p w14:paraId="089A36FA"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0.0%</w:t>
            </w:r>
          </w:p>
        </w:tc>
        <w:tc>
          <w:tcPr>
            <w:tcW w:w="980" w:type="dxa"/>
            <w:tcBorders>
              <w:top w:val="nil"/>
              <w:left w:val="nil"/>
              <w:bottom w:val="single" w:sz="4" w:space="0" w:color="ADD6EA"/>
              <w:right w:val="nil"/>
            </w:tcBorders>
            <w:shd w:val="clear" w:color="auto" w:fill="auto"/>
            <w:vAlign w:val="bottom"/>
            <w:hideMark/>
          </w:tcPr>
          <w:p w14:paraId="1F3BB93D"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-0.7%</w:t>
            </w:r>
          </w:p>
        </w:tc>
        <w:tc>
          <w:tcPr>
            <w:tcW w:w="980" w:type="dxa"/>
            <w:tcBorders>
              <w:top w:val="nil"/>
              <w:left w:val="nil"/>
              <w:bottom w:val="single" w:sz="4" w:space="0" w:color="ADD6EA"/>
              <w:right w:val="nil"/>
            </w:tcBorders>
            <w:shd w:val="clear" w:color="auto" w:fill="auto"/>
            <w:vAlign w:val="bottom"/>
            <w:hideMark/>
          </w:tcPr>
          <w:p w14:paraId="513E1746"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0.4%</w:t>
            </w:r>
          </w:p>
        </w:tc>
        <w:tc>
          <w:tcPr>
            <w:tcW w:w="900" w:type="dxa"/>
            <w:tcBorders>
              <w:top w:val="nil"/>
              <w:left w:val="nil"/>
              <w:bottom w:val="single" w:sz="4" w:space="0" w:color="ADD6EA"/>
              <w:right w:val="nil"/>
            </w:tcBorders>
            <w:shd w:val="clear" w:color="auto" w:fill="auto"/>
            <w:vAlign w:val="bottom"/>
            <w:hideMark/>
          </w:tcPr>
          <w:p w14:paraId="560FC885"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-0.4%</w:t>
            </w:r>
          </w:p>
        </w:tc>
        <w:tc>
          <w:tcPr>
            <w:tcW w:w="960" w:type="dxa"/>
            <w:tcBorders>
              <w:top w:val="nil"/>
              <w:left w:val="nil"/>
              <w:bottom w:val="single" w:sz="4" w:space="0" w:color="ADD6EA"/>
              <w:right w:val="nil"/>
            </w:tcBorders>
            <w:shd w:val="clear" w:color="auto" w:fill="auto"/>
            <w:vAlign w:val="bottom"/>
            <w:hideMark/>
          </w:tcPr>
          <w:p w14:paraId="368C8C54"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-0.7%</w:t>
            </w:r>
          </w:p>
        </w:tc>
        <w:tc>
          <w:tcPr>
            <w:tcW w:w="1000" w:type="dxa"/>
            <w:tcBorders>
              <w:top w:val="nil"/>
              <w:left w:val="nil"/>
              <w:bottom w:val="single" w:sz="4" w:space="0" w:color="ADD6EA"/>
              <w:right w:val="nil"/>
            </w:tcBorders>
            <w:shd w:val="clear" w:color="auto" w:fill="auto"/>
            <w:vAlign w:val="bottom"/>
            <w:hideMark/>
          </w:tcPr>
          <w:p w14:paraId="48F04F94"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-0.1%</w:t>
            </w:r>
          </w:p>
        </w:tc>
        <w:tc>
          <w:tcPr>
            <w:tcW w:w="920" w:type="dxa"/>
            <w:tcBorders>
              <w:top w:val="nil"/>
              <w:left w:val="nil"/>
              <w:bottom w:val="single" w:sz="4" w:space="0" w:color="ADD6EA"/>
              <w:right w:val="nil"/>
            </w:tcBorders>
            <w:shd w:val="clear" w:color="auto" w:fill="auto"/>
            <w:vAlign w:val="bottom"/>
            <w:hideMark/>
          </w:tcPr>
          <w:p w14:paraId="4629AB2B" w14:textId="77777777" w:rsidR="00411108" w:rsidRPr="00442A3B" w:rsidRDefault="00411108" w:rsidP="00411108">
            <w:pPr>
              <w:keepNext/>
              <w:keepLines/>
              <w:tabs>
                <w:tab w:val="clear" w:pos="567"/>
              </w:tabs>
              <w:spacing w:before="0" w:line="240" w:lineRule="auto"/>
              <w:jc w:val="right"/>
              <w:rPr>
                <w:rFonts w:eastAsia="Times New Roman" w:cs="Open Sans Light"/>
                <w:sz w:val="16"/>
                <w:szCs w:val="16"/>
                <w:lang w:eastAsia="en-AU"/>
              </w:rPr>
            </w:pPr>
            <w:r w:rsidRPr="00442A3B">
              <w:rPr>
                <w:rFonts w:eastAsia="Times New Roman" w:cs="Open Sans Light"/>
                <w:sz w:val="16"/>
                <w:szCs w:val="16"/>
                <w:lang w:eastAsia="en-AU"/>
              </w:rPr>
              <w:t>0.1%</w:t>
            </w:r>
          </w:p>
        </w:tc>
      </w:tr>
    </w:tbl>
    <w:p w14:paraId="3F584A19" w14:textId="28744E79" w:rsidR="00411108" w:rsidRPr="00442A3B" w:rsidRDefault="00411108" w:rsidP="00624389">
      <w:pPr>
        <w:pStyle w:val="CGCTablenote"/>
      </w:pPr>
      <w:r w:rsidRPr="00442A3B">
        <w:t>Note:</w:t>
      </w:r>
      <w:r w:rsidRPr="00442A3B">
        <w:tab/>
        <w:t xml:space="preserve">The modelled outcomes are expressed relative to the national average wage level. </w:t>
      </w:r>
    </w:p>
    <w:p w14:paraId="391F6EDC" w14:textId="77777777" w:rsidR="00411108" w:rsidRPr="00442A3B" w:rsidRDefault="00411108" w:rsidP="00624389">
      <w:pPr>
        <w:pStyle w:val="CGCTablenote"/>
      </w:pPr>
      <w:r w:rsidRPr="00442A3B">
        <w:t>Source:</w:t>
      </w:r>
      <w:r w:rsidRPr="00442A3B">
        <w:tab/>
        <w:t>Commission modelling based on Characteristics of Employment survey data.</w:t>
      </w:r>
    </w:p>
    <w:p w14:paraId="2391AE4F" w14:textId="77777777" w:rsidR="00591B77" w:rsidRPr="00442A3B" w:rsidRDefault="00591B77" w:rsidP="00591B77">
      <w:pPr>
        <w:pStyle w:val="Heading5"/>
      </w:pPr>
      <w:bookmarkStart w:id="274" w:name="_Toc53763718"/>
      <w:bookmarkStart w:id="275" w:name="_Toc53763752"/>
      <w:bookmarkStart w:id="276" w:name="_Toc53763786"/>
      <w:bookmarkStart w:id="277" w:name="_Toc53763820"/>
      <w:r w:rsidRPr="00442A3B">
        <w:t>State views</w:t>
      </w:r>
      <w:bookmarkEnd w:id="274"/>
      <w:bookmarkEnd w:id="275"/>
      <w:bookmarkEnd w:id="276"/>
      <w:bookmarkEnd w:id="277"/>
    </w:p>
    <w:p w14:paraId="26D8CC77" w14:textId="69C9FE51" w:rsidR="00591B77" w:rsidRPr="00442A3B" w:rsidRDefault="00591B77" w:rsidP="00021B66">
      <w:pPr>
        <w:pStyle w:val="CGCParaNumber"/>
        <w:ind w:left="567" w:hanging="567"/>
      </w:pPr>
      <w:r w:rsidRPr="00442A3B">
        <w:t>New South Wales, Victoria, Queensland, Western Australia, Tasmania and the ACT all support</w:t>
      </w:r>
      <w:r w:rsidR="00632DC7" w:rsidRPr="00442A3B">
        <w:t>ed</w:t>
      </w:r>
      <w:r w:rsidRPr="00442A3B">
        <w:t xml:space="preserve"> the use of revised data in the </w:t>
      </w:r>
      <w:r w:rsidR="00632DC7" w:rsidRPr="00442A3B">
        <w:t>w</w:t>
      </w:r>
      <w:r w:rsidRPr="00442A3B">
        <w:t xml:space="preserve">age costs assessment. </w:t>
      </w:r>
    </w:p>
    <w:p w14:paraId="6628BACF" w14:textId="4EB9E877" w:rsidR="00591B77" w:rsidRPr="00442A3B" w:rsidRDefault="00591B77" w:rsidP="00021B66">
      <w:pPr>
        <w:pStyle w:val="CGCParaNumber"/>
        <w:ind w:left="567" w:hanging="567"/>
      </w:pPr>
      <w:r w:rsidRPr="00442A3B">
        <w:t xml:space="preserve">South Australia raised concerns </w:t>
      </w:r>
      <w:r w:rsidR="00632DC7" w:rsidRPr="00442A3B">
        <w:t>about</w:t>
      </w:r>
      <w:r w:rsidRPr="00442A3B">
        <w:t xml:space="preserve"> the volatility and conceptual validity of the model, noting there </w:t>
      </w:r>
      <w:r w:rsidR="00632DC7" w:rsidRPr="00442A3B">
        <w:t>was</w:t>
      </w:r>
      <w:r w:rsidRPr="00442A3B">
        <w:t xml:space="preserve"> sufficient uncertainty to warrant the Commission increasing the discount. </w:t>
      </w:r>
    </w:p>
    <w:p w14:paraId="43937F46" w14:textId="77777777" w:rsidR="00591B77" w:rsidRPr="00442A3B" w:rsidRDefault="00591B77" w:rsidP="00591B77">
      <w:pPr>
        <w:pStyle w:val="Heading5"/>
      </w:pPr>
      <w:r w:rsidRPr="00442A3B">
        <w:lastRenderedPageBreak/>
        <w:t>Commission decision</w:t>
      </w:r>
    </w:p>
    <w:p w14:paraId="0C8685BC" w14:textId="01B517AB" w:rsidR="00591B77" w:rsidRPr="00442A3B" w:rsidRDefault="00591B77" w:rsidP="00021B66">
      <w:pPr>
        <w:pStyle w:val="CGCParaNumber"/>
        <w:ind w:left="567" w:hanging="567"/>
      </w:pPr>
      <w:r w:rsidRPr="00442A3B">
        <w:t xml:space="preserve">The Commission acknowledged in the </w:t>
      </w:r>
      <w:r w:rsidR="005909B1" w:rsidRPr="00442A3B">
        <w:t>2020 Review</w:t>
      </w:r>
      <w:r w:rsidRPr="00442A3B">
        <w:t xml:space="preserve"> that there </w:t>
      </w:r>
      <w:r w:rsidR="00DF01C0" w:rsidRPr="00442A3B">
        <w:t>was</w:t>
      </w:r>
      <w:r w:rsidRPr="00442A3B">
        <w:t xml:space="preserve"> uncertainty with the survey data, and this </w:t>
      </w:r>
      <w:r w:rsidR="00DF01C0" w:rsidRPr="00442A3B">
        <w:t>was</w:t>
      </w:r>
      <w:r w:rsidRPr="00442A3B">
        <w:t xml:space="preserve"> part of the reason the Commission applie</w:t>
      </w:r>
      <w:r w:rsidR="009E2EBA" w:rsidRPr="00442A3B">
        <w:t>d</w:t>
      </w:r>
      <w:r w:rsidRPr="00442A3B">
        <w:t xml:space="preserve"> a 12.5% discount. The Commission </w:t>
      </w:r>
      <w:r w:rsidR="009156E3" w:rsidRPr="00442A3B">
        <w:t>considered</w:t>
      </w:r>
      <w:r w:rsidRPr="00442A3B">
        <w:t xml:space="preserve"> that while the regression results can be volatile, with the 12.5% discount applied and the effect of </w:t>
      </w:r>
      <w:r w:rsidR="005E563D" w:rsidRPr="00442A3B">
        <w:t>3</w:t>
      </w:r>
      <w:r w:rsidR="00E475E6" w:rsidRPr="00442A3B">
        <w:t>-</w:t>
      </w:r>
      <w:r w:rsidRPr="00442A3B">
        <w:t xml:space="preserve">year averaging, volatility </w:t>
      </w:r>
      <w:r w:rsidR="00823AE3" w:rsidRPr="00442A3B">
        <w:t>was</w:t>
      </w:r>
      <w:r w:rsidRPr="00442A3B">
        <w:t xml:space="preserve"> within reasonable bounds. </w:t>
      </w:r>
      <w:r w:rsidR="00B97A8F" w:rsidRPr="00442A3B">
        <w:t xml:space="preserve">The </w:t>
      </w:r>
      <w:r w:rsidR="00FD12AD" w:rsidRPr="00442A3B">
        <w:t>Commission consider</w:t>
      </w:r>
      <w:r w:rsidR="00030FEC" w:rsidRPr="00442A3B">
        <w:t>ed</w:t>
      </w:r>
      <w:r w:rsidR="00FD12AD" w:rsidRPr="00442A3B">
        <w:t xml:space="preserve"> that the</w:t>
      </w:r>
      <w:r w:rsidR="00B97A8F" w:rsidRPr="00442A3B">
        <w:t xml:space="preserve"> new data ha</w:t>
      </w:r>
      <w:r w:rsidR="00030FEC" w:rsidRPr="00442A3B">
        <w:t>d</w:t>
      </w:r>
      <w:r w:rsidR="00B97A8F" w:rsidRPr="00442A3B">
        <w:t xml:space="preserve"> not changed the level of uncertainty attached to the assessment</w:t>
      </w:r>
      <w:r w:rsidR="00FD12AD" w:rsidRPr="00442A3B">
        <w:t xml:space="preserve"> and, therefore, </w:t>
      </w:r>
      <w:r w:rsidR="00386B65" w:rsidRPr="00442A3B">
        <w:t xml:space="preserve">the 12.5% discount remained appropriate. </w:t>
      </w:r>
    </w:p>
    <w:p w14:paraId="1FC546F4" w14:textId="6F1EC1E4" w:rsidR="00591B77" w:rsidRPr="00442A3B" w:rsidRDefault="00591B77" w:rsidP="00021B66">
      <w:pPr>
        <w:pStyle w:val="CGCParaNumber"/>
        <w:ind w:left="567" w:hanging="567"/>
      </w:pPr>
      <w:r w:rsidRPr="00442A3B">
        <w:t>In line with its terms of reference, the Commission decided to use the latest available data to measure the differences in wage cost pressures between States.</w:t>
      </w:r>
    </w:p>
    <w:p w14:paraId="1C5ED6F9" w14:textId="77777777" w:rsidR="0092407F" w:rsidRPr="00442A3B" w:rsidRDefault="0092407F" w:rsidP="0092407F">
      <w:pPr>
        <w:pStyle w:val="Heading4"/>
      </w:pPr>
      <w:bookmarkStart w:id="278" w:name="_Toc65050561"/>
      <w:r w:rsidRPr="00442A3B">
        <w:t>Adjusted budget</w:t>
      </w:r>
      <w:bookmarkEnd w:id="278"/>
    </w:p>
    <w:p w14:paraId="35D714BB" w14:textId="77777777" w:rsidR="00175284" w:rsidRPr="00442A3B" w:rsidRDefault="00175284" w:rsidP="006F1D2E">
      <w:pPr>
        <w:pStyle w:val="Heading5"/>
      </w:pPr>
      <w:r w:rsidRPr="00442A3B">
        <w:t>Issue</w:t>
      </w:r>
    </w:p>
    <w:p w14:paraId="1743237A" w14:textId="24584F0B" w:rsidR="00175284" w:rsidRPr="00442A3B" w:rsidRDefault="00175284" w:rsidP="00021B66">
      <w:pPr>
        <w:pStyle w:val="CGCParaNumber"/>
        <w:ind w:left="567" w:hanging="567"/>
      </w:pPr>
      <w:r w:rsidRPr="00442A3B">
        <w:t>The issues</w:t>
      </w:r>
      <w:r w:rsidRPr="00442A3B">
        <w:rPr>
          <w:b/>
          <w:bCs/>
        </w:rPr>
        <w:t xml:space="preserve"> </w:t>
      </w:r>
      <w:r w:rsidRPr="00442A3B">
        <w:t xml:space="preserve">for the Commission </w:t>
      </w:r>
      <w:r w:rsidR="00030FEC" w:rsidRPr="00442A3B">
        <w:t>were</w:t>
      </w:r>
      <w:r w:rsidRPr="00442A3B">
        <w:t xml:space="preserve"> whether to:</w:t>
      </w:r>
    </w:p>
    <w:p w14:paraId="05B4B51F" w14:textId="5AA8B3F6" w:rsidR="00175284" w:rsidRPr="00442A3B" w:rsidRDefault="00175284" w:rsidP="00E72D14">
      <w:pPr>
        <w:pStyle w:val="CGCBullet1"/>
      </w:pPr>
      <w:r w:rsidRPr="00442A3B">
        <w:t>implement the proposed changes to how it derive</w:t>
      </w:r>
      <w:r w:rsidR="00823AE3" w:rsidRPr="00442A3B">
        <w:t>d</w:t>
      </w:r>
      <w:r w:rsidRPr="00442A3B">
        <w:t xml:space="preserve"> consolidated expenses, user charges and investment for urban transport and housing</w:t>
      </w:r>
    </w:p>
    <w:p w14:paraId="009529C7" w14:textId="77777777" w:rsidR="00175284" w:rsidRPr="00442A3B" w:rsidRDefault="00175284" w:rsidP="00E72D14">
      <w:pPr>
        <w:pStyle w:val="CGCBullet1"/>
      </w:pPr>
      <w:r w:rsidRPr="00442A3B">
        <w:t xml:space="preserve">reclassify urban water transport freight services </w:t>
      </w:r>
    </w:p>
    <w:p w14:paraId="75705DA7" w14:textId="77777777" w:rsidR="00175284" w:rsidRPr="00442A3B" w:rsidRDefault="00175284" w:rsidP="00E72D14">
      <w:pPr>
        <w:pStyle w:val="CGCBullet1"/>
      </w:pPr>
      <w:r w:rsidRPr="00442A3B">
        <w:t>treat part of V/Line as urban transport services</w:t>
      </w:r>
    </w:p>
    <w:p w14:paraId="72C5CFDE" w14:textId="77777777" w:rsidR="00175284" w:rsidRPr="00442A3B" w:rsidRDefault="00175284" w:rsidP="00E72D14">
      <w:pPr>
        <w:pStyle w:val="CGCBullet1"/>
      </w:pPr>
      <w:r w:rsidRPr="00442A3B">
        <w:t>reallocate part of Queensland Rail expenses to the non-urban transport component.</w:t>
      </w:r>
    </w:p>
    <w:p w14:paraId="29C47B4D" w14:textId="77777777" w:rsidR="00175284" w:rsidRPr="00442A3B" w:rsidRDefault="00175284" w:rsidP="00021B66">
      <w:pPr>
        <w:pStyle w:val="CGCParaNumber"/>
        <w:ind w:left="567" w:hanging="567"/>
      </w:pPr>
      <w:r w:rsidRPr="00442A3B">
        <w:t xml:space="preserve">The Commission proposed changes to how it derives consolidated expenses, user charges and investment for urban transport and housing. The aim was to simplify the derivation process and improve the reliability of the Commission’s estimates. </w:t>
      </w:r>
    </w:p>
    <w:p w14:paraId="71BAF1FE" w14:textId="16953235" w:rsidR="00175284" w:rsidRPr="00442A3B" w:rsidRDefault="00175284" w:rsidP="00E72D14">
      <w:pPr>
        <w:pStyle w:val="CGCBullet1"/>
      </w:pPr>
      <w:r w:rsidRPr="00442A3B">
        <w:t>For assessment years up to and including the second last year, user charges, expenses and investment for the urban transport and housing assessments would be based on ABS Government Finance Statistics data for the non</w:t>
      </w:r>
      <w:r w:rsidRPr="00442A3B">
        <w:noBreakHyphen/>
        <w:t xml:space="preserve">financial public sector. This </w:t>
      </w:r>
      <w:r w:rsidR="00ED0922" w:rsidRPr="00442A3B">
        <w:t>secto</w:t>
      </w:r>
      <w:r w:rsidR="006E0ECE" w:rsidRPr="00442A3B">
        <w:t>r</w:t>
      </w:r>
      <w:r w:rsidR="00ED0922" w:rsidRPr="00442A3B">
        <w:t xml:space="preserve"> consolidates</w:t>
      </w:r>
      <w:r w:rsidRPr="00442A3B">
        <w:t xml:space="preserve"> </w:t>
      </w:r>
      <w:r w:rsidR="006E0ECE" w:rsidRPr="00442A3B">
        <w:t>data from</w:t>
      </w:r>
      <w:r w:rsidR="00ED0922" w:rsidRPr="00442A3B">
        <w:t xml:space="preserve"> </w:t>
      </w:r>
      <w:r w:rsidRPr="00442A3B">
        <w:t>general government and public non-financial corporation</w:t>
      </w:r>
      <w:r w:rsidRPr="00442A3B" w:rsidDel="00EA6BDB">
        <w:t>s</w:t>
      </w:r>
      <w:r w:rsidRPr="00442A3B">
        <w:t xml:space="preserve">. </w:t>
      </w:r>
    </w:p>
    <w:p w14:paraId="2BE27FE1" w14:textId="77777777" w:rsidR="00175284" w:rsidRPr="00442A3B" w:rsidRDefault="00175284" w:rsidP="00E72D14">
      <w:pPr>
        <w:pStyle w:val="CGCBullet1"/>
      </w:pPr>
      <w:r w:rsidRPr="00442A3B">
        <w:t xml:space="preserve">For the last assessment year, because ABS data are not available, the Commission would continue to use preliminary data from States for general government expenses and public non-financial corporations. </w:t>
      </w:r>
    </w:p>
    <w:p w14:paraId="2B50B614" w14:textId="59511ADD" w:rsidR="00175284" w:rsidRPr="00442A3B" w:rsidRDefault="00175284" w:rsidP="00E72D14">
      <w:pPr>
        <w:pStyle w:val="CGCBullet1"/>
      </w:pPr>
      <w:r w:rsidRPr="00442A3B">
        <w:t xml:space="preserve">Because of the preliminary nature of the State Government Finance Statistics data, the Commission would undertake additional checks to validate the last assessment year data for transport using published State financial reports from relevant transport agencies and additional information from States. There </w:t>
      </w:r>
      <w:r w:rsidR="00873F9C" w:rsidRPr="00442A3B">
        <w:t>were</w:t>
      </w:r>
      <w:r w:rsidRPr="00442A3B">
        <w:t xml:space="preserve"> no similar issues with the housing transactions. </w:t>
      </w:r>
    </w:p>
    <w:p w14:paraId="5265E0DA" w14:textId="77777777" w:rsidR="00175284" w:rsidRPr="00442A3B" w:rsidRDefault="00175284" w:rsidP="00021B66">
      <w:pPr>
        <w:pStyle w:val="CGCParaNumber"/>
        <w:ind w:left="567" w:hanging="567"/>
      </w:pPr>
      <w:r w:rsidRPr="00442A3B">
        <w:t xml:space="preserve">In addition, the Commission consulted States on adjustments to the transport data to improve comparability. </w:t>
      </w:r>
    </w:p>
    <w:p w14:paraId="296FDEE4" w14:textId="69CDB249" w:rsidR="00175284" w:rsidRPr="00442A3B" w:rsidRDefault="0017223C" w:rsidP="00E72D14">
      <w:pPr>
        <w:pStyle w:val="CGCBullet1"/>
      </w:pPr>
      <w:r w:rsidRPr="00442A3B">
        <w:t>U</w:t>
      </w:r>
      <w:r w:rsidR="00175284" w:rsidRPr="00442A3B">
        <w:t xml:space="preserve">rban water transport freight services would be reclassified from the urban transport component to non-urban transport component because most transactions relate to port services and not urban transport. </w:t>
      </w:r>
    </w:p>
    <w:p w14:paraId="43C6A68C" w14:textId="77777777" w:rsidR="00175284" w:rsidRPr="00442A3B" w:rsidRDefault="00175284" w:rsidP="00E72D14">
      <w:pPr>
        <w:pStyle w:val="CGCBullet1"/>
      </w:pPr>
      <w:r w:rsidRPr="00442A3B">
        <w:t xml:space="preserve">Victoria’s </w:t>
      </w:r>
      <w:bookmarkStart w:id="279" w:name="_Hlk62118489"/>
      <w:r w:rsidRPr="00442A3B">
        <w:t xml:space="preserve">general government </w:t>
      </w:r>
      <w:bookmarkEnd w:id="279"/>
      <w:r w:rsidRPr="00442A3B">
        <w:t>expense subsidies to V/Line would be recorded in the non-urban transport components. V/Line expenses are recorded as urban transport by Victoria and the ABS, however, the Commission considered V/Line services to be non</w:t>
      </w:r>
      <w:r w:rsidRPr="00442A3B">
        <w:noBreakHyphen/>
        <w:t xml:space="preserve">urban transport. </w:t>
      </w:r>
    </w:p>
    <w:p w14:paraId="36F01AE8" w14:textId="7B3F3A78" w:rsidR="00175284" w:rsidRPr="00442A3B" w:rsidRDefault="00175284" w:rsidP="00E72D14">
      <w:pPr>
        <w:pStyle w:val="CGCBullet1"/>
      </w:pPr>
      <w:r w:rsidRPr="00442A3B">
        <w:lastRenderedPageBreak/>
        <w:t>Queensland Rail</w:t>
      </w:r>
      <w:r w:rsidR="00B03E37" w:rsidRPr="00442A3B">
        <w:t>’s</w:t>
      </w:r>
      <w:r w:rsidRPr="00442A3B">
        <w:t xml:space="preserve"> non-urban transport expenses would be allocated to the non</w:t>
      </w:r>
      <w:r w:rsidRPr="00442A3B">
        <w:noBreakHyphen/>
        <w:t xml:space="preserve">urban transport component. The amounts can be identified from the ABS Government Finance Statistics general government data and the State unit record data. The equivalent user charges would not be re-allocated because they could not be identified, and the amounts are small. </w:t>
      </w:r>
    </w:p>
    <w:p w14:paraId="5CFD057D" w14:textId="77777777" w:rsidR="00B00573" w:rsidRPr="00442A3B" w:rsidRDefault="00B00573" w:rsidP="00B00573">
      <w:pPr>
        <w:pStyle w:val="Heading5"/>
      </w:pPr>
      <w:r w:rsidRPr="00442A3B">
        <w:t>State views</w:t>
      </w:r>
    </w:p>
    <w:p w14:paraId="71C86AE4" w14:textId="77777777" w:rsidR="00B00573" w:rsidRPr="00442A3B" w:rsidRDefault="00B00573" w:rsidP="00021B66">
      <w:pPr>
        <w:pStyle w:val="CGCParaNumber"/>
        <w:ind w:left="567" w:hanging="567"/>
      </w:pPr>
      <w:r w:rsidRPr="00442A3B">
        <w:t xml:space="preserve">States generally supported the proposals or did not comment. However, New South Wales and Victoria expressed some concerns. </w:t>
      </w:r>
    </w:p>
    <w:p w14:paraId="30B9AEE8" w14:textId="10718A4E" w:rsidR="00B00573" w:rsidRPr="00442A3B" w:rsidRDefault="00B00573" w:rsidP="00021B66">
      <w:pPr>
        <w:pStyle w:val="CGCParaNumber"/>
        <w:ind w:left="567" w:hanging="567"/>
      </w:pPr>
      <w:r w:rsidRPr="00442A3B">
        <w:t xml:space="preserve">New South Wales and Victoria would </w:t>
      </w:r>
      <w:r w:rsidR="00F476EE" w:rsidRPr="00442A3B">
        <w:t xml:space="preserve">have </w:t>
      </w:r>
      <w:r w:rsidRPr="00442A3B">
        <w:t>like</w:t>
      </w:r>
      <w:r w:rsidR="00F476EE" w:rsidRPr="00442A3B">
        <w:t>d</w:t>
      </w:r>
      <w:r w:rsidRPr="00442A3B">
        <w:t xml:space="preserve"> to have been provided with the amounts involved in the reclassification. Victoria wanted a materiality assessment of the reclassification. In addition, Victoria noted that it was not clear whether the expenses were included in the regression model for urban transport expenses. </w:t>
      </w:r>
    </w:p>
    <w:p w14:paraId="5E77BA58" w14:textId="2D018019" w:rsidR="00B00573" w:rsidRPr="00442A3B" w:rsidRDefault="00B00573" w:rsidP="00021B66">
      <w:pPr>
        <w:pStyle w:val="CGCParaNumber"/>
        <w:ind w:left="567" w:hanging="567"/>
      </w:pPr>
      <w:r w:rsidRPr="00442A3B">
        <w:t xml:space="preserve">Victoria said V/Line services </w:t>
      </w:r>
      <w:r w:rsidR="00AE373B" w:rsidRPr="00442A3B">
        <w:t>were</w:t>
      </w:r>
      <w:r w:rsidRPr="00442A3B">
        <w:t xml:space="preserve"> not exclusively non-urban transport, but a mix of urban and non-urban services. Using V/Line trip kilometres and boarding data, it argued that V/Line expenses should be split 44% urban and 56% non-urban and user charges should be split 36% urban and 64% non-urban.</w:t>
      </w:r>
    </w:p>
    <w:p w14:paraId="3234A76C" w14:textId="77777777" w:rsidR="00B00573" w:rsidRPr="00442A3B" w:rsidRDefault="00B00573" w:rsidP="00021B66">
      <w:pPr>
        <w:pStyle w:val="CGCParaNumber"/>
        <w:ind w:left="567" w:hanging="567"/>
      </w:pPr>
      <w:r w:rsidRPr="00442A3B">
        <w:t>Victoria also argued that Geelong should be treated as having heavy rail.</w:t>
      </w:r>
    </w:p>
    <w:p w14:paraId="2907B1D4" w14:textId="77777777" w:rsidR="00B00573" w:rsidRPr="00442A3B" w:rsidRDefault="00B00573" w:rsidP="00021B66">
      <w:pPr>
        <w:pStyle w:val="CGCParaNumber"/>
        <w:ind w:left="567" w:hanging="567"/>
      </w:pPr>
      <w:r w:rsidRPr="00442A3B">
        <w:t>Victoria noted that not making an adjustment to remove Queensland Rail non-urban transport user charges from the urban transport user charges would under-estimate net urban transport expenses. Victoria would prefer that the outcome of discussions between Commission staff and Queensland officials be presented to the other States before forming a view on this proposal.</w:t>
      </w:r>
    </w:p>
    <w:p w14:paraId="273DD275" w14:textId="1F418166" w:rsidR="00B00573" w:rsidRPr="00442A3B" w:rsidRDefault="00B00573" w:rsidP="00021B66">
      <w:pPr>
        <w:pStyle w:val="CGCParaNumber"/>
        <w:ind w:left="567" w:hanging="567"/>
      </w:pPr>
      <w:r w:rsidRPr="00442A3B">
        <w:t xml:space="preserve">Finally, Victoria was concerned that the Commission did not identify the issues relating to the classification of urban and non-urban transport at the time of undertaking the </w:t>
      </w:r>
      <w:r w:rsidR="005909B1" w:rsidRPr="00442A3B">
        <w:t>2020 Review</w:t>
      </w:r>
      <w:r w:rsidRPr="00442A3B">
        <w:t>.</w:t>
      </w:r>
    </w:p>
    <w:p w14:paraId="09BF8E13" w14:textId="77777777" w:rsidR="00B00573" w:rsidRPr="00442A3B" w:rsidRDefault="00B00573" w:rsidP="00B00573">
      <w:pPr>
        <w:pStyle w:val="Heading5"/>
      </w:pPr>
      <w:r w:rsidRPr="00442A3B">
        <w:t>Commission decision</w:t>
      </w:r>
    </w:p>
    <w:p w14:paraId="68644BDE" w14:textId="7B11C883" w:rsidR="00D31E0B" w:rsidRPr="00442A3B" w:rsidRDefault="00B00573" w:rsidP="00021B66">
      <w:pPr>
        <w:pStyle w:val="CGCParaNumber"/>
        <w:ind w:left="567" w:hanging="567"/>
      </w:pPr>
      <w:r w:rsidRPr="00442A3B">
        <w:t>The Commission decided to</w:t>
      </w:r>
      <w:r w:rsidR="00D31E0B" w:rsidRPr="00442A3B">
        <w:t>:</w:t>
      </w:r>
    </w:p>
    <w:p w14:paraId="14BA31E4" w14:textId="25A60E62" w:rsidR="00B00573" w:rsidRPr="00442A3B" w:rsidRDefault="00B00573" w:rsidP="00051901">
      <w:pPr>
        <w:pStyle w:val="CGCBullet1"/>
      </w:pPr>
      <w:r w:rsidRPr="00442A3B">
        <w:t>implement the changes to the derivation of user charges, expenses and investment for urban transport and housing, as described above</w:t>
      </w:r>
    </w:p>
    <w:p w14:paraId="4618BA24" w14:textId="139CE29B" w:rsidR="00B00573" w:rsidRPr="00442A3B" w:rsidRDefault="00B00573" w:rsidP="00051901">
      <w:pPr>
        <w:pStyle w:val="CGCBullet1"/>
      </w:pPr>
      <w:r w:rsidRPr="00442A3B">
        <w:t>reclassif</w:t>
      </w:r>
      <w:r w:rsidR="00D31E0B" w:rsidRPr="00442A3B">
        <w:t>y</w:t>
      </w:r>
      <w:r w:rsidRPr="00442A3B">
        <w:t xml:space="preserve"> urban water transport freight services from the urban transport component to non-urban transport component because the expenses do not relate to urban public transport. </w:t>
      </w:r>
      <w:r w:rsidR="008237E2" w:rsidRPr="00442A3B">
        <w:t>This</w:t>
      </w:r>
      <w:r w:rsidR="00540ED6" w:rsidRPr="00442A3B">
        <w:t xml:space="preserve"> </w:t>
      </w:r>
      <w:r w:rsidR="00BD390E" w:rsidRPr="00442A3B">
        <w:t>was</w:t>
      </w:r>
      <w:r w:rsidR="00540ED6" w:rsidRPr="00442A3B">
        <w:t xml:space="preserve"> a reclassification of expenses</w:t>
      </w:r>
      <w:r w:rsidR="008A5056" w:rsidRPr="00442A3B">
        <w:t xml:space="preserve"> from non-urban to urban</w:t>
      </w:r>
      <w:r w:rsidR="00540ED6" w:rsidRPr="00442A3B">
        <w:t>, rather than a data adjustment.</w:t>
      </w:r>
      <w:r w:rsidRPr="00442A3B">
        <w:t xml:space="preserve"> Total expenses were $124 million in 2019-20. They were not included in the regression model. </w:t>
      </w:r>
    </w:p>
    <w:p w14:paraId="3DA9C767" w14:textId="568B68F7" w:rsidR="00B00573" w:rsidRPr="00442A3B" w:rsidRDefault="00B00573" w:rsidP="00021B66">
      <w:pPr>
        <w:pStyle w:val="CGCParaNumber"/>
        <w:ind w:left="567" w:hanging="567"/>
      </w:pPr>
      <w:r w:rsidRPr="00442A3B">
        <w:t>In regard to the split of V/Line subsidies between urban and non-urban transport, the Commission note</w:t>
      </w:r>
      <w:r w:rsidR="00900153" w:rsidRPr="00442A3B">
        <w:t>d</w:t>
      </w:r>
      <w:r w:rsidRPr="00442A3B">
        <w:t xml:space="preserve"> that the issue of what services should be recognised as urban transport was extensively discussed in the last review and is outside the scope of an update as it canvasses a method change. </w:t>
      </w:r>
    </w:p>
    <w:p w14:paraId="35538978" w14:textId="198D9CAA" w:rsidR="00B00573" w:rsidRPr="00442A3B" w:rsidRDefault="00B00573" w:rsidP="00021B66">
      <w:pPr>
        <w:pStyle w:val="CGCParaNumber"/>
        <w:ind w:left="567" w:hanging="567"/>
      </w:pPr>
      <w:r w:rsidRPr="00442A3B">
        <w:t xml:space="preserve">The Commission reviewed the case of treating Geelong as having urban heavy rail transport. Geelong has </w:t>
      </w:r>
      <w:r w:rsidR="005E563D" w:rsidRPr="00442A3B">
        <w:t>8</w:t>
      </w:r>
      <w:r w:rsidRPr="00442A3B">
        <w:t xml:space="preserve"> train stations within its boundaries. In comparison, the Gold Coast, which is treated as having heavy rail, has </w:t>
      </w:r>
      <w:r w:rsidR="005E563D" w:rsidRPr="00442A3B">
        <w:t>6</w:t>
      </w:r>
      <w:r w:rsidRPr="00442A3B">
        <w:t xml:space="preserve">. In addition, analysis of the 2016 Census journey to work data suggests that Geelong and the Gold Coast have similar proportions of workers using heavy rail to commute within their urban areas. </w:t>
      </w:r>
    </w:p>
    <w:p w14:paraId="60CD8C45" w14:textId="61D204EC" w:rsidR="00B00573" w:rsidRPr="00442A3B" w:rsidRDefault="00B00573" w:rsidP="00021B66">
      <w:pPr>
        <w:pStyle w:val="CGCParaNumber"/>
        <w:ind w:left="567" w:hanging="567"/>
      </w:pPr>
      <w:r w:rsidRPr="00442A3B">
        <w:lastRenderedPageBreak/>
        <w:t>The Commission decided to treat Geelong as having heavy rail passenger transport for consistency of treatment with the Gold Coast. Consequently, the Commission treat</w:t>
      </w:r>
      <w:r w:rsidR="001D4780" w:rsidRPr="00442A3B">
        <w:t>ed</w:t>
      </w:r>
      <w:r w:rsidRPr="00442A3B">
        <w:t xml:space="preserve"> 8% of V/Line expenses as urban transport expenses. Census journey to work data indicate that heavy rail commuter trips within Geelong represent 8% of all Victorian heavy rail commuter trips, excluding heavy rail trips within Melbourne. This change </w:t>
      </w:r>
      <w:r w:rsidR="00C06881" w:rsidRPr="00442A3B">
        <w:t>was</w:t>
      </w:r>
      <w:r w:rsidRPr="00442A3B">
        <w:t xml:space="preserve"> accommodated with</w:t>
      </w:r>
      <w:r w:rsidR="00C72808" w:rsidRPr="00442A3B">
        <w:t>in</w:t>
      </w:r>
      <w:r w:rsidRPr="00442A3B">
        <w:t xml:space="preserve"> the current urban transport assessment method.</w:t>
      </w:r>
    </w:p>
    <w:p w14:paraId="488B1E70" w14:textId="77777777" w:rsidR="00B00573" w:rsidRPr="00442A3B" w:rsidRDefault="00B00573" w:rsidP="00021B66">
      <w:pPr>
        <w:pStyle w:val="CGCParaNumber"/>
        <w:ind w:left="567" w:hanging="567"/>
      </w:pPr>
      <w:r w:rsidRPr="00442A3B">
        <w:t>Queensland supported the adjustment to Queensland Rail expenses and the amounts involved. No adjustments were made to user charges because they could not be split reliably between urban and non-urban transport. States were informed of the size of the adjustments.</w:t>
      </w:r>
    </w:p>
    <w:p w14:paraId="1C1B93B1" w14:textId="2CCAFE28" w:rsidR="00B00573" w:rsidRPr="00442A3B" w:rsidRDefault="00B00573" w:rsidP="00021B66">
      <w:pPr>
        <w:pStyle w:val="CGCParaNumber"/>
        <w:ind w:left="567" w:hanging="567"/>
      </w:pPr>
      <w:r w:rsidRPr="00442A3B">
        <w:fldChar w:fldCharType="begin"/>
      </w:r>
      <w:r w:rsidRPr="00442A3B">
        <w:instrText xml:space="preserve"> REF _Ref46311739 \h </w:instrText>
      </w:r>
      <w:r w:rsidR="007839F7" w:rsidRPr="00442A3B">
        <w:instrText xml:space="preserve"> \* MERGEFORMAT </w:instrText>
      </w:r>
      <w:r w:rsidRPr="00442A3B">
        <w:fldChar w:fldCharType="separate"/>
      </w:r>
      <w:r w:rsidR="00FC3D3D" w:rsidRPr="00442A3B">
        <w:t>Table 4-</w:t>
      </w:r>
      <w:r w:rsidR="00FC3D3D">
        <w:t>3</w:t>
      </w:r>
      <w:r w:rsidRPr="00442A3B">
        <w:fldChar w:fldCharType="end"/>
      </w:r>
      <w:r w:rsidRPr="00442A3B">
        <w:t xml:space="preserve"> shows the effects on the GST distribution of the above changes.</w:t>
      </w:r>
    </w:p>
    <w:p w14:paraId="40B268E5" w14:textId="057F011F" w:rsidR="00803A33" w:rsidRPr="00442A3B" w:rsidRDefault="00803A33" w:rsidP="00DD1581">
      <w:pPr>
        <w:pStyle w:val="Caption"/>
      </w:pPr>
      <w:bookmarkStart w:id="280" w:name="_Ref46311739"/>
      <w:r w:rsidRPr="00442A3B">
        <w:t xml:space="preserve">Table </w:t>
      </w:r>
      <w:r w:rsidR="007839F7" w:rsidRPr="00442A3B">
        <w:t>4-</w:t>
      </w:r>
      <w:r w:rsidRPr="00442A3B">
        <w:fldChar w:fldCharType="begin"/>
      </w:r>
      <w:r w:rsidRPr="00442A3B">
        <w:instrText>SEQ Table \* ARABIC</w:instrText>
      </w:r>
      <w:r w:rsidRPr="00442A3B">
        <w:fldChar w:fldCharType="separate"/>
      </w:r>
      <w:r w:rsidR="00FC3D3D">
        <w:rPr>
          <w:noProof/>
        </w:rPr>
        <w:t>3</w:t>
      </w:r>
      <w:r w:rsidRPr="00442A3B">
        <w:fldChar w:fldCharType="end"/>
      </w:r>
      <w:bookmarkEnd w:id="280"/>
      <w:r w:rsidRPr="00442A3B">
        <w:tab/>
        <w:t>GST redistribution, Transport assessment and adjusted budget</w:t>
      </w:r>
    </w:p>
    <w:tbl>
      <w:tblPr>
        <w:tblW w:w="8980" w:type="dxa"/>
        <w:tblCellMar>
          <w:left w:w="28" w:type="dxa"/>
          <w:right w:w="28" w:type="dxa"/>
        </w:tblCellMar>
        <w:tblLook w:val="04A0" w:firstRow="1" w:lastRow="0" w:firstColumn="1" w:lastColumn="0" w:noHBand="0" w:noVBand="1"/>
      </w:tblPr>
      <w:tblGrid>
        <w:gridCol w:w="3520"/>
        <w:gridCol w:w="680"/>
        <w:gridCol w:w="580"/>
        <w:gridCol w:w="580"/>
        <w:gridCol w:w="580"/>
        <w:gridCol w:w="580"/>
        <w:gridCol w:w="580"/>
        <w:gridCol w:w="600"/>
        <w:gridCol w:w="580"/>
        <w:gridCol w:w="700"/>
      </w:tblGrid>
      <w:tr w:rsidR="00DD1581" w:rsidRPr="00442A3B" w14:paraId="5C9D9E18" w14:textId="77777777" w:rsidTr="00DD1581">
        <w:trPr>
          <w:trHeight w:val="379"/>
        </w:trPr>
        <w:tc>
          <w:tcPr>
            <w:tcW w:w="3520" w:type="dxa"/>
            <w:tcBorders>
              <w:top w:val="nil"/>
              <w:left w:val="nil"/>
              <w:bottom w:val="nil"/>
              <w:right w:val="nil"/>
            </w:tcBorders>
            <w:shd w:val="clear" w:color="000000" w:fill="006991"/>
            <w:vAlign w:val="bottom"/>
            <w:hideMark/>
          </w:tcPr>
          <w:p w14:paraId="24D8D82D" w14:textId="77777777" w:rsidR="00DD1581" w:rsidRPr="00442A3B" w:rsidRDefault="00DD1581" w:rsidP="00DD1581">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bookmarkStart w:id="281" w:name="RANGE!AB169:AK181"/>
            <w:r w:rsidRPr="00442A3B">
              <w:rPr>
                <w:rFonts w:ascii="Open Sans Semibold" w:eastAsia="Times New Roman" w:hAnsi="Open Sans Semibold" w:cs="Open Sans Semibold"/>
                <w:color w:val="FFFFFF"/>
                <w:sz w:val="16"/>
                <w:szCs w:val="16"/>
                <w:lang w:eastAsia="en-AU"/>
              </w:rPr>
              <w:t> </w:t>
            </w:r>
            <w:bookmarkEnd w:id="281"/>
          </w:p>
        </w:tc>
        <w:tc>
          <w:tcPr>
            <w:tcW w:w="680" w:type="dxa"/>
            <w:tcBorders>
              <w:top w:val="nil"/>
              <w:left w:val="nil"/>
              <w:bottom w:val="nil"/>
              <w:right w:val="nil"/>
            </w:tcBorders>
            <w:shd w:val="clear" w:color="000000" w:fill="006991"/>
            <w:vAlign w:val="center"/>
            <w:hideMark/>
          </w:tcPr>
          <w:p w14:paraId="2DE9FF7B"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NSW</w:t>
            </w:r>
          </w:p>
        </w:tc>
        <w:tc>
          <w:tcPr>
            <w:tcW w:w="580" w:type="dxa"/>
            <w:tcBorders>
              <w:top w:val="nil"/>
              <w:left w:val="nil"/>
              <w:bottom w:val="nil"/>
              <w:right w:val="nil"/>
            </w:tcBorders>
            <w:shd w:val="clear" w:color="000000" w:fill="006991"/>
            <w:vAlign w:val="center"/>
            <w:hideMark/>
          </w:tcPr>
          <w:p w14:paraId="04FACFF4"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Vic</w:t>
            </w:r>
          </w:p>
        </w:tc>
        <w:tc>
          <w:tcPr>
            <w:tcW w:w="580" w:type="dxa"/>
            <w:tcBorders>
              <w:top w:val="nil"/>
              <w:left w:val="nil"/>
              <w:bottom w:val="nil"/>
              <w:right w:val="nil"/>
            </w:tcBorders>
            <w:shd w:val="clear" w:color="000000" w:fill="006991"/>
            <w:vAlign w:val="center"/>
            <w:hideMark/>
          </w:tcPr>
          <w:p w14:paraId="250874F2"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Qld</w:t>
            </w:r>
          </w:p>
        </w:tc>
        <w:tc>
          <w:tcPr>
            <w:tcW w:w="580" w:type="dxa"/>
            <w:tcBorders>
              <w:top w:val="nil"/>
              <w:left w:val="nil"/>
              <w:bottom w:val="nil"/>
              <w:right w:val="nil"/>
            </w:tcBorders>
            <w:shd w:val="clear" w:color="000000" w:fill="006991"/>
            <w:vAlign w:val="center"/>
            <w:hideMark/>
          </w:tcPr>
          <w:p w14:paraId="507B2F52"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WA</w:t>
            </w:r>
          </w:p>
        </w:tc>
        <w:tc>
          <w:tcPr>
            <w:tcW w:w="580" w:type="dxa"/>
            <w:tcBorders>
              <w:top w:val="nil"/>
              <w:left w:val="nil"/>
              <w:bottom w:val="nil"/>
              <w:right w:val="nil"/>
            </w:tcBorders>
            <w:shd w:val="clear" w:color="000000" w:fill="006991"/>
            <w:vAlign w:val="center"/>
            <w:hideMark/>
          </w:tcPr>
          <w:p w14:paraId="20D33A9A"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SA</w:t>
            </w:r>
          </w:p>
        </w:tc>
        <w:tc>
          <w:tcPr>
            <w:tcW w:w="580" w:type="dxa"/>
            <w:tcBorders>
              <w:top w:val="nil"/>
              <w:left w:val="nil"/>
              <w:bottom w:val="nil"/>
              <w:right w:val="nil"/>
            </w:tcBorders>
            <w:shd w:val="clear" w:color="000000" w:fill="006991"/>
            <w:vAlign w:val="center"/>
            <w:hideMark/>
          </w:tcPr>
          <w:p w14:paraId="627BE94E"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Tas</w:t>
            </w:r>
          </w:p>
        </w:tc>
        <w:tc>
          <w:tcPr>
            <w:tcW w:w="600" w:type="dxa"/>
            <w:tcBorders>
              <w:top w:val="nil"/>
              <w:left w:val="nil"/>
              <w:bottom w:val="nil"/>
              <w:right w:val="nil"/>
            </w:tcBorders>
            <w:shd w:val="clear" w:color="000000" w:fill="006991"/>
            <w:vAlign w:val="center"/>
            <w:hideMark/>
          </w:tcPr>
          <w:p w14:paraId="46B23A7D"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ACT</w:t>
            </w:r>
          </w:p>
        </w:tc>
        <w:tc>
          <w:tcPr>
            <w:tcW w:w="580" w:type="dxa"/>
            <w:tcBorders>
              <w:top w:val="nil"/>
              <w:left w:val="nil"/>
              <w:bottom w:val="nil"/>
              <w:right w:val="nil"/>
            </w:tcBorders>
            <w:shd w:val="clear" w:color="000000" w:fill="006991"/>
            <w:vAlign w:val="center"/>
            <w:hideMark/>
          </w:tcPr>
          <w:p w14:paraId="3E7AAF7E"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NT</w:t>
            </w:r>
          </w:p>
        </w:tc>
        <w:tc>
          <w:tcPr>
            <w:tcW w:w="700" w:type="dxa"/>
            <w:tcBorders>
              <w:top w:val="nil"/>
              <w:left w:val="nil"/>
              <w:bottom w:val="nil"/>
              <w:right w:val="nil"/>
            </w:tcBorders>
            <w:shd w:val="clear" w:color="000000" w:fill="006991"/>
            <w:vAlign w:val="center"/>
            <w:hideMark/>
          </w:tcPr>
          <w:p w14:paraId="03AB45B3"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Total</w:t>
            </w:r>
          </w:p>
        </w:tc>
      </w:tr>
      <w:tr w:rsidR="00DD1581" w:rsidRPr="00442A3B" w14:paraId="6B850748" w14:textId="77777777" w:rsidTr="00DD1581">
        <w:trPr>
          <w:trHeight w:val="259"/>
        </w:trPr>
        <w:tc>
          <w:tcPr>
            <w:tcW w:w="3520" w:type="dxa"/>
            <w:tcBorders>
              <w:top w:val="single" w:sz="4" w:space="0" w:color="ADD6EA"/>
              <w:left w:val="nil"/>
              <w:bottom w:val="nil"/>
              <w:right w:val="nil"/>
            </w:tcBorders>
            <w:shd w:val="clear" w:color="000000" w:fill="B6D5E4"/>
            <w:vAlign w:val="bottom"/>
            <w:hideMark/>
          </w:tcPr>
          <w:p w14:paraId="25C6F628" w14:textId="77777777" w:rsidR="00DD1581" w:rsidRPr="00442A3B" w:rsidRDefault="00DD1581" w:rsidP="00DD1581">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w:t>
            </w:r>
          </w:p>
        </w:tc>
        <w:tc>
          <w:tcPr>
            <w:tcW w:w="680" w:type="dxa"/>
            <w:tcBorders>
              <w:top w:val="single" w:sz="4" w:space="0" w:color="ADD6EA"/>
              <w:left w:val="nil"/>
              <w:bottom w:val="nil"/>
              <w:right w:val="nil"/>
            </w:tcBorders>
            <w:shd w:val="clear" w:color="000000" w:fill="B6D5E4"/>
            <w:noWrap/>
            <w:vAlign w:val="bottom"/>
            <w:hideMark/>
          </w:tcPr>
          <w:p w14:paraId="5CDE2489"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$m</w:t>
            </w:r>
          </w:p>
        </w:tc>
        <w:tc>
          <w:tcPr>
            <w:tcW w:w="580" w:type="dxa"/>
            <w:tcBorders>
              <w:top w:val="single" w:sz="4" w:space="0" w:color="ADD6EA"/>
              <w:left w:val="nil"/>
              <w:bottom w:val="nil"/>
              <w:right w:val="nil"/>
            </w:tcBorders>
            <w:shd w:val="clear" w:color="000000" w:fill="B6D5E4"/>
            <w:noWrap/>
            <w:vAlign w:val="bottom"/>
            <w:hideMark/>
          </w:tcPr>
          <w:p w14:paraId="512C8AF6"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$m</w:t>
            </w:r>
          </w:p>
        </w:tc>
        <w:tc>
          <w:tcPr>
            <w:tcW w:w="580" w:type="dxa"/>
            <w:tcBorders>
              <w:top w:val="single" w:sz="4" w:space="0" w:color="ADD6EA"/>
              <w:left w:val="nil"/>
              <w:bottom w:val="nil"/>
              <w:right w:val="nil"/>
            </w:tcBorders>
            <w:shd w:val="clear" w:color="000000" w:fill="B6D5E4"/>
            <w:noWrap/>
            <w:vAlign w:val="bottom"/>
            <w:hideMark/>
          </w:tcPr>
          <w:p w14:paraId="34DBEE7D"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$m</w:t>
            </w:r>
          </w:p>
        </w:tc>
        <w:tc>
          <w:tcPr>
            <w:tcW w:w="580" w:type="dxa"/>
            <w:tcBorders>
              <w:top w:val="single" w:sz="4" w:space="0" w:color="ADD6EA"/>
              <w:left w:val="nil"/>
              <w:bottom w:val="nil"/>
              <w:right w:val="nil"/>
            </w:tcBorders>
            <w:shd w:val="clear" w:color="000000" w:fill="B6D5E4"/>
            <w:noWrap/>
            <w:vAlign w:val="bottom"/>
            <w:hideMark/>
          </w:tcPr>
          <w:p w14:paraId="7458F332"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$m</w:t>
            </w:r>
          </w:p>
        </w:tc>
        <w:tc>
          <w:tcPr>
            <w:tcW w:w="580" w:type="dxa"/>
            <w:tcBorders>
              <w:top w:val="single" w:sz="4" w:space="0" w:color="ADD6EA"/>
              <w:left w:val="nil"/>
              <w:bottom w:val="nil"/>
              <w:right w:val="nil"/>
            </w:tcBorders>
            <w:shd w:val="clear" w:color="000000" w:fill="B6D5E4"/>
            <w:noWrap/>
            <w:vAlign w:val="bottom"/>
            <w:hideMark/>
          </w:tcPr>
          <w:p w14:paraId="1376B170"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$m</w:t>
            </w:r>
          </w:p>
        </w:tc>
        <w:tc>
          <w:tcPr>
            <w:tcW w:w="580" w:type="dxa"/>
            <w:tcBorders>
              <w:top w:val="single" w:sz="4" w:space="0" w:color="ADD6EA"/>
              <w:left w:val="nil"/>
              <w:bottom w:val="nil"/>
              <w:right w:val="nil"/>
            </w:tcBorders>
            <w:shd w:val="clear" w:color="000000" w:fill="B6D5E4"/>
            <w:noWrap/>
            <w:vAlign w:val="bottom"/>
            <w:hideMark/>
          </w:tcPr>
          <w:p w14:paraId="4B81DB4C"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$m</w:t>
            </w:r>
          </w:p>
        </w:tc>
        <w:tc>
          <w:tcPr>
            <w:tcW w:w="600" w:type="dxa"/>
            <w:tcBorders>
              <w:top w:val="single" w:sz="4" w:space="0" w:color="ADD6EA"/>
              <w:left w:val="nil"/>
              <w:bottom w:val="nil"/>
              <w:right w:val="nil"/>
            </w:tcBorders>
            <w:shd w:val="clear" w:color="000000" w:fill="B6D5E4"/>
            <w:noWrap/>
            <w:vAlign w:val="bottom"/>
            <w:hideMark/>
          </w:tcPr>
          <w:p w14:paraId="4FC6C2A2"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$m</w:t>
            </w:r>
          </w:p>
        </w:tc>
        <w:tc>
          <w:tcPr>
            <w:tcW w:w="580" w:type="dxa"/>
            <w:tcBorders>
              <w:top w:val="single" w:sz="4" w:space="0" w:color="ADD6EA"/>
              <w:left w:val="nil"/>
              <w:bottom w:val="nil"/>
              <w:right w:val="nil"/>
            </w:tcBorders>
            <w:shd w:val="clear" w:color="000000" w:fill="B6D5E4"/>
            <w:noWrap/>
            <w:vAlign w:val="bottom"/>
            <w:hideMark/>
          </w:tcPr>
          <w:p w14:paraId="17259A65"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18A0CA7E"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$m</w:t>
            </w:r>
          </w:p>
        </w:tc>
      </w:tr>
      <w:tr w:rsidR="00DD1581" w:rsidRPr="00442A3B" w14:paraId="244FC980" w14:textId="77777777" w:rsidTr="00DD1581">
        <w:trPr>
          <w:trHeight w:val="555"/>
        </w:trPr>
        <w:tc>
          <w:tcPr>
            <w:tcW w:w="3520" w:type="dxa"/>
            <w:tcBorders>
              <w:top w:val="single" w:sz="4" w:space="0" w:color="ADD6EA"/>
              <w:left w:val="nil"/>
              <w:bottom w:val="nil"/>
              <w:right w:val="nil"/>
            </w:tcBorders>
            <w:shd w:val="clear" w:color="auto" w:fill="auto"/>
            <w:vAlign w:val="bottom"/>
            <w:hideMark/>
          </w:tcPr>
          <w:p w14:paraId="6975483E" w14:textId="1B07E4A6" w:rsidR="00DD1581" w:rsidRPr="00442A3B" w:rsidRDefault="00DD1581" w:rsidP="00DD1581">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Reclassify data on urban water transport </w:t>
            </w:r>
            <w:r w:rsidR="009215DB" w:rsidRPr="00442A3B">
              <w:rPr>
                <w:rFonts w:eastAsia="Times New Roman" w:cs="Open Sans Light"/>
                <w:color w:val="000000"/>
                <w:sz w:val="16"/>
                <w:szCs w:val="16"/>
                <w:lang w:eastAsia="en-AU"/>
              </w:rPr>
              <w:br/>
            </w:r>
            <w:r w:rsidRPr="00442A3B">
              <w:rPr>
                <w:rFonts w:eastAsia="Times New Roman" w:cs="Open Sans Light"/>
                <w:color w:val="000000"/>
                <w:sz w:val="16"/>
                <w:szCs w:val="16"/>
                <w:lang w:eastAsia="en-AU"/>
              </w:rPr>
              <w:t>freight services</w:t>
            </w:r>
          </w:p>
        </w:tc>
        <w:tc>
          <w:tcPr>
            <w:tcW w:w="680" w:type="dxa"/>
            <w:tcBorders>
              <w:top w:val="single" w:sz="4" w:space="0" w:color="ADD6EA"/>
              <w:left w:val="nil"/>
              <w:bottom w:val="nil"/>
              <w:right w:val="nil"/>
            </w:tcBorders>
            <w:shd w:val="clear" w:color="auto" w:fill="auto"/>
            <w:vAlign w:val="bottom"/>
            <w:hideMark/>
          </w:tcPr>
          <w:p w14:paraId="536172BA"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bookmarkStart w:id="282" w:name="RANGE!AC171:AK174"/>
            <w:r w:rsidRPr="00442A3B">
              <w:rPr>
                <w:rFonts w:eastAsia="Times New Roman" w:cs="Open Sans Light"/>
                <w:color w:val="000000"/>
                <w:sz w:val="16"/>
                <w:szCs w:val="16"/>
                <w:lang w:eastAsia="en-AU"/>
              </w:rPr>
              <w:t>-22</w:t>
            </w:r>
            <w:bookmarkEnd w:id="282"/>
          </w:p>
        </w:tc>
        <w:tc>
          <w:tcPr>
            <w:tcW w:w="580" w:type="dxa"/>
            <w:tcBorders>
              <w:top w:val="single" w:sz="4" w:space="0" w:color="ADD6EA"/>
              <w:left w:val="nil"/>
              <w:bottom w:val="nil"/>
              <w:right w:val="nil"/>
            </w:tcBorders>
            <w:shd w:val="clear" w:color="auto" w:fill="auto"/>
            <w:vAlign w:val="bottom"/>
            <w:hideMark/>
          </w:tcPr>
          <w:p w14:paraId="5C7B1B3E"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-7</w:t>
            </w:r>
          </w:p>
        </w:tc>
        <w:tc>
          <w:tcPr>
            <w:tcW w:w="580" w:type="dxa"/>
            <w:tcBorders>
              <w:top w:val="single" w:sz="4" w:space="0" w:color="ADD6EA"/>
              <w:left w:val="nil"/>
              <w:bottom w:val="nil"/>
              <w:right w:val="nil"/>
            </w:tcBorders>
            <w:shd w:val="clear" w:color="auto" w:fill="auto"/>
            <w:vAlign w:val="bottom"/>
            <w:hideMark/>
          </w:tcPr>
          <w:p w14:paraId="79D0F2E9"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13</w:t>
            </w:r>
          </w:p>
        </w:tc>
        <w:tc>
          <w:tcPr>
            <w:tcW w:w="580" w:type="dxa"/>
            <w:tcBorders>
              <w:top w:val="single" w:sz="4" w:space="0" w:color="ADD6EA"/>
              <w:left w:val="nil"/>
              <w:bottom w:val="nil"/>
              <w:right w:val="nil"/>
            </w:tcBorders>
            <w:shd w:val="clear" w:color="auto" w:fill="auto"/>
            <w:vAlign w:val="bottom"/>
            <w:hideMark/>
          </w:tcPr>
          <w:p w14:paraId="6003C93B"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5</w:t>
            </w:r>
          </w:p>
        </w:tc>
        <w:tc>
          <w:tcPr>
            <w:tcW w:w="580" w:type="dxa"/>
            <w:tcBorders>
              <w:top w:val="single" w:sz="4" w:space="0" w:color="ADD6EA"/>
              <w:left w:val="nil"/>
              <w:bottom w:val="nil"/>
              <w:right w:val="nil"/>
            </w:tcBorders>
            <w:shd w:val="clear" w:color="auto" w:fill="auto"/>
            <w:vAlign w:val="bottom"/>
            <w:hideMark/>
          </w:tcPr>
          <w:p w14:paraId="0C4BCE8E"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5</w:t>
            </w:r>
          </w:p>
        </w:tc>
        <w:tc>
          <w:tcPr>
            <w:tcW w:w="580" w:type="dxa"/>
            <w:tcBorders>
              <w:top w:val="single" w:sz="4" w:space="0" w:color="ADD6EA"/>
              <w:left w:val="nil"/>
              <w:bottom w:val="nil"/>
              <w:right w:val="nil"/>
            </w:tcBorders>
            <w:shd w:val="clear" w:color="auto" w:fill="auto"/>
            <w:vAlign w:val="bottom"/>
            <w:hideMark/>
          </w:tcPr>
          <w:p w14:paraId="533FC333"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w:t>
            </w:r>
          </w:p>
        </w:tc>
        <w:tc>
          <w:tcPr>
            <w:tcW w:w="600" w:type="dxa"/>
            <w:tcBorders>
              <w:top w:val="single" w:sz="4" w:space="0" w:color="ADD6EA"/>
              <w:left w:val="nil"/>
              <w:bottom w:val="nil"/>
              <w:right w:val="nil"/>
            </w:tcBorders>
            <w:shd w:val="clear" w:color="auto" w:fill="auto"/>
            <w:vAlign w:val="bottom"/>
            <w:hideMark/>
          </w:tcPr>
          <w:p w14:paraId="50305C69"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w:t>
            </w:r>
          </w:p>
        </w:tc>
        <w:tc>
          <w:tcPr>
            <w:tcW w:w="580" w:type="dxa"/>
            <w:tcBorders>
              <w:top w:val="single" w:sz="4" w:space="0" w:color="ADD6EA"/>
              <w:left w:val="nil"/>
              <w:bottom w:val="nil"/>
              <w:right w:val="nil"/>
            </w:tcBorders>
            <w:shd w:val="clear" w:color="auto" w:fill="auto"/>
            <w:vAlign w:val="bottom"/>
            <w:hideMark/>
          </w:tcPr>
          <w:p w14:paraId="6A55FCA9"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w:t>
            </w:r>
          </w:p>
        </w:tc>
        <w:tc>
          <w:tcPr>
            <w:tcW w:w="700" w:type="dxa"/>
            <w:tcBorders>
              <w:top w:val="single" w:sz="4" w:space="0" w:color="ADD6EA"/>
              <w:left w:val="nil"/>
              <w:bottom w:val="nil"/>
              <w:right w:val="nil"/>
            </w:tcBorders>
            <w:shd w:val="clear" w:color="auto" w:fill="auto"/>
            <w:vAlign w:val="bottom"/>
            <w:hideMark/>
          </w:tcPr>
          <w:p w14:paraId="7FCADB66"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29</w:t>
            </w:r>
          </w:p>
        </w:tc>
      </w:tr>
      <w:tr w:rsidR="00DD1581" w:rsidRPr="00442A3B" w14:paraId="3057B967" w14:textId="77777777" w:rsidTr="00DD1581">
        <w:trPr>
          <w:trHeight w:val="315"/>
        </w:trPr>
        <w:tc>
          <w:tcPr>
            <w:tcW w:w="3520" w:type="dxa"/>
            <w:tcBorders>
              <w:top w:val="single" w:sz="4" w:space="0" w:color="ADD6EA"/>
              <w:left w:val="nil"/>
              <w:bottom w:val="nil"/>
              <w:right w:val="nil"/>
            </w:tcBorders>
            <w:shd w:val="clear" w:color="auto" w:fill="auto"/>
            <w:vAlign w:val="bottom"/>
            <w:hideMark/>
          </w:tcPr>
          <w:p w14:paraId="23F1E747" w14:textId="77777777" w:rsidR="00DD1581" w:rsidRPr="00442A3B" w:rsidRDefault="00DD1581" w:rsidP="00DD1581">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Heavy rail in Geelong</w:t>
            </w:r>
          </w:p>
        </w:tc>
        <w:tc>
          <w:tcPr>
            <w:tcW w:w="680" w:type="dxa"/>
            <w:tcBorders>
              <w:top w:val="single" w:sz="4" w:space="0" w:color="ADD6EA"/>
              <w:left w:val="nil"/>
              <w:bottom w:val="nil"/>
              <w:right w:val="nil"/>
            </w:tcBorders>
            <w:shd w:val="clear" w:color="auto" w:fill="auto"/>
            <w:noWrap/>
            <w:vAlign w:val="bottom"/>
            <w:hideMark/>
          </w:tcPr>
          <w:p w14:paraId="124255FA"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-11</w:t>
            </w:r>
          </w:p>
        </w:tc>
        <w:tc>
          <w:tcPr>
            <w:tcW w:w="580" w:type="dxa"/>
            <w:tcBorders>
              <w:top w:val="single" w:sz="4" w:space="0" w:color="ADD6EA"/>
              <w:left w:val="nil"/>
              <w:bottom w:val="nil"/>
              <w:right w:val="nil"/>
            </w:tcBorders>
            <w:shd w:val="clear" w:color="auto" w:fill="auto"/>
            <w:noWrap/>
            <w:vAlign w:val="bottom"/>
            <w:hideMark/>
          </w:tcPr>
          <w:p w14:paraId="15E920BA"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18</w:t>
            </w:r>
          </w:p>
        </w:tc>
        <w:tc>
          <w:tcPr>
            <w:tcW w:w="580" w:type="dxa"/>
            <w:tcBorders>
              <w:top w:val="single" w:sz="4" w:space="0" w:color="ADD6EA"/>
              <w:left w:val="nil"/>
              <w:bottom w:val="nil"/>
              <w:right w:val="nil"/>
            </w:tcBorders>
            <w:shd w:val="clear" w:color="auto" w:fill="auto"/>
            <w:noWrap/>
            <w:vAlign w:val="bottom"/>
            <w:hideMark/>
          </w:tcPr>
          <w:p w14:paraId="2B994F4C"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w:t>
            </w:r>
          </w:p>
        </w:tc>
        <w:tc>
          <w:tcPr>
            <w:tcW w:w="580" w:type="dxa"/>
            <w:tcBorders>
              <w:top w:val="single" w:sz="4" w:space="0" w:color="ADD6EA"/>
              <w:left w:val="nil"/>
              <w:bottom w:val="nil"/>
              <w:right w:val="nil"/>
            </w:tcBorders>
            <w:shd w:val="clear" w:color="auto" w:fill="auto"/>
            <w:noWrap/>
            <w:vAlign w:val="bottom"/>
            <w:hideMark/>
          </w:tcPr>
          <w:p w14:paraId="3383D447"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w:t>
            </w:r>
          </w:p>
        </w:tc>
        <w:tc>
          <w:tcPr>
            <w:tcW w:w="580" w:type="dxa"/>
            <w:tcBorders>
              <w:top w:val="single" w:sz="4" w:space="0" w:color="ADD6EA"/>
              <w:left w:val="nil"/>
              <w:bottom w:val="nil"/>
              <w:right w:val="nil"/>
            </w:tcBorders>
            <w:shd w:val="clear" w:color="auto" w:fill="auto"/>
            <w:noWrap/>
            <w:vAlign w:val="bottom"/>
            <w:hideMark/>
          </w:tcPr>
          <w:p w14:paraId="63736E13"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w:t>
            </w:r>
          </w:p>
        </w:tc>
        <w:tc>
          <w:tcPr>
            <w:tcW w:w="580" w:type="dxa"/>
            <w:tcBorders>
              <w:top w:val="single" w:sz="4" w:space="0" w:color="ADD6EA"/>
              <w:left w:val="nil"/>
              <w:bottom w:val="nil"/>
              <w:right w:val="nil"/>
            </w:tcBorders>
            <w:shd w:val="clear" w:color="auto" w:fill="auto"/>
            <w:noWrap/>
            <w:vAlign w:val="bottom"/>
            <w:hideMark/>
          </w:tcPr>
          <w:p w14:paraId="5E52B747"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w:t>
            </w:r>
          </w:p>
        </w:tc>
        <w:tc>
          <w:tcPr>
            <w:tcW w:w="600" w:type="dxa"/>
            <w:tcBorders>
              <w:top w:val="single" w:sz="4" w:space="0" w:color="ADD6EA"/>
              <w:left w:val="nil"/>
              <w:bottom w:val="nil"/>
              <w:right w:val="nil"/>
            </w:tcBorders>
            <w:shd w:val="clear" w:color="auto" w:fill="auto"/>
            <w:noWrap/>
            <w:vAlign w:val="bottom"/>
            <w:hideMark/>
          </w:tcPr>
          <w:p w14:paraId="264DF99C"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w:t>
            </w:r>
          </w:p>
        </w:tc>
        <w:tc>
          <w:tcPr>
            <w:tcW w:w="580" w:type="dxa"/>
            <w:tcBorders>
              <w:top w:val="single" w:sz="4" w:space="0" w:color="ADD6EA"/>
              <w:left w:val="nil"/>
              <w:bottom w:val="nil"/>
              <w:right w:val="nil"/>
            </w:tcBorders>
            <w:shd w:val="clear" w:color="auto" w:fill="auto"/>
            <w:noWrap/>
            <w:vAlign w:val="bottom"/>
            <w:hideMark/>
          </w:tcPr>
          <w:p w14:paraId="186D8ED8"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w:t>
            </w:r>
          </w:p>
        </w:tc>
        <w:tc>
          <w:tcPr>
            <w:tcW w:w="700" w:type="dxa"/>
            <w:tcBorders>
              <w:top w:val="single" w:sz="4" w:space="0" w:color="ADD6EA"/>
              <w:left w:val="nil"/>
              <w:bottom w:val="nil"/>
              <w:right w:val="nil"/>
            </w:tcBorders>
            <w:shd w:val="clear" w:color="auto" w:fill="auto"/>
            <w:noWrap/>
            <w:vAlign w:val="bottom"/>
            <w:hideMark/>
          </w:tcPr>
          <w:p w14:paraId="3E0DBEA6"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18</w:t>
            </w:r>
          </w:p>
        </w:tc>
      </w:tr>
      <w:tr w:rsidR="00DD1581" w:rsidRPr="00442A3B" w14:paraId="36F82D55" w14:textId="77777777" w:rsidTr="00DD1581">
        <w:trPr>
          <w:trHeight w:val="315"/>
        </w:trPr>
        <w:tc>
          <w:tcPr>
            <w:tcW w:w="3520" w:type="dxa"/>
            <w:tcBorders>
              <w:top w:val="single" w:sz="4" w:space="0" w:color="ADD6EA"/>
              <w:left w:val="nil"/>
              <w:bottom w:val="nil"/>
              <w:right w:val="nil"/>
            </w:tcBorders>
            <w:shd w:val="clear" w:color="auto" w:fill="auto"/>
            <w:vAlign w:val="bottom"/>
            <w:hideMark/>
          </w:tcPr>
          <w:p w14:paraId="307068C1" w14:textId="77777777" w:rsidR="00DD1581" w:rsidRPr="00442A3B" w:rsidRDefault="00DD1581" w:rsidP="00DD1581">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8% of V/Line expenses as urban transport</w:t>
            </w:r>
          </w:p>
        </w:tc>
        <w:tc>
          <w:tcPr>
            <w:tcW w:w="680" w:type="dxa"/>
            <w:tcBorders>
              <w:top w:val="single" w:sz="4" w:space="0" w:color="ADD6EA"/>
              <w:left w:val="nil"/>
              <w:bottom w:val="nil"/>
              <w:right w:val="nil"/>
            </w:tcBorders>
            <w:shd w:val="clear" w:color="auto" w:fill="auto"/>
            <w:vAlign w:val="bottom"/>
            <w:hideMark/>
          </w:tcPr>
          <w:p w14:paraId="636F80C3"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w:t>
            </w:r>
          </w:p>
        </w:tc>
        <w:tc>
          <w:tcPr>
            <w:tcW w:w="580" w:type="dxa"/>
            <w:tcBorders>
              <w:top w:val="single" w:sz="4" w:space="0" w:color="ADD6EA"/>
              <w:left w:val="nil"/>
              <w:bottom w:val="nil"/>
              <w:right w:val="nil"/>
            </w:tcBorders>
            <w:shd w:val="clear" w:color="auto" w:fill="auto"/>
            <w:vAlign w:val="bottom"/>
            <w:hideMark/>
          </w:tcPr>
          <w:p w14:paraId="47ABB213"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w:t>
            </w:r>
          </w:p>
        </w:tc>
        <w:tc>
          <w:tcPr>
            <w:tcW w:w="580" w:type="dxa"/>
            <w:tcBorders>
              <w:top w:val="single" w:sz="4" w:space="0" w:color="ADD6EA"/>
              <w:left w:val="nil"/>
              <w:bottom w:val="nil"/>
              <w:right w:val="nil"/>
            </w:tcBorders>
            <w:shd w:val="clear" w:color="auto" w:fill="auto"/>
            <w:vAlign w:val="bottom"/>
            <w:hideMark/>
          </w:tcPr>
          <w:p w14:paraId="20DB58B3"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w:t>
            </w:r>
          </w:p>
        </w:tc>
        <w:tc>
          <w:tcPr>
            <w:tcW w:w="580" w:type="dxa"/>
            <w:tcBorders>
              <w:top w:val="single" w:sz="4" w:space="0" w:color="ADD6EA"/>
              <w:left w:val="nil"/>
              <w:bottom w:val="nil"/>
              <w:right w:val="nil"/>
            </w:tcBorders>
            <w:shd w:val="clear" w:color="auto" w:fill="auto"/>
            <w:vAlign w:val="bottom"/>
            <w:hideMark/>
          </w:tcPr>
          <w:p w14:paraId="19E67DAE"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w:t>
            </w:r>
          </w:p>
        </w:tc>
        <w:tc>
          <w:tcPr>
            <w:tcW w:w="580" w:type="dxa"/>
            <w:tcBorders>
              <w:top w:val="single" w:sz="4" w:space="0" w:color="ADD6EA"/>
              <w:left w:val="nil"/>
              <w:bottom w:val="nil"/>
              <w:right w:val="nil"/>
            </w:tcBorders>
            <w:shd w:val="clear" w:color="auto" w:fill="auto"/>
            <w:vAlign w:val="bottom"/>
            <w:hideMark/>
          </w:tcPr>
          <w:p w14:paraId="3A704DF5"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w:t>
            </w:r>
          </w:p>
        </w:tc>
        <w:tc>
          <w:tcPr>
            <w:tcW w:w="580" w:type="dxa"/>
            <w:tcBorders>
              <w:top w:val="single" w:sz="4" w:space="0" w:color="ADD6EA"/>
              <w:left w:val="nil"/>
              <w:bottom w:val="nil"/>
              <w:right w:val="nil"/>
            </w:tcBorders>
            <w:shd w:val="clear" w:color="auto" w:fill="auto"/>
            <w:vAlign w:val="bottom"/>
            <w:hideMark/>
          </w:tcPr>
          <w:p w14:paraId="016B905E"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w:t>
            </w:r>
          </w:p>
        </w:tc>
        <w:tc>
          <w:tcPr>
            <w:tcW w:w="600" w:type="dxa"/>
            <w:tcBorders>
              <w:top w:val="single" w:sz="4" w:space="0" w:color="ADD6EA"/>
              <w:left w:val="nil"/>
              <w:bottom w:val="nil"/>
              <w:right w:val="nil"/>
            </w:tcBorders>
            <w:shd w:val="clear" w:color="auto" w:fill="auto"/>
            <w:vAlign w:val="bottom"/>
            <w:hideMark/>
          </w:tcPr>
          <w:p w14:paraId="168E09E4"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w:t>
            </w:r>
          </w:p>
        </w:tc>
        <w:tc>
          <w:tcPr>
            <w:tcW w:w="580" w:type="dxa"/>
            <w:tcBorders>
              <w:top w:val="single" w:sz="4" w:space="0" w:color="ADD6EA"/>
              <w:left w:val="nil"/>
              <w:bottom w:val="nil"/>
              <w:right w:val="nil"/>
            </w:tcBorders>
            <w:shd w:val="clear" w:color="auto" w:fill="auto"/>
            <w:vAlign w:val="bottom"/>
            <w:hideMark/>
          </w:tcPr>
          <w:p w14:paraId="621E3BF4"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w:t>
            </w:r>
          </w:p>
        </w:tc>
        <w:tc>
          <w:tcPr>
            <w:tcW w:w="700" w:type="dxa"/>
            <w:tcBorders>
              <w:top w:val="single" w:sz="4" w:space="0" w:color="ADD6EA"/>
              <w:left w:val="nil"/>
              <w:bottom w:val="nil"/>
              <w:right w:val="nil"/>
            </w:tcBorders>
            <w:shd w:val="clear" w:color="auto" w:fill="auto"/>
            <w:vAlign w:val="bottom"/>
            <w:hideMark/>
          </w:tcPr>
          <w:p w14:paraId="3CEEF9F6"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5</w:t>
            </w:r>
          </w:p>
        </w:tc>
      </w:tr>
      <w:tr w:rsidR="00DD1581" w:rsidRPr="00442A3B" w14:paraId="02402D8E" w14:textId="77777777" w:rsidTr="00DD1581">
        <w:trPr>
          <w:trHeight w:val="315"/>
        </w:trPr>
        <w:tc>
          <w:tcPr>
            <w:tcW w:w="3520" w:type="dxa"/>
            <w:tcBorders>
              <w:top w:val="single" w:sz="4" w:space="0" w:color="ADD6EA"/>
              <w:left w:val="nil"/>
              <w:bottom w:val="nil"/>
              <w:right w:val="nil"/>
            </w:tcBorders>
            <w:shd w:val="clear" w:color="auto" w:fill="auto"/>
            <w:vAlign w:val="bottom"/>
            <w:hideMark/>
          </w:tcPr>
          <w:p w14:paraId="69EFDCFC" w14:textId="77777777" w:rsidR="00DD1581" w:rsidRPr="00442A3B" w:rsidRDefault="00DD1581" w:rsidP="00DD1581">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Queensland Rail expenses</w:t>
            </w:r>
          </w:p>
        </w:tc>
        <w:tc>
          <w:tcPr>
            <w:tcW w:w="680" w:type="dxa"/>
            <w:tcBorders>
              <w:top w:val="single" w:sz="4" w:space="0" w:color="ADD6EA"/>
              <w:left w:val="nil"/>
              <w:bottom w:val="nil"/>
              <w:right w:val="nil"/>
            </w:tcBorders>
            <w:shd w:val="clear" w:color="auto" w:fill="auto"/>
            <w:vAlign w:val="bottom"/>
            <w:hideMark/>
          </w:tcPr>
          <w:p w14:paraId="31FD97D9"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-29</w:t>
            </w:r>
          </w:p>
        </w:tc>
        <w:tc>
          <w:tcPr>
            <w:tcW w:w="580" w:type="dxa"/>
            <w:tcBorders>
              <w:top w:val="single" w:sz="4" w:space="0" w:color="ADD6EA"/>
              <w:left w:val="nil"/>
              <w:bottom w:val="nil"/>
              <w:right w:val="nil"/>
            </w:tcBorders>
            <w:shd w:val="clear" w:color="auto" w:fill="auto"/>
            <w:vAlign w:val="bottom"/>
            <w:hideMark/>
          </w:tcPr>
          <w:p w14:paraId="68B733AD"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-11</w:t>
            </w:r>
          </w:p>
        </w:tc>
        <w:tc>
          <w:tcPr>
            <w:tcW w:w="580" w:type="dxa"/>
            <w:tcBorders>
              <w:top w:val="single" w:sz="4" w:space="0" w:color="ADD6EA"/>
              <w:left w:val="nil"/>
              <w:bottom w:val="nil"/>
              <w:right w:val="nil"/>
            </w:tcBorders>
            <w:shd w:val="clear" w:color="auto" w:fill="auto"/>
            <w:vAlign w:val="bottom"/>
            <w:hideMark/>
          </w:tcPr>
          <w:p w14:paraId="57465780"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18</w:t>
            </w:r>
          </w:p>
        </w:tc>
        <w:tc>
          <w:tcPr>
            <w:tcW w:w="580" w:type="dxa"/>
            <w:tcBorders>
              <w:top w:val="single" w:sz="4" w:space="0" w:color="ADD6EA"/>
              <w:left w:val="nil"/>
              <w:bottom w:val="nil"/>
              <w:right w:val="nil"/>
            </w:tcBorders>
            <w:shd w:val="clear" w:color="auto" w:fill="auto"/>
            <w:vAlign w:val="bottom"/>
            <w:hideMark/>
          </w:tcPr>
          <w:p w14:paraId="4097B9AB"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7</w:t>
            </w:r>
          </w:p>
        </w:tc>
        <w:tc>
          <w:tcPr>
            <w:tcW w:w="580" w:type="dxa"/>
            <w:tcBorders>
              <w:top w:val="single" w:sz="4" w:space="0" w:color="ADD6EA"/>
              <w:left w:val="nil"/>
              <w:bottom w:val="nil"/>
              <w:right w:val="nil"/>
            </w:tcBorders>
            <w:shd w:val="clear" w:color="auto" w:fill="auto"/>
            <w:vAlign w:val="bottom"/>
            <w:hideMark/>
          </w:tcPr>
          <w:p w14:paraId="17BAABBE"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7</w:t>
            </w:r>
          </w:p>
        </w:tc>
        <w:tc>
          <w:tcPr>
            <w:tcW w:w="580" w:type="dxa"/>
            <w:tcBorders>
              <w:top w:val="single" w:sz="4" w:space="0" w:color="ADD6EA"/>
              <w:left w:val="nil"/>
              <w:bottom w:val="nil"/>
              <w:right w:val="nil"/>
            </w:tcBorders>
            <w:shd w:val="clear" w:color="auto" w:fill="auto"/>
            <w:vAlign w:val="bottom"/>
            <w:hideMark/>
          </w:tcPr>
          <w:p w14:paraId="6F5B4A99"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5</w:t>
            </w:r>
          </w:p>
        </w:tc>
        <w:tc>
          <w:tcPr>
            <w:tcW w:w="600" w:type="dxa"/>
            <w:tcBorders>
              <w:top w:val="single" w:sz="4" w:space="0" w:color="ADD6EA"/>
              <w:left w:val="nil"/>
              <w:bottom w:val="nil"/>
              <w:right w:val="nil"/>
            </w:tcBorders>
            <w:shd w:val="clear" w:color="auto" w:fill="auto"/>
            <w:vAlign w:val="bottom"/>
            <w:hideMark/>
          </w:tcPr>
          <w:p w14:paraId="1C49C0BA"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w:t>
            </w:r>
          </w:p>
        </w:tc>
        <w:tc>
          <w:tcPr>
            <w:tcW w:w="580" w:type="dxa"/>
            <w:tcBorders>
              <w:top w:val="single" w:sz="4" w:space="0" w:color="ADD6EA"/>
              <w:left w:val="nil"/>
              <w:bottom w:val="nil"/>
              <w:right w:val="nil"/>
            </w:tcBorders>
            <w:shd w:val="clear" w:color="auto" w:fill="auto"/>
            <w:vAlign w:val="bottom"/>
            <w:hideMark/>
          </w:tcPr>
          <w:p w14:paraId="54735DD6"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w:t>
            </w:r>
          </w:p>
        </w:tc>
        <w:tc>
          <w:tcPr>
            <w:tcW w:w="700" w:type="dxa"/>
            <w:tcBorders>
              <w:top w:val="single" w:sz="4" w:space="0" w:color="ADD6EA"/>
              <w:left w:val="nil"/>
              <w:bottom w:val="nil"/>
              <w:right w:val="nil"/>
            </w:tcBorders>
            <w:shd w:val="clear" w:color="auto" w:fill="auto"/>
            <w:vAlign w:val="bottom"/>
            <w:hideMark/>
          </w:tcPr>
          <w:p w14:paraId="68E3B268"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40</w:t>
            </w:r>
          </w:p>
        </w:tc>
      </w:tr>
      <w:tr w:rsidR="00DD1581" w:rsidRPr="00442A3B" w14:paraId="7339F6CE" w14:textId="77777777" w:rsidTr="00DD1581">
        <w:trPr>
          <w:trHeight w:val="315"/>
        </w:trPr>
        <w:tc>
          <w:tcPr>
            <w:tcW w:w="3520" w:type="dxa"/>
            <w:tcBorders>
              <w:top w:val="single" w:sz="4" w:space="0" w:color="ADD6EA"/>
              <w:left w:val="nil"/>
              <w:bottom w:val="nil"/>
              <w:right w:val="nil"/>
            </w:tcBorders>
            <w:shd w:val="clear" w:color="000000" w:fill="D6E7F0"/>
            <w:vAlign w:val="bottom"/>
            <w:hideMark/>
          </w:tcPr>
          <w:p w14:paraId="73205808" w14:textId="77777777" w:rsidR="00DD1581" w:rsidRPr="00442A3B" w:rsidRDefault="00DD1581" w:rsidP="00DD1581">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Total</w:t>
            </w:r>
          </w:p>
        </w:tc>
        <w:tc>
          <w:tcPr>
            <w:tcW w:w="680" w:type="dxa"/>
            <w:tcBorders>
              <w:top w:val="single" w:sz="4" w:space="0" w:color="ADD6EA"/>
              <w:left w:val="nil"/>
              <w:bottom w:val="nil"/>
              <w:right w:val="nil"/>
            </w:tcBorders>
            <w:shd w:val="clear" w:color="000000" w:fill="D6E7F0"/>
            <w:noWrap/>
            <w:vAlign w:val="bottom"/>
            <w:hideMark/>
          </w:tcPr>
          <w:p w14:paraId="3ADE14A2"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-58</w:t>
            </w:r>
          </w:p>
        </w:tc>
        <w:tc>
          <w:tcPr>
            <w:tcW w:w="580" w:type="dxa"/>
            <w:tcBorders>
              <w:top w:val="single" w:sz="4" w:space="0" w:color="ADD6EA"/>
              <w:left w:val="nil"/>
              <w:bottom w:val="nil"/>
              <w:right w:val="nil"/>
            </w:tcBorders>
            <w:shd w:val="clear" w:color="000000" w:fill="D6E7F0"/>
            <w:noWrap/>
            <w:vAlign w:val="bottom"/>
            <w:hideMark/>
          </w:tcPr>
          <w:p w14:paraId="74CA60A4"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1</w:t>
            </w:r>
          </w:p>
        </w:tc>
        <w:tc>
          <w:tcPr>
            <w:tcW w:w="580" w:type="dxa"/>
            <w:tcBorders>
              <w:top w:val="single" w:sz="4" w:space="0" w:color="ADD6EA"/>
              <w:left w:val="nil"/>
              <w:bottom w:val="nil"/>
              <w:right w:val="nil"/>
            </w:tcBorders>
            <w:shd w:val="clear" w:color="000000" w:fill="D6E7F0"/>
            <w:noWrap/>
            <w:vAlign w:val="bottom"/>
            <w:hideMark/>
          </w:tcPr>
          <w:p w14:paraId="12EA72F6"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26</w:t>
            </w:r>
          </w:p>
        </w:tc>
        <w:tc>
          <w:tcPr>
            <w:tcW w:w="580" w:type="dxa"/>
            <w:tcBorders>
              <w:top w:val="single" w:sz="4" w:space="0" w:color="ADD6EA"/>
              <w:left w:val="nil"/>
              <w:bottom w:val="nil"/>
              <w:right w:val="nil"/>
            </w:tcBorders>
            <w:shd w:val="clear" w:color="000000" w:fill="D6E7F0"/>
            <w:noWrap/>
            <w:vAlign w:val="bottom"/>
            <w:hideMark/>
          </w:tcPr>
          <w:p w14:paraId="4748F2C0"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8</w:t>
            </w:r>
          </w:p>
        </w:tc>
        <w:tc>
          <w:tcPr>
            <w:tcW w:w="580" w:type="dxa"/>
            <w:tcBorders>
              <w:top w:val="single" w:sz="4" w:space="0" w:color="ADD6EA"/>
              <w:left w:val="nil"/>
              <w:bottom w:val="nil"/>
              <w:right w:val="nil"/>
            </w:tcBorders>
            <w:shd w:val="clear" w:color="000000" w:fill="D6E7F0"/>
            <w:noWrap/>
            <w:vAlign w:val="bottom"/>
            <w:hideMark/>
          </w:tcPr>
          <w:p w14:paraId="5495901B"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10</w:t>
            </w:r>
          </w:p>
        </w:tc>
        <w:tc>
          <w:tcPr>
            <w:tcW w:w="580" w:type="dxa"/>
            <w:tcBorders>
              <w:top w:val="single" w:sz="4" w:space="0" w:color="ADD6EA"/>
              <w:left w:val="nil"/>
              <w:bottom w:val="nil"/>
              <w:right w:val="nil"/>
            </w:tcBorders>
            <w:shd w:val="clear" w:color="000000" w:fill="D6E7F0"/>
            <w:noWrap/>
            <w:vAlign w:val="bottom"/>
            <w:hideMark/>
          </w:tcPr>
          <w:p w14:paraId="08C64C48"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8</w:t>
            </w:r>
          </w:p>
        </w:tc>
        <w:tc>
          <w:tcPr>
            <w:tcW w:w="600" w:type="dxa"/>
            <w:tcBorders>
              <w:top w:val="single" w:sz="4" w:space="0" w:color="ADD6EA"/>
              <w:left w:val="nil"/>
              <w:bottom w:val="nil"/>
              <w:right w:val="nil"/>
            </w:tcBorders>
            <w:shd w:val="clear" w:color="000000" w:fill="D6E7F0"/>
            <w:noWrap/>
            <w:vAlign w:val="bottom"/>
            <w:hideMark/>
          </w:tcPr>
          <w:p w14:paraId="3A690BEC"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2</w:t>
            </w:r>
          </w:p>
        </w:tc>
        <w:tc>
          <w:tcPr>
            <w:tcW w:w="580" w:type="dxa"/>
            <w:tcBorders>
              <w:top w:val="single" w:sz="4" w:space="0" w:color="ADD6EA"/>
              <w:left w:val="nil"/>
              <w:bottom w:val="nil"/>
              <w:right w:val="nil"/>
            </w:tcBorders>
            <w:shd w:val="clear" w:color="000000" w:fill="D6E7F0"/>
            <w:noWrap/>
            <w:vAlign w:val="bottom"/>
            <w:hideMark/>
          </w:tcPr>
          <w:p w14:paraId="6AFB2530"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3</w:t>
            </w:r>
          </w:p>
        </w:tc>
        <w:tc>
          <w:tcPr>
            <w:tcW w:w="700" w:type="dxa"/>
            <w:tcBorders>
              <w:top w:val="single" w:sz="4" w:space="0" w:color="ADD6EA"/>
              <w:left w:val="nil"/>
              <w:bottom w:val="nil"/>
              <w:right w:val="nil"/>
            </w:tcBorders>
            <w:shd w:val="clear" w:color="000000" w:fill="D6E7F0"/>
            <w:noWrap/>
            <w:vAlign w:val="bottom"/>
            <w:hideMark/>
          </w:tcPr>
          <w:p w14:paraId="3FCE9514"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58</w:t>
            </w:r>
          </w:p>
        </w:tc>
      </w:tr>
      <w:tr w:rsidR="00DD1581" w:rsidRPr="00442A3B" w14:paraId="4F32E93E" w14:textId="77777777" w:rsidTr="00DD1581">
        <w:trPr>
          <w:trHeight w:val="259"/>
        </w:trPr>
        <w:tc>
          <w:tcPr>
            <w:tcW w:w="3520" w:type="dxa"/>
            <w:tcBorders>
              <w:top w:val="single" w:sz="4" w:space="0" w:color="ADD6EA"/>
              <w:left w:val="nil"/>
              <w:bottom w:val="nil"/>
              <w:right w:val="nil"/>
            </w:tcBorders>
            <w:shd w:val="clear" w:color="000000" w:fill="B6D5E4"/>
            <w:vAlign w:val="bottom"/>
            <w:hideMark/>
          </w:tcPr>
          <w:p w14:paraId="11BE352D" w14:textId="77777777" w:rsidR="00DD1581" w:rsidRPr="00442A3B" w:rsidRDefault="00DD1581" w:rsidP="00DD1581">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w:t>
            </w:r>
          </w:p>
        </w:tc>
        <w:tc>
          <w:tcPr>
            <w:tcW w:w="680" w:type="dxa"/>
            <w:tcBorders>
              <w:top w:val="single" w:sz="4" w:space="0" w:color="ADD6EA"/>
              <w:left w:val="nil"/>
              <w:bottom w:val="nil"/>
              <w:right w:val="nil"/>
            </w:tcBorders>
            <w:shd w:val="clear" w:color="000000" w:fill="B6D5E4"/>
            <w:noWrap/>
            <w:vAlign w:val="bottom"/>
            <w:hideMark/>
          </w:tcPr>
          <w:p w14:paraId="490AA809"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$pc</w:t>
            </w:r>
          </w:p>
        </w:tc>
        <w:tc>
          <w:tcPr>
            <w:tcW w:w="580" w:type="dxa"/>
            <w:tcBorders>
              <w:top w:val="single" w:sz="4" w:space="0" w:color="ADD6EA"/>
              <w:left w:val="nil"/>
              <w:bottom w:val="nil"/>
              <w:right w:val="nil"/>
            </w:tcBorders>
            <w:shd w:val="clear" w:color="000000" w:fill="B6D5E4"/>
            <w:noWrap/>
            <w:vAlign w:val="bottom"/>
            <w:hideMark/>
          </w:tcPr>
          <w:p w14:paraId="38DD2CF3"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$pc</w:t>
            </w:r>
          </w:p>
        </w:tc>
        <w:tc>
          <w:tcPr>
            <w:tcW w:w="580" w:type="dxa"/>
            <w:tcBorders>
              <w:top w:val="single" w:sz="4" w:space="0" w:color="ADD6EA"/>
              <w:left w:val="nil"/>
              <w:bottom w:val="nil"/>
              <w:right w:val="nil"/>
            </w:tcBorders>
            <w:shd w:val="clear" w:color="000000" w:fill="B6D5E4"/>
            <w:noWrap/>
            <w:vAlign w:val="bottom"/>
            <w:hideMark/>
          </w:tcPr>
          <w:p w14:paraId="18122B4A"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$pc</w:t>
            </w:r>
          </w:p>
        </w:tc>
        <w:tc>
          <w:tcPr>
            <w:tcW w:w="580" w:type="dxa"/>
            <w:tcBorders>
              <w:top w:val="single" w:sz="4" w:space="0" w:color="ADD6EA"/>
              <w:left w:val="nil"/>
              <w:bottom w:val="nil"/>
              <w:right w:val="nil"/>
            </w:tcBorders>
            <w:shd w:val="clear" w:color="000000" w:fill="B6D5E4"/>
            <w:noWrap/>
            <w:vAlign w:val="bottom"/>
            <w:hideMark/>
          </w:tcPr>
          <w:p w14:paraId="0C137487"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$pc</w:t>
            </w:r>
          </w:p>
        </w:tc>
        <w:tc>
          <w:tcPr>
            <w:tcW w:w="580" w:type="dxa"/>
            <w:tcBorders>
              <w:top w:val="single" w:sz="4" w:space="0" w:color="ADD6EA"/>
              <w:left w:val="nil"/>
              <w:bottom w:val="nil"/>
              <w:right w:val="nil"/>
            </w:tcBorders>
            <w:shd w:val="clear" w:color="000000" w:fill="B6D5E4"/>
            <w:noWrap/>
            <w:vAlign w:val="bottom"/>
            <w:hideMark/>
          </w:tcPr>
          <w:p w14:paraId="616A0CD3"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$pc</w:t>
            </w:r>
          </w:p>
        </w:tc>
        <w:tc>
          <w:tcPr>
            <w:tcW w:w="580" w:type="dxa"/>
            <w:tcBorders>
              <w:top w:val="single" w:sz="4" w:space="0" w:color="ADD6EA"/>
              <w:left w:val="nil"/>
              <w:bottom w:val="nil"/>
              <w:right w:val="nil"/>
            </w:tcBorders>
            <w:shd w:val="clear" w:color="000000" w:fill="B6D5E4"/>
            <w:noWrap/>
            <w:vAlign w:val="bottom"/>
            <w:hideMark/>
          </w:tcPr>
          <w:p w14:paraId="3C7AD3D1"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$pc</w:t>
            </w:r>
          </w:p>
        </w:tc>
        <w:tc>
          <w:tcPr>
            <w:tcW w:w="600" w:type="dxa"/>
            <w:tcBorders>
              <w:top w:val="single" w:sz="4" w:space="0" w:color="ADD6EA"/>
              <w:left w:val="nil"/>
              <w:bottom w:val="nil"/>
              <w:right w:val="nil"/>
            </w:tcBorders>
            <w:shd w:val="clear" w:color="000000" w:fill="B6D5E4"/>
            <w:noWrap/>
            <w:vAlign w:val="bottom"/>
            <w:hideMark/>
          </w:tcPr>
          <w:p w14:paraId="4F1CD89C"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$pc</w:t>
            </w:r>
          </w:p>
        </w:tc>
        <w:tc>
          <w:tcPr>
            <w:tcW w:w="580" w:type="dxa"/>
            <w:tcBorders>
              <w:top w:val="single" w:sz="4" w:space="0" w:color="ADD6EA"/>
              <w:left w:val="nil"/>
              <w:bottom w:val="nil"/>
              <w:right w:val="nil"/>
            </w:tcBorders>
            <w:shd w:val="clear" w:color="000000" w:fill="B6D5E4"/>
            <w:noWrap/>
            <w:vAlign w:val="bottom"/>
            <w:hideMark/>
          </w:tcPr>
          <w:p w14:paraId="20AEB0CA"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$pc</w:t>
            </w:r>
          </w:p>
        </w:tc>
        <w:tc>
          <w:tcPr>
            <w:tcW w:w="700" w:type="dxa"/>
            <w:tcBorders>
              <w:top w:val="single" w:sz="4" w:space="0" w:color="ADD6EA"/>
              <w:left w:val="nil"/>
              <w:bottom w:val="nil"/>
              <w:right w:val="nil"/>
            </w:tcBorders>
            <w:shd w:val="clear" w:color="000000" w:fill="B6D5E4"/>
            <w:noWrap/>
            <w:vAlign w:val="bottom"/>
            <w:hideMark/>
          </w:tcPr>
          <w:p w14:paraId="68C1003C"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$pc</w:t>
            </w:r>
          </w:p>
        </w:tc>
      </w:tr>
      <w:tr w:rsidR="00DD1581" w:rsidRPr="00442A3B" w14:paraId="76D42085" w14:textId="77777777" w:rsidTr="00DD1581">
        <w:trPr>
          <w:trHeight w:val="555"/>
        </w:trPr>
        <w:tc>
          <w:tcPr>
            <w:tcW w:w="3520" w:type="dxa"/>
            <w:tcBorders>
              <w:top w:val="single" w:sz="4" w:space="0" w:color="ADD6EA"/>
              <w:left w:val="nil"/>
              <w:bottom w:val="nil"/>
              <w:right w:val="nil"/>
            </w:tcBorders>
            <w:shd w:val="clear" w:color="auto" w:fill="auto"/>
            <w:vAlign w:val="bottom"/>
            <w:hideMark/>
          </w:tcPr>
          <w:p w14:paraId="6F2ADB7E" w14:textId="18DB6709" w:rsidR="00DD1581" w:rsidRPr="00442A3B" w:rsidRDefault="00DD1581" w:rsidP="00DD1581">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Reclassify data on urban water transport </w:t>
            </w:r>
            <w:r w:rsidR="009215DB" w:rsidRPr="00442A3B">
              <w:rPr>
                <w:rFonts w:eastAsia="Times New Roman" w:cs="Open Sans Light"/>
                <w:color w:val="000000"/>
                <w:sz w:val="16"/>
                <w:szCs w:val="16"/>
                <w:lang w:eastAsia="en-AU"/>
              </w:rPr>
              <w:br/>
            </w:r>
            <w:r w:rsidRPr="00442A3B">
              <w:rPr>
                <w:rFonts w:eastAsia="Times New Roman" w:cs="Open Sans Light"/>
                <w:color w:val="000000"/>
                <w:sz w:val="16"/>
                <w:szCs w:val="16"/>
                <w:lang w:eastAsia="en-AU"/>
              </w:rPr>
              <w:t>freight services</w:t>
            </w:r>
          </w:p>
        </w:tc>
        <w:tc>
          <w:tcPr>
            <w:tcW w:w="680" w:type="dxa"/>
            <w:tcBorders>
              <w:top w:val="single" w:sz="4" w:space="0" w:color="ADD6EA"/>
              <w:left w:val="nil"/>
              <w:bottom w:val="nil"/>
              <w:right w:val="nil"/>
            </w:tcBorders>
            <w:shd w:val="clear" w:color="auto" w:fill="auto"/>
            <w:vAlign w:val="bottom"/>
            <w:hideMark/>
          </w:tcPr>
          <w:p w14:paraId="5A336729"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w:t>
            </w:r>
          </w:p>
        </w:tc>
        <w:tc>
          <w:tcPr>
            <w:tcW w:w="580" w:type="dxa"/>
            <w:tcBorders>
              <w:top w:val="single" w:sz="4" w:space="0" w:color="ADD6EA"/>
              <w:left w:val="nil"/>
              <w:bottom w:val="nil"/>
              <w:right w:val="nil"/>
            </w:tcBorders>
            <w:shd w:val="clear" w:color="auto" w:fill="auto"/>
            <w:vAlign w:val="bottom"/>
            <w:hideMark/>
          </w:tcPr>
          <w:p w14:paraId="01096970"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w:t>
            </w:r>
          </w:p>
        </w:tc>
        <w:tc>
          <w:tcPr>
            <w:tcW w:w="580" w:type="dxa"/>
            <w:tcBorders>
              <w:top w:val="single" w:sz="4" w:space="0" w:color="ADD6EA"/>
              <w:left w:val="nil"/>
              <w:bottom w:val="nil"/>
              <w:right w:val="nil"/>
            </w:tcBorders>
            <w:shd w:val="clear" w:color="auto" w:fill="auto"/>
            <w:vAlign w:val="bottom"/>
            <w:hideMark/>
          </w:tcPr>
          <w:p w14:paraId="611EA37C"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w:t>
            </w:r>
          </w:p>
        </w:tc>
        <w:tc>
          <w:tcPr>
            <w:tcW w:w="580" w:type="dxa"/>
            <w:tcBorders>
              <w:top w:val="single" w:sz="4" w:space="0" w:color="ADD6EA"/>
              <w:left w:val="nil"/>
              <w:bottom w:val="nil"/>
              <w:right w:val="nil"/>
            </w:tcBorders>
            <w:shd w:val="clear" w:color="auto" w:fill="auto"/>
            <w:vAlign w:val="bottom"/>
            <w:hideMark/>
          </w:tcPr>
          <w:p w14:paraId="6F72B5EB"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w:t>
            </w:r>
          </w:p>
        </w:tc>
        <w:tc>
          <w:tcPr>
            <w:tcW w:w="580" w:type="dxa"/>
            <w:tcBorders>
              <w:top w:val="single" w:sz="4" w:space="0" w:color="ADD6EA"/>
              <w:left w:val="nil"/>
              <w:bottom w:val="nil"/>
              <w:right w:val="nil"/>
            </w:tcBorders>
            <w:shd w:val="clear" w:color="auto" w:fill="auto"/>
            <w:vAlign w:val="bottom"/>
            <w:hideMark/>
          </w:tcPr>
          <w:p w14:paraId="1EB9F6ED"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w:t>
            </w:r>
          </w:p>
        </w:tc>
        <w:tc>
          <w:tcPr>
            <w:tcW w:w="580" w:type="dxa"/>
            <w:tcBorders>
              <w:top w:val="single" w:sz="4" w:space="0" w:color="ADD6EA"/>
              <w:left w:val="nil"/>
              <w:bottom w:val="nil"/>
              <w:right w:val="nil"/>
            </w:tcBorders>
            <w:shd w:val="clear" w:color="auto" w:fill="auto"/>
            <w:vAlign w:val="bottom"/>
            <w:hideMark/>
          </w:tcPr>
          <w:p w14:paraId="5F42B3FE"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6</w:t>
            </w:r>
          </w:p>
        </w:tc>
        <w:tc>
          <w:tcPr>
            <w:tcW w:w="600" w:type="dxa"/>
            <w:tcBorders>
              <w:top w:val="single" w:sz="4" w:space="0" w:color="ADD6EA"/>
              <w:left w:val="nil"/>
              <w:bottom w:val="nil"/>
              <w:right w:val="nil"/>
            </w:tcBorders>
            <w:shd w:val="clear" w:color="auto" w:fill="auto"/>
            <w:vAlign w:val="bottom"/>
            <w:hideMark/>
          </w:tcPr>
          <w:p w14:paraId="1D000592"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w:t>
            </w:r>
          </w:p>
        </w:tc>
        <w:tc>
          <w:tcPr>
            <w:tcW w:w="580" w:type="dxa"/>
            <w:tcBorders>
              <w:top w:val="single" w:sz="4" w:space="0" w:color="ADD6EA"/>
              <w:left w:val="nil"/>
              <w:bottom w:val="nil"/>
              <w:right w:val="nil"/>
            </w:tcBorders>
            <w:shd w:val="clear" w:color="auto" w:fill="auto"/>
            <w:vAlign w:val="bottom"/>
            <w:hideMark/>
          </w:tcPr>
          <w:p w14:paraId="24E273E7"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6</w:t>
            </w:r>
          </w:p>
        </w:tc>
        <w:tc>
          <w:tcPr>
            <w:tcW w:w="700" w:type="dxa"/>
            <w:tcBorders>
              <w:top w:val="single" w:sz="4" w:space="0" w:color="ADD6EA"/>
              <w:left w:val="nil"/>
              <w:bottom w:val="nil"/>
              <w:right w:val="nil"/>
            </w:tcBorders>
            <w:shd w:val="clear" w:color="auto" w:fill="auto"/>
            <w:vAlign w:val="bottom"/>
            <w:hideMark/>
          </w:tcPr>
          <w:p w14:paraId="1E8531CC"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w:t>
            </w:r>
          </w:p>
        </w:tc>
      </w:tr>
      <w:tr w:rsidR="00DD1581" w:rsidRPr="00442A3B" w14:paraId="58449148" w14:textId="77777777" w:rsidTr="00DD1581">
        <w:trPr>
          <w:trHeight w:val="315"/>
        </w:trPr>
        <w:tc>
          <w:tcPr>
            <w:tcW w:w="3520" w:type="dxa"/>
            <w:tcBorders>
              <w:top w:val="single" w:sz="4" w:space="0" w:color="ADD6EA"/>
              <w:left w:val="nil"/>
              <w:bottom w:val="nil"/>
              <w:right w:val="nil"/>
            </w:tcBorders>
            <w:shd w:val="clear" w:color="auto" w:fill="auto"/>
            <w:vAlign w:val="bottom"/>
            <w:hideMark/>
          </w:tcPr>
          <w:p w14:paraId="42F07E1C" w14:textId="77777777" w:rsidR="00DD1581" w:rsidRPr="00442A3B" w:rsidRDefault="00DD1581" w:rsidP="00DD1581">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Heavy rail in Geelong</w:t>
            </w:r>
          </w:p>
        </w:tc>
        <w:tc>
          <w:tcPr>
            <w:tcW w:w="680" w:type="dxa"/>
            <w:tcBorders>
              <w:top w:val="single" w:sz="4" w:space="0" w:color="ADD6EA"/>
              <w:left w:val="nil"/>
              <w:bottom w:val="nil"/>
              <w:right w:val="nil"/>
            </w:tcBorders>
            <w:shd w:val="clear" w:color="auto" w:fill="auto"/>
            <w:noWrap/>
            <w:vAlign w:val="bottom"/>
            <w:hideMark/>
          </w:tcPr>
          <w:p w14:paraId="1F22D250"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w:t>
            </w:r>
          </w:p>
        </w:tc>
        <w:tc>
          <w:tcPr>
            <w:tcW w:w="580" w:type="dxa"/>
            <w:tcBorders>
              <w:top w:val="single" w:sz="4" w:space="0" w:color="ADD6EA"/>
              <w:left w:val="nil"/>
              <w:bottom w:val="nil"/>
              <w:right w:val="nil"/>
            </w:tcBorders>
            <w:shd w:val="clear" w:color="auto" w:fill="auto"/>
            <w:noWrap/>
            <w:vAlign w:val="bottom"/>
            <w:hideMark/>
          </w:tcPr>
          <w:p w14:paraId="15EB0E3F"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w:t>
            </w:r>
          </w:p>
        </w:tc>
        <w:tc>
          <w:tcPr>
            <w:tcW w:w="580" w:type="dxa"/>
            <w:tcBorders>
              <w:top w:val="single" w:sz="4" w:space="0" w:color="ADD6EA"/>
              <w:left w:val="nil"/>
              <w:bottom w:val="nil"/>
              <w:right w:val="nil"/>
            </w:tcBorders>
            <w:shd w:val="clear" w:color="auto" w:fill="auto"/>
            <w:noWrap/>
            <w:vAlign w:val="bottom"/>
            <w:hideMark/>
          </w:tcPr>
          <w:p w14:paraId="758E4FCA"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w:t>
            </w:r>
          </w:p>
        </w:tc>
        <w:tc>
          <w:tcPr>
            <w:tcW w:w="580" w:type="dxa"/>
            <w:tcBorders>
              <w:top w:val="single" w:sz="4" w:space="0" w:color="ADD6EA"/>
              <w:left w:val="nil"/>
              <w:bottom w:val="nil"/>
              <w:right w:val="nil"/>
            </w:tcBorders>
            <w:shd w:val="clear" w:color="auto" w:fill="auto"/>
            <w:noWrap/>
            <w:vAlign w:val="bottom"/>
            <w:hideMark/>
          </w:tcPr>
          <w:p w14:paraId="6F97EE78"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w:t>
            </w:r>
          </w:p>
        </w:tc>
        <w:tc>
          <w:tcPr>
            <w:tcW w:w="580" w:type="dxa"/>
            <w:tcBorders>
              <w:top w:val="single" w:sz="4" w:space="0" w:color="ADD6EA"/>
              <w:left w:val="nil"/>
              <w:bottom w:val="nil"/>
              <w:right w:val="nil"/>
            </w:tcBorders>
            <w:shd w:val="clear" w:color="auto" w:fill="auto"/>
            <w:noWrap/>
            <w:vAlign w:val="bottom"/>
            <w:hideMark/>
          </w:tcPr>
          <w:p w14:paraId="32A455A0"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w:t>
            </w:r>
          </w:p>
        </w:tc>
        <w:tc>
          <w:tcPr>
            <w:tcW w:w="580" w:type="dxa"/>
            <w:tcBorders>
              <w:top w:val="single" w:sz="4" w:space="0" w:color="ADD6EA"/>
              <w:left w:val="nil"/>
              <w:bottom w:val="nil"/>
              <w:right w:val="nil"/>
            </w:tcBorders>
            <w:shd w:val="clear" w:color="auto" w:fill="auto"/>
            <w:noWrap/>
            <w:vAlign w:val="bottom"/>
            <w:hideMark/>
          </w:tcPr>
          <w:p w14:paraId="6575A17B"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w:t>
            </w:r>
          </w:p>
        </w:tc>
        <w:tc>
          <w:tcPr>
            <w:tcW w:w="600" w:type="dxa"/>
            <w:tcBorders>
              <w:top w:val="single" w:sz="4" w:space="0" w:color="ADD6EA"/>
              <w:left w:val="nil"/>
              <w:bottom w:val="nil"/>
              <w:right w:val="nil"/>
            </w:tcBorders>
            <w:shd w:val="clear" w:color="auto" w:fill="auto"/>
            <w:noWrap/>
            <w:vAlign w:val="bottom"/>
            <w:hideMark/>
          </w:tcPr>
          <w:p w14:paraId="6CC0DB06"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w:t>
            </w:r>
          </w:p>
        </w:tc>
        <w:tc>
          <w:tcPr>
            <w:tcW w:w="580" w:type="dxa"/>
            <w:tcBorders>
              <w:top w:val="single" w:sz="4" w:space="0" w:color="ADD6EA"/>
              <w:left w:val="nil"/>
              <w:bottom w:val="nil"/>
              <w:right w:val="nil"/>
            </w:tcBorders>
            <w:shd w:val="clear" w:color="auto" w:fill="auto"/>
            <w:noWrap/>
            <w:vAlign w:val="bottom"/>
            <w:hideMark/>
          </w:tcPr>
          <w:p w14:paraId="3D9F723C"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w:t>
            </w:r>
          </w:p>
        </w:tc>
        <w:tc>
          <w:tcPr>
            <w:tcW w:w="700" w:type="dxa"/>
            <w:tcBorders>
              <w:top w:val="single" w:sz="4" w:space="0" w:color="ADD6EA"/>
              <w:left w:val="nil"/>
              <w:bottom w:val="nil"/>
              <w:right w:val="nil"/>
            </w:tcBorders>
            <w:shd w:val="clear" w:color="auto" w:fill="auto"/>
            <w:noWrap/>
            <w:vAlign w:val="bottom"/>
            <w:hideMark/>
          </w:tcPr>
          <w:p w14:paraId="28EE47C8"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w:t>
            </w:r>
          </w:p>
        </w:tc>
      </w:tr>
      <w:tr w:rsidR="00DD1581" w:rsidRPr="00442A3B" w14:paraId="0A7B6CDE" w14:textId="77777777" w:rsidTr="00DD1581">
        <w:trPr>
          <w:trHeight w:val="315"/>
        </w:trPr>
        <w:tc>
          <w:tcPr>
            <w:tcW w:w="3520" w:type="dxa"/>
            <w:tcBorders>
              <w:top w:val="single" w:sz="4" w:space="0" w:color="ADD6EA"/>
              <w:left w:val="nil"/>
              <w:bottom w:val="nil"/>
              <w:right w:val="nil"/>
            </w:tcBorders>
            <w:shd w:val="clear" w:color="auto" w:fill="auto"/>
            <w:vAlign w:val="bottom"/>
            <w:hideMark/>
          </w:tcPr>
          <w:p w14:paraId="598657E3" w14:textId="77777777" w:rsidR="00DD1581" w:rsidRPr="00442A3B" w:rsidRDefault="00DD1581" w:rsidP="00DD1581">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8% of V/Line expenses as urban transport</w:t>
            </w:r>
          </w:p>
        </w:tc>
        <w:tc>
          <w:tcPr>
            <w:tcW w:w="680" w:type="dxa"/>
            <w:tcBorders>
              <w:top w:val="single" w:sz="4" w:space="0" w:color="ADD6EA"/>
              <w:left w:val="nil"/>
              <w:bottom w:val="nil"/>
              <w:right w:val="nil"/>
            </w:tcBorders>
            <w:shd w:val="clear" w:color="auto" w:fill="auto"/>
            <w:vAlign w:val="bottom"/>
            <w:hideMark/>
          </w:tcPr>
          <w:p w14:paraId="11E68C6A"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w:t>
            </w:r>
          </w:p>
        </w:tc>
        <w:tc>
          <w:tcPr>
            <w:tcW w:w="580" w:type="dxa"/>
            <w:tcBorders>
              <w:top w:val="single" w:sz="4" w:space="0" w:color="ADD6EA"/>
              <w:left w:val="nil"/>
              <w:bottom w:val="nil"/>
              <w:right w:val="nil"/>
            </w:tcBorders>
            <w:shd w:val="clear" w:color="auto" w:fill="auto"/>
            <w:vAlign w:val="bottom"/>
            <w:hideMark/>
          </w:tcPr>
          <w:p w14:paraId="54A57607"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w:t>
            </w:r>
          </w:p>
        </w:tc>
        <w:tc>
          <w:tcPr>
            <w:tcW w:w="580" w:type="dxa"/>
            <w:tcBorders>
              <w:top w:val="single" w:sz="4" w:space="0" w:color="ADD6EA"/>
              <w:left w:val="nil"/>
              <w:bottom w:val="nil"/>
              <w:right w:val="nil"/>
            </w:tcBorders>
            <w:shd w:val="clear" w:color="auto" w:fill="auto"/>
            <w:vAlign w:val="bottom"/>
            <w:hideMark/>
          </w:tcPr>
          <w:p w14:paraId="6AADDB3C"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w:t>
            </w:r>
          </w:p>
        </w:tc>
        <w:tc>
          <w:tcPr>
            <w:tcW w:w="580" w:type="dxa"/>
            <w:tcBorders>
              <w:top w:val="single" w:sz="4" w:space="0" w:color="ADD6EA"/>
              <w:left w:val="nil"/>
              <w:bottom w:val="nil"/>
              <w:right w:val="nil"/>
            </w:tcBorders>
            <w:shd w:val="clear" w:color="auto" w:fill="auto"/>
            <w:vAlign w:val="bottom"/>
            <w:hideMark/>
          </w:tcPr>
          <w:p w14:paraId="2AC06DD5"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w:t>
            </w:r>
          </w:p>
        </w:tc>
        <w:tc>
          <w:tcPr>
            <w:tcW w:w="580" w:type="dxa"/>
            <w:tcBorders>
              <w:top w:val="single" w:sz="4" w:space="0" w:color="ADD6EA"/>
              <w:left w:val="nil"/>
              <w:bottom w:val="nil"/>
              <w:right w:val="nil"/>
            </w:tcBorders>
            <w:shd w:val="clear" w:color="auto" w:fill="auto"/>
            <w:vAlign w:val="bottom"/>
            <w:hideMark/>
          </w:tcPr>
          <w:p w14:paraId="33424079"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w:t>
            </w:r>
          </w:p>
        </w:tc>
        <w:tc>
          <w:tcPr>
            <w:tcW w:w="580" w:type="dxa"/>
            <w:tcBorders>
              <w:top w:val="single" w:sz="4" w:space="0" w:color="ADD6EA"/>
              <w:left w:val="nil"/>
              <w:bottom w:val="nil"/>
              <w:right w:val="nil"/>
            </w:tcBorders>
            <w:shd w:val="clear" w:color="auto" w:fill="auto"/>
            <w:vAlign w:val="bottom"/>
            <w:hideMark/>
          </w:tcPr>
          <w:p w14:paraId="0FB02F5C"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w:t>
            </w:r>
          </w:p>
        </w:tc>
        <w:tc>
          <w:tcPr>
            <w:tcW w:w="600" w:type="dxa"/>
            <w:tcBorders>
              <w:top w:val="single" w:sz="4" w:space="0" w:color="ADD6EA"/>
              <w:left w:val="nil"/>
              <w:bottom w:val="nil"/>
              <w:right w:val="nil"/>
            </w:tcBorders>
            <w:shd w:val="clear" w:color="auto" w:fill="auto"/>
            <w:vAlign w:val="bottom"/>
            <w:hideMark/>
          </w:tcPr>
          <w:p w14:paraId="7515A83F"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w:t>
            </w:r>
          </w:p>
        </w:tc>
        <w:tc>
          <w:tcPr>
            <w:tcW w:w="580" w:type="dxa"/>
            <w:tcBorders>
              <w:top w:val="single" w:sz="4" w:space="0" w:color="ADD6EA"/>
              <w:left w:val="nil"/>
              <w:bottom w:val="nil"/>
              <w:right w:val="nil"/>
            </w:tcBorders>
            <w:shd w:val="clear" w:color="auto" w:fill="auto"/>
            <w:vAlign w:val="bottom"/>
            <w:hideMark/>
          </w:tcPr>
          <w:p w14:paraId="5AE47232"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w:t>
            </w:r>
          </w:p>
        </w:tc>
        <w:tc>
          <w:tcPr>
            <w:tcW w:w="700" w:type="dxa"/>
            <w:tcBorders>
              <w:top w:val="single" w:sz="4" w:space="0" w:color="ADD6EA"/>
              <w:left w:val="nil"/>
              <w:bottom w:val="nil"/>
              <w:right w:val="nil"/>
            </w:tcBorders>
            <w:shd w:val="clear" w:color="auto" w:fill="auto"/>
            <w:vAlign w:val="bottom"/>
            <w:hideMark/>
          </w:tcPr>
          <w:p w14:paraId="08FDC501"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w:t>
            </w:r>
          </w:p>
        </w:tc>
      </w:tr>
      <w:tr w:rsidR="00DD1581" w:rsidRPr="00442A3B" w14:paraId="61444A18" w14:textId="77777777" w:rsidTr="00DD1581">
        <w:trPr>
          <w:trHeight w:val="315"/>
        </w:trPr>
        <w:tc>
          <w:tcPr>
            <w:tcW w:w="3520" w:type="dxa"/>
            <w:tcBorders>
              <w:top w:val="single" w:sz="4" w:space="0" w:color="ADD6EA"/>
              <w:left w:val="nil"/>
              <w:bottom w:val="nil"/>
              <w:right w:val="nil"/>
            </w:tcBorders>
            <w:shd w:val="clear" w:color="auto" w:fill="auto"/>
            <w:vAlign w:val="bottom"/>
            <w:hideMark/>
          </w:tcPr>
          <w:p w14:paraId="3C0C2849" w14:textId="77777777" w:rsidR="00DD1581" w:rsidRPr="00442A3B" w:rsidRDefault="00DD1581" w:rsidP="00DD1581">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Queensland Rail expenses</w:t>
            </w:r>
          </w:p>
        </w:tc>
        <w:tc>
          <w:tcPr>
            <w:tcW w:w="680" w:type="dxa"/>
            <w:tcBorders>
              <w:top w:val="single" w:sz="4" w:space="0" w:color="ADD6EA"/>
              <w:left w:val="nil"/>
              <w:bottom w:val="nil"/>
              <w:right w:val="nil"/>
            </w:tcBorders>
            <w:shd w:val="clear" w:color="auto" w:fill="auto"/>
            <w:vAlign w:val="bottom"/>
            <w:hideMark/>
          </w:tcPr>
          <w:p w14:paraId="397255BB"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w:t>
            </w:r>
          </w:p>
        </w:tc>
        <w:tc>
          <w:tcPr>
            <w:tcW w:w="580" w:type="dxa"/>
            <w:tcBorders>
              <w:top w:val="single" w:sz="4" w:space="0" w:color="ADD6EA"/>
              <w:left w:val="nil"/>
              <w:bottom w:val="nil"/>
              <w:right w:val="nil"/>
            </w:tcBorders>
            <w:shd w:val="clear" w:color="auto" w:fill="auto"/>
            <w:vAlign w:val="bottom"/>
            <w:hideMark/>
          </w:tcPr>
          <w:p w14:paraId="724FBF45"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w:t>
            </w:r>
          </w:p>
        </w:tc>
        <w:tc>
          <w:tcPr>
            <w:tcW w:w="580" w:type="dxa"/>
            <w:tcBorders>
              <w:top w:val="single" w:sz="4" w:space="0" w:color="ADD6EA"/>
              <w:left w:val="nil"/>
              <w:bottom w:val="nil"/>
              <w:right w:val="nil"/>
            </w:tcBorders>
            <w:shd w:val="clear" w:color="auto" w:fill="auto"/>
            <w:vAlign w:val="bottom"/>
            <w:hideMark/>
          </w:tcPr>
          <w:p w14:paraId="7869C02F"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w:t>
            </w:r>
          </w:p>
        </w:tc>
        <w:tc>
          <w:tcPr>
            <w:tcW w:w="580" w:type="dxa"/>
            <w:tcBorders>
              <w:top w:val="single" w:sz="4" w:space="0" w:color="ADD6EA"/>
              <w:left w:val="nil"/>
              <w:bottom w:val="nil"/>
              <w:right w:val="nil"/>
            </w:tcBorders>
            <w:shd w:val="clear" w:color="auto" w:fill="auto"/>
            <w:vAlign w:val="bottom"/>
            <w:hideMark/>
          </w:tcPr>
          <w:p w14:paraId="0BFED0AD"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w:t>
            </w:r>
          </w:p>
        </w:tc>
        <w:tc>
          <w:tcPr>
            <w:tcW w:w="580" w:type="dxa"/>
            <w:tcBorders>
              <w:top w:val="single" w:sz="4" w:space="0" w:color="ADD6EA"/>
              <w:left w:val="nil"/>
              <w:bottom w:val="nil"/>
              <w:right w:val="nil"/>
            </w:tcBorders>
            <w:shd w:val="clear" w:color="auto" w:fill="auto"/>
            <w:vAlign w:val="bottom"/>
            <w:hideMark/>
          </w:tcPr>
          <w:p w14:paraId="49982B3A"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w:t>
            </w:r>
          </w:p>
        </w:tc>
        <w:tc>
          <w:tcPr>
            <w:tcW w:w="580" w:type="dxa"/>
            <w:tcBorders>
              <w:top w:val="single" w:sz="4" w:space="0" w:color="ADD6EA"/>
              <w:left w:val="nil"/>
              <w:bottom w:val="nil"/>
              <w:right w:val="nil"/>
            </w:tcBorders>
            <w:shd w:val="clear" w:color="auto" w:fill="auto"/>
            <w:vAlign w:val="bottom"/>
            <w:hideMark/>
          </w:tcPr>
          <w:p w14:paraId="6DBF3A9E"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9</w:t>
            </w:r>
          </w:p>
        </w:tc>
        <w:tc>
          <w:tcPr>
            <w:tcW w:w="600" w:type="dxa"/>
            <w:tcBorders>
              <w:top w:val="single" w:sz="4" w:space="0" w:color="ADD6EA"/>
              <w:left w:val="nil"/>
              <w:bottom w:val="nil"/>
              <w:right w:val="nil"/>
            </w:tcBorders>
            <w:shd w:val="clear" w:color="auto" w:fill="auto"/>
            <w:vAlign w:val="bottom"/>
            <w:hideMark/>
          </w:tcPr>
          <w:p w14:paraId="5C38A47A"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w:t>
            </w:r>
          </w:p>
        </w:tc>
        <w:tc>
          <w:tcPr>
            <w:tcW w:w="580" w:type="dxa"/>
            <w:tcBorders>
              <w:top w:val="single" w:sz="4" w:space="0" w:color="ADD6EA"/>
              <w:left w:val="nil"/>
              <w:bottom w:val="nil"/>
              <w:right w:val="nil"/>
            </w:tcBorders>
            <w:shd w:val="clear" w:color="auto" w:fill="auto"/>
            <w:vAlign w:val="bottom"/>
            <w:hideMark/>
          </w:tcPr>
          <w:p w14:paraId="040AB783"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9</w:t>
            </w:r>
          </w:p>
        </w:tc>
        <w:tc>
          <w:tcPr>
            <w:tcW w:w="700" w:type="dxa"/>
            <w:tcBorders>
              <w:top w:val="single" w:sz="4" w:space="0" w:color="ADD6EA"/>
              <w:left w:val="nil"/>
              <w:bottom w:val="nil"/>
              <w:right w:val="nil"/>
            </w:tcBorders>
            <w:shd w:val="clear" w:color="auto" w:fill="auto"/>
            <w:vAlign w:val="bottom"/>
            <w:hideMark/>
          </w:tcPr>
          <w:p w14:paraId="2A2ED23D" w14:textId="77777777" w:rsidR="00DD1581" w:rsidRPr="00442A3B" w:rsidRDefault="00DD1581" w:rsidP="00DD1581">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w:t>
            </w:r>
          </w:p>
        </w:tc>
      </w:tr>
      <w:tr w:rsidR="00DD1581" w:rsidRPr="00442A3B" w14:paraId="136D203D" w14:textId="77777777" w:rsidTr="00DD1581">
        <w:trPr>
          <w:trHeight w:val="315"/>
        </w:trPr>
        <w:tc>
          <w:tcPr>
            <w:tcW w:w="3520" w:type="dxa"/>
            <w:tcBorders>
              <w:top w:val="single" w:sz="4" w:space="0" w:color="ADD6EA"/>
              <w:left w:val="nil"/>
              <w:bottom w:val="single" w:sz="4" w:space="0" w:color="ADD6EA"/>
              <w:right w:val="nil"/>
            </w:tcBorders>
            <w:shd w:val="clear" w:color="000000" w:fill="D6E7F0"/>
            <w:vAlign w:val="bottom"/>
            <w:hideMark/>
          </w:tcPr>
          <w:p w14:paraId="13DB760E" w14:textId="77777777" w:rsidR="00DD1581" w:rsidRPr="00442A3B" w:rsidRDefault="00DD1581" w:rsidP="00DD1581">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Total</w:t>
            </w:r>
          </w:p>
        </w:tc>
        <w:tc>
          <w:tcPr>
            <w:tcW w:w="680" w:type="dxa"/>
            <w:tcBorders>
              <w:top w:val="single" w:sz="4" w:space="0" w:color="ADD6EA"/>
              <w:left w:val="nil"/>
              <w:bottom w:val="single" w:sz="4" w:space="0" w:color="ADD6EA"/>
              <w:right w:val="nil"/>
            </w:tcBorders>
            <w:shd w:val="clear" w:color="000000" w:fill="D6E7F0"/>
            <w:noWrap/>
            <w:vAlign w:val="bottom"/>
            <w:hideMark/>
          </w:tcPr>
          <w:p w14:paraId="654CA9CF"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-7</w:t>
            </w:r>
          </w:p>
        </w:tc>
        <w:tc>
          <w:tcPr>
            <w:tcW w:w="580" w:type="dxa"/>
            <w:tcBorders>
              <w:top w:val="single" w:sz="4" w:space="0" w:color="ADD6EA"/>
              <w:left w:val="nil"/>
              <w:bottom w:val="single" w:sz="4" w:space="0" w:color="ADD6EA"/>
              <w:right w:val="nil"/>
            </w:tcBorders>
            <w:shd w:val="clear" w:color="000000" w:fill="D6E7F0"/>
            <w:noWrap/>
            <w:vAlign w:val="bottom"/>
            <w:hideMark/>
          </w:tcPr>
          <w:p w14:paraId="491B6947"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0</w:t>
            </w:r>
          </w:p>
        </w:tc>
        <w:tc>
          <w:tcPr>
            <w:tcW w:w="580" w:type="dxa"/>
            <w:tcBorders>
              <w:top w:val="single" w:sz="4" w:space="0" w:color="ADD6EA"/>
              <w:left w:val="nil"/>
              <w:bottom w:val="single" w:sz="4" w:space="0" w:color="ADD6EA"/>
              <w:right w:val="nil"/>
            </w:tcBorders>
            <w:shd w:val="clear" w:color="000000" w:fill="D6E7F0"/>
            <w:noWrap/>
            <w:vAlign w:val="bottom"/>
            <w:hideMark/>
          </w:tcPr>
          <w:p w14:paraId="3BA2A508"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5</w:t>
            </w:r>
          </w:p>
        </w:tc>
        <w:tc>
          <w:tcPr>
            <w:tcW w:w="580" w:type="dxa"/>
            <w:tcBorders>
              <w:top w:val="single" w:sz="4" w:space="0" w:color="ADD6EA"/>
              <w:left w:val="nil"/>
              <w:bottom w:val="single" w:sz="4" w:space="0" w:color="ADD6EA"/>
              <w:right w:val="nil"/>
            </w:tcBorders>
            <w:shd w:val="clear" w:color="000000" w:fill="D6E7F0"/>
            <w:noWrap/>
            <w:vAlign w:val="bottom"/>
            <w:hideMark/>
          </w:tcPr>
          <w:p w14:paraId="69A1EE62"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3</w:t>
            </w:r>
          </w:p>
        </w:tc>
        <w:tc>
          <w:tcPr>
            <w:tcW w:w="580" w:type="dxa"/>
            <w:tcBorders>
              <w:top w:val="single" w:sz="4" w:space="0" w:color="ADD6EA"/>
              <w:left w:val="nil"/>
              <w:bottom w:val="single" w:sz="4" w:space="0" w:color="ADD6EA"/>
              <w:right w:val="nil"/>
            </w:tcBorders>
            <w:shd w:val="clear" w:color="000000" w:fill="D6E7F0"/>
            <w:noWrap/>
            <w:vAlign w:val="bottom"/>
            <w:hideMark/>
          </w:tcPr>
          <w:p w14:paraId="04431493"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6</w:t>
            </w:r>
          </w:p>
        </w:tc>
        <w:tc>
          <w:tcPr>
            <w:tcW w:w="580" w:type="dxa"/>
            <w:tcBorders>
              <w:top w:val="single" w:sz="4" w:space="0" w:color="ADD6EA"/>
              <w:left w:val="nil"/>
              <w:bottom w:val="single" w:sz="4" w:space="0" w:color="ADD6EA"/>
              <w:right w:val="nil"/>
            </w:tcBorders>
            <w:shd w:val="clear" w:color="000000" w:fill="D6E7F0"/>
            <w:noWrap/>
            <w:vAlign w:val="bottom"/>
            <w:hideMark/>
          </w:tcPr>
          <w:p w14:paraId="1C78FF41"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14</w:t>
            </w:r>
          </w:p>
        </w:tc>
        <w:tc>
          <w:tcPr>
            <w:tcW w:w="600" w:type="dxa"/>
            <w:tcBorders>
              <w:top w:val="single" w:sz="4" w:space="0" w:color="ADD6EA"/>
              <w:left w:val="nil"/>
              <w:bottom w:val="single" w:sz="4" w:space="0" w:color="ADD6EA"/>
              <w:right w:val="nil"/>
            </w:tcBorders>
            <w:shd w:val="clear" w:color="000000" w:fill="D6E7F0"/>
            <w:noWrap/>
            <w:vAlign w:val="bottom"/>
            <w:hideMark/>
          </w:tcPr>
          <w:p w14:paraId="68E52EC3"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6</w:t>
            </w:r>
          </w:p>
        </w:tc>
        <w:tc>
          <w:tcPr>
            <w:tcW w:w="580" w:type="dxa"/>
            <w:tcBorders>
              <w:top w:val="single" w:sz="4" w:space="0" w:color="ADD6EA"/>
              <w:left w:val="nil"/>
              <w:bottom w:val="single" w:sz="4" w:space="0" w:color="ADD6EA"/>
              <w:right w:val="nil"/>
            </w:tcBorders>
            <w:shd w:val="clear" w:color="000000" w:fill="D6E7F0"/>
            <w:noWrap/>
            <w:vAlign w:val="bottom"/>
            <w:hideMark/>
          </w:tcPr>
          <w:p w14:paraId="3B3FD9FD"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13</w:t>
            </w:r>
          </w:p>
        </w:tc>
        <w:tc>
          <w:tcPr>
            <w:tcW w:w="700" w:type="dxa"/>
            <w:tcBorders>
              <w:top w:val="single" w:sz="4" w:space="0" w:color="ADD6EA"/>
              <w:left w:val="nil"/>
              <w:bottom w:val="single" w:sz="4" w:space="0" w:color="ADD6EA"/>
              <w:right w:val="nil"/>
            </w:tcBorders>
            <w:shd w:val="clear" w:color="000000" w:fill="D6E7F0"/>
            <w:noWrap/>
            <w:vAlign w:val="bottom"/>
            <w:hideMark/>
          </w:tcPr>
          <w:p w14:paraId="1B9A8F03" w14:textId="77777777" w:rsidR="00DD1581" w:rsidRPr="00442A3B" w:rsidRDefault="00DD1581" w:rsidP="00DD1581">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2</w:t>
            </w:r>
          </w:p>
        </w:tc>
      </w:tr>
    </w:tbl>
    <w:p w14:paraId="76AC10BD" w14:textId="07A55A2F" w:rsidR="00F821AB" w:rsidRPr="00442A3B" w:rsidRDefault="00D843D0" w:rsidP="00DD1581">
      <w:pPr>
        <w:pStyle w:val="CGCTablenote"/>
        <w:keepNext/>
        <w:keepLines/>
      </w:pPr>
      <w:r w:rsidRPr="00442A3B">
        <w:t>Source:</w:t>
      </w:r>
      <w:r w:rsidRPr="00442A3B">
        <w:tab/>
        <w:t>Commission calculation.</w:t>
      </w:r>
    </w:p>
    <w:p w14:paraId="4D3BA751" w14:textId="437B6FC4" w:rsidR="006433AE" w:rsidRPr="00442A3B" w:rsidRDefault="00403EAA" w:rsidP="00DD1581">
      <w:pPr>
        <w:pStyle w:val="CGCParaNumber"/>
        <w:widowControl w:val="0"/>
        <w:ind w:left="567" w:hanging="567"/>
      </w:pPr>
      <w:r w:rsidRPr="00442A3B">
        <w:t xml:space="preserve">Victoria expressed concern that the Commission did not identify the issues relating to the classification of urban and non-urban transport at the time of undertaking the </w:t>
      </w:r>
      <w:r w:rsidR="005909B1" w:rsidRPr="00442A3B">
        <w:t>2020 Review</w:t>
      </w:r>
      <w:r w:rsidRPr="00442A3B">
        <w:t xml:space="preserve">. </w:t>
      </w:r>
      <w:r w:rsidR="00BA15ED" w:rsidRPr="00442A3B">
        <w:t xml:space="preserve">Following the publication of the 2020 Review report, </w:t>
      </w:r>
      <w:r w:rsidR="00637D32" w:rsidRPr="00442A3B">
        <w:t xml:space="preserve">the Commission conducted </w:t>
      </w:r>
      <w:r w:rsidR="00BA15ED" w:rsidRPr="00442A3B">
        <w:t>a detailed analysis of State published information, such as budget papers and annual reports, against the Government Finance Statistics data</w:t>
      </w:r>
      <w:r w:rsidR="0017613B" w:rsidRPr="00442A3B">
        <w:t>.</w:t>
      </w:r>
      <w:r w:rsidR="00596564" w:rsidRPr="00442A3B">
        <w:t xml:space="preserve"> </w:t>
      </w:r>
      <w:r w:rsidR="00871E45" w:rsidRPr="00442A3B">
        <w:t xml:space="preserve">This analysis </w:t>
      </w:r>
      <w:r w:rsidR="00BB7DB6" w:rsidRPr="00442A3B">
        <w:t>uncovered some classification issues</w:t>
      </w:r>
      <w:r w:rsidR="00AC6EE3" w:rsidRPr="00442A3B">
        <w:t xml:space="preserve"> between urban and non-urban components.</w:t>
      </w:r>
      <w:r w:rsidR="006433AE" w:rsidRPr="00442A3B">
        <w:t xml:space="preserve"> </w:t>
      </w:r>
    </w:p>
    <w:p w14:paraId="75ED8933" w14:textId="77777777" w:rsidR="00397157" w:rsidRPr="00442A3B" w:rsidRDefault="00397157" w:rsidP="003E2E46">
      <w:pPr>
        <w:pStyle w:val="Heading3"/>
        <w:keepLines/>
        <w:widowControl/>
      </w:pPr>
      <w:bookmarkStart w:id="283" w:name="_Toc65050562"/>
      <w:r w:rsidRPr="00442A3B">
        <w:lastRenderedPageBreak/>
        <w:t>Treatment of Commonwealth payments</w:t>
      </w:r>
      <w:bookmarkEnd w:id="283"/>
    </w:p>
    <w:p w14:paraId="34B55833" w14:textId="77777777" w:rsidR="00397157" w:rsidRPr="00442A3B" w:rsidRDefault="00397157" w:rsidP="003E2E46">
      <w:pPr>
        <w:pStyle w:val="Heading4"/>
        <w:keepLines/>
        <w:widowControl/>
      </w:pPr>
      <w:bookmarkStart w:id="284" w:name="_Toc65050563"/>
      <w:r w:rsidRPr="00442A3B">
        <w:t>Commission’s approach</w:t>
      </w:r>
      <w:bookmarkEnd w:id="284"/>
      <w:r w:rsidRPr="00442A3B">
        <w:t xml:space="preserve"> </w:t>
      </w:r>
    </w:p>
    <w:p w14:paraId="28596C31" w14:textId="2A87A161" w:rsidR="00B9179D" w:rsidRPr="00442A3B" w:rsidRDefault="00B9179D" w:rsidP="003E2E46">
      <w:pPr>
        <w:pStyle w:val="CGCParaNumber"/>
        <w:keepNext/>
        <w:keepLines/>
        <w:ind w:left="567" w:hanging="567"/>
      </w:pPr>
      <w:r w:rsidRPr="00442A3B">
        <w:t xml:space="preserve">The Commission used the following guideline, developed in the </w:t>
      </w:r>
      <w:r w:rsidR="005909B1" w:rsidRPr="00442A3B">
        <w:t>2020 Review</w:t>
      </w:r>
      <w:r w:rsidRPr="00442A3B">
        <w:t>, to determine the treatment of new Commonwealth payments in this update:</w:t>
      </w:r>
    </w:p>
    <w:p w14:paraId="09986B05" w14:textId="77777777" w:rsidR="00B9179D" w:rsidRPr="00442A3B" w:rsidRDefault="00B9179D" w:rsidP="00492E99">
      <w:pPr>
        <w:keepNext/>
        <w:keepLines/>
        <w:ind w:left="1134"/>
      </w:pPr>
      <w:r w:rsidRPr="00442A3B">
        <w:t>payments which support State services, and for which expenditure needs are assessed</w:t>
      </w:r>
      <w:r w:rsidRPr="00442A3B">
        <w:rPr>
          <w:rStyle w:val="FootnoteReference"/>
        </w:rPr>
        <w:footnoteReference w:id="28"/>
      </w:r>
      <w:r w:rsidRPr="00442A3B">
        <w:t>, will have an impact on State fiscal capacities.</w:t>
      </w:r>
    </w:p>
    <w:p w14:paraId="374E62C7" w14:textId="40CE2CFD" w:rsidR="00B9179D" w:rsidRPr="00442A3B" w:rsidRDefault="00B9179D" w:rsidP="00021B66">
      <w:pPr>
        <w:pStyle w:val="CGCParaNumber"/>
        <w:ind w:left="567" w:hanging="567"/>
      </w:pPr>
      <w:r w:rsidRPr="00442A3B">
        <w:t xml:space="preserve">The treatment of Commonwealth payments that commenced in 2019-20, as listed in the </w:t>
      </w:r>
      <w:r w:rsidRPr="00442A3B">
        <w:rPr>
          <w:i/>
          <w:iCs/>
        </w:rPr>
        <w:t>Commonwealth of Australia’s Final Budget Outcome 2019-20</w:t>
      </w:r>
      <w:r w:rsidRPr="00442A3B">
        <w:t xml:space="preserve">, </w:t>
      </w:r>
      <w:r w:rsidR="00A72875" w:rsidRPr="00442A3B">
        <w:t>are</w:t>
      </w:r>
      <w:r w:rsidRPr="00442A3B">
        <w:t xml:space="preserve"> shown in </w:t>
      </w:r>
      <w:r w:rsidRPr="00442A3B">
        <w:fldChar w:fldCharType="begin"/>
      </w:r>
      <w:r w:rsidRPr="00442A3B">
        <w:instrText xml:space="preserve"> REF _Ref58231016 \h </w:instrText>
      </w:r>
      <w:r w:rsidR="00C37BF2" w:rsidRPr="00442A3B">
        <w:instrText xml:space="preserve"> \* MERGEFORMAT </w:instrText>
      </w:r>
      <w:r w:rsidRPr="00442A3B">
        <w:fldChar w:fldCharType="separate"/>
      </w:r>
      <w:r w:rsidR="00FC3D3D" w:rsidRPr="00442A3B">
        <w:t>Table 4-</w:t>
      </w:r>
      <w:r w:rsidR="00FC3D3D">
        <w:t>4</w:t>
      </w:r>
      <w:r w:rsidRPr="00442A3B">
        <w:fldChar w:fldCharType="end"/>
      </w:r>
      <w:r w:rsidRPr="00442A3B">
        <w:t>.</w:t>
      </w:r>
    </w:p>
    <w:p w14:paraId="55303C77" w14:textId="3107DF64" w:rsidR="00B9179D" w:rsidRPr="00442A3B" w:rsidRDefault="00B9179D" w:rsidP="00021B66">
      <w:pPr>
        <w:pStyle w:val="CGCParaNumber"/>
        <w:ind w:left="567" w:hanging="567"/>
      </w:pPr>
      <w:r w:rsidRPr="00442A3B">
        <w:t>States were consulted on the appropriate treatment of all payments. Where States raised issues with the proposed treatment of payments or made specific comments, these are discussed below. New South Wales did not comment on the treatment of Commonwealth payments.</w:t>
      </w:r>
    </w:p>
    <w:p w14:paraId="5B7DC83D" w14:textId="715793DB" w:rsidR="00786A54" w:rsidRPr="00442A3B" w:rsidRDefault="00786A54" w:rsidP="00C527D6">
      <w:pPr>
        <w:pStyle w:val="Caption"/>
      </w:pPr>
      <w:bookmarkStart w:id="285" w:name="_Ref58231016"/>
      <w:r w:rsidRPr="00442A3B">
        <w:t xml:space="preserve">Table </w:t>
      </w:r>
      <w:r w:rsidR="00732303" w:rsidRPr="00442A3B">
        <w:t>4-</w:t>
      </w:r>
      <w:r w:rsidRPr="00442A3B">
        <w:fldChar w:fldCharType="begin"/>
      </w:r>
      <w:r w:rsidRPr="00442A3B">
        <w:instrText>SEQ Table \* ARABIC</w:instrText>
      </w:r>
      <w:r w:rsidRPr="00442A3B">
        <w:fldChar w:fldCharType="separate"/>
      </w:r>
      <w:r w:rsidR="00FC3D3D">
        <w:rPr>
          <w:noProof/>
        </w:rPr>
        <w:t>4</w:t>
      </w:r>
      <w:r w:rsidRPr="00442A3B">
        <w:fldChar w:fldCharType="end"/>
      </w:r>
      <w:bookmarkEnd w:id="285"/>
      <w:r w:rsidRPr="00442A3B">
        <w:tab/>
        <w:t>Treatment of Commonwealth payments</w:t>
      </w:r>
    </w:p>
    <w:tbl>
      <w:tblPr>
        <w:tblW w:w="8902" w:type="dxa"/>
        <w:tblCellMar>
          <w:left w:w="28" w:type="dxa"/>
          <w:right w:w="28" w:type="dxa"/>
        </w:tblCellMar>
        <w:tblLook w:val="04A0" w:firstRow="1" w:lastRow="0" w:firstColumn="1" w:lastColumn="0" w:noHBand="0" w:noVBand="1"/>
      </w:tblPr>
      <w:tblGrid>
        <w:gridCol w:w="1871"/>
        <w:gridCol w:w="851"/>
        <w:gridCol w:w="567"/>
        <w:gridCol w:w="1275"/>
        <w:gridCol w:w="4338"/>
      </w:tblGrid>
      <w:tr w:rsidR="00951F8B" w:rsidRPr="00442A3B" w14:paraId="2335F324" w14:textId="77777777" w:rsidTr="002A39C3">
        <w:trPr>
          <w:trHeight w:val="555"/>
          <w:tblHeader/>
        </w:trPr>
        <w:tc>
          <w:tcPr>
            <w:tcW w:w="1871" w:type="dxa"/>
            <w:tcBorders>
              <w:top w:val="single" w:sz="8" w:space="0" w:color="ADD6EA"/>
              <w:left w:val="nil"/>
              <w:bottom w:val="nil"/>
              <w:right w:val="nil"/>
            </w:tcBorders>
            <w:shd w:val="clear" w:color="000000" w:fill="006991"/>
            <w:hideMark/>
          </w:tcPr>
          <w:p w14:paraId="24C1F752" w14:textId="77777777" w:rsidR="00B90ED5" w:rsidRPr="00442A3B" w:rsidRDefault="00B90ED5" w:rsidP="00B90ED5">
            <w:pPr>
              <w:tabs>
                <w:tab w:val="clear" w:pos="567"/>
              </w:tabs>
              <w:spacing w:before="0" w:line="240" w:lineRule="auto"/>
              <w:rPr>
                <w:rFonts w:ascii="Open Sans Semibold" w:eastAsia="Times New Roman" w:hAnsi="Open Sans Semibold" w:cs="Open Sans Semibold"/>
                <w:color w:val="FFFFFF"/>
                <w:sz w:val="16"/>
                <w:szCs w:val="16"/>
                <w:lang w:eastAsia="en-AU"/>
              </w:rPr>
            </w:pPr>
            <w:bookmarkStart w:id="286" w:name="RANGE!A1:E39"/>
            <w:r w:rsidRPr="00442A3B">
              <w:rPr>
                <w:rFonts w:ascii="Open Sans Semibold" w:eastAsia="Times New Roman" w:hAnsi="Open Sans Semibold" w:cs="Open Sans Semibold"/>
                <w:color w:val="FFFFFF"/>
                <w:sz w:val="16"/>
                <w:szCs w:val="16"/>
                <w:lang w:eastAsia="en-AU"/>
              </w:rPr>
              <w:t>Commonwealth payment</w:t>
            </w:r>
            <w:bookmarkEnd w:id="286"/>
          </w:p>
        </w:tc>
        <w:tc>
          <w:tcPr>
            <w:tcW w:w="851" w:type="dxa"/>
            <w:tcBorders>
              <w:top w:val="single" w:sz="8" w:space="0" w:color="ADD6EA"/>
              <w:left w:val="nil"/>
              <w:bottom w:val="nil"/>
              <w:right w:val="nil"/>
            </w:tcBorders>
            <w:shd w:val="clear" w:color="000000" w:fill="006991"/>
            <w:hideMark/>
          </w:tcPr>
          <w:p w14:paraId="4039D4AA" w14:textId="77777777" w:rsidR="00B90ED5" w:rsidRPr="00442A3B" w:rsidRDefault="00B90ED5" w:rsidP="00B90ED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2019-20 $m</w:t>
            </w:r>
          </w:p>
        </w:tc>
        <w:tc>
          <w:tcPr>
            <w:tcW w:w="567" w:type="dxa"/>
            <w:tcBorders>
              <w:top w:val="single" w:sz="8" w:space="0" w:color="ADD6EA"/>
              <w:left w:val="nil"/>
              <w:bottom w:val="nil"/>
              <w:right w:val="nil"/>
            </w:tcBorders>
            <w:shd w:val="clear" w:color="000000" w:fill="006991"/>
            <w:hideMark/>
          </w:tcPr>
          <w:p w14:paraId="05A0495D" w14:textId="77777777" w:rsidR="00B90ED5" w:rsidRPr="00442A3B" w:rsidRDefault="00B90ED5" w:rsidP="00B90ED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 xml:space="preserve"> </w:t>
            </w:r>
          </w:p>
        </w:tc>
        <w:tc>
          <w:tcPr>
            <w:tcW w:w="1275" w:type="dxa"/>
            <w:tcBorders>
              <w:top w:val="single" w:sz="8" w:space="0" w:color="ADD6EA"/>
              <w:left w:val="nil"/>
              <w:bottom w:val="nil"/>
              <w:right w:val="nil"/>
            </w:tcBorders>
            <w:shd w:val="clear" w:color="000000" w:fill="006991"/>
            <w:hideMark/>
          </w:tcPr>
          <w:p w14:paraId="712B32D3" w14:textId="77777777" w:rsidR="00B90ED5" w:rsidRPr="00442A3B" w:rsidRDefault="00B90ED5" w:rsidP="005F5EE3">
            <w:pPr>
              <w:tabs>
                <w:tab w:val="clear" w:pos="567"/>
              </w:tabs>
              <w:spacing w:before="0" w:line="240" w:lineRule="auto"/>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Treatment</w:t>
            </w:r>
          </w:p>
        </w:tc>
        <w:tc>
          <w:tcPr>
            <w:tcW w:w="4338" w:type="dxa"/>
            <w:tcBorders>
              <w:top w:val="single" w:sz="8" w:space="0" w:color="ADD6EA"/>
              <w:left w:val="nil"/>
              <w:bottom w:val="nil"/>
              <w:right w:val="nil"/>
            </w:tcBorders>
            <w:shd w:val="clear" w:color="000000" w:fill="006991"/>
            <w:hideMark/>
          </w:tcPr>
          <w:p w14:paraId="2149B1C7" w14:textId="77777777" w:rsidR="00B90ED5" w:rsidRPr="00442A3B" w:rsidRDefault="00B90ED5" w:rsidP="00B90ED5">
            <w:pPr>
              <w:tabs>
                <w:tab w:val="clear" w:pos="567"/>
              </w:tabs>
              <w:spacing w:before="0" w:line="240" w:lineRule="auto"/>
              <w:rPr>
                <w:rFonts w:ascii="Open Sans Semibold" w:eastAsia="Times New Roman" w:hAnsi="Open Sans Semibold" w:cs="Open Sans Semibold"/>
                <w:color w:val="FFFFFF"/>
                <w:sz w:val="16"/>
                <w:szCs w:val="16"/>
                <w:lang w:eastAsia="en-AU"/>
              </w:rPr>
            </w:pPr>
            <w:r w:rsidRPr="00442A3B">
              <w:rPr>
                <w:rFonts w:ascii="Open Sans Semibold" w:eastAsia="Times New Roman" w:hAnsi="Open Sans Semibold" w:cs="Open Sans Semibold"/>
                <w:color w:val="FFFFFF"/>
                <w:sz w:val="16"/>
                <w:szCs w:val="16"/>
                <w:lang w:eastAsia="en-AU"/>
              </w:rPr>
              <w:t>Reason for treatment</w:t>
            </w:r>
          </w:p>
        </w:tc>
      </w:tr>
      <w:tr w:rsidR="00951F8B" w:rsidRPr="00442A3B" w14:paraId="06B1F037" w14:textId="77777777" w:rsidTr="002A39C3">
        <w:trPr>
          <w:trHeight w:val="259"/>
        </w:trPr>
        <w:tc>
          <w:tcPr>
            <w:tcW w:w="1871" w:type="dxa"/>
            <w:tcBorders>
              <w:top w:val="single" w:sz="4" w:space="0" w:color="ADD6EA"/>
              <w:left w:val="nil"/>
              <w:bottom w:val="single" w:sz="4" w:space="0" w:color="ADD6EA"/>
              <w:right w:val="nil"/>
            </w:tcBorders>
            <w:shd w:val="clear" w:color="000000" w:fill="B6D5E4"/>
            <w:hideMark/>
          </w:tcPr>
          <w:p w14:paraId="67BD695E" w14:textId="77777777" w:rsidR="00B90ED5" w:rsidRPr="00442A3B" w:rsidRDefault="00B90ED5" w:rsidP="00B90ED5">
            <w:pPr>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Health</w:t>
            </w:r>
          </w:p>
        </w:tc>
        <w:tc>
          <w:tcPr>
            <w:tcW w:w="851" w:type="dxa"/>
            <w:tcBorders>
              <w:top w:val="single" w:sz="4" w:space="0" w:color="ADD6EA"/>
              <w:left w:val="nil"/>
              <w:bottom w:val="single" w:sz="4" w:space="0" w:color="ADD6EA"/>
              <w:right w:val="nil"/>
            </w:tcBorders>
            <w:shd w:val="clear" w:color="000000" w:fill="B6D5E4"/>
            <w:noWrap/>
            <w:hideMark/>
          </w:tcPr>
          <w:p w14:paraId="68802B50" w14:textId="77777777" w:rsidR="00B90ED5" w:rsidRPr="00442A3B" w:rsidRDefault="00B90ED5" w:rsidP="00B90ED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xml:space="preserve">  </w:t>
            </w:r>
          </w:p>
        </w:tc>
        <w:tc>
          <w:tcPr>
            <w:tcW w:w="567" w:type="dxa"/>
            <w:tcBorders>
              <w:top w:val="single" w:sz="4" w:space="0" w:color="ADD6EA"/>
              <w:left w:val="nil"/>
              <w:bottom w:val="single" w:sz="4" w:space="0" w:color="ADD6EA"/>
              <w:right w:val="nil"/>
            </w:tcBorders>
            <w:shd w:val="clear" w:color="000000" w:fill="B6D5E4"/>
            <w:noWrap/>
            <w:hideMark/>
          </w:tcPr>
          <w:p w14:paraId="180A990C" w14:textId="77777777" w:rsidR="00B90ED5" w:rsidRPr="00442A3B" w:rsidRDefault="00B90ED5" w:rsidP="00B90ED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xml:space="preserve">  </w:t>
            </w:r>
          </w:p>
        </w:tc>
        <w:tc>
          <w:tcPr>
            <w:tcW w:w="1275" w:type="dxa"/>
            <w:tcBorders>
              <w:top w:val="single" w:sz="4" w:space="0" w:color="ADD6EA"/>
              <w:left w:val="nil"/>
              <w:bottom w:val="single" w:sz="4" w:space="0" w:color="ADD6EA"/>
              <w:right w:val="nil"/>
            </w:tcBorders>
            <w:shd w:val="clear" w:color="000000" w:fill="B6D5E4"/>
            <w:noWrap/>
            <w:hideMark/>
          </w:tcPr>
          <w:p w14:paraId="699E13EF" w14:textId="77777777" w:rsidR="00B90ED5" w:rsidRPr="00442A3B" w:rsidRDefault="00B90ED5" w:rsidP="00B90ED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xml:space="preserve">  </w:t>
            </w:r>
          </w:p>
        </w:tc>
        <w:tc>
          <w:tcPr>
            <w:tcW w:w="4338" w:type="dxa"/>
            <w:tcBorders>
              <w:top w:val="single" w:sz="4" w:space="0" w:color="ADD6EA"/>
              <w:left w:val="nil"/>
              <w:bottom w:val="single" w:sz="4" w:space="0" w:color="ADD6EA"/>
              <w:right w:val="nil"/>
            </w:tcBorders>
            <w:shd w:val="clear" w:color="000000" w:fill="B6D5E4"/>
            <w:noWrap/>
            <w:hideMark/>
          </w:tcPr>
          <w:p w14:paraId="706FA8F7" w14:textId="77777777" w:rsidR="00B90ED5" w:rsidRPr="00442A3B" w:rsidRDefault="00B90ED5" w:rsidP="00B90ED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xml:space="preserve">  </w:t>
            </w:r>
          </w:p>
        </w:tc>
      </w:tr>
      <w:tr w:rsidR="005F5EE3" w:rsidRPr="00442A3B" w14:paraId="087BEC59" w14:textId="77777777" w:rsidTr="002A39C3">
        <w:trPr>
          <w:trHeight w:val="1035"/>
        </w:trPr>
        <w:tc>
          <w:tcPr>
            <w:tcW w:w="1871" w:type="dxa"/>
            <w:tcBorders>
              <w:top w:val="nil"/>
              <w:left w:val="nil"/>
              <w:bottom w:val="nil"/>
              <w:right w:val="nil"/>
            </w:tcBorders>
            <w:shd w:val="clear" w:color="auto" w:fill="auto"/>
            <w:hideMark/>
          </w:tcPr>
          <w:p w14:paraId="7359116B"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COVID-19 public health response</w:t>
            </w:r>
          </w:p>
        </w:tc>
        <w:tc>
          <w:tcPr>
            <w:tcW w:w="851" w:type="dxa"/>
            <w:tcBorders>
              <w:top w:val="nil"/>
              <w:left w:val="nil"/>
              <w:bottom w:val="nil"/>
              <w:right w:val="nil"/>
            </w:tcBorders>
            <w:shd w:val="clear" w:color="auto" w:fill="auto"/>
            <w:hideMark/>
          </w:tcPr>
          <w:p w14:paraId="3AFE32DA"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2955.2</w:t>
            </w:r>
          </w:p>
        </w:tc>
        <w:tc>
          <w:tcPr>
            <w:tcW w:w="567" w:type="dxa"/>
            <w:tcBorders>
              <w:top w:val="nil"/>
              <w:left w:val="nil"/>
              <w:bottom w:val="nil"/>
              <w:right w:val="nil"/>
            </w:tcBorders>
            <w:shd w:val="clear" w:color="auto" w:fill="auto"/>
            <w:hideMark/>
          </w:tcPr>
          <w:p w14:paraId="44F1AE23"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nil"/>
              <w:left w:val="nil"/>
              <w:bottom w:val="nil"/>
              <w:right w:val="nil"/>
            </w:tcBorders>
            <w:shd w:val="clear" w:color="auto" w:fill="auto"/>
            <w:hideMark/>
          </w:tcPr>
          <w:p w14:paraId="06B23F7F"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No Impact</w:t>
            </w:r>
          </w:p>
        </w:tc>
        <w:tc>
          <w:tcPr>
            <w:tcW w:w="4338" w:type="dxa"/>
            <w:tcBorders>
              <w:top w:val="nil"/>
              <w:left w:val="nil"/>
              <w:bottom w:val="nil"/>
              <w:right w:val="nil"/>
            </w:tcBorders>
            <w:shd w:val="clear" w:color="auto" w:fill="auto"/>
            <w:hideMark/>
          </w:tcPr>
          <w:p w14:paraId="7F3AA940" w14:textId="6A6C04E9"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Payment supports State services. However, the health assessment does not currently assess needs for the drivers of spending under this agreement (COVID-19). See earlier discussion at paragraphs </w:t>
            </w:r>
            <w:r w:rsidR="001D450E" w:rsidRPr="00442A3B">
              <w:rPr>
                <w:rFonts w:eastAsia="Times New Roman" w:cs="Open Sans Light"/>
                <w:color w:val="000000"/>
                <w:sz w:val="16"/>
                <w:szCs w:val="16"/>
                <w:lang w:eastAsia="en-AU"/>
              </w:rPr>
              <w:fldChar w:fldCharType="begin"/>
            </w:r>
            <w:r w:rsidR="001D450E" w:rsidRPr="00442A3B">
              <w:rPr>
                <w:rFonts w:eastAsia="Times New Roman" w:cs="Open Sans Light"/>
                <w:color w:val="000000"/>
                <w:sz w:val="16"/>
                <w:szCs w:val="16"/>
                <w:lang w:eastAsia="en-AU"/>
              </w:rPr>
              <w:instrText xml:space="preserve"> REF _Ref64285431 \r \h </w:instrText>
            </w:r>
            <w:r w:rsidR="00442A3B">
              <w:rPr>
                <w:rFonts w:eastAsia="Times New Roman" w:cs="Open Sans Light"/>
                <w:color w:val="000000"/>
                <w:sz w:val="16"/>
                <w:szCs w:val="16"/>
                <w:lang w:eastAsia="en-AU"/>
              </w:rPr>
              <w:instrText xml:space="preserve"> \* MERGEFORMAT </w:instrText>
            </w:r>
            <w:r w:rsidR="001D450E" w:rsidRPr="00442A3B">
              <w:rPr>
                <w:rFonts w:eastAsia="Times New Roman" w:cs="Open Sans Light"/>
                <w:color w:val="000000"/>
                <w:sz w:val="16"/>
                <w:szCs w:val="16"/>
                <w:lang w:eastAsia="en-AU"/>
              </w:rPr>
            </w:r>
            <w:r w:rsidR="001D450E" w:rsidRPr="00442A3B">
              <w:rPr>
                <w:rFonts w:eastAsia="Times New Roman" w:cs="Open Sans Light"/>
                <w:color w:val="000000"/>
                <w:sz w:val="16"/>
                <w:szCs w:val="16"/>
                <w:lang w:eastAsia="en-AU"/>
              </w:rPr>
              <w:fldChar w:fldCharType="separate"/>
            </w:r>
            <w:r w:rsidR="00FC3D3D">
              <w:rPr>
                <w:rFonts w:eastAsia="Times New Roman" w:cs="Open Sans Light"/>
                <w:color w:val="000000"/>
                <w:sz w:val="16"/>
                <w:szCs w:val="16"/>
                <w:lang w:eastAsia="en-AU"/>
              </w:rPr>
              <w:t>45</w:t>
            </w:r>
            <w:r w:rsidR="001D450E" w:rsidRPr="00442A3B">
              <w:rPr>
                <w:rFonts w:eastAsia="Times New Roman" w:cs="Open Sans Light"/>
                <w:color w:val="000000"/>
                <w:sz w:val="16"/>
                <w:szCs w:val="16"/>
                <w:lang w:eastAsia="en-AU"/>
              </w:rPr>
              <w:fldChar w:fldCharType="end"/>
            </w:r>
            <w:r w:rsidR="001D450E" w:rsidRPr="00442A3B">
              <w:rPr>
                <w:rFonts w:eastAsia="Times New Roman" w:cs="Open Sans Light"/>
                <w:color w:val="000000"/>
                <w:sz w:val="16"/>
                <w:szCs w:val="16"/>
                <w:lang w:eastAsia="en-AU"/>
              </w:rPr>
              <w:t>-</w:t>
            </w:r>
            <w:r w:rsidR="001D450E" w:rsidRPr="00442A3B">
              <w:rPr>
                <w:rFonts w:eastAsia="Times New Roman" w:cs="Open Sans Light"/>
                <w:color w:val="000000"/>
                <w:sz w:val="16"/>
                <w:szCs w:val="16"/>
                <w:lang w:eastAsia="en-AU"/>
              </w:rPr>
              <w:fldChar w:fldCharType="begin"/>
            </w:r>
            <w:r w:rsidR="001D450E" w:rsidRPr="00442A3B">
              <w:rPr>
                <w:rFonts w:eastAsia="Times New Roman" w:cs="Open Sans Light"/>
                <w:color w:val="000000"/>
                <w:sz w:val="16"/>
                <w:szCs w:val="16"/>
                <w:lang w:eastAsia="en-AU"/>
              </w:rPr>
              <w:instrText xml:space="preserve"> REF _Ref64285282 \r \h </w:instrText>
            </w:r>
            <w:r w:rsidR="00442A3B">
              <w:rPr>
                <w:rFonts w:eastAsia="Times New Roman" w:cs="Open Sans Light"/>
                <w:color w:val="000000"/>
                <w:sz w:val="16"/>
                <w:szCs w:val="16"/>
                <w:lang w:eastAsia="en-AU"/>
              </w:rPr>
              <w:instrText xml:space="preserve"> \* MERGEFORMAT </w:instrText>
            </w:r>
            <w:r w:rsidR="001D450E" w:rsidRPr="00442A3B">
              <w:rPr>
                <w:rFonts w:eastAsia="Times New Roman" w:cs="Open Sans Light"/>
                <w:color w:val="000000"/>
                <w:sz w:val="16"/>
                <w:szCs w:val="16"/>
                <w:lang w:eastAsia="en-AU"/>
              </w:rPr>
            </w:r>
            <w:r w:rsidR="001D450E" w:rsidRPr="00442A3B">
              <w:rPr>
                <w:rFonts w:eastAsia="Times New Roman" w:cs="Open Sans Light"/>
                <w:color w:val="000000"/>
                <w:sz w:val="16"/>
                <w:szCs w:val="16"/>
                <w:lang w:eastAsia="en-AU"/>
              </w:rPr>
              <w:fldChar w:fldCharType="separate"/>
            </w:r>
            <w:r w:rsidR="00FC3D3D">
              <w:rPr>
                <w:rFonts w:eastAsia="Times New Roman" w:cs="Open Sans Light"/>
                <w:color w:val="000000"/>
                <w:sz w:val="16"/>
                <w:szCs w:val="16"/>
                <w:lang w:eastAsia="en-AU"/>
              </w:rPr>
              <w:t>52</w:t>
            </w:r>
            <w:r w:rsidR="001D450E" w:rsidRPr="00442A3B">
              <w:rPr>
                <w:rFonts w:eastAsia="Times New Roman" w:cs="Open Sans Light"/>
                <w:color w:val="000000"/>
                <w:sz w:val="16"/>
                <w:szCs w:val="16"/>
                <w:lang w:eastAsia="en-AU"/>
              </w:rPr>
              <w:fldChar w:fldCharType="end"/>
            </w:r>
            <w:r w:rsidR="00B40EB7" w:rsidRPr="00442A3B">
              <w:rPr>
                <w:rFonts w:eastAsia="Times New Roman" w:cs="Open Sans Light"/>
                <w:color w:val="000000"/>
                <w:sz w:val="16"/>
                <w:szCs w:val="16"/>
                <w:lang w:eastAsia="en-AU"/>
              </w:rPr>
              <w:t>.</w:t>
            </w:r>
          </w:p>
        </w:tc>
      </w:tr>
      <w:tr w:rsidR="005F5EE3" w:rsidRPr="00442A3B" w14:paraId="76E38E5D" w14:textId="77777777" w:rsidTr="002A39C3">
        <w:trPr>
          <w:trHeight w:val="555"/>
        </w:trPr>
        <w:tc>
          <w:tcPr>
            <w:tcW w:w="1871" w:type="dxa"/>
            <w:tcBorders>
              <w:top w:val="single" w:sz="4" w:space="0" w:color="ADD6EA"/>
              <w:left w:val="nil"/>
              <w:bottom w:val="nil"/>
              <w:right w:val="nil"/>
            </w:tcBorders>
            <w:shd w:val="clear" w:color="auto" w:fill="auto"/>
            <w:hideMark/>
          </w:tcPr>
          <w:p w14:paraId="1526BB9F"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Achieving better health outcomes</w:t>
            </w:r>
          </w:p>
        </w:tc>
        <w:tc>
          <w:tcPr>
            <w:tcW w:w="851" w:type="dxa"/>
            <w:tcBorders>
              <w:top w:val="single" w:sz="4" w:space="0" w:color="ADD6EA"/>
              <w:left w:val="nil"/>
              <w:bottom w:val="nil"/>
              <w:right w:val="nil"/>
            </w:tcBorders>
            <w:shd w:val="clear" w:color="auto" w:fill="auto"/>
            <w:hideMark/>
          </w:tcPr>
          <w:p w14:paraId="09F87977"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0.3</w:t>
            </w:r>
          </w:p>
        </w:tc>
        <w:tc>
          <w:tcPr>
            <w:tcW w:w="567" w:type="dxa"/>
            <w:tcBorders>
              <w:top w:val="single" w:sz="4" w:space="0" w:color="ADD6EA"/>
              <w:left w:val="nil"/>
              <w:bottom w:val="nil"/>
              <w:right w:val="nil"/>
            </w:tcBorders>
            <w:shd w:val="clear" w:color="auto" w:fill="auto"/>
            <w:hideMark/>
          </w:tcPr>
          <w:p w14:paraId="1C586E46"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single" w:sz="4" w:space="0" w:color="ADD6EA"/>
              <w:left w:val="nil"/>
              <w:bottom w:val="nil"/>
              <w:right w:val="nil"/>
            </w:tcBorders>
            <w:shd w:val="clear" w:color="auto" w:fill="auto"/>
            <w:hideMark/>
          </w:tcPr>
          <w:p w14:paraId="078B3512"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Impact</w:t>
            </w:r>
          </w:p>
        </w:tc>
        <w:tc>
          <w:tcPr>
            <w:tcW w:w="4338" w:type="dxa"/>
            <w:tcBorders>
              <w:top w:val="single" w:sz="4" w:space="0" w:color="ADD6EA"/>
              <w:left w:val="nil"/>
              <w:bottom w:val="nil"/>
              <w:right w:val="nil"/>
            </w:tcBorders>
            <w:shd w:val="clear" w:color="auto" w:fill="auto"/>
            <w:hideMark/>
          </w:tcPr>
          <w:p w14:paraId="027FAB84"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Payment supports State services for which needs are assessed.</w:t>
            </w:r>
          </w:p>
        </w:tc>
      </w:tr>
      <w:tr w:rsidR="005F5EE3" w:rsidRPr="00442A3B" w14:paraId="2381EA67" w14:textId="77777777" w:rsidTr="002A39C3">
        <w:trPr>
          <w:trHeight w:val="555"/>
        </w:trPr>
        <w:tc>
          <w:tcPr>
            <w:tcW w:w="1871" w:type="dxa"/>
            <w:tcBorders>
              <w:top w:val="single" w:sz="4" w:space="0" w:color="ADD6EA"/>
              <w:left w:val="nil"/>
              <w:bottom w:val="nil"/>
              <w:right w:val="nil"/>
            </w:tcBorders>
            <w:shd w:val="clear" w:color="auto" w:fill="auto"/>
            <w:hideMark/>
          </w:tcPr>
          <w:p w14:paraId="12D97476"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Additional assistance for public hospitals</w:t>
            </w:r>
          </w:p>
        </w:tc>
        <w:tc>
          <w:tcPr>
            <w:tcW w:w="851" w:type="dxa"/>
            <w:tcBorders>
              <w:top w:val="single" w:sz="4" w:space="0" w:color="ADD6EA"/>
              <w:left w:val="nil"/>
              <w:bottom w:val="nil"/>
              <w:right w:val="nil"/>
            </w:tcBorders>
            <w:shd w:val="clear" w:color="auto" w:fill="auto"/>
            <w:hideMark/>
          </w:tcPr>
          <w:p w14:paraId="3B5581D9"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4.1</w:t>
            </w:r>
          </w:p>
        </w:tc>
        <w:tc>
          <w:tcPr>
            <w:tcW w:w="567" w:type="dxa"/>
            <w:tcBorders>
              <w:top w:val="single" w:sz="4" w:space="0" w:color="ADD6EA"/>
              <w:left w:val="nil"/>
              <w:bottom w:val="nil"/>
              <w:right w:val="nil"/>
            </w:tcBorders>
            <w:shd w:val="clear" w:color="auto" w:fill="auto"/>
            <w:hideMark/>
          </w:tcPr>
          <w:p w14:paraId="5A633766"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single" w:sz="4" w:space="0" w:color="ADD6EA"/>
              <w:left w:val="nil"/>
              <w:bottom w:val="nil"/>
              <w:right w:val="nil"/>
            </w:tcBorders>
            <w:shd w:val="clear" w:color="auto" w:fill="auto"/>
            <w:hideMark/>
          </w:tcPr>
          <w:p w14:paraId="2B512E88"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Impact</w:t>
            </w:r>
          </w:p>
        </w:tc>
        <w:tc>
          <w:tcPr>
            <w:tcW w:w="4338" w:type="dxa"/>
            <w:tcBorders>
              <w:top w:val="single" w:sz="4" w:space="0" w:color="ADD6EA"/>
              <w:left w:val="nil"/>
              <w:bottom w:val="nil"/>
              <w:right w:val="nil"/>
            </w:tcBorders>
            <w:shd w:val="clear" w:color="auto" w:fill="auto"/>
            <w:hideMark/>
          </w:tcPr>
          <w:p w14:paraId="6472CF27"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Payment supports State services for which needs are assessed.</w:t>
            </w:r>
          </w:p>
        </w:tc>
      </w:tr>
      <w:tr w:rsidR="005F5EE3" w:rsidRPr="00442A3B" w14:paraId="5D74108F" w14:textId="77777777" w:rsidTr="002A39C3">
        <w:trPr>
          <w:trHeight w:val="1515"/>
        </w:trPr>
        <w:tc>
          <w:tcPr>
            <w:tcW w:w="1871" w:type="dxa"/>
            <w:tcBorders>
              <w:top w:val="single" w:sz="4" w:space="0" w:color="ADD6EA"/>
              <w:left w:val="nil"/>
              <w:bottom w:val="nil"/>
              <w:right w:val="nil"/>
            </w:tcBorders>
            <w:shd w:val="clear" w:color="auto" w:fill="auto"/>
            <w:hideMark/>
          </w:tcPr>
          <w:p w14:paraId="4A0A4616"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Adult Mental Health Centres</w:t>
            </w:r>
          </w:p>
        </w:tc>
        <w:tc>
          <w:tcPr>
            <w:tcW w:w="851" w:type="dxa"/>
            <w:tcBorders>
              <w:top w:val="single" w:sz="4" w:space="0" w:color="ADD6EA"/>
              <w:left w:val="nil"/>
              <w:bottom w:val="nil"/>
              <w:right w:val="nil"/>
            </w:tcBorders>
            <w:shd w:val="clear" w:color="auto" w:fill="auto"/>
            <w:hideMark/>
          </w:tcPr>
          <w:p w14:paraId="072F9D93"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2.0</w:t>
            </w:r>
          </w:p>
        </w:tc>
        <w:tc>
          <w:tcPr>
            <w:tcW w:w="567" w:type="dxa"/>
            <w:tcBorders>
              <w:top w:val="single" w:sz="4" w:space="0" w:color="ADD6EA"/>
              <w:left w:val="nil"/>
              <w:bottom w:val="nil"/>
              <w:right w:val="nil"/>
            </w:tcBorders>
            <w:shd w:val="clear" w:color="auto" w:fill="auto"/>
            <w:hideMark/>
          </w:tcPr>
          <w:p w14:paraId="48BCD33D"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single" w:sz="4" w:space="0" w:color="ADD6EA"/>
              <w:left w:val="nil"/>
              <w:bottom w:val="nil"/>
              <w:right w:val="nil"/>
            </w:tcBorders>
            <w:shd w:val="clear" w:color="auto" w:fill="auto"/>
            <w:hideMark/>
          </w:tcPr>
          <w:p w14:paraId="0F00A5E7"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No impact</w:t>
            </w:r>
          </w:p>
        </w:tc>
        <w:tc>
          <w:tcPr>
            <w:tcW w:w="4338" w:type="dxa"/>
            <w:tcBorders>
              <w:top w:val="single" w:sz="4" w:space="0" w:color="ADD6EA"/>
              <w:left w:val="nil"/>
              <w:bottom w:val="nil"/>
              <w:right w:val="nil"/>
            </w:tcBorders>
            <w:shd w:val="clear" w:color="auto" w:fill="auto"/>
            <w:hideMark/>
          </w:tcPr>
          <w:p w14:paraId="26E9411F"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Payment supports State services for which needs are assessed. However, the adult mental health centre is one of 8 centres across the country being established as part of a Commonwealth trial. The trials in other States are being funded by payments outside the scope of the Commission’s assessments. All payments for this purpose should be treated consistently.</w:t>
            </w:r>
          </w:p>
        </w:tc>
      </w:tr>
      <w:tr w:rsidR="005F5EE3" w:rsidRPr="00442A3B" w14:paraId="6A054EFF" w14:textId="77777777" w:rsidTr="002A39C3">
        <w:trPr>
          <w:trHeight w:val="555"/>
        </w:trPr>
        <w:tc>
          <w:tcPr>
            <w:tcW w:w="1871" w:type="dxa"/>
            <w:tcBorders>
              <w:top w:val="single" w:sz="4" w:space="0" w:color="ADD6EA"/>
              <w:left w:val="nil"/>
              <w:bottom w:val="nil"/>
              <w:right w:val="nil"/>
            </w:tcBorders>
            <w:shd w:val="clear" w:color="auto" w:fill="auto"/>
            <w:hideMark/>
          </w:tcPr>
          <w:p w14:paraId="48AC3708"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Comprehensive palliative care across the life course</w:t>
            </w:r>
          </w:p>
        </w:tc>
        <w:tc>
          <w:tcPr>
            <w:tcW w:w="851" w:type="dxa"/>
            <w:tcBorders>
              <w:top w:val="single" w:sz="4" w:space="0" w:color="ADD6EA"/>
              <w:left w:val="nil"/>
              <w:bottom w:val="nil"/>
              <w:right w:val="nil"/>
            </w:tcBorders>
            <w:shd w:val="clear" w:color="auto" w:fill="auto"/>
            <w:hideMark/>
          </w:tcPr>
          <w:p w14:paraId="11C81C21"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3.9</w:t>
            </w:r>
          </w:p>
        </w:tc>
        <w:tc>
          <w:tcPr>
            <w:tcW w:w="567" w:type="dxa"/>
            <w:tcBorders>
              <w:top w:val="single" w:sz="4" w:space="0" w:color="ADD6EA"/>
              <w:left w:val="nil"/>
              <w:bottom w:val="nil"/>
              <w:right w:val="nil"/>
            </w:tcBorders>
            <w:shd w:val="clear" w:color="auto" w:fill="auto"/>
            <w:hideMark/>
          </w:tcPr>
          <w:p w14:paraId="44EBD8E2"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single" w:sz="4" w:space="0" w:color="ADD6EA"/>
              <w:left w:val="nil"/>
              <w:bottom w:val="nil"/>
              <w:right w:val="nil"/>
            </w:tcBorders>
            <w:shd w:val="clear" w:color="auto" w:fill="auto"/>
            <w:hideMark/>
          </w:tcPr>
          <w:p w14:paraId="26EC271A"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No impact</w:t>
            </w:r>
          </w:p>
        </w:tc>
        <w:tc>
          <w:tcPr>
            <w:tcW w:w="4338" w:type="dxa"/>
            <w:tcBorders>
              <w:top w:val="single" w:sz="4" w:space="0" w:color="ADD6EA"/>
              <w:left w:val="nil"/>
              <w:bottom w:val="nil"/>
              <w:right w:val="nil"/>
            </w:tcBorders>
            <w:shd w:val="clear" w:color="auto" w:fill="auto"/>
            <w:hideMark/>
          </w:tcPr>
          <w:p w14:paraId="4CA4D17C"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Needs are not assessed for aged care, which is a Commonwealth responsibility. </w:t>
            </w:r>
          </w:p>
        </w:tc>
      </w:tr>
      <w:tr w:rsidR="005F5EE3" w:rsidRPr="00442A3B" w14:paraId="4FFF56D9" w14:textId="77777777" w:rsidTr="002A39C3">
        <w:trPr>
          <w:trHeight w:val="555"/>
        </w:trPr>
        <w:tc>
          <w:tcPr>
            <w:tcW w:w="1871" w:type="dxa"/>
            <w:tcBorders>
              <w:top w:val="single" w:sz="4" w:space="0" w:color="ADD6EA"/>
              <w:left w:val="nil"/>
              <w:bottom w:val="nil"/>
              <w:right w:val="nil"/>
            </w:tcBorders>
            <w:shd w:val="clear" w:color="auto" w:fill="auto"/>
            <w:hideMark/>
          </w:tcPr>
          <w:p w14:paraId="68B47B61"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Grace’s Place</w:t>
            </w:r>
          </w:p>
        </w:tc>
        <w:tc>
          <w:tcPr>
            <w:tcW w:w="851" w:type="dxa"/>
            <w:tcBorders>
              <w:top w:val="single" w:sz="4" w:space="0" w:color="ADD6EA"/>
              <w:left w:val="nil"/>
              <w:bottom w:val="nil"/>
              <w:right w:val="nil"/>
            </w:tcBorders>
            <w:shd w:val="clear" w:color="auto" w:fill="auto"/>
            <w:hideMark/>
          </w:tcPr>
          <w:p w14:paraId="6EEE23E8"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4.1</w:t>
            </w:r>
          </w:p>
        </w:tc>
        <w:tc>
          <w:tcPr>
            <w:tcW w:w="567" w:type="dxa"/>
            <w:tcBorders>
              <w:top w:val="single" w:sz="4" w:space="0" w:color="ADD6EA"/>
              <w:left w:val="nil"/>
              <w:bottom w:val="nil"/>
              <w:right w:val="nil"/>
            </w:tcBorders>
            <w:shd w:val="clear" w:color="auto" w:fill="auto"/>
            <w:hideMark/>
          </w:tcPr>
          <w:p w14:paraId="40E47C28"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single" w:sz="4" w:space="0" w:color="ADD6EA"/>
              <w:left w:val="nil"/>
              <w:bottom w:val="nil"/>
              <w:right w:val="nil"/>
            </w:tcBorders>
            <w:shd w:val="clear" w:color="auto" w:fill="auto"/>
            <w:hideMark/>
          </w:tcPr>
          <w:p w14:paraId="187BF48F"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Impact</w:t>
            </w:r>
          </w:p>
        </w:tc>
        <w:tc>
          <w:tcPr>
            <w:tcW w:w="4338" w:type="dxa"/>
            <w:tcBorders>
              <w:top w:val="single" w:sz="4" w:space="0" w:color="ADD6EA"/>
              <w:left w:val="nil"/>
              <w:bottom w:val="nil"/>
              <w:right w:val="nil"/>
            </w:tcBorders>
            <w:shd w:val="clear" w:color="auto" w:fill="auto"/>
            <w:hideMark/>
          </w:tcPr>
          <w:p w14:paraId="6661C63F"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This is a payment to a third party providing a service for which needs are assessed.</w:t>
            </w:r>
          </w:p>
        </w:tc>
      </w:tr>
      <w:tr w:rsidR="005F5EE3" w:rsidRPr="00442A3B" w14:paraId="51115072" w14:textId="77777777" w:rsidTr="002A39C3">
        <w:trPr>
          <w:trHeight w:val="555"/>
        </w:trPr>
        <w:tc>
          <w:tcPr>
            <w:tcW w:w="1871" w:type="dxa"/>
            <w:tcBorders>
              <w:top w:val="single" w:sz="4" w:space="0" w:color="ADD6EA"/>
              <w:left w:val="nil"/>
              <w:bottom w:val="nil"/>
              <w:right w:val="nil"/>
            </w:tcBorders>
            <w:shd w:val="clear" w:color="auto" w:fill="auto"/>
            <w:hideMark/>
          </w:tcPr>
          <w:p w14:paraId="11B39542"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CCTV trial in aged care facilities</w:t>
            </w:r>
          </w:p>
        </w:tc>
        <w:tc>
          <w:tcPr>
            <w:tcW w:w="851" w:type="dxa"/>
            <w:tcBorders>
              <w:top w:val="single" w:sz="4" w:space="0" w:color="ADD6EA"/>
              <w:left w:val="nil"/>
              <w:bottom w:val="nil"/>
              <w:right w:val="nil"/>
            </w:tcBorders>
            <w:shd w:val="clear" w:color="auto" w:fill="auto"/>
            <w:hideMark/>
          </w:tcPr>
          <w:p w14:paraId="3171B0F6"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0.5</w:t>
            </w:r>
          </w:p>
        </w:tc>
        <w:tc>
          <w:tcPr>
            <w:tcW w:w="567" w:type="dxa"/>
            <w:tcBorders>
              <w:top w:val="single" w:sz="4" w:space="0" w:color="ADD6EA"/>
              <w:left w:val="nil"/>
              <w:bottom w:val="nil"/>
              <w:right w:val="nil"/>
            </w:tcBorders>
            <w:shd w:val="clear" w:color="auto" w:fill="auto"/>
            <w:hideMark/>
          </w:tcPr>
          <w:p w14:paraId="719E98BE"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single" w:sz="4" w:space="0" w:color="ADD6EA"/>
              <w:left w:val="nil"/>
              <w:bottom w:val="nil"/>
              <w:right w:val="nil"/>
            </w:tcBorders>
            <w:shd w:val="clear" w:color="auto" w:fill="auto"/>
            <w:hideMark/>
          </w:tcPr>
          <w:p w14:paraId="6C56A6E2"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No impact</w:t>
            </w:r>
          </w:p>
        </w:tc>
        <w:tc>
          <w:tcPr>
            <w:tcW w:w="4338" w:type="dxa"/>
            <w:tcBorders>
              <w:top w:val="single" w:sz="4" w:space="0" w:color="ADD6EA"/>
              <w:left w:val="nil"/>
              <w:bottom w:val="nil"/>
              <w:right w:val="nil"/>
            </w:tcBorders>
            <w:shd w:val="clear" w:color="auto" w:fill="auto"/>
            <w:hideMark/>
          </w:tcPr>
          <w:p w14:paraId="534D21AA"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Needs are not assessed for aged care, which is a Commonwealth responsibility.</w:t>
            </w:r>
          </w:p>
        </w:tc>
      </w:tr>
      <w:tr w:rsidR="005F5EE3" w:rsidRPr="00442A3B" w14:paraId="7D53B6E0" w14:textId="77777777" w:rsidTr="002A39C3">
        <w:trPr>
          <w:trHeight w:val="795"/>
        </w:trPr>
        <w:tc>
          <w:tcPr>
            <w:tcW w:w="1871" w:type="dxa"/>
            <w:tcBorders>
              <w:top w:val="single" w:sz="4" w:space="0" w:color="ADD6EA"/>
              <w:left w:val="nil"/>
              <w:bottom w:val="single" w:sz="4" w:space="0" w:color="ADD6EA"/>
              <w:right w:val="nil"/>
            </w:tcBorders>
            <w:shd w:val="clear" w:color="auto" w:fill="auto"/>
            <w:hideMark/>
          </w:tcPr>
          <w:p w14:paraId="20480F84"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Lymphoedema garments and allied health therapy</w:t>
            </w:r>
          </w:p>
        </w:tc>
        <w:tc>
          <w:tcPr>
            <w:tcW w:w="851" w:type="dxa"/>
            <w:tcBorders>
              <w:top w:val="single" w:sz="4" w:space="0" w:color="ADD6EA"/>
              <w:left w:val="nil"/>
              <w:bottom w:val="single" w:sz="4" w:space="0" w:color="ADD6EA"/>
              <w:right w:val="nil"/>
            </w:tcBorders>
            <w:shd w:val="clear" w:color="auto" w:fill="auto"/>
            <w:hideMark/>
          </w:tcPr>
          <w:p w14:paraId="0787F63A"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2.0</w:t>
            </w:r>
          </w:p>
        </w:tc>
        <w:tc>
          <w:tcPr>
            <w:tcW w:w="567" w:type="dxa"/>
            <w:tcBorders>
              <w:top w:val="single" w:sz="4" w:space="0" w:color="ADD6EA"/>
              <w:left w:val="nil"/>
              <w:bottom w:val="single" w:sz="4" w:space="0" w:color="ADD6EA"/>
              <w:right w:val="nil"/>
            </w:tcBorders>
            <w:shd w:val="clear" w:color="auto" w:fill="auto"/>
            <w:hideMark/>
          </w:tcPr>
          <w:p w14:paraId="05FDB630"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single" w:sz="4" w:space="0" w:color="ADD6EA"/>
              <w:left w:val="nil"/>
              <w:bottom w:val="single" w:sz="4" w:space="0" w:color="ADD6EA"/>
              <w:right w:val="nil"/>
            </w:tcBorders>
            <w:shd w:val="clear" w:color="auto" w:fill="auto"/>
            <w:hideMark/>
          </w:tcPr>
          <w:p w14:paraId="7142FBDE"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Impact</w:t>
            </w:r>
          </w:p>
        </w:tc>
        <w:tc>
          <w:tcPr>
            <w:tcW w:w="4338" w:type="dxa"/>
            <w:tcBorders>
              <w:top w:val="single" w:sz="4" w:space="0" w:color="ADD6EA"/>
              <w:left w:val="nil"/>
              <w:bottom w:val="single" w:sz="4" w:space="0" w:color="ADD6EA"/>
              <w:right w:val="nil"/>
            </w:tcBorders>
            <w:shd w:val="clear" w:color="auto" w:fill="auto"/>
            <w:hideMark/>
          </w:tcPr>
          <w:p w14:paraId="31C568D6"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Payment supports State services for which needs are assessed.</w:t>
            </w:r>
          </w:p>
        </w:tc>
      </w:tr>
      <w:tr w:rsidR="005F5EE3" w:rsidRPr="00442A3B" w14:paraId="28245755" w14:textId="77777777" w:rsidTr="002A39C3">
        <w:trPr>
          <w:trHeight w:val="555"/>
        </w:trPr>
        <w:tc>
          <w:tcPr>
            <w:tcW w:w="1871" w:type="dxa"/>
            <w:tcBorders>
              <w:top w:val="single" w:sz="4" w:space="0" w:color="ADD6EA"/>
              <w:left w:val="nil"/>
              <w:bottom w:val="single" w:sz="4" w:space="0" w:color="ADD6EA"/>
              <w:right w:val="nil"/>
            </w:tcBorders>
            <w:shd w:val="clear" w:color="auto" w:fill="auto"/>
            <w:hideMark/>
          </w:tcPr>
          <w:p w14:paraId="0F9BA71D"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Veteran Wellbeing Centre Program</w:t>
            </w:r>
          </w:p>
        </w:tc>
        <w:tc>
          <w:tcPr>
            <w:tcW w:w="851" w:type="dxa"/>
            <w:tcBorders>
              <w:top w:val="single" w:sz="4" w:space="0" w:color="ADD6EA"/>
              <w:left w:val="nil"/>
              <w:bottom w:val="single" w:sz="4" w:space="0" w:color="ADD6EA"/>
              <w:right w:val="nil"/>
            </w:tcBorders>
            <w:shd w:val="clear" w:color="auto" w:fill="auto"/>
            <w:hideMark/>
          </w:tcPr>
          <w:p w14:paraId="6166C133"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5.0</w:t>
            </w:r>
          </w:p>
        </w:tc>
        <w:tc>
          <w:tcPr>
            <w:tcW w:w="567" w:type="dxa"/>
            <w:tcBorders>
              <w:top w:val="single" w:sz="4" w:space="0" w:color="ADD6EA"/>
              <w:left w:val="nil"/>
              <w:bottom w:val="single" w:sz="4" w:space="0" w:color="ADD6EA"/>
              <w:right w:val="nil"/>
            </w:tcBorders>
            <w:shd w:val="clear" w:color="auto" w:fill="auto"/>
            <w:hideMark/>
          </w:tcPr>
          <w:p w14:paraId="3E0EAE2C"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single" w:sz="4" w:space="0" w:color="ADD6EA"/>
              <w:left w:val="nil"/>
              <w:bottom w:val="single" w:sz="4" w:space="0" w:color="ADD6EA"/>
              <w:right w:val="nil"/>
            </w:tcBorders>
            <w:shd w:val="clear" w:color="auto" w:fill="auto"/>
            <w:hideMark/>
          </w:tcPr>
          <w:p w14:paraId="543CB65C"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No impact</w:t>
            </w:r>
          </w:p>
        </w:tc>
        <w:tc>
          <w:tcPr>
            <w:tcW w:w="4338" w:type="dxa"/>
            <w:tcBorders>
              <w:top w:val="single" w:sz="4" w:space="0" w:color="ADD6EA"/>
              <w:left w:val="nil"/>
              <w:bottom w:val="single" w:sz="4" w:space="0" w:color="ADD6EA"/>
              <w:right w:val="nil"/>
            </w:tcBorders>
            <w:shd w:val="clear" w:color="auto" w:fill="auto"/>
            <w:hideMark/>
          </w:tcPr>
          <w:p w14:paraId="382CC23C"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Needs are not assessed for veterans’ services, which are a Commonwealth responsibility. </w:t>
            </w:r>
          </w:p>
        </w:tc>
      </w:tr>
      <w:tr w:rsidR="006A703A" w:rsidRPr="00442A3B" w14:paraId="718B7CE6" w14:textId="77777777" w:rsidTr="002A39C3">
        <w:trPr>
          <w:trHeight w:val="259"/>
        </w:trPr>
        <w:tc>
          <w:tcPr>
            <w:tcW w:w="1871" w:type="dxa"/>
            <w:tcBorders>
              <w:top w:val="single" w:sz="4" w:space="0" w:color="ADD6EA"/>
              <w:left w:val="nil"/>
              <w:bottom w:val="single" w:sz="4" w:space="0" w:color="ADD6EA"/>
              <w:right w:val="nil"/>
            </w:tcBorders>
            <w:shd w:val="clear" w:color="000000" w:fill="B6D5E4"/>
            <w:hideMark/>
          </w:tcPr>
          <w:p w14:paraId="15372210" w14:textId="77777777" w:rsidR="00B90ED5" w:rsidRPr="00442A3B" w:rsidRDefault="00B90ED5" w:rsidP="00B90ED5">
            <w:pPr>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lastRenderedPageBreak/>
              <w:t>Education</w:t>
            </w:r>
          </w:p>
        </w:tc>
        <w:tc>
          <w:tcPr>
            <w:tcW w:w="851" w:type="dxa"/>
            <w:tcBorders>
              <w:top w:val="single" w:sz="4" w:space="0" w:color="ADD6EA"/>
              <w:left w:val="nil"/>
              <w:bottom w:val="single" w:sz="4" w:space="0" w:color="ADD6EA"/>
              <w:right w:val="nil"/>
            </w:tcBorders>
            <w:shd w:val="clear" w:color="000000" w:fill="B6D5E4"/>
            <w:noWrap/>
            <w:hideMark/>
          </w:tcPr>
          <w:p w14:paraId="7F226C8B" w14:textId="77777777" w:rsidR="00B90ED5" w:rsidRPr="00442A3B" w:rsidRDefault="00B90ED5" w:rsidP="00B90ED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xml:space="preserve">  </w:t>
            </w:r>
          </w:p>
        </w:tc>
        <w:tc>
          <w:tcPr>
            <w:tcW w:w="567" w:type="dxa"/>
            <w:tcBorders>
              <w:top w:val="single" w:sz="4" w:space="0" w:color="ADD6EA"/>
              <w:left w:val="nil"/>
              <w:bottom w:val="single" w:sz="4" w:space="0" w:color="ADD6EA"/>
              <w:right w:val="nil"/>
            </w:tcBorders>
            <w:shd w:val="clear" w:color="000000" w:fill="B6D5E4"/>
            <w:noWrap/>
            <w:hideMark/>
          </w:tcPr>
          <w:p w14:paraId="66AAFB31" w14:textId="77777777" w:rsidR="00B90ED5" w:rsidRPr="00442A3B" w:rsidRDefault="00B90ED5" w:rsidP="00B90ED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xml:space="preserve">  </w:t>
            </w:r>
          </w:p>
        </w:tc>
        <w:tc>
          <w:tcPr>
            <w:tcW w:w="1275" w:type="dxa"/>
            <w:tcBorders>
              <w:top w:val="single" w:sz="4" w:space="0" w:color="ADD6EA"/>
              <w:left w:val="nil"/>
              <w:bottom w:val="single" w:sz="4" w:space="0" w:color="ADD6EA"/>
              <w:right w:val="nil"/>
            </w:tcBorders>
            <w:shd w:val="clear" w:color="000000" w:fill="B6D5E4"/>
            <w:noWrap/>
            <w:hideMark/>
          </w:tcPr>
          <w:p w14:paraId="487379D1" w14:textId="77777777" w:rsidR="00B90ED5" w:rsidRPr="00442A3B" w:rsidRDefault="00B90ED5" w:rsidP="00B90ED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xml:space="preserve">  </w:t>
            </w:r>
          </w:p>
        </w:tc>
        <w:tc>
          <w:tcPr>
            <w:tcW w:w="4338" w:type="dxa"/>
            <w:tcBorders>
              <w:top w:val="single" w:sz="4" w:space="0" w:color="ADD6EA"/>
              <w:left w:val="nil"/>
              <w:bottom w:val="single" w:sz="4" w:space="0" w:color="ADD6EA"/>
              <w:right w:val="nil"/>
            </w:tcBorders>
            <w:shd w:val="clear" w:color="000000" w:fill="B6D5E4"/>
            <w:noWrap/>
            <w:hideMark/>
          </w:tcPr>
          <w:p w14:paraId="111519CD" w14:textId="77777777" w:rsidR="00B90ED5" w:rsidRPr="00442A3B" w:rsidRDefault="00B90ED5" w:rsidP="00B90ED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xml:space="preserve">  </w:t>
            </w:r>
          </w:p>
        </w:tc>
      </w:tr>
      <w:tr w:rsidR="005F5EE3" w:rsidRPr="00442A3B" w14:paraId="471687A3" w14:textId="77777777" w:rsidTr="002A39C3">
        <w:trPr>
          <w:trHeight w:val="555"/>
        </w:trPr>
        <w:tc>
          <w:tcPr>
            <w:tcW w:w="1871" w:type="dxa"/>
            <w:tcBorders>
              <w:top w:val="nil"/>
              <w:left w:val="nil"/>
              <w:bottom w:val="nil"/>
              <w:right w:val="nil"/>
            </w:tcBorders>
            <w:shd w:val="clear" w:color="auto" w:fill="auto"/>
            <w:hideMark/>
          </w:tcPr>
          <w:p w14:paraId="0F4382F0"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Local Schools Community Fund</w:t>
            </w:r>
          </w:p>
        </w:tc>
        <w:tc>
          <w:tcPr>
            <w:tcW w:w="851" w:type="dxa"/>
            <w:tcBorders>
              <w:top w:val="nil"/>
              <w:left w:val="nil"/>
              <w:bottom w:val="nil"/>
              <w:right w:val="nil"/>
            </w:tcBorders>
            <w:shd w:val="clear" w:color="auto" w:fill="auto"/>
            <w:hideMark/>
          </w:tcPr>
          <w:p w14:paraId="2C02DC93"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30.2</w:t>
            </w:r>
          </w:p>
        </w:tc>
        <w:tc>
          <w:tcPr>
            <w:tcW w:w="567" w:type="dxa"/>
            <w:tcBorders>
              <w:top w:val="nil"/>
              <w:left w:val="nil"/>
              <w:bottom w:val="nil"/>
              <w:right w:val="nil"/>
            </w:tcBorders>
            <w:shd w:val="clear" w:color="auto" w:fill="auto"/>
            <w:hideMark/>
          </w:tcPr>
          <w:p w14:paraId="04D4AD67"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nil"/>
              <w:left w:val="nil"/>
              <w:bottom w:val="nil"/>
              <w:right w:val="nil"/>
            </w:tcBorders>
            <w:shd w:val="clear" w:color="auto" w:fill="auto"/>
            <w:hideMark/>
          </w:tcPr>
          <w:p w14:paraId="6E0CEC28"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Split</w:t>
            </w:r>
          </w:p>
        </w:tc>
        <w:tc>
          <w:tcPr>
            <w:tcW w:w="4338" w:type="dxa"/>
            <w:tcBorders>
              <w:top w:val="nil"/>
              <w:left w:val="nil"/>
              <w:bottom w:val="nil"/>
              <w:right w:val="nil"/>
            </w:tcBorders>
            <w:shd w:val="clear" w:color="auto" w:fill="auto"/>
            <w:hideMark/>
          </w:tcPr>
          <w:p w14:paraId="00CCAD07"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Needs are assessed for government schools. They are not assessed for non-government schools. </w:t>
            </w:r>
          </w:p>
        </w:tc>
      </w:tr>
      <w:tr w:rsidR="00951F8B" w:rsidRPr="00442A3B" w14:paraId="60479D5B" w14:textId="77777777" w:rsidTr="002A39C3">
        <w:trPr>
          <w:trHeight w:val="259"/>
        </w:trPr>
        <w:tc>
          <w:tcPr>
            <w:tcW w:w="1871" w:type="dxa"/>
            <w:tcBorders>
              <w:top w:val="single" w:sz="4" w:space="0" w:color="ADD6EA"/>
              <w:left w:val="nil"/>
              <w:bottom w:val="single" w:sz="4" w:space="0" w:color="ADD6EA"/>
              <w:right w:val="nil"/>
            </w:tcBorders>
            <w:shd w:val="clear" w:color="000000" w:fill="B6D5E4"/>
            <w:hideMark/>
          </w:tcPr>
          <w:p w14:paraId="465E447E" w14:textId="77777777" w:rsidR="00B90ED5" w:rsidRPr="00442A3B" w:rsidRDefault="00B90ED5" w:rsidP="00B90ED5">
            <w:pPr>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Skills and workforce development</w:t>
            </w:r>
          </w:p>
        </w:tc>
        <w:tc>
          <w:tcPr>
            <w:tcW w:w="851" w:type="dxa"/>
            <w:tcBorders>
              <w:top w:val="single" w:sz="4" w:space="0" w:color="ADD6EA"/>
              <w:left w:val="nil"/>
              <w:bottom w:val="single" w:sz="4" w:space="0" w:color="ADD6EA"/>
              <w:right w:val="nil"/>
            </w:tcBorders>
            <w:shd w:val="clear" w:color="000000" w:fill="B6D5E4"/>
            <w:noWrap/>
            <w:hideMark/>
          </w:tcPr>
          <w:p w14:paraId="297677A2" w14:textId="77777777" w:rsidR="00B90ED5" w:rsidRPr="00442A3B" w:rsidRDefault="00B90ED5" w:rsidP="00B90ED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xml:space="preserve">  </w:t>
            </w:r>
          </w:p>
        </w:tc>
        <w:tc>
          <w:tcPr>
            <w:tcW w:w="567" w:type="dxa"/>
            <w:tcBorders>
              <w:top w:val="single" w:sz="4" w:space="0" w:color="ADD6EA"/>
              <w:left w:val="nil"/>
              <w:bottom w:val="single" w:sz="4" w:space="0" w:color="ADD6EA"/>
              <w:right w:val="nil"/>
            </w:tcBorders>
            <w:shd w:val="clear" w:color="000000" w:fill="B6D5E4"/>
            <w:noWrap/>
            <w:hideMark/>
          </w:tcPr>
          <w:p w14:paraId="40D83DDF" w14:textId="77777777" w:rsidR="00B90ED5" w:rsidRPr="00442A3B" w:rsidRDefault="00B90ED5" w:rsidP="00B90ED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xml:space="preserve">  </w:t>
            </w:r>
          </w:p>
        </w:tc>
        <w:tc>
          <w:tcPr>
            <w:tcW w:w="1275" w:type="dxa"/>
            <w:tcBorders>
              <w:top w:val="single" w:sz="4" w:space="0" w:color="ADD6EA"/>
              <w:left w:val="nil"/>
              <w:bottom w:val="single" w:sz="4" w:space="0" w:color="ADD6EA"/>
              <w:right w:val="nil"/>
            </w:tcBorders>
            <w:shd w:val="clear" w:color="000000" w:fill="B6D5E4"/>
            <w:noWrap/>
            <w:hideMark/>
          </w:tcPr>
          <w:p w14:paraId="42CA5A72" w14:textId="77777777" w:rsidR="00B90ED5" w:rsidRPr="00442A3B" w:rsidRDefault="00B90ED5" w:rsidP="00B90ED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xml:space="preserve">  </w:t>
            </w:r>
          </w:p>
        </w:tc>
        <w:tc>
          <w:tcPr>
            <w:tcW w:w="4338" w:type="dxa"/>
            <w:tcBorders>
              <w:top w:val="single" w:sz="4" w:space="0" w:color="ADD6EA"/>
              <w:left w:val="nil"/>
              <w:bottom w:val="single" w:sz="4" w:space="0" w:color="ADD6EA"/>
              <w:right w:val="nil"/>
            </w:tcBorders>
            <w:shd w:val="clear" w:color="000000" w:fill="B6D5E4"/>
            <w:noWrap/>
            <w:hideMark/>
          </w:tcPr>
          <w:p w14:paraId="67FC975C" w14:textId="77777777" w:rsidR="00B90ED5" w:rsidRPr="00442A3B" w:rsidRDefault="00B90ED5" w:rsidP="00B90ED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xml:space="preserve">  </w:t>
            </w:r>
          </w:p>
        </w:tc>
      </w:tr>
      <w:tr w:rsidR="005F5EE3" w:rsidRPr="00442A3B" w14:paraId="1B1DB6EE" w14:textId="77777777" w:rsidTr="002A39C3">
        <w:trPr>
          <w:trHeight w:val="1275"/>
        </w:trPr>
        <w:tc>
          <w:tcPr>
            <w:tcW w:w="1871" w:type="dxa"/>
            <w:tcBorders>
              <w:top w:val="nil"/>
              <w:left w:val="nil"/>
              <w:bottom w:val="nil"/>
              <w:right w:val="nil"/>
            </w:tcBorders>
            <w:shd w:val="clear" w:color="auto" w:fill="auto"/>
            <w:hideMark/>
          </w:tcPr>
          <w:p w14:paraId="366C8C58"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National Infection Control Training Fund</w:t>
            </w:r>
          </w:p>
        </w:tc>
        <w:tc>
          <w:tcPr>
            <w:tcW w:w="851" w:type="dxa"/>
            <w:tcBorders>
              <w:top w:val="nil"/>
              <w:left w:val="nil"/>
              <w:bottom w:val="nil"/>
              <w:right w:val="nil"/>
            </w:tcBorders>
            <w:shd w:val="clear" w:color="auto" w:fill="auto"/>
            <w:hideMark/>
          </w:tcPr>
          <w:p w14:paraId="7D50CF1A"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8.4</w:t>
            </w:r>
          </w:p>
        </w:tc>
        <w:tc>
          <w:tcPr>
            <w:tcW w:w="567" w:type="dxa"/>
            <w:tcBorders>
              <w:top w:val="nil"/>
              <w:left w:val="nil"/>
              <w:bottom w:val="nil"/>
              <w:right w:val="nil"/>
            </w:tcBorders>
            <w:shd w:val="clear" w:color="auto" w:fill="auto"/>
            <w:hideMark/>
          </w:tcPr>
          <w:p w14:paraId="20260F0F"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nil"/>
              <w:left w:val="nil"/>
              <w:bottom w:val="nil"/>
              <w:right w:val="nil"/>
            </w:tcBorders>
            <w:shd w:val="clear" w:color="auto" w:fill="auto"/>
            <w:hideMark/>
          </w:tcPr>
          <w:p w14:paraId="6F1C7A9A"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No impact</w:t>
            </w:r>
          </w:p>
        </w:tc>
        <w:tc>
          <w:tcPr>
            <w:tcW w:w="4338" w:type="dxa"/>
            <w:tcBorders>
              <w:top w:val="nil"/>
              <w:left w:val="nil"/>
              <w:bottom w:val="nil"/>
              <w:right w:val="nil"/>
            </w:tcBorders>
            <w:shd w:val="clear" w:color="auto" w:fill="auto"/>
            <w:hideMark/>
          </w:tcPr>
          <w:p w14:paraId="32986314"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Payment supports State services. However, the drivers of Commonwealth funding under this agreement (COVID-19) may be influenced by factors not assessed in the Commission’s Post-secondary category assessment.</w:t>
            </w:r>
          </w:p>
        </w:tc>
      </w:tr>
      <w:tr w:rsidR="005F5EE3" w:rsidRPr="00442A3B" w14:paraId="219D16FD" w14:textId="77777777" w:rsidTr="002A39C3">
        <w:trPr>
          <w:trHeight w:val="555"/>
        </w:trPr>
        <w:tc>
          <w:tcPr>
            <w:tcW w:w="1871" w:type="dxa"/>
            <w:tcBorders>
              <w:top w:val="single" w:sz="4" w:space="0" w:color="ADD6EA"/>
              <w:left w:val="nil"/>
              <w:bottom w:val="nil"/>
              <w:right w:val="nil"/>
            </w:tcBorders>
            <w:shd w:val="clear" w:color="auto" w:fill="auto"/>
            <w:hideMark/>
          </w:tcPr>
          <w:p w14:paraId="5DFF98EF"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Skills for Tasmania</w:t>
            </w:r>
          </w:p>
        </w:tc>
        <w:tc>
          <w:tcPr>
            <w:tcW w:w="851" w:type="dxa"/>
            <w:tcBorders>
              <w:top w:val="single" w:sz="4" w:space="0" w:color="ADD6EA"/>
              <w:left w:val="nil"/>
              <w:bottom w:val="nil"/>
              <w:right w:val="nil"/>
            </w:tcBorders>
            <w:shd w:val="clear" w:color="auto" w:fill="auto"/>
            <w:hideMark/>
          </w:tcPr>
          <w:p w14:paraId="319AE5D0"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2.3</w:t>
            </w:r>
          </w:p>
        </w:tc>
        <w:tc>
          <w:tcPr>
            <w:tcW w:w="567" w:type="dxa"/>
            <w:tcBorders>
              <w:top w:val="single" w:sz="4" w:space="0" w:color="ADD6EA"/>
              <w:left w:val="nil"/>
              <w:bottom w:val="nil"/>
              <w:right w:val="nil"/>
            </w:tcBorders>
            <w:shd w:val="clear" w:color="auto" w:fill="auto"/>
            <w:hideMark/>
          </w:tcPr>
          <w:p w14:paraId="1E6F2000"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single" w:sz="4" w:space="0" w:color="ADD6EA"/>
              <w:left w:val="nil"/>
              <w:bottom w:val="nil"/>
              <w:right w:val="nil"/>
            </w:tcBorders>
            <w:shd w:val="clear" w:color="auto" w:fill="auto"/>
            <w:hideMark/>
          </w:tcPr>
          <w:p w14:paraId="282B65C3"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 Impact</w:t>
            </w:r>
          </w:p>
        </w:tc>
        <w:tc>
          <w:tcPr>
            <w:tcW w:w="4338" w:type="dxa"/>
            <w:tcBorders>
              <w:top w:val="single" w:sz="4" w:space="0" w:color="ADD6EA"/>
              <w:left w:val="nil"/>
              <w:bottom w:val="nil"/>
              <w:right w:val="nil"/>
            </w:tcBorders>
            <w:shd w:val="clear" w:color="auto" w:fill="auto"/>
            <w:hideMark/>
          </w:tcPr>
          <w:p w14:paraId="23EBA170"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Vocational education training is a normal State-type function and needs are assessed.</w:t>
            </w:r>
          </w:p>
        </w:tc>
      </w:tr>
      <w:tr w:rsidR="00951F8B" w:rsidRPr="00442A3B" w14:paraId="43AE3AD2" w14:textId="77777777" w:rsidTr="002A39C3">
        <w:trPr>
          <w:trHeight w:val="259"/>
        </w:trPr>
        <w:tc>
          <w:tcPr>
            <w:tcW w:w="1871" w:type="dxa"/>
            <w:tcBorders>
              <w:top w:val="single" w:sz="4" w:space="0" w:color="ADD6EA"/>
              <w:left w:val="nil"/>
              <w:bottom w:val="single" w:sz="4" w:space="0" w:color="ADD6EA"/>
              <w:right w:val="nil"/>
            </w:tcBorders>
            <w:shd w:val="clear" w:color="000000" w:fill="B6D5E4"/>
            <w:hideMark/>
          </w:tcPr>
          <w:p w14:paraId="22879E76" w14:textId="77777777" w:rsidR="00B90ED5" w:rsidRPr="00442A3B" w:rsidRDefault="00B90ED5" w:rsidP="00B90ED5">
            <w:pPr>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Community services</w:t>
            </w:r>
          </w:p>
        </w:tc>
        <w:tc>
          <w:tcPr>
            <w:tcW w:w="851" w:type="dxa"/>
            <w:tcBorders>
              <w:top w:val="single" w:sz="4" w:space="0" w:color="ADD6EA"/>
              <w:left w:val="nil"/>
              <w:bottom w:val="single" w:sz="4" w:space="0" w:color="ADD6EA"/>
              <w:right w:val="nil"/>
            </w:tcBorders>
            <w:shd w:val="clear" w:color="000000" w:fill="B6D5E4"/>
            <w:noWrap/>
            <w:hideMark/>
          </w:tcPr>
          <w:p w14:paraId="47D6D156" w14:textId="77777777" w:rsidR="00B90ED5" w:rsidRPr="00442A3B" w:rsidRDefault="00B90ED5" w:rsidP="00B90ED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xml:space="preserve">  </w:t>
            </w:r>
          </w:p>
        </w:tc>
        <w:tc>
          <w:tcPr>
            <w:tcW w:w="567" w:type="dxa"/>
            <w:tcBorders>
              <w:top w:val="single" w:sz="4" w:space="0" w:color="ADD6EA"/>
              <w:left w:val="nil"/>
              <w:bottom w:val="single" w:sz="4" w:space="0" w:color="ADD6EA"/>
              <w:right w:val="nil"/>
            </w:tcBorders>
            <w:shd w:val="clear" w:color="000000" w:fill="B6D5E4"/>
            <w:noWrap/>
            <w:hideMark/>
          </w:tcPr>
          <w:p w14:paraId="17299A20" w14:textId="77777777" w:rsidR="00B90ED5" w:rsidRPr="00442A3B" w:rsidRDefault="00B90ED5" w:rsidP="00B90ED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xml:space="preserve">  </w:t>
            </w:r>
          </w:p>
        </w:tc>
        <w:tc>
          <w:tcPr>
            <w:tcW w:w="1275" w:type="dxa"/>
            <w:tcBorders>
              <w:top w:val="single" w:sz="4" w:space="0" w:color="ADD6EA"/>
              <w:left w:val="nil"/>
              <w:bottom w:val="single" w:sz="4" w:space="0" w:color="ADD6EA"/>
              <w:right w:val="nil"/>
            </w:tcBorders>
            <w:shd w:val="clear" w:color="000000" w:fill="B6D5E4"/>
            <w:noWrap/>
            <w:hideMark/>
          </w:tcPr>
          <w:p w14:paraId="320A74D9" w14:textId="77777777" w:rsidR="00B90ED5" w:rsidRPr="00442A3B" w:rsidRDefault="00B90ED5" w:rsidP="00B90ED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xml:space="preserve">  </w:t>
            </w:r>
          </w:p>
        </w:tc>
        <w:tc>
          <w:tcPr>
            <w:tcW w:w="4338" w:type="dxa"/>
            <w:tcBorders>
              <w:top w:val="single" w:sz="4" w:space="0" w:color="ADD6EA"/>
              <w:left w:val="nil"/>
              <w:bottom w:val="single" w:sz="4" w:space="0" w:color="ADD6EA"/>
              <w:right w:val="nil"/>
            </w:tcBorders>
            <w:shd w:val="clear" w:color="000000" w:fill="B6D5E4"/>
            <w:noWrap/>
            <w:hideMark/>
          </w:tcPr>
          <w:p w14:paraId="56317DA6" w14:textId="77777777" w:rsidR="00B90ED5" w:rsidRPr="00442A3B" w:rsidRDefault="00B90ED5" w:rsidP="00B90ED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xml:space="preserve">  </w:t>
            </w:r>
          </w:p>
        </w:tc>
      </w:tr>
      <w:tr w:rsidR="005F5EE3" w:rsidRPr="00442A3B" w14:paraId="703B9789" w14:textId="77777777" w:rsidTr="002A39C3">
        <w:trPr>
          <w:trHeight w:val="1275"/>
        </w:trPr>
        <w:tc>
          <w:tcPr>
            <w:tcW w:w="1871" w:type="dxa"/>
            <w:tcBorders>
              <w:top w:val="nil"/>
              <w:left w:val="nil"/>
              <w:bottom w:val="nil"/>
              <w:right w:val="nil"/>
            </w:tcBorders>
            <w:shd w:val="clear" w:color="auto" w:fill="auto"/>
            <w:hideMark/>
          </w:tcPr>
          <w:p w14:paraId="0E136B40"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COVID-19 Domestic violence support</w:t>
            </w:r>
          </w:p>
        </w:tc>
        <w:tc>
          <w:tcPr>
            <w:tcW w:w="851" w:type="dxa"/>
            <w:tcBorders>
              <w:top w:val="nil"/>
              <w:left w:val="nil"/>
              <w:bottom w:val="nil"/>
              <w:right w:val="nil"/>
            </w:tcBorders>
            <w:shd w:val="clear" w:color="auto" w:fill="auto"/>
            <w:hideMark/>
          </w:tcPr>
          <w:p w14:paraId="1A062B60"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32.5</w:t>
            </w:r>
          </w:p>
        </w:tc>
        <w:tc>
          <w:tcPr>
            <w:tcW w:w="567" w:type="dxa"/>
            <w:tcBorders>
              <w:top w:val="nil"/>
              <w:left w:val="nil"/>
              <w:bottom w:val="nil"/>
              <w:right w:val="nil"/>
            </w:tcBorders>
            <w:shd w:val="clear" w:color="auto" w:fill="auto"/>
            <w:hideMark/>
          </w:tcPr>
          <w:p w14:paraId="79BAD365"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nil"/>
              <w:left w:val="nil"/>
              <w:bottom w:val="nil"/>
              <w:right w:val="nil"/>
            </w:tcBorders>
            <w:shd w:val="clear" w:color="auto" w:fill="auto"/>
            <w:hideMark/>
          </w:tcPr>
          <w:p w14:paraId="0F4CBB83"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No impact</w:t>
            </w:r>
          </w:p>
        </w:tc>
        <w:tc>
          <w:tcPr>
            <w:tcW w:w="4338" w:type="dxa"/>
            <w:tcBorders>
              <w:top w:val="nil"/>
              <w:left w:val="nil"/>
              <w:bottom w:val="nil"/>
              <w:right w:val="nil"/>
            </w:tcBorders>
            <w:shd w:val="clear" w:color="auto" w:fill="auto"/>
            <w:hideMark/>
          </w:tcPr>
          <w:p w14:paraId="0DC240C6"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Payment supports State services. However, the drivers of Commonwealth funding under this agreement (COVID-19) are influenced by factors not assessed in the Commission’s Welfare category assessment.</w:t>
            </w:r>
          </w:p>
        </w:tc>
      </w:tr>
      <w:tr w:rsidR="005F5EE3" w:rsidRPr="00442A3B" w14:paraId="4F50208D" w14:textId="77777777" w:rsidTr="002A39C3">
        <w:trPr>
          <w:trHeight w:val="555"/>
        </w:trPr>
        <w:tc>
          <w:tcPr>
            <w:tcW w:w="1871" w:type="dxa"/>
            <w:tcBorders>
              <w:top w:val="single" w:sz="4" w:space="0" w:color="ADD6EA"/>
              <w:left w:val="nil"/>
              <w:bottom w:val="nil"/>
              <w:right w:val="nil"/>
            </w:tcBorders>
            <w:shd w:val="clear" w:color="auto" w:fill="auto"/>
            <w:hideMark/>
          </w:tcPr>
          <w:p w14:paraId="39315808"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NDIS Strategic Investment in Queensland</w:t>
            </w:r>
          </w:p>
        </w:tc>
        <w:tc>
          <w:tcPr>
            <w:tcW w:w="851" w:type="dxa"/>
            <w:tcBorders>
              <w:top w:val="single" w:sz="4" w:space="0" w:color="ADD6EA"/>
              <w:left w:val="nil"/>
              <w:bottom w:val="nil"/>
              <w:right w:val="nil"/>
            </w:tcBorders>
            <w:shd w:val="clear" w:color="auto" w:fill="auto"/>
            <w:hideMark/>
          </w:tcPr>
          <w:p w14:paraId="350B0F16"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3.5</w:t>
            </w:r>
          </w:p>
        </w:tc>
        <w:tc>
          <w:tcPr>
            <w:tcW w:w="567" w:type="dxa"/>
            <w:tcBorders>
              <w:top w:val="single" w:sz="4" w:space="0" w:color="ADD6EA"/>
              <w:left w:val="nil"/>
              <w:bottom w:val="nil"/>
              <w:right w:val="nil"/>
            </w:tcBorders>
            <w:shd w:val="clear" w:color="auto" w:fill="auto"/>
            <w:hideMark/>
          </w:tcPr>
          <w:p w14:paraId="044E9337"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single" w:sz="4" w:space="0" w:color="ADD6EA"/>
              <w:left w:val="nil"/>
              <w:bottom w:val="nil"/>
              <w:right w:val="nil"/>
            </w:tcBorders>
            <w:shd w:val="clear" w:color="auto" w:fill="auto"/>
            <w:hideMark/>
          </w:tcPr>
          <w:p w14:paraId="55725EC0"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No Impact</w:t>
            </w:r>
          </w:p>
        </w:tc>
        <w:tc>
          <w:tcPr>
            <w:tcW w:w="4338" w:type="dxa"/>
            <w:tcBorders>
              <w:top w:val="single" w:sz="4" w:space="0" w:color="ADD6EA"/>
              <w:left w:val="nil"/>
              <w:bottom w:val="nil"/>
              <w:right w:val="nil"/>
            </w:tcBorders>
            <w:shd w:val="clear" w:color="auto" w:fill="auto"/>
            <w:hideMark/>
          </w:tcPr>
          <w:p w14:paraId="1FA9C751"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NDIS transition payments historically have been treated as no impact.</w:t>
            </w:r>
          </w:p>
        </w:tc>
      </w:tr>
      <w:tr w:rsidR="00951F8B" w:rsidRPr="00442A3B" w14:paraId="0FBF8507" w14:textId="77777777" w:rsidTr="002A39C3">
        <w:trPr>
          <w:trHeight w:val="259"/>
        </w:trPr>
        <w:tc>
          <w:tcPr>
            <w:tcW w:w="1871" w:type="dxa"/>
            <w:tcBorders>
              <w:top w:val="single" w:sz="4" w:space="0" w:color="ADD6EA"/>
              <w:left w:val="nil"/>
              <w:bottom w:val="single" w:sz="4" w:space="0" w:color="ADD6EA"/>
              <w:right w:val="nil"/>
            </w:tcBorders>
            <w:shd w:val="clear" w:color="000000" w:fill="B6D5E4"/>
            <w:hideMark/>
          </w:tcPr>
          <w:p w14:paraId="4FFDAEEB" w14:textId="77777777" w:rsidR="00B90ED5" w:rsidRPr="00442A3B" w:rsidRDefault="00B90ED5" w:rsidP="00B90ED5">
            <w:pPr>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Infrastructure</w:t>
            </w:r>
          </w:p>
        </w:tc>
        <w:tc>
          <w:tcPr>
            <w:tcW w:w="851" w:type="dxa"/>
            <w:tcBorders>
              <w:top w:val="single" w:sz="4" w:space="0" w:color="ADD6EA"/>
              <w:left w:val="nil"/>
              <w:bottom w:val="single" w:sz="4" w:space="0" w:color="ADD6EA"/>
              <w:right w:val="nil"/>
            </w:tcBorders>
            <w:shd w:val="clear" w:color="000000" w:fill="B6D5E4"/>
            <w:noWrap/>
            <w:hideMark/>
          </w:tcPr>
          <w:p w14:paraId="522C4436" w14:textId="77777777" w:rsidR="00B90ED5" w:rsidRPr="00442A3B" w:rsidRDefault="00B90ED5" w:rsidP="00B90ED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xml:space="preserve">  </w:t>
            </w:r>
          </w:p>
        </w:tc>
        <w:tc>
          <w:tcPr>
            <w:tcW w:w="567" w:type="dxa"/>
            <w:tcBorders>
              <w:top w:val="single" w:sz="4" w:space="0" w:color="ADD6EA"/>
              <w:left w:val="nil"/>
              <w:bottom w:val="single" w:sz="4" w:space="0" w:color="ADD6EA"/>
              <w:right w:val="nil"/>
            </w:tcBorders>
            <w:shd w:val="clear" w:color="000000" w:fill="B6D5E4"/>
            <w:noWrap/>
            <w:hideMark/>
          </w:tcPr>
          <w:p w14:paraId="0741B977" w14:textId="77777777" w:rsidR="00B90ED5" w:rsidRPr="00442A3B" w:rsidRDefault="00B90ED5" w:rsidP="00B90ED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xml:space="preserve">  </w:t>
            </w:r>
          </w:p>
        </w:tc>
        <w:tc>
          <w:tcPr>
            <w:tcW w:w="1275" w:type="dxa"/>
            <w:tcBorders>
              <w:top w:val="single" w:sz="4" w:space="0" w:color="ADD6EA"/>
              <w:left w:val="nil"/>
              <w:bottom w:val="single" w:sz="4" w:space="0" w:color="ADD6EA"/>
              <w:right w:val="nil"/>
            </w:tcBorders>
            <w:shd w:val="clear" w:color="000000" w:fill="B6D5E4"/>
            <w:noWrap/>
            <w:hideMark/>
          </w:tcPr>
          <w:p w14:paraId="7F74C8A4" w14:textId="77777777" w:rsidR="00B90ED5" w:rsidRPr="00442A3B" w:rsidRDefault="00B90ED5" w:rsidP="00B90ED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xml:space="preserve">  </w:t>
            </w:r>
          </w:p>
        </w:tc>
        <w:tc>
          <w:tcPr>
            <w:tcW w:w="4338" w:type="dxa"/>
            <w:tcBorders>
              <w:top w:val="single" w:sz="4" w:space="0" w:color="ADD6EA"/>
              <w:left w:val="nil"/>
              <w:bottom w:val="single" w:sz="4" w:space="0" w:color="ADD6EA"/>
              <w:right w:val="nil"/>
            </w:tcBorders>
            <w:shd w:val="clear" w:color="000000" w:fill="B6D5E4"/>
            <w:noWrap/>
            <w:hideMark/>
          </w:tcPr>
          <w:p w14:paraId="3E42478B" w14:textId="77777777" w:rsidR="00B90ED5" w:rsidRPr="00442A3B" w:rsidRDefault="00B90ED5" w:rsidP="00B90ED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xml:space="preserve">  </w:t>
            </w:r>
          </w:p>
        </w:tc>
      </w:tr>
      <w:tr w:rsidR="005F5EE3" w:rsidRPr="00442A3B" w14:paraId="5A6ED9E3" w14:textId="77777777" w:rsidTr="002A39C3">
        <w:trPr>
          <w:trHeight w:val="795"/>
        </w:trPr>
        <w:tc>
          <w:tcPr>
            <w:tcW w:w="1871" w:type="dxa"/>
            <w:tcBorders>
              <w:top w:val="nil"/>
              <w:left w:val="nil"/>
              <w:bottom w:val="nil"/>
              <w:right w:val="nil"/>
            </w:tcBorders>
            <w:shd w:val="clear" w:color="auto" w:fill="auto"/>
            <w:hideMark/>
          </w:tcPr>
          <w:p w14:paraId="415F15BD"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Major projects Business Case Fund</w:t>
            </w:r>
          </w:p>
        </w:tc>
        <w:tc>
          <w:tcPr>
            <w:tcW w:w="851" w:type="dxa"/>
            <w:tcBorders>
              <w:top w:val="nil"/>
              <w:left w:val="nil"/>
              <w:bottom w:val="nil"/>
              <w:right w:val="nil"/>
            </w:tcBorders>
            <w:shd w:val="clear" w:color="auto" w:fill="auto"/>
            <w:hideMark/>
          </w:tcPr>
          <w:p w14:paraId="77D1D656"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13.5</w:t>
            </w:r>
          </w:p>
        </w:tc>
        <w:tc>
          <w:tcPr>
            <w:tcW w:w="567" w:type="dxa"/>
            <w:tcBorders>
              <w:top w:val="nil"/>
              <w:left w:val="nil"/>
              <w:bottom w:val="nil"/>
              <w:right w:val="nil"/>
            </w:tcBorders>
            <w:shd w:val="clear" w:color="auto" w:fill="auto"/>
            <w:hideMark/>
          </w:tcPr>
          <w:p w14:paraId="4818A9E9"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nil"/>
              <w:left w:val="nil"/>
              <w:bottom w:val="nil"/>
              <w:right w:val="nil"/>
            </w:tcBorders>
            <w:shd w:val="clear" w:color="auto" w:fill="auto"/>
            <w:hideMark/>
          </w:tcPr>
          <w:p w14:paraId="753B3578"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 Impact</w:t>
            </w:r>
          </w:p>
        </w:tc>
        <w:tc>
          <w:tcPr>
            <w:tcW w:w="4338" w:type="dxa"/>
            <w:tcBorders>
              <w:top w:val="nil"/>
              <w:left w:val="nil"/>
              <w:bottom w:val="nil"/>
              <w:right w:val="nil"/>
            </w:tcBorders>
            <w:shd w:val="clear" w:color="auto" w:fill="auto"/>
            <w:hideMark/>
          </w:tcPr>
          <w:p w14:paraId="7B7F3706"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Business case development for road and rail infrastructure projects is a normal State-type function and needs are assessed.</w:t>
            </w:r>
          </w:p>
        </w:tc>
      </w:tr>
      <w:tr w:rsidR="005F5EE3" w:rsidRPr="00442A3B" w14:paraId="7BFBDE46" w14:textId="77777777" w:rsidTr="002A39C3">
        <w:trPr>
          <w:trHeight w:val="1035"/>
        </w:trPr>
        <w:tc>
          <w:tcPr>
            <w:tcW w:w="1871" w:type="dxa"/>
            <w:tcBorders>
              <w:top w:val="single" w:sz="4" w:space="0" w:color="ADD6EA"/>
              <w:left w:val="nil"/>
              <w:bottom w:val="nil"/>
              <w:right w:val="nil"/>
            </w:tcBorders>
            <w:shd w:val="clear" w:color="auto" w:fill="auto"/>
            <w:hideMark/>
          </w:tcPr>
          <w:p w14:paraId="69A9CB47"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Urban congestion fund</w:t>
            </w:r>
          </w:p>
        </w:tc>
        <w:tc>
          <w:tcPr>
            <w:tcW w:w="851" w:type="dxa"/>
            <w:tcBorders>
              <w:top w:val="single" w:sz="4" w:space="0" w:color="ADD6EA"/>
              <w:left w:val="nil"/>
              <w:bottom w:val="nil"/>
              <w:right w:val="nil"/>
            </w:tcBorders>
            <w:shd w:val="clear" w:color="auto" w:fill="auto"/>
            <w:hideMark/>
          </w:tcPr>
          <w:p w14:paraId="31E85FA0"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148.1</w:t>
            </w:r>
          </w:p>
        </w:tc>
        <w:tc>
          <w:tcPr>
            <w:tcW w:w="567" w:type="dxa"/>
            <w:tcBorders>
              <w:top w:val="single" w:sz="4" w:space="0" w:color="ADD6EA"/>
              <w:left w:val="nil"/>
              <w:bottom w:val="nil"/>
              <w:right w:val="nil"/>
            </w:tcBorders>
            <w:shd w:val="clear" w:color="auto" w:fill="auto"/>
            <w:hideMark/>
          </w:tcPr>
          <w:p w14:paraId="3AA94821"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single" w:sz="4" w:space="0" w:color="ADD6EA"/>
              <w:left w:val="nil"/>
              <w:bottom w:val="nil"/>
              <w:right w:val="nil"/>
            </w:tcBorders>
            <w:shd w:val="clear" w:color="auto" w:fill="auto"/>
            <w:hideMark/>
          </w:tcPr>
          <w:p w14:paraId="0B40ED03"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Split</w:t>
            </w:r>
          </w:p>
        </w:tc>
        <w:tc>
          <w:tcPr>
            <w:tcW w:w="4338" w:type="dxa"/>
            <w:tcBorders>
              <w:top w:val="single" w:sz="4" w:space="0" w:color="ADD6EA"/>
              <w:left w:val="nil"/>
              <w:bottom w:val="nil"/>
              <w:right w:val="nil"/>
            </w:tcBorders>
            <w:shd w:val="clear" w:color="auto" w:fill="auto"/>
            <w:hideMark/>
          </w:tcPr>
          <w:p w14:paraId="54D14975" w14:textId="26775A53"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Infrastructure spending on the National Network is treated as 50% ‘no impact’ (as per the </w:t>
            </w:r>
            <w:r w:rsidR="005909B1" w:rsidRPr="00442A3B">
              <w:rPr>
                <w:rFonts w:eastAsia="Times New Roman" w:cs="Open Sans Light"/>
                <w:color w:val="000000"/>
                <w:sz w:val="16"/>
                <w:szCs w:val="16"/>
                <w:lang w:eastAsia="en-AU"/>
              </w:rPr>
              <w:t>2020 Review</w:t>
            </w:r>
            <w:r w:rsidRPr="00442A3B">
              <w:rPr>
                <w:rFonts w:eastAsia="Times New Roman" w:cs="Open Sans Light"/>
                <w:color w:val="000000"/>
                <w:sz w:val="16"/>
                <w:szCs w:val="16"/>
                <w:lang w:eastAsia="en-AU"/>
              </w:rPr>
              <w:t xml:space="preserve"> Commission decision). Off network payments are treated as having an impact on the relativities. </w:t>
            </w:r>
          </w:p>
        </w:tc>
      </w:tr>
      <w:tr w:rsidR="005F5EE3" w:rsidRPr="00442A3B" w14:paraId="1DEE2485" w14:textId="77777777" w:rsidTr="002A39C3">
        <w:trPr>
          <w:trHeight w:val="555"/>
        </w:trPr>
        <w:tc>
          <w:tcPr>
            <w:tcW w:w="1871" w:type="dxa"/>
            <w:tcBorders>
              <w:top w:val="single" w:sz="4" w:space="0" w:color="ADD6EA"/>
              <w:left w:val="nil"/>
              <w:bottom w:val="nil"/>
              <w:right w:val="nil"/>
            </w:tcBorders>
            <w:shd w:val="clear" w:color="auto" w:fill="auto"/>
            <w:hideMark/>
          </w:tcPr>
          <w:p w14:paraId="088B1C4B"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Adelaide City Deal</w:t>
            </w:r>
          </w:p>
        </w:tc>
        <w:tc>
          <w:tcPr>
            <w:tcW w:w="851" w:type="dxa"/>
            <w:tcBorders>
              <w:top w:val="single" w:sz="4" w:space="0" w:color="ADD6EA"/>
              <w:left w:val="nil"/>
              <w:bottom w:val="nil"/>
              <w:right w:val="nil"/>
            </w:tcBorders>
            <w:shd w:val="clear" w:color="auto" w:fill="auto"/>
            <w:hideMark/>
          </w:tcPr>
          <w:p w14:paraId="5BC91C45"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3.2</w:t>
            </w:r>
          </w:p>
        </w:tc>
        <w:tc>
          <w:tcPr>
            <w:tcW w:w="567" w:type="dxa"/>
            <w:tcBorders>
              <w:top w:val="single" w:sz="4" w:space="0" w:color="ADD6EA"/>
              <w:left w:val="nil"/>
              <w:bottom w:val="nil"/>
              <w:right w:val="nil"/>
            </w:tcBorders>
            <w:shd w:val="clear" w:color="auto" w:fill="auto"/>
            <w:hideMark/>
          </w:tcPr>
          <w:p w14:paraId="4D4E77A8"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single" w:sz="4" w:space="0" w:color="ADD6EA"/>
              <w:left w:val="nil"/>
              <w:bottom w:val="nil"/>
              <w:right w:val="nil"/>
            </w:tcBorders>
            <w:shd w:val="clear" w:color="auto" w:fill="auto"/>
            <w:hideMark/>
          </w:tcPr>
          <w:p w14:paraId="565133C8"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 Split</w:t>
            </w:r>
          </w:p>
        </w:tc>
        <w:tc>
          <w:tcPr>
            <w:tcW w:w="4338" w:type="dxa"/>
            <w:tcBorders>
              <w:top w:val="single" w:sz="4" w:space="0" w:color="ADD6EA"/>
              <w:left w:val="nil"/>
              <w:bottom w:val="nil"/>
              <w:right w:val="nil"/>
            </w:tcBorders>
            <w:shd w:val="clear" w:color="auto" w:fill="auto"/>
            <w:hideMark/>
          </w:tcPr>
          <w:p w14:paraId="043C7200"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This payment includes numerous sub-payments, treatment of each of these is considered separately (a).</w:t>
            </w:r>
          </w:p>
        </w:tc>
      </w:tr>
      <w:tr w:rsidR="005F5EE3" w:rsidRPr="00442A3B" w14:paraId="26946B76" w14:textId="77777777" w:rsidTr="002A39C3">
        <w:trPr>
          <w:trHeight w:val="555"/>
        </w:trPr>
        <w:tc>
          <w:tcPr>
            <w:tcW w:w="1871" w:type="dxa"/>
            <w:tcBorders>
              <w:top w:val="single" w:sz="4" w:space="0" w:color="ADD6EA"/>
              <w:left w:val="nil"/>
              <w:bottom w:val="nil"/>
              <w:right w:val="nil"/>
            </w:tcBorders>
            <w:shd w:val="clear" w:color="auto" w:fill="auto"/>
            <w:hideMark/>
          </w:tcPr>
          <w:p w14:paraId="53FBD6D6"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Barkly Regional Deal</w:t>
            </w:r>
          </w:p>
        </w:tc>
        <w:tc>
          <w:tcPr>
            <w:tcW w:w="851" w:type="dxa"/>
            <w:tcBorders>
              <w:top w:val="single" w:sz="4" w:space="0" w:color="ADD6EA"/>
              <w:left w:val="nil"/>
              <w:bottom w:val="nil"/>
              <w:right w:val="nil"/>
            </w:tcBorders>
            <w:shd w:val="clear" w:color="auto" w:fill="auto"/>
            <w:hideMark/>
          </w:tcPr>
          <w:p w14:paraId="7F6DA562"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1.3</w:t>
            </w:r>
          </w:p>
        </w:tc>
        <w:tc>
          <w:tcPr>
            <w:tcW w:w="567" w:type="dxa"/>
            <w:tcBorders>
              <w:top w:val="single" w:sz="4" w:space="0" w:color="ADD6EA"/>
              <w:left w:val="nil"/>
              <w:bottom w:val="nil"/>
              <w:right w:val="nil"/>
            </w:tcBorders>
            <w:shd w:val="clear" w:color="auto" w:fill="auto"/>
            <w:hideMark/>
          </w:tcPr>
          <w:p w14:paraId="2C6E920B"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single" w:sz="4" w:space="0" w:color="ADD6EA"/>
              <w:left w:val="nil"/>
              <w:bottom w:val="nil"/>
              <w:right w:val="nil"/>
            </w:tcBorders>
            <w:shd w:val="clear" w:color="auto" w:fill="auto"/>
            <w:hideMark/>
          </w:tcPr>
          <w:p w14:paraId="28E58A23"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 Split</w:t>
            </w:r>
          </w:p>
        </w:tc>
        <w:tc>
          <w:tcPr>
            <w:tcW w:w="4338" w:type="dxa"/>
            <w:tcBorders>
              <w:top w:val="single" w:sz="4" w:space="0" w:color="ADD6EA"/>
              <w:left w:val="nil"/>
              <w:bottom w:val="nil"/>
              <w:right w:val="nil"/>
            </w:tcBorders>
            <w:shd w:val="clear" w:color="auto" w:fill="auto"/>
            <w:hideMark/>
          </w:tcPr>
          <w:p w14:paraId="08F127E7"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This payment includes numerous sub-payments, treatment of each of these is considered separately (a).</w:t>
            </w:r>
          </w:p>
        </w:tc>
      </w:tr>
      <w:tr w:rsidR="005F5EE3" w:rsidRPr="00442A3B" w14:paraId="098F7B13" w14:textId="77777777" w:rsidTr="002A39C3">
        <w:trPr>
          <w:trHeight w:val="555"/>
        </w:trPr>
        <w:tc>
          <w:tcPr>
            <w:tcW w:w="1871" w:type="dxa"/>
            <w:tcBorders>
              <w:top w:val="single" w:sz="4" w:space="0" w:color="ADD6EA"/>
              <w:left w:val="nil"/>
              <w:bottom w:val="nil"/>
              <w:right w:val="nil"/>
            </w:tcBorders>
            <w:shd w:val="clear" w:color="auto" w:fill="auto"/>
            <w:hideMark/>
          </w:tcPr>
          <w:p w14:paraId="26EB5D98"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Darwin City Deal</w:t>
            </w:r>
          </w:p>
        </w:tc>
        <w:tc>
          <w:tcPr>
            <w:tcW w:w="851" w:type="dxa"/>
            <w:tcBorders>
              <w:top w:val="single" w:sz="4" w:space="0" w:color="ADD6EA"/>
              <w:left w:val="nil"/>
              <w:bottom w:val="nil"/>
              <w:right w:val="nil"/>
            </w:tcBorders>
            <w:shd w:val="clear" w:color="auto" w:fill="auto"/>
            <w:hideMark/>
          </w:tcPr>
          <w:p w14:paraId="2E724DE3"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25.0</w:t>
            </w:r>
          </w:p>
        </w:tc>
        <w:tc>
          <w:tcPr>
            <w:tcW w:w="567" w:type="dxa"/>
            <w:tcBorders>
              <w:top w:val="single" w:sz="4" w:space="0" w:color="ADD6EA"/>
              <w:left w:val="nil"/>
              <w:bottom w:val="nil"/>
              <w:right w:val="nil"/>
            </w:tcBorders>
            <w:shd w:val="clear" w:color="auto" w:fill="auto"/>
            <w:hideMark/>
          </w:tcPr>
          <w:p w14:paraId="7222C3BF"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single" w:sz="4" w:space="0" w:color="ADD6EA"/>
              <w:left w:val="nil"/>
              <w:bottom w:val="nil"/>
              <w:right w:val="nil"/>
            </w:tcBorders>
            <w:shd w:val="clear" w:color="auto" w:fill="auto"/>
            <w:hideMark/>
          </w:tcPr>
          <w:p w14:paraId="3ABC5EC3"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 Split</w:t>
            </w:r>
          </w:p>
        </w:tc>
        <w:tc>
          <w:tcPr>
            <w:tcW w:w="4338" w:type="dxa"/>
            <w:tcBorders>
              <w:top w:val="single" w:sz="4" w:space="0" w:color="ADD6EA"/>
              <w:left w:val="nil"/>
              <w:bottom w:val="nil"/>
              <w:right w:val="nil"/>
            </w:tcBorders>
            <w:shd w:val="clear" w:color="auto" w:fill="auto"/>
            <w:hideMark/>
          </w:tcPr>
          <w:p w14:paraId="678C39BA"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This payment includes numerous sub-payments, treatment of each of these is considered separately (a).</w:t>
            </w:r>
          </w:p>
        </w:tc>
      </w:tr>
      <w:tr w:rsidR="005F5EE3" w:rsidRPr="00442A3B" w14:paraId="5C10647E" w14:textId="77777777" w:rsidTr="002A39C3">
        <w:trPr>
          <w:trHeight w:val="555"/>
        </w:trPr>
        <w:tc>
          <w:tcPr>
            <w:tcW w:w="1871" w:type="dxa"/>
            <w:tcBorders>
              <w:top w:val="single" w:sz="4" w:space="0" w:color="ADD6EA"/>
              <w:left w:val="nil"/>
              <w:bottom w:val="nil"/>
              <w:right w:val="nil"/>
            </w:tcBorders>
            <w:shd w:val="clear" w:color="auto" w:fill="auto"/>
            <w:hideMark/>
          </w:tcPr>
          <w:p w14:paraId="60714DF5"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Geelong City Deal</w:t>
            </w:r>
          </w:p>
        </w:tc>
        <w:tc>
          <w:tcPr>
            <w:tcW w:w="851" w:type="dxa"/>
            <w:tcBorders>
              <w:top w:val="single" w:sz="4" w:space="0" w:color="ADD6EA"/>
              <w:left w:val="nil"/>
              <w:bottom w:val="nil"/>
              <w:right w:val="nil"/>
            </w:tcBorders>
            <w:shd w:val="clear" w:color="auto" w:fill="auto"/>
            <w:hideMark/>
          </w:tcPr>
          <w:p w14:paraId="75C8A9D6"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1.5</w:t>
            </w:r>
          </w:p>
        </w:tc>
        <w:tc>
          <w:tcPr>
            <w:tcW w:w="567" w:type="dxa"/>
            <w:tcBorders>
              <w:top w:val="single" w:sz="4" w:space="0" w:color="ADD6EA"/>
              <w:left w:val="nil"/>
              <w:bottom w:val="nil"/>
              <w:right w:val="nil"/>
            </w:tcBorders>
            <w:shd w:val="clear" w:color="auto" w:fill="auto"/>
            <w:hideMark/>
          </w:tcPr>
          <w:p w14:paraId="2E285DEB"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single" w:sz="4" w:space="0" w:color="ADD6EA"/>
              <w:left w:val="nil"/>
              <w:bottom w:val="nil"/>
              <w:right w:val="nil"/>
            </w:tcBorders>
            <w:shd w:val="clear" w:color="auto" w:fill="auto"/>
            <w:hideMark/>
          </w:tcPr>
          <w:p w14:paraId="5DA7DEDB"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 Split</w:t>
            </w:r>
          </w:p>
        </w:tc>
        <w:tc>
          <w:tcPr>
            <w:tcW w:w="4338" w:type="dxa"/>
            <w:tcBorders>
              <w:top w:val="single" w:sz="4" w:space="0" w:color="ADD6EA"/>
              <w:left w:val="nil"/>
              <w:bottom w:val="nil"/>
              <w:right w:val="nil"/>
            </w:tcBorders>
            <w:shd w:val="clear" w:color="auto" w:fill="auto"/>
            <w:hideMark/>
          </w:tcPr>
          <w:p w14:paraId="0C1D5346"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This payment includes numerous sub-payments, treatment of each of these is considered separately (a).</w:t>
            </w:r>
          </w:p>
        </w:tc>
      </w:tr>
      <w:tr w:rsidR="005F5EE3" w:rsidRPr="00442A3B" w14:paraId="454A880E" w14:textId="77777777" w:rsidTr="002A39C3">
        <w:trPr>
          <w:trHeight w:val="555"/>
        </w:trPr>
        <w:tc>
          <w:tcPr>
            <w:tcW w:w="1871" w:type="dxa"/>
            <w:tcBorders>
              <w:top w:val="single" w:sz="4" w:space="0" w:color="ADD6EA"/>
              <w:left w:val="nil"/>
              <w:bottom w:val="nil"/>
              <w:right w:val="nil"/>
            </w:tcBorders>
            <w:shd w:val="clear" w:color="auto" w:fill="auto"/>
            <w:hideMark/>
          </w:tcPr>
          <w:p w14:paraId="7BEC1B39"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Launceston City Deal</w:t>
            </w:r>
          </w:p>
        </w:tc>
        <w:tc>
          <w:tcPr>
            <w:tcW w:w="851" w:type="dxa"/>
            <w:tcBorders>
              <w:top w:val="single" w:sz="4" w:space="0" w:color="ADD6EA"/>
              <w:left w:val="nil"/>
              <w:bottom w:val="nil"/>
              <w:right w:val="nil"/>
            </w:tcBorders>
            <w:shd w:val="clear" w:color="auto" w:fill="auto"/>
            <w:hideMark/>
          </w:tcPr>
          <w:p w14:paraId="2BDD57AA"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2.5</w:t>
            </w:r>
          </w:p>
        </w:tc>
        <w:tc>
          <w:tcPr>
            <w:tcW w:w="567" w:type="dxa"/>
            <w:tcBorders>
              <w:top w:val="single" w:sz="4" w:space="0" w:color="ADD6EA"/>
              <w:left w:val="nil"/>
              <w:bottom w:val="nil"/>
              <w:right w:val="nil"/>
            </w:tcBorders>
            <w:shd w:val="clear" w:color="auto" w:fill="auto"/>
            <w:hideMark/>
          </w:tcPr>
          <w:p w14:paraId="6578D545"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single" w:sz="4" w:space="0" w:color="ADD6EA"/>
              <w:left w:val="nil"/>
              <w:bottom w:val="nil"/>
              <w:right w:val="nil"/>
            </w:tcBorders>
            <w:shd w:val="clear" w:color="auto" w:fill="auto"/>
            <w:hideMark/>
          </w:tcPr>
          <w:p w14:paraId="679AA0F7"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 Split</w:t>
            </w:r>
          </w:p>
        </w:tc>
        <w:tc>
          <w:tcPr>
            <w:tcW w:w="4338" w:type="dxa"/>
            <w:tcBorders>
              <w:top w:val="single" w:sz="4" w:space="0" w:color="ADD6EA"/>
              <w:left w:val="nil"/>
              <w:bottom w:val="nil"/>
              <w:right w:val="nil"/>
            </w:tcBorders>
            <w:shd w:val="clear" w:color="auto" w:fill="auto"/>
            <w:hideMark/>
          </w:tcPr>
          <w:p w14:paraId="321E08F6"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This payment includes numerous sub-payments, treatment of each of these is considered separately (a).</w:t>
            </w:r>
          </w:p>
        </w:tc>
      </w:tr>
      <w:tr w:rsidR="00951F8B" w:rsidRPr="00442A3B" w14:paraId="73F4B4B1" w14:textId="77777777" w:rsidTr="002A39C3">
        <w:trPr>
          <w:trHeight w:val="259"/>
        </w:trPr>
        <w:tc>
          <w:tcPr>
            <w:tcW w:w="1871" w:type="dxa"/>
            <w:tcBorders>
              <w:top w:val="single" w:sz="4" w:space="0" w:color="ADD6EA"/>
              <w:left w:val="nil"/>
              <w:bottom w:val="single" w:sz="4" w:space="0" w:color="ADD6EA"/>
              <w:right w:val="nil"/>
            </w:tcBorders>
            <w:shd w:val="clear" w:color="000000" w:fill="B6D5E4"/>
            <w:hideMark/>
          </w:tcPr>
          <w:p w14:paraId="57524DE3" w14:textId="77777777" w:rsidR="00B90ED5" w:rsidRPr="00442A3B" w:rsidRDefault="00B90ED5" w:rsidP="00B90ED5">
            <w:pPr>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Environment</w:t>
            </w:r>
          </w:p>
        </w:tc>
        <w:tc>
          <w:tcPr>
            <w:tcW w:w="851" w:type="dxa"/>
            <w:tcBorders>
              <w:top w:val="single" w:sz="4" w:space="0" w:color="ADD6EA"/>
              <w:left w:val="nil"/>
              <w:bottom w:val="single" w:sz="4" w:space="0" w:color="ADD6EA"/>
              <w:right w:val="nil"/>
            </w:tcBorders>
            <w:shd w:val="clear" w:color="000000" w:fill="B6D5E4"/>
            <w:noWrap/>
            <w:hideMark/>
          </w:tcPr>
          <w:p w14:paraId="0B82DE47" w14:textId="77777777" w:rsidR="00B90ED5" w:rsidRPr="00442A3B" w:rsidRDefault="00B90ED5" w:rsidP="00B90ED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xml:space="preserve">  </w:t>
            </w:r>
          </w:p>
        </w:tc>
        <w:tc>
          <w:tcPr>
            <w:tcW w:w="567" w:type="dxa"/>
            <w:tcBorders>
              <w:top w:val="single" w:sz="4" w:space="0" w:color="ADD6EA"/>
              <w:left w:val="nil"/>
              <w:bottom w:val="single" w:sz="4" w:space="0" w:color="ADD6EA"/>
              <w:right w:val="nil"/>
            </w:tcBorders>
            <w:shd w:val="clear" w:color="000000" w:fill="B6D5E4"/>
            <w:noWrap/>
            <w:hideMark/>
          </w:tcPr>
          <w:p w14:paraId="3695F0FB" w14:textId="77777777" w:rsidR="00B90ED5" w:rsidRPr="00442A3B" w:rsidRDefault="00B90ED5" w:rsidP="00B90ED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xml:space="preserve">  </w:t>
            </w:r>
          </w:p>
        </w:tc>
        <w:tc>
          <w:tcPr>
            <w:tcW w:w="1275" w:type="dxa"/>
            <w:tcBorders>
              <w:top w:val="single" w:sz="4" w:space="0" w:color="ADD6EA"/>
              <w:left w:val="nil"/>
              <w:bottom w:val="single" w:sz="4" w:space="0" w:color="ADD6EA"/>
              <w:right w:val="nil"/>
            </w:tcBorders>
            <w:shd w:val="clear" w:color="000000" w:fill="B6D5E4"/>
            <w:noWrap/>
            <w:hideMark/>
          </w:tcPr>
          <w:p w14:paraId="314AA6F3" w14:textId="77777777" w:rsidR="00B90ED5" w:rsidRPr="00442A3B" w:rsidRDefault="00B90ED5" w:rsidP="00B90ED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xml:space="preserve">  </w:t>
            </w:r>
          </w:p>
        </w:tc>
        <w:tc>
          <w:tcPr>
            <w:tcW w:w="4338" w:type="dxa"/>
            <w:tcBorders>
              <w:top w:val="single" w:sz="4" w:space="0" w:color="ADD6EA"/>
              <w:left w:val="nil"/>
              <w:bottom w:val="single" w:sz="4" w:space="0" w:color="ADD6EA"/>
              <w:right w:val="nil"/>
            </w:tcBorders>
            <w:shd w:val="clear" w:color="000000" w:fill="B6D5E4"/>
            <w:noWrap/>
            <w:hideMark/>
          </w:tcPr>
          <w:p w14:paraId="17F382FC" w14:textId="77777777" w:rsidR="00B90ED5" w:rsidRPr="00442A3B" w:rsidRDefault="00B90ED5" w:rsidP="00B90ED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xml:space="preserve">  </w:t>
            </w:r>
          </w:p>
        </w:tc>
      </w:tr>
      <w:tr w:rsidR="005F5EE3" w:rsidRPr="00442A3B" w14:paraId="2444D0C5" w14:textId="77777777" w:rsidTr="002A39C3">
        <w:trPr>
          <w:trHeight w:val="555"/>
        </w:trPr>
        <w:tc>
          <w:tcPr>
            <w:tcW w:w="1871" w:type="dxa"/>
            <w:tcBorders>
              <w:top w:val="nil"/>
              <w:left w:val="nil"/>
              <w:bottom w:val="nil"/>
              <w:right w:val="nil"/>
            </w:tcBorders>
            <w:shd w:val="clear" w:color="auto" w:fill="auto"/>
            <w:hideMark/>
          </w:tcPr>
          <w:p w14:paraId="0DC4DE85"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Bushfire Wildlife and Habitat Recovery</w:t>
            </w:r>
          </w:p>
        </w:tc>
        <w:tc>
          <w:tcPr>
            <w:tcW w:w="851" w:type="dxa"/>
            <w:tcBorders>
              <w:top w:val="nil"/>
              <w:left w:val="nil"/>
              <w:bottom w:val="nil"/>
              <w:right w:val="nil"/>
            </w:tcBorders>
            <w:shd w:val="clear" w:color="auto" w:fill="auto"/>
            <w:hideMark/>
          </w:tcPr>
          <w:p w14:paraId="54993D4D"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13.0</w:t>
            </w:r>
          </w:p>
        </w:tc>
        <w:tc>
          <w:tcPr>
            <w:tcW w:w="567" w:type="dxa"/>
            <w:tcBorders>
              <w:top w:val="nil"/>
              <w:left w:val="nil"/>
              <w:bottom w:val="nil"/>
              <w:right w:val="nil"/>
            </w:tcBorders>
            <w:shd w:val="clear" w:color="auto" w:fill="auto"/>
            <w:hideMark/>
          </w:tcPr>
          <w:p w14:paraId="15D19A87"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nil"/>
              <w:left w:val="nil"/>
              <w:bottom w:val="nil"/>
              <w:right w:val="nil"/>
            </w:tcBorders>
            <w:shd w:val="clear" w:color="auto" w:fill="auto"/>
            <w:hideMark/>
          </w:tcPr>
          <w:p w14:paraId="2521E192"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No impact</w:t>
            </w:r>
          </w:p>
        </w:tc>
        <w:tc>
          <w:tcPr>
            <w:tcW w:w="4338" w:type="dxa"/>
            <w:tcBorders>
              <w:top w:val="nil"/>
              <w:left w:val="nil"/>
              <w:bottom w:val="nil"/>
              <w:right w:val="nil"/>
            </w:tcBorders>
            <w:shd w:val="clear" w:color="auto" w:fill="auto"/>
            <w:hideMark/>
          </w:tcPr>
          <w:p w14:paraId="1FD75E2E"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Payment supports State services but needs for environmental protection are not assessed.</w:t>
            </w:r>
          </w:p>
        </w:tc>
      </w:tr>
      <w:tr w:rsidR="005F5EE3" w:rsidRPr="00442A3B" w14:paraId="5F671171" w14:textId="77777777" w:rsidTr="002A39C3">
        <w:trPr>
          <w:trHeight w:val="555"/>
        </w:trPr>
        <w:tc>
          <w:tcPr>
            <w:tcW w:w="1871" w:type="dxa"/>
            <w:tcBorders>
              <w:top w:val="single" w:sz="4" w:space="0" w:color="ADD6EA"/>
              <w:left w:val="nil"/>
              <w:bottom w:val="nil"/>
              <w:right w:val="nil"/>
            </w:tcBorders>
            <w:shd w:val="clear" w:color="auto" w:fill="auto"/>
            <w:hideMark/>
          </w:tcPr>
          <w:p w14:paraId="7F09E908"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Lindenow Valley water security scheme</w:t>
            </w:r>
          </w:p>
        </w:tc>
        <w:tc>
          <w:tcPr>
            <w:tcW w:w="851" w:type="dxa"/>
            <w:tcBorders>
              <w:top w:val="single" w:sz="4" w:space="0" w:color="ADD6EA"/>
              <w:left w:val="nil"/>
              <w:bottom w:val="nil"/>
              <w:right w:val="nil"/>
            </w:tcBorders>
            <w:shd w:val="clear" w:color="auto" w:fill="auto"/>
            <w:hideMark/>
          </w:tcPr>
          <w:p w14:paraId="3A3DE572"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1.0</w:t>
            </w:r>
          </w:p>
        </w:tc>
        <w:tc>
          <w:tcPr>
            <w:tcW w:w="567" w:type="dxa"/>
            <w:tcBorders>
              <w:top w:val="single" w:sz="4" w:space="0" w:color="ADD6EA"/>
              <w:left w:val="nil"/>
              <w:bottom w:val="nil"/>
              <w:right w:val="nil"/>
            </w:tcBorders>
            <w:shd w:val="clear" w:color="auto" w:fill="auto"/>
            <w:hideMark/>
          </w:tcPr>
          <w:p w14:paraId="739824E5"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single" w:sz="4" w:space="0" w:color="ADD6EA"/>
              <w:left w:val="nil"/>
              <w:bottom w:val="nil"/>
              <w:right w:val="nil"/>
            </w:tcBorders>
            <w:shd w:val="clear" w:color="auto" w:fill="auto"/>
            <w:hideMark/>
          </w:tcPr>
          <w:p w14:paraId="2ECC6745"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No impact</w:t>
            </w:r>
          </w:p>
        </w:tc>
        <w:tc>
          <w:tcPr>
            <w:tcW w:w="4338" w:type="dxa"/>
            <w:tcBorders>
              <w:top w:val="single" w:sz="4" w:space="0" w:color="ADD6EA"/>
              <w:left w:val="nil"/>
              <w:bottom w:val="nil"/>
              <w:right w:val="nil"/>
            </w:tcBorders>
            <w:shd w:val="clear" w:color="auto" w:fill="auto"/>
            <w:hideMark/>
          </w:tcPr>
          <w:p w14:paraId="72A28221"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Payment supports State services but needs for drought assistance are not assessed.</w:t>
            </w:r>
          </w:p>
        </w:tc>
      </w:tr>
      <w:tr w:rsidR="005F5EE3" w:rsidRPr="00442A3B" w14:paraId="3F1FB7B4" w14:textId="77777777" w:rsidTr="002A39C3">
        <w:trPr>
          <w:trHeight w:val="555"/>
        </w:trPr>
        <w:tc>
          <w:tcPr>
            <w:tcW w:w="1871" w:type="dxa"/>
            <w:tcBorders>
              <w:top w:val="single" w:sz="4" w:space="0" w:color="ADD6EA"/>
              <w:left w:val="nil"/>
              <w:bottom w:val="nil"/>
              <w:right w:val="nil"/>
            </w:tcBorders>
            <w:shd w:val="clear" w:color="auto" w:fill="auto"/>
            <w:hideMark/>
          </w:tcPr>
          <w:p w14:paraId="1014F3CC"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Water efficiency program</w:t>
            </w:r>
          </w:p>
        </w:tc>
        <w:tc>
          <w:tcPr>
            <w:tcW w:w="851" w:type="dxa"/>
            <w:tcBorders>
              <w:top w:val="single" w:sz="4" w:space="0" w:color="ADD6EA"/>
              <w:left w:val="nil"/>
              <w:bottom w:val="nil"/>
              <w:right w:val="nil"/>
            </w:tcBorders>
            <w:shd w:val="clear" w:color="auto" w:fill="auto"/>
            <w:hideMark/>
          </w:tcPr>
          <w:p w14:paraId="0ED98120"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0.3</w:t>
            </w:r>
          </w:p>
        </w:tc>
        <w:tc>
          <w:tcPr>
            <w:tcW w:w="567" w:type="dxa"/>
            <w:tcBorders>
              <w:top w:val="single" w:sz="4" w:space="0" w:color="ADD6EA"/>
              <w:left w:val="nil"/>
              <w:bottom w:val="nil"/>
              <w:right w:val="nil"/>
            </w:tcBorders>
            <w:shd w:val="clear" w:color="auto" w:fill="auto"/>
            <w:hideMark/>
          </w:tcPr>
          <w:p w14:paraId="493B5BF3"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single" w:sz="4" w:space="0" w:color="ADD6EA"/>
              <w:left w:val="nil"/>
              <w:bottom w:val="nil"/>
              <w:right w:val="nil"/>
            </w:tcBorders>
            <w:shd w:val="clear" w:color="auto" w:fill="auto"/>
            <w:hideMark/>
          </w:tcPr>
          <w:p w14:paraId="05436361"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No impact</w:t>
            </w:r>
          </w:p>
        </w:tc>
        <w:tc>
          <w:tcPr>
            <w:tcW w:w="4338" w:type="dxa"/>
            <w:tcBorders>
              <w:top w:val="single" w:sz="4" w:space="0" w:color="ADD6EA"/>
              <w:left w:val="nil"/>
              <w:bottom w:val="nil"/>
              <w:right w:val="nil"/>
            </w:tcBorders>
            <w:shd w:val="clear" w:color="auto" w:fill="auto"/>
            <w:hideMark/>
          </w:tcPr>
          <w:p w14:paraId="05483B83"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Payment supports State services but needs for environmental protection are not assessed.</w:t>
            </w:r>
          </w:p>
        </w:tc>
      </w:tr>
      <w:tr w:rsidR="005F5EE3" w:rsidRPr="00442A3B" w14:paraId="39B0246C" w14:textId="77777777" w:rsidTr="002A39C3">
        <w:trPr>
          <w:trHeight w:val="555"/>
        </w:trPr>
        <w:tc>
          <w:tcPr>
            <w:tcW w:w="1871" w:type="dxa"/>
            <w:tcBorders>
              <w:top w:val="single" w:sz="4" w:space="0" w:color="ADD6EA"/>
              <w:left w:val="nil"/>
              <w:bottom w:val="single" w:sz="4" w:space="0" w:color="ADD6EA"/>
              <w:right w:val="nil"/>
            </w:tcBorders>
            <w:shd w:val="clear" w:color="auto" w:fill="auto"/>
            <w:hideMark/>
          </w:tcPr>
          <w:p w14:paraId="3ED74730"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Water for fodder program</w:t>
            </w:r>
          </w:p>
        </w:tc>
        <w:tc>
          <w:tcPr>
            <w:tcW w:w="851" w:type="dxa"/>
            <w:tcBorders>
              <w:top w:val="single" w:sz="4" w:space="0" w:color="ADD6EA"/>
              <w:left w:val="nil"/>
              <w:bottom w:val="single" w:sz="4" w:space="0" w:color="ADD6EA"/>
              <w:right w:val="nil"/>
            </w:tcBorders>
            <w:shd w:val="clear" w:color="auto" w:fill="auto"/>
            <w:hideMark/>
          </w:tcPr>
          <w:p w14:paraId="63D2CB43"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28.0</w:t>
            </w:r>
          </w:p>
        </w:tc>
        <w:tc>
          <w:tcPr>
            <w:tcW w:w="567" w:type="dxa"/>
            <w:tcBorders>
              <w:top w:val="single" w:sz="4" w:space="0" w:color="ADD6EA"/>
              <w:left w:val="nil"/>
              <w:bottom w:val="single" w:sz="4" w:space="0" w:color="ADD6EA"/>
              <w:right w:val="nil"/>
            </w:tcBorders>
            <w:shd w:val="clear" w:color="auto" w:fill="auto"/>
            <w:hideMark/>
          </w:tcPr>
          <w:p w14:paraId="28CCA67A"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single" w:sz="4" w:space="0" w:color="ADD6EA"/>
              <w:left w:val="nil"/>
              <w:bottom w:val="single" w:sz="4" w:space="0" w:color="ADD6EA"/>
              <w:right w:val="nil"/>
            </w:tcBorders>
            <w:shd w:val="clear" w:color="auto" w:fill="auto"/>
            <w:hideMark/>
          </w:tcPr>
          <w:p w14:paraId="4E1B67B1"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No impact</w:t>
            </w:r>
          </w:p>
        </w:tc>
        <w:tc>
          <w:tcPr>
            <w:tcW w:w="4338" w:type="dxa"/>
            <w:tcBorders>
              <w:top w:val="single" w:sz="4" w:space="0" w:color="ADD6EA"/>
              <w:left w:val="nil"/>
              <w:bottom w:val="single" w:sz="4" w:space="0" w:color="ADD6EA"/>
              <w:right w:val="nil"/>
            </w:tcBorders>
            <w:shd w:val="clear" w:color="auto" w:fill="auto"/>
            <w:hideMark/>
          </w:tcPr>
          <w:p w14:paraId="0C65D52F"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Payment supports State services but needs for drought assistance are not assessed.</w:t>
            </w:r>
          </w:p>
        </w:tc>
      </w:tr>
      <w:tr w:rsidR="005F5EE3" w:rsidRPr="00442A3B" w14:paraId="5674F7F3" w14:textId="77777777" w:rsidTr="002A39C3">
        <w:trPr>
          <w:trHeight w:val="555"/>
        </w:trPr>
        <w:tc>
          <w:tcPr>
            <w:tcW w:w="1871" w:type="dxa"/>
            <w:tcBorders>
              <w:top w:val="single" w:sz="4" w:space="0" w:color="ADD6EA"/>
              <w:left w:val="nil"/>
              <w:bottom w:val="single" w:sz="4" w:space="0" w:color="ADD6EA"/>
              <w:right w:val="nil"/>
            </w:tcBorders>
            <w:shd w:val="clear" w:color="auto" w:fill="auto"/>
            <w:hideMark/>
          </w:tcPr>
          <w:p w14:paraId="35720D7D"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Yellow crazy ant control</w:t>
            </w:r>
          </w:p>
        </w:tc>
        <w:tc>
          <w:tcPr>
            <w:tcW w:w="851" w:type="dxa"/>
            <w:tcBorders>
              <w:top w:val="single" w:sz="4" w:space="0" w:color="ADD6EA"/>
              <w:left w:val="nil"/>
              <w:bottom w:val="single" w:sz="4" w:space="0" w:color="ADD6EA"/>
              <w:right w:val="nil"/>
            </w:tcBorders>
            <w:shd w:val="clear" w:color="auto" w:fill="auto"/>
            <w:hideMark/>
          </w:tcPr>
          <w:p w14:paraId="737C4E79"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3.0</w:t>
            </w:r>
          </w:p>
        </w:tc>
        <w:tc>
          <w:tcPr>
            <w:tcW w:w="567" w:type="dxa"/>
            <w:tcBorders>
              <w:top w:val="single" w:sz="4" w:space="0" w:color="ADD6EA"/>
              <w:left w:val="nil"/>
              <w:bottom w:val="single" w:sz="4" w:space="0" w:color="ADD6EA"/>
              <w:right w:val="nil"/>
            </w:tcBorders>
            <w:shd w:val="clear" w:color="auto" w:fill="auto"/>
            <w:hideMark/>
          </w:tcPr>
          <w:p w14:paraId="02DB5E8A"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single" w:sz="4" w:space="0" w:color="ADD6EA"/>
              <w:left w:val="nil"/>
              <w:bottom w:val="single" w:sz="4" w:space="0" w:color="ADD6EA"/>
              <w:right w:val="nil"/>
            </w:tcBorders>
            <w:shd w:val="clear" w:color="auto" w:fill="auto"/>
            <w:hideMark/>
          </w:tcPr>
          <w:p w14:paraId="34C67ADF"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 No impact</w:t>
            </w:r>
          </w:p>
        </w:tc>
        <w:tc>
          <w:tcPr>
            <w:tcW w:w="4338" w:type="dxa"/>
            <w:tcBorders>
              <w:top w:val="single" w:sz="4" w:space="0" w:color="ADD6EA"/>
              <w:left w:val="nil"/>
              <w:bottom w:val="single" w:sz="4" w:space="0" w:color="ADD6EA"/>
              <w:right w:val="nil"/>
            </w:tcBorders>
            <w:shd w:val="clear" w:color="auto" w:fill="auto"/>
            <w:hideMark/>
          </w:tcPr>
          <w:p w14:paraId="3D649355"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Payment supports State services but needs for environmental protection are not assessed.</w:t>
            </w:r>
          </w:p>
        </w:tc>
      </w:tr>
      <w:tr w:rsidR="006A703A" w:rsidRPr="00442A3B" w14:paraId="16BF8353" w14:textId="77777777" w:rsidTr="002A39C3">
        <w:trPr>
          <w:trHeight w:val="259"/>
        </w:trPr>
        <w:tc>
          <w:tcPr>
            <w:tcW w:w="1871" w:type="dxa"/>
            <w:tcBorders>
              <w:top w:val="single" w:sz="4" w:space="0" w:color="ADD6EA"/>
              <w:left w:val="nil"/>
              <w:bottom w:val="single" w:sz="4" w:space="0" w:color="ADD6EA"/>
              <w:right w:val="nil"/>
            </w:tcBorders>
            <w:shd w:val="clear" w:color="000000" w:fill="B6D5E4"/>
            <w:hideMark/>
          </w:tcPr>
          <w:p w14:paraId="6058F779" w14:textId="77777777" w:rsidR="00B90ED5" w:rsidRPr="00442A3B" w:rsidRDefault="00B90ED5" w:rsidP="00B90ED5">
            <w:pPr>
              <w:tabs>
                <w:tab w:val="clear" w:pos="567"/>
              </w:tabs>
              <w:spacing w:before="0" w:line="240" w:lineRule="auto"/>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lastRenderedPageBreak/>
              <w:t>Other purposes</w:t>
            </w:r>
          </w:p>
        </w:tc>
        <w:tc>
          <w:tcPr>
            <w:tcW w:w="851" w:type="dxa"/>
            <w:tcBorders>
              <w:top w:val="single" w:sz="4" w:space="0" w:color="ADD6EA"/>
              <w:left w:val="nil"/>
              <w:bottom w:val="single" w:sz="4" w:space="0" w:color="ADD6EA"/>
              <w:right w:val="nil"/>
            </w:tcBorders>
            <w:shd w:val="clear" w:color="000000" w:fill="B6D5E4"/>
            <w:noWrap/>
            <w:hideMark/>
          </w:tcPr>
          <w:p w14:paraId="501AC0C3" w14:textId="77777777" w:rsidR="00B90ED5" w:rsidRPr="00442A3B" w:rsidRDefault="00B90ED5" w:rsidP="00B90ED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xml:space="preserve">  </w:t>
            </w:r>
          </w:p>
        </w:tc>
        <w:tc>
          <w:tcPr>
            <w:tcW w:w="567" w:type="dxa"/>
            <w:tcBorders>
              <w:top w:val="single" w:sz="4" w:space="0" w:color="ADD6EA"/>
              <w:left w:val="nil"/>
              <w:bottom w:val="single" w:sz="4" w:space="0" w:color="ADD6EA"/>
              <w:right w:val="nil"/>
            </w:tcBorders>
            <w:shd w:val="clear" w:color="000000" w:fill="B6D5E4"/>
            <w:noWrap/>
            <w:hideMark/>
          </w:tcPr>
          <w:p w14:paraId="2D61D095" w14:textId="77777777" w:rsidR="00B90ED5" w:rsidRPr="00442A3B" w:rsidRDefault="00B90ED5" w:rsidP="00B90ED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xml:space="preserve">  </w:t>
            </w:r>
          </w:p>
        </w:tc>
        <w:tc>
          <w:tcPr>
            <w:tcW w:w="1275" w:type="dxa"/>
            <w:tcBorders>
              <w:top w:val="single" w:sz="4" w:space="0" w:color="ADD6EA"/>
              <w:left w:val="nil"/>
              <w:bottom w:val="single" w:sz="4" w:space="0" w:color="ADD6EA"/>
              <w:right w:val="nil"/>
            </w:tcBorders>
            <w:shd w:val="clear" w:color="000000" w:fill="B6D5E4"/>
            <w:noWrap/>
            <w:hideMark/>
          </w:tcPr>
          <w:p w14:paraId="1C8BB282" w14:textId="77777777" w:rsidR="00B90ED5" w:rsidRPr="00442A3B" w:rsidRDefault="00B90ED5" w:rsidP="00B90ED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xml:space="preserve">  </w:t>
            </w:r>
          </w:p>
        </w:tc>
        <w:tc>
          <w:tcPr>
            <w:tcW w:w="4338" w:type="dxa"/>
            <w:tcBorders>
              <w:top w:val="single" w:sz="4" w:space="0" w:color="ADD6EA"/>
              <w:left w:val="nil"/>
              <w:bottom w:val="single" w:sz="4" w:space="0" w:color="ADD6EA"/>
              <w:right w:val="nil"/>
            </w:tcBorders>
            <w:shd w:val="clear" w:color="000000" w:fill="B6D5E4"/>
            <w:noWrap/>
            <w:hideMark/>
          </w:tcPr>
          <w:p w14:paraId="364BD88E" w14:textId="77777777" w:rsidR="00B90ED5" w:rsidRPr="00442A3B" w:rsidRDefault="00B90ED5" w:rsidP="00B90ED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42A3B">
              <w:rPr>
                <w:rFonts w:ascii="Open Sans Semibold" w:eastAsia="Times New Roman" w:hAnsi="Open Sans Semibold" w:cs="Open Sans Semibold"/>
                <w:color w:val="000000"/>
                <w:sz w:val="16"/>
                <w:szCs w:val="16"/>
                <w:lang w:eastAsia="en-AU"/>
              </w:rPr>
              <w:t xml:space="preserve">  </w:t>
            </w:r>
          </w:p>
        </w:tc>
      </w:tr>
      <w:tr w:rsidR="005F5EE3" w:rsidRPr="00442A3B" w14:paraId="4DE92653" w14:textId="77777777" w:rsidTr="002A39C3">
        <w:trPr>
          <w:trHeight w:val="1035"/>
        </w:trPr>
        <w:tc>
          <w:tcPr>
            <w:tcW w:w="1871" w:type="dxa"/>
            <w:tcBorders>
              <w:top w:val="nil"/>
              <w:left w:val="nil"/>
              <w:bottom w:val="nil"/>
              <w:right w:val="nil"/>
            </w:tcBorders>
            <w:shd w:val="clear" w:color="auto" w:fill="auto"/>
            <w:hideMark/>
          </w:tcPr>
          <w:p w14:paraId="4C1DC26C"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Bushfire legal assistance funding</w:t>
            </w:r>
          </w:p>
        </w:tc>
        <w:tc>
          <w:tcPr>
            <w:tcW w:w="851" w:type="dxa"/>
            <w:tcBorders>
              <w:top w:val="nil"/>
              <w:left w:val="nil"/>
              <w:bottom w:val="nil"/>
              <w:right w:val="nil"/>
            </w:tcBorders>
            <w:shd w:val="clear" w:color="auto" w:fill="auto"/>
            <w:hideMark/>
          </w:tcPr>
          <w:p w14:paraId="2CB876B6"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3.0</w:t>
            </w:r>
          </w:p>
        </w:tc>
        <w:tc>
          <w:tcPr>
            <w:tcW w:w="567" w:type="dxa"/>
            <w:tcBorders>
              <w:top w:val="nil"/>
              <w:left w:val="nil"/>
              <w:bottom w:val="nil"/>
              <w:right w:val="nil"/>
            </w:tcBorders>
            <w:shd w:val="clear" w:color="auto" w:fill="auto"/>
            <w:hideMark/>
          </w:tcPr>
          <w:p w14:paraId="3BAEF6EA"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nil"/>
              <w:left w:val="nil"/>
              <w:bottom w:val="nil"/>
              <w:right w:val="nil"/>
            </w:tcBorders>
            <w:shd w:val="clear" w:color="auto" w:fill="auto"/>
            <w:hideMark/>
          </w:tcPr>
          <w:p w14:paraId="42433DD5"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No impact</w:t>
            </w:r>
          </w:p>
        </w:tc>
        <w:tc>
          <w:tcPr>
            <w:tcW w:w="4338" w:type="dxa"/>
            <w:tcBorders>
              <w:top w:val="nil"/>
              <w:left w:val="nil"/>
              <w:bottom w:val="nil"/>
              <w:right w:val="nil"/>
            </w:tcBorders>
            <w:shd w:val="clear" w:color="auto" w:fill="auto"/>
            <w:hideMark/>
          </w:tcPr>
          <w:p w14:paraId="28A7F184"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Payment supports State services. However, the drivers of Commonwealth funding under this agreement (bushfires) are influenced by factors not assessed in the Commission’s Justice category assessment.</w:t>
            </w:r>
          </w:p>
        </w:tc>
      </w:tr>
      <w:tr w:rsidR="005F5EE3" w:rsidRPr="00442A3B" w14:paraId="7CEBB89D" w14:textId="77777777" w:rsidTr="002A39C3">
        <w:trPr>
          <w:trHeight w:val="1035"/>
        </w:trPr>
        <w:tc>
          <w:tcPr>
            <w:tcW w:w="1871" w:type="dxa"/>
            <w:tcBorders>
              <w:top w:val="single" w:sz="4" w:space="0" w:color="ADD6EA"/>
              <w:left w:val="nil"/>
              <w:bottom w:val="nil"/>
              <w:right w:val="nil"/>
            </w:tcBorders>
            <w:shd w:val="clear" w:color="auto" w:fill="auto"/>
            <w:hideMark/>
          </w:tcPr>
          <w:p w14:paraId="04702209"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COVID-19 legal assistance funding</w:t>
            </w:r>
          </w:p>
        </w:tc>
        <w:tc>
          <w:tcPr>
            <w:tcW w:w="851" w:type="dxa"/>
            <w:tcBorders>
              <w:top w:val="single" w:sz="4" w:space="0" w:color="ADD6EA"/>
              <w:left w:val="nil"/>
              <w:bottom w:val="nil"/>
              <w:right w:val="nil"/>
            </w:tcBorders>
            <w:shd w:val="clear" w:color="auto" w:fill="auto"/>
            <w:hideMark/>
          </w:tcPr>
          <w:p w14:paraId="5CD66B9D"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28.0</w:t>
            </w:r>
          </w:p>
        </w:tc>
        <w:tc>
          <w:tcPr>
            <w:tcW w:w="567" w:type="dxa"/>
            <w:tcBorders>
              <w:top w:val="single" w:sz="4" w:space="0" w:color="ADD6EA"/>
              <w:left w:val="nil"/>
              <w:bottom w:val="nil"/>
              <w:right w:val="nil"/>
            </w:tcBorders>
            <w:shd w:val="clear" w:color="auto" w:fill="auto"/>
            <w:hideMark/>
          </w:tcPr>
          <w:p w14:paraId="28EB56A7"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single" w:sz="4" w:space="0" w:color="ADD6EA"/>
              <w:left w:val="nil"/>
              <w:bottom w:val="nil"/>
              <w:right w:val="nil"/>
            </w:tcBorders>
            <w:shd w:val="clear" w:color="auto" w:fill="auto"/>
            <w:hideMark/>
          </w:tcPr>
          <w:p w14:paraId="67681EBB"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No impact</w:t>
            </w:r>
          </w:p>
        </w:tc>
        <w:tc>
          <w:tcPr>
            <w:tcW w:w="4338" w:type="dxa"/>
            <w:tcBorders>
              <w:top w:val="single" w:sz="4" w:space="0" w:color="ADD6EA"/>
              <w:left w:val="nil"/>
              <w:bottom w:val="nil"/>
              <w:right w:val="nil"/>
            </w:tcBorders>
            <w:shd w:val="clear" w:color="auto" w:fill="auto"/>
            <w:hideMark/>
          </w:tcPr>
          <w:p w14:paraId="206FD283"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Payment supports State services. However, the drivers of Commonwealth funding under this agreement (COVID-19) are likely to be influenced by factors not assessed in the Commission’s Justice assessment.</w:t>
            </w:r>
          </w:p>
        </w:tc>
      </w:tr>
      <w:tr w:rsidR="005F5EE3" w:rsidRPr="00442A3B" w14:paraId="7C797D25" w14:textId="77777777" w:rsidTr="002A39C3">
        <w:trPr>
          <w:trHeight w:val="1035"/>
        </w:trPr>
        <w:tc>
          <w:tcPr>
            <w:tcW w:w="1871" w:type="dxa"/>
            <w:tcBorders>
              <w:top w:val="single" w:sz="4" w:space="0" w:color="ADD6EA"/>
              <w:left w:val="nil"/>
              <w:bottom w:val="nil"/>
              <w:right w:val="nil"/>
            </w:tcBorders>
            <w:shd w:val="clear" w:color="auto" w:fill="auto"/>
            <w:hideMark/>
          </w:tcPr>
          <w:p w14:paraId="7A1654BF"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Family law information sharing</w:t>
            </w:r>
          </w:p>
        </w:tc>
        <w:tc>
          <w:tcPr>
            <w:tcW w:w="851" w:type="dxa"/>
            <w:tcBorders>
              <w:top w:val="single" w:sz="4" w:space="0" w:color="ADD6EA"/>
              <w:left w:val="nil"/>
              <w:bottom w:val="nil"/>
              <w:right w:val="nil"/>
            </w:tcBorders>
            <w:shd w:val="clear" w:color="auto" w:fill="auto"/>
            <w:hideMark/>
          </w:tcPr>
          <w:p w14:paraId="45BE0B03"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3.0</w:t>
            </w:r>
          </w:p>
        </w:tc>
        <w:tc>
          <w:tcPr>
            <w:tcW w:w="567" w:type="dxa"/>
            <w:tcBorders>
              <w:top w:val="single" w:sz="4" w:space="0" w:color="ADD6EA"/>
              <w:left w:val="nil"/>
              <w:bottom w:val="nil"/>
              <w:right w:val="nil"/>
            </w:tcBorders>
            <w:shd w:val="clear" w:color="auto" w:fill="auto"/>
            <w:hideMark/>
          </w:tcPr>
          <w:p w14:paraId="26B95406"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single" w:sz="4" w:space="0" w:color="ADD6EA"/>
              <w:left w:val="nil"/>
              <w:bottom w:val="nil"/>
              <w:right w:val="nil"/>
            </w:tcBorders>
            <w:shd w:val="clear" w:color="auto" w:fill="auto"/>
            <w:hideMark/>
          </w:tcPr>
          <w:p w14:paraId="2ED92D2B"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No impact</w:t>
            </w:r>
          </w:p>
        </w:tc>
        <w:tc>
          <w:tcPr>
            <w:tcW w:w="4338" w:type="dxa"/>
            <w:tcBorders>
              <w:top w:val="single" w:sz="4" w:space="0" w:color="ADD6EA"/>
              <w:left w:val="nil"/>
              <w:bottom w:val="nil"/>
              <w:right w:val="nil"/>
            </w:tcBorders>
            <w:shd w:val="clear" w:color="auto" w:fill="auto"/>
            <w:hideMark/>
          </w:tcPr>
          <w:p w14:paraId="5CA68CEE"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Funding is for a trial placement to support collaboration between the federal family law system and State agencies; the funding predominantly supports a Commonwealth function.</w:t>
            </w:r>
          </w:p>
        </w:tc>
      </w:tr>
      <w:tr w:rsidR="005F5EE3" w:rsidRPr="00442A3B" w14:paraId="76C2D299" w14:textId="77777777" w:rsidTr="002A39C3">
        <w:trPr>
          <w:trHeight w:val="555"/>
        </w:trPr>
        <w:tc>
          <w:tcPr>
            <w:tcW w:w="1871" w:type="dxa"/>
            <w:tcBorders>
              <w:top w:val="single" w:sz="4" w:space="0" w:color="ADD6EA"/>
              <w:left w:val="nil"/>
              <w:bottom w:val="nil"/>
              <w:right w:val="nil"/>
            </w:tcBorders>
            <w:shd w:val="clear" w:color="auto" w:fill="auto"/>
            <w:hideMark/>
          </w:tcPr>
          <w:p w14:paraId="5BC2E9DA"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Household resilience program</w:t>
            </w:r>
          </w:p>
        </w:tc>
        <w:tc>
          <w:tcPr>
            <w:tcW w:w="851" w:type="dxa"/>
            <w:tcBorders>
              <w:top w:val="single" w:sz="4" w:space="0" w:color="ADD6EA"/>
              <w:left w:val="nil"/>
              <w:bottom w:val="nil"/>
              <w:right w:val="nil"/>
            </w:tcBorders>
            <w:shd w:val="clear" w:color="auto" w:fill="auto"/>
            <w:hideMark/>
          </w:tcPr>
          <w:p w14:paraId="5F92424F"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10.0</w:t>
            </w:r>
          </w:p>
        </w:tc>
        <w:tc>
          <w:tcPr>
            <w:tcW w:w="567" w:type="dxa"/>
            <w:tcBorders>
              <w:top w:val="single" w:sz="4" w:space="0" w:color="ADD6EA"/>
              <w:left w:val="nil"/>
              <w:bottom w:val="nil"/>
              <w:right w:val="nil"/>
            </w:tcBorders>
            <w:shd w:val="clear" w:color="auto" w:fill="auto"/>
            <w:hideMark/>
          </w:tcPr>
          <w:p w14:paraId="0906C30B"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single" w:sz="4" w:space="0" w:color="ADD6EA"/>
              <w:left w:val="nil"/>
              <w:bottom w:val="nil"/>
              <w:right w:val="nil"/>
            </w:tcBorders>
            <w:shd w:val="clear" w:color="auto" w:fill="auto"/>
            <w:hideMark/>
          </w:tcPr>
          <w:p w14:paraId="63753783"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No Impact</w:t>
            </w:r>
          </w:p>
        </w:tc>
        <w:tc>
          <w:tcPr>
            <w:tcW w:w="4338" w:type="dxa"/>
            <w:tcBorders>
              <w:top w:val="single" w:sz="4" w:space="0" w:color="ADD6EA"/>
              <w:left w:val="nil"/>
              <w:bottom w:val="nil"/>
              <w:right w:val="nil"/>
            </w:tcBorders>
            <w:shd w:val="clear" w:color="auto" w:fill="auto"/>
            <w:hideMark/>
          </w:tcPr>
          <w:p w14:paraId="22DF9779"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Payment supports State services but needs for environmental disaster mitigation are not assessed.</w:t>
            </w:r>
          </w:p>
        </w:tc>
      </w:tr>
      <w:tr w:rsidR="005F5EE3" w:rsidRPr="00442A3B" w14:paraId="5C136841" w14:textId="77777777" w:rsidTr="002A39C3">
        <w:trPr>
          <w:trHeight w:val="555"/>
        </w:trPr>
        <w:tc>
          <w:tcPr>
            <w:tcW w:w="1871" w:type="dxa"/>
            <w:tcBorders>
              <w:top w:val="single" w:sz="4" w:space="0" w:color="ADD6EA"/>
              <w:left w:val="nil"/>
              <w:bottom w:val="single" w:sz="4" w:space="0" w:color="ADD6EA"/>
              <w:right w:val="nil"/>
            </w:tcBorders>
            <w:shd w:val="clear" w:color="auto" w:fill="auto"/>
            <w:hideMark/>
          </w:tcPr>
          <w:p w14:paraId="2B162906"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National tourism icons package</w:t>
            </w:r>
          </w:p>
        </w:tc>
        <w:tc>
          <w:tcPr>
            <w:tcW w:w="851" w:type="dxa"/>
            <w:tcBorders>
              <w:top w:val="single" w:sz="4" w:space="0" w:color="ADD6EA"/>
              <w:left w:val="nil"/>
              <w:bottom w:val="single" w:sz="4" w:space="0" w:color="ADD6EA"/>
              <w:right w:val="nil"/>
            </w:tcBorders>
            <w:shd w:val="clear" w:color="auto" w:fill="auto"/>
            <w:hideMark/>
          </w:tcPr>
          <w:p w14:paraId="0C30A552"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5.0</w:t>
            </w:r>
          </w:p>
        </w:tc>
        <w:tc>
          <w:tcPr>
            <w:tcW w:w="567" w:type="dxa"/>
            <w:tcBorders>
              <w:top w:val="single" w:sz="4" w:space="0" w:color="ADD6EA"/>
              <w:left w:val="nil"/>
              <w:bottom w:val="single" w:sz="4" w:space="0" w:color="ADD6EA"/>
              <w:right w:val="nil"/>
            </w:tcBorders>
            <w:shd w:val="clear" w:color="auto" w:fill="auto"/>
            <w:hideMark/>
          </w:tcPr>
          <w:p w14:paraId="414301F9" w14:textId="77777777" w:rsidR="00B90ED5" w:rsidRPr="00442A3B" w:rsidRDefault="00B90ED5" w:rsidP="00B90ED5">
            <w:pPr>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 xml:space="preserve"> </w:t>
            </w:r>
          </w:p>
        </w:tc>
        <w:tc>
          <w:tcPr>
            <w:tcW w:w="1275" w:type="dxa"/>
            <w:tcBorders>
              <w:top w:val="single" w:sz="4" w:space="0" w:color="ADD6EA"/>
              <w:left w:val="nil"/>
              <w:bottom w:val="single" w:sz="4" w:space="0" w:color="ADD6EA"/>
              <w:right w:val="nil"/>
            </w:tcBorders>
            <w:shd w:val="clear" w:color="auto" w:fill="auto"/>
            <w:hideMark/>
          </w:tcPr>
          <w:p w14:paraId="42AF765D"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Impact</w:t>
            </w:r>
          </w:p>
        </w:tc>
        <w:tc>
          <w:tcPr>
            <w:tcW w:w="4338" w:type="dxa"/>
            <w:tcBorders>
              <w:top w:val="single" w:sz="4" w:space="0" w:color="ADD6EA"/>
              <w:left w:val="nil"/>
              <w:bottom w:val="single" w:sz="4" w:space="0" w:color="ADD6EA"/>
              <w:right w:val="nil"/>
            </w:tcBorders>
            <w:shd w:val="clear" w:color="auto" w:fill="auto"/>
            <w:hideMark/>
          </w:tcPr>
          <w:p w14:paraId="605C9D82" w14:textId="77777777" w:rsidR="00B90ED5" w:rsidRPr="00442A3B" w:rsidRDefault="00B90ED5" w:rsidP="00B90ED5">
            <w:pPr>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Payment supports State services for which needs are assessed.</w:t>
            </w:r>
          </w:p>
        </w:tc>
      </w:tr>
    </w:tbl>
    <w:p w14:paraId="3763BAC4" w14:textId="7D69BD8C" w:rsidR="006667A0" w:rsidRPr="00442A3B" w:rsidRDefault="006667A0" w:rsidP="006667A0">
      <w:pPr>
        <w:pStyle w:val="CGCTablenote"/>
      </w:pPr>
      <w:r w:rsidRPr="00442A3B">
        <w:t>(a)</w:t>
      </w:r>
      <w:r w:rsidRPr="00442A3B">
        <w:tab/>
        <w:t xml:space="preserve">City and regional deals include a mix of sub-payments. For the treatment </w:t>
      </w:r>
      <w:r w:rsidR="00B1786A" w:rsidRPr="00442A3B">
        <w:t>of</w:t>
      </w:r>
      <w:r w:rsidRPr="00442A3B">
        <w:t xml:space="preserve"> payment</w:t>
      </w:r>
      <w:r w:rsidR="00B1786A" w:rsidRPr="00442A3B">
        <w:t>s made in 2019-20,</w:t>
      </w:r>
      <w:r w:rsidRPr="00442A3B">
        <w:t xml:space="preserve"> see </w:t>
      </w:r>
      <w:r w:rsidR="00271053" w:rsidRPr="00442A3B">
        <w:fldChar w:fldCharType="begin"/>
      </w:r>
      <w:r w:rsidR="00271053" w:rsidRPr="00442A3B">
        <w:instrText xml:space="preserve"> REF _Ref58224542 \h  \* MERGEFORMAT </w:instrText>
      </w:r>
      <w:r w:rsidR="00271053" w:rsidRPr="00442A3B">
        <w:fldChar w:fldCharType="separate"/>
      </w:r>
      <w:r w:rsidR="00FC3D3D" w:rsidRPr="00442A3B">
        <w:t>Table 4-</w:t>
      </w:r>
      <w:r w:rsidR="00FC3D3D">
        <w:t>5</w:t>
      </w:r>
      <w:r w:rsidR="00271053" w:rsidRPr="00442A3B">
        <w:fldChar w:fldCharType="end"/>
      </w:r>
      <w:r w:rsidRPr="00442A3B">
        <w:t>.</w:t>
      </w:r>
    </w:p>
    <w:p w14:paraId="3E709D03" w14:textId="19F95022" w:rsidR="00764FDB" w:rsidRPr="00442A3B" w:rsidRDefault="00E9059C" w:rsidP="00327B81">
      <w:pPr>
        <w:pStyle w:val="Heading3"/>
      </w:pPr>
      <w:bookmarkStart w:id="287" w:name="_Toc65050564"/>
      <w:r w:rsidRPr="00442A3B">
        <w:t xml:space="preserve">Issues raised by </w:t>
      </w:r>
      <w:r w:rsidR="00764FDB" w:rsidRPr="00442A3B">
        <w:t>State</w:t>
      </w:r>
      <w:r w:rsidRPr="00442A3B">
        <w:t>s on Commonwealth payments</w:t>
      </w:r>
      <w:bookmarkEnd w:id="287"/>
      <w:r w:rsidR="00764FDB" w:rsidRPr="00442A3B">
        <w:t xml:space="preserve"> </w:t>
      </w:r>
    </w:p>
    <w:p w14:paraId="5F3CF99F" w14:textId="0F0DDEBA" w:rsidR="009D216E" w:rsidRPr="00442A3B" w:rsidRDefault="009D216E" w:rsidP="009D216E">
      <w:pPr>
        <w:pStyle w:val="Heading4"/>
      </w:pPr>
      <w:bookmarkStart w:id="288" w:name="_Toc65050565"/>
      <w:r w:rsidRPr="00442A3B">
        <w:t>Adult Mental Health Centres</w:t>
      </w:r>
      <w:bookmarkEnd w:id="288"/>
    </w:p>
    <w:p w14:paraId="5D46E989" w14:textId="77777777" w:rsidR="0082389E" w:rsidRPr="00442A3B" w:rsidRDefault="0082389E" w:rsidP="0082389E">
      <w:pPr>
        <w:pStyle w:val="Heading5"/>
      </w:pPr>
      <w:r w:rsidRPr="00442A3B">
        <w:t>Issue</w:t>
      </w:r>
    </w:p>
    <w:p w14:paraId="047A227C" w14:textId="4FF92BAC" w:rsidR="0082389E" w:rsidRPr="00442A3B" w:rsidRDefault="0082389E" w:rsidP="00021B66">
      <w:pPr>
        <w:pStyle w:val="CGCParaNumber"/>
        <w:ind w:left="567" w:hanging="567"/>
      </w:pPr>
      <w:r w:rsidRPr="00442A3B">
        <w:t xml:space="preserve">The purpose of this </w:t>
      </w:r>
      <w:r w:rsidR="00171B8F" w:rsidRPr="00442A3B">
        <w:t>national partnership</w:t>
      </w:r>
      <w:r w:rsidRPr="00442A3B">
        <w:t xml:space="preserve"> payment is to establish an Adult Mental Health Centre in Adelaide. The centre will provide a range of mental health support services. The South Australian centre is one of </w:t>
      </w:r>
      <w:r w:rsidR="005E563D" w:rsidRPr="00442A3B">
        <w:t>8</w:t>
      </w:r>
      <w:r w:rsidRPr="00442A3B">
        <w:t xml:space="preserve"> centres </w:t>
      </w:r>
      <w:r w:rsidR="00B61915" w:rsidRPr="00442A3B">
        <w:t xml:space="preserve">(one in each State) </w:t>
      </w:r>
      <w:r w:rsidRPr="00442A3B">
        <w:t>being established as part of a Commonwealth trial designed to improve accessibility to mental health services for adults.</w:t>
      </w:r>
      <w:r w:rsidR="004C524D" w:rsidRPr="00442A3B">
        <w:t xml:space="preserve"> In all states except South Australia the </w:t>
      </w:r>
      <w:r w:rsidR="00171B8F" w:rsidRPr="00442A3B">
        <w:t>Adult Mental Health Centres</w:t>
      </w:r>
      <w:r w:rsidR="004C524D" w:rsidRPr="00442A3B">
        <w:t xml:space="preserve"> have been funded via Commonwealth </w:t>
      </w:r>
      <w:r w:rsidR="006919A4" w:rsidRPr="00442A3B">
        <w:t>o</w:t>
      </w:r>
      <w:r w:rsidR="004C524D" w:rsidRPr="00442A3B">
        <w:t>wn</w:t>
      </w:r>
      <w:r w:rsidR="006919A4" w:rsidRPr="00442A3B">
        <w:t>-p</w:t>
      </w:r>
      <w:r w:rsidR="004C524D" w:rsidRPr="00442A3B">
        <w:t xml:space="preserve">urpose </w:t>
      </w:r>
      <w:r w:rsidR="006919A4" w:rsidRPr="00442A3B">
        <w:t>e</w:t>
      </w:r>
      <w:r w:rsidR="004C524D" w:rsidRPr="00442A3B">
        <w:t>xpenses</w:t>
      </w:r>
      <w:r w:rsidR="006919A4" w:rsidRPr="00442A3B">
        <w:t xml:space="preserve"> payments</w:t>
      </w:r>
      <w:r w:rsidR="00171B8F" w:rsidRPr="00442A3B">
        <w:t>.</w:t>
      </w:r>
    </w:p>
    <w:p w14:paraId="5C89B03C" w14:textId="7A777F0C" w:rsidR="0082389E" w:rsidRPr="00442A3B" w:rsidRDefault="0082389E" w:rsidP="00021B66">
      <w:pPr>
        <w:pStyle w:val="CGCParaNumber"/>
        <w:ind w:left="567" w:hanging="567"/>
      </w:pPr>
      <w:r w:rsidRPr="00442A3B">
        <w:t xml:space="preserve">The Commission’s methods assess needs for mental health services. The issue for the Commission </w:t>
      </w:r>
      <w:r w:rsidR="004D5C03" w:rsidRPr="00442A3B">
        <w:t>was</w:t>
      </w:r>
      <w:r w:rsidRPr="00442A3B">
        <w:t xml:space="preserve"> whether this payment should also be treated as </w:t>
      </w:r>
      <w:r w:rsidR="008E4D3D" w:rsidRPr="00442A3B">
        <w:t xml:space="preserve">having </w:t>
      </w:r>
      <w:r w:rsidRPr="00442A3B">
        <w:t>no impact</w:t>
      </w:r>
      <w:r w:rsidR="008E4D3D" w:rsidRPr="00442A3B">
        <w:t xml:space="preserve"> on the relativities</w:t>
      </w:r>
      <w:r w:rsidRPr="00442A3B">
        <w:t xml:space="preserve">. </w:t>
      </w:r>
    </w:p>
    <w:p w14:paraId="293AC8B0" w14:textId="77777777" w:rsidR="0082389E" w:rsidRPr="00442A3B" w:rsidRDefault="0082389E" w:rsidP="0082389E">
      <w:pPr>
        <w:pStyle w:val="Heading5"/>
      </w:pPr>
      <w:r w:rsidRPr="00442A3B">
        <w:t>State views</w:t>
      </w:r>
    </w:p>
    <w:p w14:paraId="43D56D53" w14:textId="0E39603C" w:rsidR="0082389E" w:rsidRPr="00442A3B" w:rsidRDefault="1BE15758" w:rsidP="00021B66">
      <w:pPr>
        <w:pStyle w:val="CGCParaNumber"/>
        <w:ind w:left="567" w:hanging="567"/>
      </w:pPr>
      <w:r w:rsidRPr="00442A3B">
        <w:t>Both the ACT and Tasmania support</w:t>
      </w:r>
      <w:r w:rsidR="004B23DA" w:rsidRPr="00442A3B">
        <w:t>ed</w:t>
      </w:r>
      <w:r w:rsidRPr="00442A3B">
        <w:t xml:space="preserve"> consistent treatment across jurisdictions. However, they question</w:t>
      </w:r>
      <w:r w:rsidR="004F4394" w:rsidRPr="00442A3B">
        <w:t>ed</w:t>
      </w:r>
      <w:r w:rsidRPr="00442A3B">
        <w:t xml:space="preserve"> why the payment is assessed as ‘no impact’ given that mental health services are assessed. To that effect, they considered that all funding related to the development of mental health centres should be treated as an impact payment, whether by Commonwealth </w:t>
      </w:r>
      <w:r w:rsidR="005D24D8" w:rsidRPr="00442A3B">
        <w:t>own-p</w:t>
      </w:r>
      <w:r w:rsidRPr="00442A3B">
        <w:t xml:space="preserve">urpose </w:t>
      </w:r>
      <w:r w:rsidR="005D24D8" w:rsidRPr="00442A3B">
        <w:t>e</w:t>
      </w:r>
      <w:r w:rsidRPr="00442A3B">
        <w:t>xpenses or national partnership.</w:t>
      </w:r>
    </w:p>
    <w:p w14:paraId="6DCFDC9F" w14:textId="4B82ED28" w:rsidR="0082389E" w:rsidRPr="00442A3B" w:rsidRDefault="1BE15758" w:rsidP="00021B66">
      <w:pPr>
        <w:pStyle w:val="CGCParaNumber"/>
        <w:ind w:left="567" w:hanging="567"/>
      </w:pPr>
      <w:r w:rsidRPr="00442A3B">
        <w:t xml:space="preserve">South Australia supported ‘no impact’ treatment noting that funding for centres in other jurisdictions has been provided as a Commonwealth </w:t>
      </w:r>
      <w:r w:rsidR="006919A4" w:rsidRPr="00442A3B">
        <w:t>o</w:t>
      </w:r>
      <w:r w:rsidRPr="00442A3B">
        <w:t>wn</w:t>
      </w:r>
      <w:r w:rsidR="006919A4" w:rsidRPr="00442A3B">
        <w:t>-p</w:t>
      </w:r>
      <w:r w:rsidRPr="00442A3B">
        <w:t xml:space="preserve">urpose </w:t>
      </w:r>
      <w:r w:rsidR="006919A4" w:rsidRPr="00442A3B">
        <w:t>e</w:t>
      </w:r>
      <w:r w:rsidRPr="00442A3B">
        <w:t>xpens</w:t>
      </w:r>
      <w:r w:rsidR="006919A4" w:rsidRPr="00442A3B">
        <w:t>e</w:t>
      </w:r>
      <w:r w:rsidR="0082389E" w:rsidRPr="00442A3B">
        <w:t>s</w:t>
      </w:r>
      <w:r w:rsidR="006919A4" w:rsidRPr="00442A3B">
        <w:t xml:space="preserve"> payment</w:t>
      </w:r>
      <w:r w:rsidR="0082389E" w:rsidRPr="00442A3B" w:rsidDel="1BE15758">
        <w:t>.</w:t>
      </w:r>
    </w:p>
    <w:p w14:paraId="5A4FA6F0" w14:textId="77777777" w:rsidR="0082389E" w:rsidRPr="00442A3B" w:rsidRDefault="0082389E" w:rsidP="00C527D6">
      <w:pPr>
        <w:pStyle w:val="Heading5"/>
        <w:keepLines/>
      </w:pPr>
      <w:r w:rsidRPr="00442A3B">
        <w:lastRenderedPageBreak/>
        <w:t>Commission decision</w:t>
      </w:r>
    </w:p>
    <w:p w14:paraId="3CC423AC" w14:textId="28B894D3" w:rsidR="0082389E" w:rsidRPr="00442A3B" w:rsidRDefault="1BE15758" w:rsidP="00C527D6">
      <w:pPr>
        <w:pStyle w:val="CGCParaNumber"/>
        <w:keepNext/>
        <w:keepLines/>
        <w:ind w:left="567" w:hanging="567"/>
      </w:pPr>
      <w:r w:rsidRPr="00442A3B">
        <w:t xml:space="preserve">Where Commonwealth </w:t>
      </w:r>
      <w:r w:rsidR="00443418" w:rsidRPr="00442A3B">
        <w:t>o</w:t>
      </w:r>
      <w:r w:rsidRPr="00442A3B">
        <w:t>wn</w:t>
      </w:r>
      <w:r w:rsidR="00443418" w:rsidRPr="00442A3B">
        <w:t>-p</w:t>
      </w:r>
      <w:r w:rsidRPr="00442A3B">
        <w:t xml:space="preserve">urpose </w:t>
      </w:r>
      <w:r w:rsidR="00443418" w:rsidRPr="00442A3B">
        <w:t>e</w:t>
      </w:r>
      <w:r w:rsidRPr="00442A3B">
        <w:t xml:space="preserve">xpenses affect a State’s fiscal capacity, they should be included in the </w:t>
      </w:r>
      <w:r w:rsidR="000D4A20" w:rsidRPr="00442A3B">
        <w:t>Commission’s</w:t>
      </w:r>
      <w:r w:rsidRPr="00442A3B">
        <w:t xml:space="preserve"> assessment. However, most States could not provide detailed information on this type of revenue, and Government Finance Statistics data do not have a classification code to identify function of government for revenue from Commonwealth grants.</w:t>
      </w:r>
      <w:r w:rsidR="0082389E" w:rsidRPr="00442A3B">
        <w:rPr>
          <w:rStyle w:val="FootnoteReference"/>
        </w:rPr>
        <w:footnoteReference w:id="29"/>
      </w:r>
    </w:p>
    <w:p w14:paraId="4B995932" w14:textId="4B6EF26C" w:rsidR="0082389E" w:rsidRPr="00442A3B" w:rsidRDefault="0082389E" w:rsidP="00021B66">
      <w:pPr>
        <w:pStyle w:val="CGCParaNumber"/>
        <w:ind w:left="567" w:hanging="567"/>
      </w:pPr>
      <w:r w:rsidRPr="00442A3B">
        <w:t>Given the lack of detailed information and the need for consistent treatment across jurisdictions, the Commission treated the payment as not having an impact on State fiscal capacities.</w:t>
      </w:r>
    </w:p>
    <w:p w14:paraId="1C07D9B7" w14:textId="119972F1" w:rsidR="004229D2" w:rsidRPr="00442A3B" w:rsidRDefault="0047105B" w:rsidP="006F1D2E">
      <w:pPr>
        <w:pStyle w:val="Heading4"/>
      </w:pPr>
      <w:bookmarkStart w:id="289" w:name="_Toc65050566"/>
      <w:r w:rsidRPr="00442A3B">
        <w:t>Local Schools Community Fund</w:t>
      </w:r>
      <w:bookmarkEnd w:id="289"/>
    </w:p>
    <w:p w14:paraId="5F6CA372" w14:textId="77777777" w:rsidR="00FA50CB" w:rsidRPr="00442A3B" w:rsidRDefault="00FA50CB" w:rsidP="00FA50CB">
      <w:pPr>
        <w:pStyle w:val="Heading5"/>
      </w:pPr>
      <w:r w:rsidRPr="00442A3B">
        <w:t>Issue</w:t>
      </w:r>
    </w:p>
    <w:p w14:paraId="65C73AEE" w14:textId="77777777" w:rsidR="00FA50CB" w:rsidRPr="00442A3B" w:rsidRDefault="00FA50CB" w:rsidP="00021B66">
      <w:pPr>
        <w:pStyle w:val="CGCParaNumber"/>
        <w:ind w:left="567" w:hanging="567"/>
      </w:pPr>
      <w:r w:rsidRPr="00442A3B">
        <w:t>The 2019-20 Budget provided $30.2 million for the Local Schools Community Fund to provide all schools — government, Catholic and independent — with funding for small scale projects to meet priorities identified by schools and their communities.</w:t>
      </w:r>
    </w:p>
    <w:p w14:paraId="272CB998" w14:textId="0BC424E7" w:rsidR="00FA50CB" w:rsidRPr="00442A3B" w:rsidRDefault="00FA50CB" w:rsidP="00021B66">
      <w:pPr>
        <w:pStyle w:val="CGCParaNumber"/>
        <w:ind w:left="567" w:hanging="567"/>
      </w:pPr>
      <w:r w:rsidRPr="00442A3B">
        <w:t xml:space="preserve">The issue for the Commission </w:t>
      </w:r>
      <w:r w:rsidR="00172F40" w:rsidRPr="00442A3B">
        <w:t>was</w:t>
      </w:r>
      <w:r w:rsidRPr="00442A3B">
        <w:t xml:space="preserve"> whether the funding supports State services, and whether its methods assess needs for these services. </w:t>
      </w:r>
    </w:p>
    <w:p w14:paraId="79D8BCBB" w14:textId="77777777" w:rsidR="00FA50CB" w:rsidRPr="00442A3B" w:rsidRDefault="00FA50CB" w:rsidP="00FA50CB">
      <w:pPr>
        <w:pStyle w:val="Heading5"/>
      </w:pPr>
      <w:r w:rsidRPr="00442A3B">
        <w:t>State views</w:t>
      </w:r>
    </w:p>
    <w:p w14:paraId="0ACD3AD6" w14:textId="77777777" w:rsidR="00FA50CB" w:rsidRPr="00442A3B" w:rsidRDefault="00FA50CB" w:rsidP="00021B66">
      <w:pPr>
        <w:pStyle w:val="CGCParaNumber"/>
        <w:ind w:left="567" w:hanging="567"/>
      </w:pPr>
      <w:r w:rsidRPr="00442A3B">
        <w:t>The ACT and Tasmania supported a ‘no impact’ treatment for independent and Catholic schools, but not for government schools. They said that a portion of the Local School Community funding is for government schools (36% in 2019-20 as noted by the ACT).</w:t>
      </w:r>
    </w:p>
    <w:p w14:paraId="7E56E29B" w14:textId="242D6D4B" w:rsidR="00FA50CB" w:rsidRPr="00442A3B" w:rsidRDefault="00FA50CB" w:rsidP="00021B66">
      <w:pPr>
        <w:pStyle w:val="CGCParaNumber"/>
        <w:ind w:left="567" w:hanging="567"/>
      </w:pPr>
      <w:r w:rsidRPr="00442A3B">
        <w:t xml:space="preserve">The two States said government school services are an assessed State provided service and associated payments should have an </w:t>
      </w:r>
      <w:r w:rsidR="00B46D8A" w:rsidRPr="00442A3B">
        <w:t>impact</w:t>
      </w:r>
      <w:r w:rsidRPr="00442A3B">
        <w:t xml:space="preserve"> on </w:t>
      </w:r>
      <w:r w:rsidR="00B46D8A" w:rsidRPr="00442A3B">
        <w:t xml:space="preserve">the </w:t>
      </w:r>
      <w:r w:rsidRPr="00442A3B">
        <w:t>relativities.</w:t>
      </w:r>
    </w:p>
    <w:p w14:paraId="66403D5B" w14:textId="77777777" w:rsidR="00FA50CB" w:rsidRPr="00442A3B" w:rsidRDefault="00FA50CB" w:rsidP="00FA50CB">
      <w:pPr>
        <w:pStyle w:val="Heading5"/>
      </w:pPr>
      <w:r w:rsidRPr="00442A3B">
        <w:t>Commission decision</w:t>
      </w:r>
    </w:p>
    <w:p w14:paraId="497EBF5F" w14:textId="7A0F7E27" w:rsidR="00FA50CB" w:rsidRPr="00442A3B" w:rsidRDefault="00FA50CB" w:rsidP="00021B66">
      <w:pPr>
        <w:pStyle w:val="CGCParaNumber"/>
        <w:ind w:left="567" w:hanging="567"/>
      </w:pPr>
      <w:r w:rsidRPr="00442A3B">
        <w:t>The Commission accept</w:t>
      </w:r>
      <w:r w:rsidR="00E81DBC" w:rsidRPr="00442A3B">
        <w:t>ed</w:t>
      </w:r>
      <w:r w:rsidRPr="00442A3B">
        <w:t xml:space="preserve"> the arguments of </w:t>
      </w:r>
      <w:r w:rsidR="00DF4DDF" w:rsidRPr="00442A3B">
        <w:t xml:space="preserve">the </w:t>
      </w:r>
      <w:r w:rsidRPr="00442A3B">
        <w:t xml:space="preserve">ACT and Tasmania that funding for government schools supports State services for which needs are assessed. </w:t>
      </w:r>
    </w:p>
    <w:p w14:paraId="1E808E42" w14:textId="3B632ECF" w:rsidR="00FA50CB" w:rsidRPr="00442A3B" w:rsidRDefault="00FA50CB" w:rsidP="00021B66">
      <w:pPr>
        <w:pStyle w:val="CGCParaNumber"/>
        <w:ind w:left="567" w:hanging="567"/>
      </w:pPr>
      <w:r w:rsidRPr="00442A3B">
        <w:t>Given that government schools make up a measurable proportion of the funding, it consider</w:t>
      </w:r>
      <w:r w:rsidR="00E81DBC" w:rsidRPr="00442A3B">
        <w:t>ed</w:t>
      </w:r>
      <w:r w:rsidRPr="00442A3B">
        <w:t xml:space="preserve"> the payments should be split, with funding for government schools </w:t>
      </w:r>
      <w:r w:rsidR="00723C4E" w:rsidRPr="00442A3B">
        <w:t xml:space="preserve">having an impact on the </w:t>
      </w:r>
      <w:r w:rsidR="00EF589A" w:rsidRPr="00442A3B">
        <w:t>relativities</w:t>
      </w:r>
      <w:r w:rsidRPr="00442A3B">
        <w:t xml:space="preserve"> </w:t>
      </w:r>
      <w:r w:rsidR="00333218" w:rsidRPr="00442A3B">
        <w:t>and</w:t>
      </w:r>
      <w:r w:rsidR="00265297" w:rsidRPr="00442A3B">
        <w:t xml:space="preserve"> </w:t>
      </w:r>
      <w:r w:rsidRPr="00442A3B">
        <w:t>funding for non</w:t>
      </w:r>
      <w:r w:rsidR="00FA725A" w:rsidRPr="00442A3B">
        <w:t>-</w:t>
      </w:r>
      <w:r w:rsidRPr="00442A3B">
        <w:t xml:space="preserve">government schools </w:t>
      </w:r>
      <w:r w:rsidR="00723C4E" w:rsidRPr="00442A3B">
        <w:t>having no impact.</w:t>
      </w:r>
      <w:r w:rsidRPr="00442A3B">
        <w:t xml:space="preserve"> This </w:t>
      </w:r>
      <w:r w:rsidR="001B0990" w:rsidRPr="00442A3B">
        <w:t>was</w:t>
      </w:r>
      <w:r w:rsidRPr="00442A3B">
        <w:t xml:space="preserve"> because the Commission assesses needs for government schools.</w:t>
      </w:r>
    </w:p>
    <w:p w14:paraId="36302992" w14:textId="77777777" w:rsidR="00857A91" w:rsidRPr="00442A3B" w:rsidRDefault="00857A91" w:rsidP="00857A91">
      <w:pPr>
        <w:pStyle w:val="Heading4"/>
      </w:pPr>
      <w:bookmarkStart w:id="290" w:name="_Toc65050567"/>
      <w:r w:rsidRPr="00442A3B">
        <w:t>National Disability Insurance Scheme investment in Queensland</w:t>
      </w:r>
      <w:bookmarkEnd w:id="290"/>
    </w:p>
    <w:p w14:paraId="36173FE9" w14:textId="77777777" w:rsidR="007C1300" w:rsidRPr="00442A3B" w:rsidRDefault="007C1300" w:rsidP="007C1300">
      <w:pPr>
        <w:pStyle w:val="Heading5"/>
      </w:pPr>
      <w:r w:rsidRPr="00442A3B">
        <w:t>Issue</w:t>
      </w:r>
    </w:p>
    <w:p w14:paraId="34FBAC94" w14:textId="078F1873" w:rsidR="007C1300" w:rsidRPr="00442A3B" w:rsidRDefault="007C1300" w:rsidP="00021B66">
      <w:pPr>
        <w:pStyle w:val="CGCParaNumber"/>
        <w:ind w:left="567" w:hanging="567"/>
      </w:pPr>
      <w:r w:rsidRPr="00442A3B">
        <w:t xml:space="preserve">The </w:t>
      </w:r>
      <w:bookmarkStart w:id="291" w:name="_Hlk62120661"/>
      <w:r w:rsidRPr="00442A3B">
        <w:t xml:space="preserve">National Disability Insurance Scheme </w:t>
      </w:r>
      <w:bookmarkEnd w:id="291"/>
      <w:r w:rsidRPr="00442A3B">
        <w:t>(NDIS) project agreement will support the delivery of the scheme in Queensland by increasing the number of participants</w:t>
      </w:r>
      <w:r w:rsidR="00427A7B" w:rsidRPr="00442A3B">
        <w:t>.</w:t>
      </w:r>
    </w:p>
    <w:p w14:paraId="361888ED" w14:textId="1366E9CC" w:rsidR="007C1300" w:rsidRPr="00442A3B" w:rsidRDefault="007C1300" w:rsidP="00021B66">
      <w:pPr>
        <w:pStyle w:val="CGCParaNumber"/>
        <w:ind w:left="567" w:hanging="567"/>
      </w:pPr>
      <w:r w:rsidRPr="00442A3B">
        <w:t xml:space="preserve">The issue for the Commission </w:t>
      </w:r>
      <w:r w:rsidR="00F135EE" w:rsidRPr="00442A3B">
        <w:t>was</w:t>
      </w:r>
      <w:r w:rsidRPr="00442A3B">
        <w:t xml:space="preserve"> whether this funding supports State services, and whether its methods assess needs for these services. </w:t>
      </w:r>
    </w:p>
    <w:p w14:paraId="6649B9CC" w14:textId="77777777" w:rsidR="007C1300" w:rsidRPr="00442A3B" w:rsidRDefault="007C1300" w:rsidP="007C1300">
      <w:pPr>
        <w:pStyle w:val="Heading5"/>
      </w:pPr>
      <w:r w:rsidRPr="00442A3B">
        <w:lastRenderedPageBreak/>
        <w:t>State views</w:t>
      </w:r>
    </w:p>
    <w:p w14:paraId="3569AED0" w14:textId="77777777" w:rsidR="007C1300" w:rsidRPr="00442A3B" w:rsidRDefault="007C1300" w:rsidP="00021B66">
      <w:pPr>
        <w:pStyle w:val="CGCParaNumber"/>
        <w:ind w:left="567" w:hanging="567"/>
      </w:pPr>
      <w:r w:rsidRPr="00442A3B">
        <w:t>Tasmania noted that the payment relates to specific projects to assist with, or research, issues relating to accessing NDIS services, and to support organisations and individuals in becoming providers. It concluded that funding is not related directly to providing NDIS services to participants.</w:t>
      </w:r>
    </w:p>
    <w:p w14:paraId="32642406" w14:textId="77777777" w:rsidR="007C1300" w:rsidRPr="00442A3B" w:rsidRDefault="007C1300" w:rsidP="00021B66">
      <w:pPr>
        <w:pStyle w:val="CGCParaNumber"/>
        <w:ind w:left="567" w:hanging="567"/>
      </w:pPr>
      <w:r w:rsidRPr="00442A3B">
        <w:t xml:space="preserve">Tasmania argued that if project funding is delivering functions similar to those that are normally provided by States, and those functions are captured by the welfare assessment, then the payment should be treated as having an impact on State relativities. </w:t>
      </w:r>
    </w:p>
    <w:p w14:paraId="46C6D870" w14:textId="77777777" w:rsidR="007C1300" w:rsidRPr="00442A3B" w:rsidRDefault="007C1300" w:rsidP="007C1300">
      <w:pPr>
        <w:pStyle w:val="Heading5"/>
      </w:pPr>
      <w:r w:rsidRPr="00442A3B">
        <w:t>Commission decision</w:t>
      </w:r>
    </w:p>
    <w:p w14:paraId="556A2DDB" w14:textId="5444596C" w:rsidR="007C1300" w:rsidRPr="00442A3B" w:rsidRDefault="007C1300" w:rsidP="00021B66">
      <w:pPr>
        <w:pStyle w:val="CGCParaNumber"/>
        <w:ind w:left="567" w:hanging="567"/>
      </w:pPr>
      <w:r w:rsidRPr="00442A3B">
        <w:t>The Commission recognis</w:t>
      </w:r>
      <w:r w:rsidR="00A11582" w:rsidRPr="00442A3B">
        <w:t>ed</w:t>
      </w:r>
      <w:r w:rsidRPr="00442A3B">
        <w:t xml:space="preserve"> the NDIS as a Commonwealth responsibility. In the past, the Commission has either quarantined all Commonwealth payments related to the National Disability Insurance Scheme or assessed them as having no impact. </w:t>
      </w:r>
    </w:p>
    <w:p w14:paraId="656E1D59" w14:textId="1FF767C2" w:rsidR="007C1300" w:rsidRPr="00442A3B" w:rsidRDefault="007C1300" w:rsidP="00021B66">
      <w:pPr>
        <w:pStyle w:val="CGCParaNumber"/>
        <w:ind w:left="567" w:hanging="567"/>
      </w:pPr>
      <w:r w:rsidRPr="00442A3B">
        <w:t>The Commission decided to continue this practice and treated this payment as having no effect on relativities.</w:t>
      </w:r>
    </w:p>
    <w:p w14:paraId="149BED9C" w14:textId="77777777" w:rsidR="00475C70" w:rsidRPr="00442A3B" w:rsidRDefault="00475C70" w:rsidP="00475C70">
      <w:pPr>
        <w:pStyle w:val="Heading4"/>
      </w:pPr>
      <w:bookmarkStart w:id="292" w:name="_Toc65050568"/>
      <w:r w:rsidRPr="00442A3B">
        <w:t>Grace’s Place residential trauma recovery centre</w:t>
      </w:r>
      <w:bookmarkEnd w:id="292"/>
    </w:p>
    <w:p w14:paraId="31C98CBD" w14:textId="77777777" w:rsidR="007B22DF" w:rsidRPr="00442A3B" w:rsidRDefault="007B22DF" w:rsidP="007B22DF">
      <w:pPr>
        <w:pStyle w:val="Heading5"/>
      </w:pPr>
      <w:r w:rsidRPr="00442A3B">
        <w:t>Issue</w:t>
      </w:r>
    </w:p>
    <w:p w14:paraId="1C290C8C" w14:textId="347014EF" w:rsidR="007B22DF" w:rsidRPr="00442A3B" w:rsidRDefault="633841F7" w:rsidP="00021B66">
      <w:pPr>
        <w:pStyle w:val="CGCParaNumber"/>
        <w:ind w:left="567" w:hanging="567"/>
      </w:pPr>
      <w:r w:rsidRPr="00442A3B">
        <w:t xml:space="preserve">This </w:t>
      </w:r>
      <w:r w:rsidR="106AA32A" w:rsidRPr="00442A3B">
        <w:t>program provides funding</w:t>
      </w:r>
      <w:r w:rsidRPr="00442A3B">
        <w:t xml:space="preserve"> to New South Wales to assist with the construction of a residential trauma recovery centre for children and young people aged between 3 and 18 years affected by homicide. Th</w:t>
      </w:r>
      <w:r w:rsidR="468877AC" w:rsidRPr="00442A3B">
        <w:t>e</w:t>
      </w:r>
      <w:r w:rsidRPr="00442A3B">
        <w:t xml:space="preserve"> payment is disbursed to the Homicide Victims Support Group (a non-government organisation) through </w:t>
      </w:r>
      <w:r w:rsidR="5FB61171" w:rsidRPr="00442A3B">
        <w:t xml:space="preserve">the </w:t>
      </w:r>
      <w:r w:rsidRPr="00442A3B">
        <w:t>New South Wales</w:t>
      </w:r>
      <w:r w:rsidR="5FB61171" w:rsidRPr="00442A3B">
        <w:t xml:space="preserve"> </w:t>
      </w:r>
      <w:r w:rsidR="3C0C4D97" w:rsidRPr="00442A3B">
        <w:t>government</w:t>
      </w:r>
    </w:p>
    <w:p w14:paraId="6DD32130" w14:textId="6288AC5C" w:rsidR="007B22DF" w:rsidRPr="00442A3B" w:rsidRDefault="007B22DF" w:rsidP="00021B66">
      <w:pPr>
        <w:pStyle w:val="CGCParaNumber"/>
        <w:ind w:left="567" w:hanging="567"/>
      </w:pPr>
      <w:r w:rsidRPr="00442A3B">
        <w:t xml:space="preserve">The issue for the Commission </w:t>
      </w:r>
      <w:r w:rsidR="006E6BA0" w:rsidRPr="00442A3B">
        <w:t>was</w:t>
      </w:r>
      <w:r w:rsidRPr="00442A3B">
        <w:t xml:space="preserve"> whether the project will improve </w:t>
      </w:r>
      <w:r w:rsidR="00D36351" w:rsidRPr="00442A3B">
        <w:t>New South Wales’</w:t>
      </w:r>
      <w:r w:rsidRPr="00442A3B">
        <w:t xml:space="preserve"> fiscal capacity. Ordinarily, a payment to a third party would be treated as </w:t>
      </w:r>
      <w:r w:rsidR="00EF2694" w:rsidRPr="00442A3B">
        <w:t xml:space="preserve">having </w:t>
      </w:r>
      <w:r w:rsidRPr="00442A3B">
        <w:t>no impact</w:t>
      </w:r>
      <w:r w:rsidR="00EF2694" w:rsidRPr="00442A3B">
        <w:t xml:space="preserve"> on relativitie</w:t>
      </w:r>
      <w:r w:rsidR="00E07776" w:rsidRPr="00442A3B">
        <w:t>s</w:t>
      </w:r>
      <w:r w:rsidRPr="00442A3B">
        <w:t xml:space="preserve"> but this is not the case if needs are assessed for the policy issue being addressed, in this case mental health.</w:t>
      </w:r>
    </w:p>
    <w:p w14:paraId="57AD0F78" w14:textId="77777777" w:rsidR="007B22DF" w:rsidRPr="00442A3B" w:rsidRDefault="007B22DF" w:rsidP="007B22DF">
      <w:pPr>
        <w:pStyle w:val="Heading5"/>
      </w:pPr>
      <w:r w:rsidRPr="00442A3B">
        <w:t>State views</w:t>
      </w:r>
    </w:p>
    <w:p w14:paraId="25375120" w14:textId="7911322A" w:rsidR="007B22DF" w:rsidRPr="00442A3B" w:rsidRDefault="007B22DF" w:rsidP="00021B66">
      <w:pPr>
        <w:pStyle w:val="CGCParaNumber"/>
        <w:ind w:left="567" w:hanging="567"/>
      </w:pPr>
      <w:r w:rsidRPr="00442A3B">
        <w:t xml:space="preserve">Queensland and Tasmania said this payment should affect relativities as it is for mental health services, for which needs are assessed. They </w:t>
      </w:r>
      <w:r w:rsidR="002C21A2" w:rsidRPr="00442A3B">
        <w:t>argued that</w:t>
      </w:r>
      <w:r w:rsidRPr="00442A3B">
        <w:t xml:space="preserve"> the primary consideration should be the purpose of the payment and not how the payment is structured or dispersed.</w:t>
      </w:r>
    </w:p>
    <w:p w14:paraId="56300CFE" w14:textId="77777777" w:rsidR="007B22DF" w:rsidRPr="00442A3B" w:rsidRDefault="007B22DF" w:rsidP="007B22DF">
      <w:pPr>
        <w:pStyle w:val="Heading5"/>
      </w:pPr>
      <w:r w:rsidRPr="00442A3B">
        <w:t>Commission decision</w:t>
      </w:r>
    </w:p>
    <w:p w14:paraId="0C6F5A59" w14:textId="579C76A6" w:rsidR="007B22DF" w:rsidRPr="00442A3B" w:rsidRDefault="007B22DF" w:rsidP="00021B66">
      <w:pPr>
        <w:pStyle w:val="CGCParaNumber"/>
        <w:ind w:left="567" w:hanging="567"/>
      </w:pPr>
      <w:r w:rsidRPr="00442A3B">
        <w:t xml:space="preserve">The payment supports the construction of facilities that provide mental health services, for which needs are assessed. While the payment is provided to a third party, the services provided will have an impact on the </w:t>
      </w:r>
      <w:r w:rsidR="000E527F" w:rsidRPr="00442A3B">
        <w:t xml:space="preserve">demand </w:t>
      </w:r>
      <w:r w:rsidRPr="00442A3B">
        <w:t xml:space="preserve">for State services. The Commission treated the payment as having an impact on </w:t>
      </w:r>
      <w:r w:rsidR="004F57D0" w:rsidRPr="00442A3B">
        <w:t>relativities</w:t>
      </w:r>
      <w:r w:rsidRPr="00442A3B">
        <w:t xml:space="preserve"> consistent with its treatment of other mental health services.</w:t>
      </w:r>
    </w:p>
    <w:p w14:paraId="06A4BDBC" w14:textId="77777777" w:rsidR="00FC2AC1" w:rsidRPr="00442A3B" w:rsidRDefault="00FC2AC1" w:rsidP="00FC2AC1">
      <w:pPr>
        <w:pStyle w:val="Heading4"/>
      </w:pPr>
      <w:bookmarkStart w:id="293" w:name="_Toc65050569"/>
      <w:r w:rsidRPr="00442A3B">
        <w:t>City Deals</w:t>
      </w:r>
      <w:bookmarkEnd w:id="293"/>
    </w:p>
    <w:p w14:paraId="015B05C4" w14:textId="77777777" w:rsidR="0007137B" w:rsidRPr="00442A3B" w:rsidRDefault="0007137B" w:rsidP="0007137B">
      <w:pPr>
        <w:pStyle w:val="Heading5"/>
      </w:pPr>
      <w:r w:rsidRPr="00442A3B">
        <w:t>Issue</w:t>
      </w:r>
    </w:p>
    <w:p w14:paraId="1BF8E9C0" w14:textId="77777777" w:rsidR="0007137B" w:rsidRPr="00442A3B" w:rsidRDefault="0007137B" w:rsidP="00021B66">
      <w:pPr>
        <w:pStyle w:val="CGCParaNumber"/>
        <w:ind w:left="567" w:hanging="567"/>
      </w:pPr>
      <w:r w:rsidRPr="00442A3B">
        <w:t>The Commonwealth provides funding to various city and regional areas to support a range of projects in the Commonwealth, State, local and non-government sectors.</w:t>
      </w:r>
    </w:p>
    <w:p w14:paraId="372C3169" w14:textId="25F48569" w:rsidR="0007137B" w:rsidRPr="00442A3B" w:rsidRDefault="0007137B" w:rsidP="00021B66">
      <w:pPr>
        <w:pStyle w:val="CGCParaNumber"/>
        <w:ind w:left="567" w:hanging="567"/>
      </w:pPr>
      <w:r w:rsidRPr="00442A3B">
        <w:lastRenderedPageBreak/>
        <w:t xml:space="preserve">The issue for the Commission </w:t>
      </w:r>
      <w:r w:rsidR="00847F3A" w:rsidRPr="00442A3B">
        <w:t>was</w:t>
      </w:r>
      <w:r w:rsidRPr="00442A3B">
        <w:t xml:space="preserve"> whether its methods assess needs for these payments, given that City deals encompass payments for multiple purposes.</w:t>
      </w:r>
    </w:p>
    <w:p w14:paraId="35705323" w14:textId="77777777" w:rsidR="0007137B" w:rsidRPr="00442A3B" w:rsidRDefault="0007137B" w:rsidP="0007137B">
      <w:pPr>
        <w:pStyle w:val="Heading5"/>
      </w:pPr>
      <w:r w:rsidRPr="00442A3B">
        <w:t>State views</w:t>
      </w:r>
    </w:p>
    <w:p w14:paraId="31323A89" w14:textId="77777777" w:rsidR="0007137B" w:rsidRPr="00442A3B" w:rsidRDefault="0007137B" w:rsidP="00021B66">
      <w:pPr>
        <w:pStyle w:val="CGCParaNumber"/>
        <w:ind w:left="567" w:hanging="567"/>
      </w:pPr>
      <w:r w:rsidRPr="00442A3B">
        <w:t>Queensland noted that the city deals involve multiple sub-projects. Therefore, it said the Commission should assess these projects individually.</w:t>
      </w:r>
    </w:p>
    <w:p w14:paraId="6EFC64EC" w14:textId="6AC645F3" w:rsidR="0007137B" w:rsidRPr="00442A3B" w:rsidRDefault="0007137B" w:rsidP="00021B66">
      <w:pPr>
        <w:pStyle w:val="CGCParaNumber"/>
        <w:ind w:left="567" w:hanging="567"/>
      </w:pPr>
      <w:r w:rsidRPr="00442A3B">
        <w:t>South Australia said there should not be a blanket determination for all funding under a program. It noted that some funding will be passed to non-government entities and cited the example of the Western Sydney City Deal, which has split treatment according to the ultimate recipient of the funding.</w:t>
      </w:r>
    </w:p>
    <w:p w14:paraId="63B892B1" w14:textId="3CC9BAFC" w:rsidR="0007137B" w:rsidRPr="00442A3B" w:rsidRDefault="0007137B" w:rsidP="00021B66">
      <w:pPr>
        <w:pStyle w:val="CGCParaNumber"/>
        <w:ind w:left="567" w:hanging="567"/>
      </w:pPr>
      <w:r w:rsidRPr="00442A3B">
        <w:t xml:space="preserve">The ACT noted that the development of an Education and Community Precinct in the Darwin Central Business District is a major objective of the Darwin City Deal. It said several projects, including the relocation of the Northern Territory Library, development of an art gallery and construction of associated infrastructure, including roads, are not directly related to the Charles Darwin University. Therefore, the ACT considered that there should be further investigation into this deal, with payments </w:t>
      </w:r>
      <w:r w:rsidR="00C76420" w:rsidRPr="00442A3B">
        <w:t xml:space="preserve">having an impact </w:t>
      </w:r>
      <w:r w:rsidR="00697CD5" w:rsidRPr="00442A3B">
        <w:t>on</w:t>
      </w:r>
      <w:r w:rsidRPr="00442A3B">
        <w:t xml:space="preserve"> relativities where funds are used for State and Territory service delivery for which needs are normally assessed.</w:t>
      </w:r>
    </w:p>
    <w:p w14:paraId="3AE06BF0" w14:textId="77777777" w:rsidR="0007137B" w:rsidRPr="00442A3B" w:rsidRDefault="0007137B" w:rsidP="00021B66">
      <w:pPr>
        <w:pStyle w:val="CGCParaNumber"/>
        <w:ind w:left="567" w:hanging="567"/>
      </w:pPr>
      <w:r w:rsidRPr="00442A3B">
        <w:t>The ACT considered that some of the funds used for the Launceston City Deal, including the development of the Launceston Creative Precinct and new bus interchange, relate to expenditure where needs are assessed. Therefore, the funds for these projects should affect relativities.</w:t>
      </w:r>
    </w:p>
    <w:p w14:paraId="4E99B5A5" w14:textId="77777777" w:rsidR="0007137B" w:rsidRPr="00442A3B" w:rsidRDefault="0007137B" w:rsidP="0007137B">
      <w:pPr>
        <w:pStyle w:val="Heading5"/>
      </w:pPr>
      <w:r w:rsidRPr="00442A3B">
        <w:t>Commission decision</w:t>
      </w:r>
    </w:p>
    <w:p w14:paraId="79DA6483" w14:textId="532FDDBF" w:rsidR="0007137B" w:rsidRPr="00442A3B" w:rsidRDefault="0007137B" w:rsidP="00021B66">
      <w:pPr>
        <w:pStyle w:val="CGCParaNumber"/>
        <w:ind w:left="567" w:hanging="567"/>
      </w:pPr>
      <w:r w:rsidRPr="00442A3B">
        <w:t>The Commission used data on each payment provided by the Department of Infrastructure, Transport, Regional Development and Communications. If the payment was for investment in State type services for which needs are assessed, the payment affect</w:t>
      </w:r>
      <w:r w:rsidR="00152D33" w:rsidRPr="00442A3B">
        <w:t>ed</w:t>
      </w:r>
      <w:r w:rsidRPr="00442A3B">
        <w:t xml:space="preserve"> relativities. If the payment reflects a Commonwealth responsibility or was provided for non-State services, the payment </w:t>
      </w:r>
      <w:r w:rsidR="00152D33" w:rsidRPr="00442A3B">
        <w:t>did</w:t>
      </w:r>
      <w:r w:rsidRPr="00442A3B">
        <w:t xml:space="preserve"> not affect relativities. </w:t>
      </w:r>
      <w:r w:rsidRPr="00442A3B">
        <w:fldChar w:fldCharType="begin"/>
      </w:r>
      <w:r w:rsidRPr="00442A3B">
        <w:instrText xml:space="preserve"> REF _Ref58224542 \h </w:instrText>
      </w:r>
      <w:r w:rsidR="00F94D52" w:rsidRPr="00442A3B">
        <w:instrText xml:space="preserve"> \* MERGEFORMAT </w:instrText>
      </w:r>
      <w:r w:rsidRPr="00442A3B">
        <w:fldChar w:fldCharType="separate"/>
      </w:r>
      <w:r w:rsidR="00FC3D3D" w:rsidRPr="00442A3B">
        <w:t>Table 4-</w:t>
      </w:r>
      <w:r w:rsidR="00FC3D3D">
        <w:t>5</w:t>
      </w:r>
      <w:r w:rsidRPr="00442A3B">
        <w:fldChar w:fldCharType="end"/>
      </w:r>
      <w:r w:rsidRPr="00442A3B">
        <w:t xml:space="preserve"> shows the treatment in </w:t>
      </w:r>
      <w:r w:rsidR="00CF6909" w:rsidRPr="00442A3B">
        <w:t>2019</w:t>
      </w:r>
      <w:r w:rsidR="00BC1436" w:rsidRPr="00442A3B">
        <w:noBreakHyphen/>
      </w:r>
      <w:r w:rsidR="003C0543" w:rsidRPr="00442A3B">
        <w:t>20</w:t>
      </w:r>
      <w:r w:rsidRPr="00442A3B">
        <w:t>.</w:t>
      </w:r>
    </w:p>
    <w:p w14:paraId="50E966C1" w14:textId="4E9DF549" w:rsidR="00645971" w:rsidRPr="00442A3B" w:rsidRDefault="00645971" w:rsidP="00387962">
      <w:pPr>
        <w:pStyle w:val="Caption"/>
      </w:pPr>
      <w:bookmarkStart w:id="294" w:name="_Ref58224542"/>
      <w:r w:rsidRPr="00442A3B">
        <w:t xml:space="preserve">Table </w:t>
      </w:r>
      <w:r w:rsidR="00F94D52" w:rsidRPr="00442A3B">
        <w:t>4-</w:t>
      </w:r>
      <w:r w:rsidRPr="00442A3B">
        <w:fldChar w:fldCharType="begin"/>
      </w:r>
      <w:r w:rsidRPr="00442A3B">
        <w:instrText>SEQ Table \* ARABIC</w:instrText>
      </w:r>
      <w:r w:rsidRPr="00442A3B">
        <w:fldChar w:fldCharType="separate"/>
      </w:r>
      <w:r w:rsidR="00FC3D3D">
        <w:rPr>
          <w:noProof/>
        </w:rPr>
        <w:t>5</w:t>
      </w:r>
      <w:r w:rsidRPr="00442A3B">
        <w:fldChar w:fldCharType="end"/>
      </w:r>
      <w:bookmarkEnd w:id="294"/>
      <w:r w:rsidRPr="00442A3B">
        <w:tab/>
        <w:t>Treatment of city and regional deals</w:t>
      </w:r>
      <w:r w:rsidR="00AF500B" w:rsidRPr="00442A3B">
        <w:t xml:space="preserve"> </w:t>
      </w:r>
    </w:p>
    <w:tbl>
      <w:tblPr>
        <w:tblW w:w="9015" w:type="dxa"/>
        <w:tblBorders>
          <w:top w:val="single" w:sz="4" w:space="0" w:color="ADD6EA"/>
          <w:bottom w:val="single" w:sz="4" w:space="0" w:color="ADD6EA"/>
          <w:insideH w:val="single" w:sz="4" w:space="0" w:color="ADD6EA"/>
        </w:tblBorders>
        <w:tblCellMar>
          <w:left w:w="28" w:type="dxa"/>
          <w:right w:w="28" w:type="dxa"/>
        </w:tblCellMar>
        <w:tblLook w:val="04A0" w:firstRow="1" w:lastRow="0" w:firstColumn="1" w:lastColumn="0" w:noHBand="0" w:noVBand="1"/>
      </w:tblPr>
      <w:tblGrid>
        <w:gridCol w:w="3147"/>
        <w:gridCol w:w="1612"/>
        <w:gridCol w:w="1258"/>
        <w:gridCol w:w="2998"/>
      </w:tblGrid>
      <w:tr w:rsidR="00645971" w:rsidRPr="00442A3B" w14:paraId="71314B92" w14:textId="77777777" w:rsidTr="008258A6">
        <w:trPr>
          <w:trHeight w:val="555"/>
        </w:trPr>
        <w:tc>
          <w:tcPr>
            <w:tcW w:w="3147" w:type="dxa"/>
            <w:shd w:val="clear" w:color="auto" w:fill="006991"/>
            <w:noWrap/>
            <w:hideMark/>
          </w:tcPr>
          <w:p w14:paraId="2517CB90" w14:textId="77777777" w:rsidR="00645971" w:rsidRPr="00442A3B" w:rsidRDefault="00645971" w:rsidP="00E846EF">
            <w:pPr>
              <w:pStyle w:val="CGCTableHeading"/>
              <w:rPr>
                <w:rFonts w:ascii="Symbol" w:eastAsia="MS Mincho" w:hAnsi="Symbol" w:cs="Symbol" w:hint="eastAsia"/>
                <w:szCs w:val="16"/>
                <w:lang w:eastAsia="en-AU"/>
              </w:rPr>
            </w:pPr>
            <w:bookmarkStart w:id="295" w:name="RANGE!A3:D13"/>
            <w:bookmarkStart w:id="296" w:name="_Toc56757588"/>
            <w:bookmarkStart w:id="297" w:name="_Toc57379363"/>
            <w:r w:rsidRPr="00442A3B">
              <w:rPr>
                <w:lang w:eastAsia="en-AU"/>
              </w:rPr>
              <w:t>City Deal</w:t>
            </w:r>
            <w:bookmarkEnd w:id="295"/>
          </w:p>
        </w:tc>
        <w:tc>
          <w:tcPr>
            <w:tcW w:w="1612" w:type="dxa"/>
            <w:shd w:val="clear" w:color="auto" w:fill="006991"/>
            <w:noWrap/>
            <w:hideMark/>
          </w:tcPr>
          <w:p w14:paraId="1CE917CD" w14:textId="77777777" w:rsidR="00645971" w:rsidRPr="00442A3B" w:rsidRDefault="00645971" w:rsidP="00E846EF">
            <w:pPr>
              <w:pStyle w:val="CGCTableHeading"/>
              <w:rPr>
                <w:rFonts w:ascii="Symbol" w:eastAsia="MS Mincho" w:hAnsi="Symbol" w:cs="Symbol" w:hint="eastAsia"/>
                <w:szCs w:val="16"/>
                <w:lang w:eastAsia="en-AU"/>
              </w:rPr>
            </w:pPr>
            <w:r w:rsidRPr="00442A3B">
              <w:rPr>
                <w:lang w:eastAsia="en-AU"/>
              </w:rPr>
              <w:t>State</w:t>
            </w:r>
          </w:p>
        </w:tc>
        <w:tc>
          <w:tcPr>
            <w:tcW w:w="1258" w:type="dxa"/>
            <w:shd w:val="clear" w:color="auto" w:fill="006991"/>
            <w:hideMark/>
          </w:tcPr>
          <w:p w14:paraId="3542C7B3" w14:textId="77777777" w:rsidR="00645971" w:rsidRPr="00442A3B" w:rsidRDefault="00645971" w:rsidP="00690608">
            <w:pPr>
              <w:pStyle w:val="CGCTableHeading"/>
              <w:jc w:val="right"/>
              <w:rPr>
                <w:rFonts w:ascii="Symbol" w:eastAsia="MS Mincho" w:hAnsi="Symbol" w:cs="Symbol" w:hint="eastAsia"/>
                <w:szCs w:val="16"/>
                <w:lang w:eastAsia="en-AU"/>
              </w:rPr>
            </w:pPr>
            <w:r w:rsidRPr="00442A3B">
              <w:rPr>
                <w:lang w:eastAsia="en-AU"/>
              </w:rPr>
              <w:t>Spending in 2019-20</w:t>
            </w:r>
          </w:p>
        </w:tc>
        <w:tc>
          <w:tcPr>
            <w:tcW w:w="2998" w:type="dxa"/>
            <w:shd w:val="clear" w:color="auto" w:fill="006991"/>
            <w:hideMark/>
          </w:tcPr>
          <w:p w14:paraId="5DF3E8A8" w14:textId="61487569" w:rsidR="00645971" w:rsidRPr="00442A3B" w:rsidRDefault="00690608" w:rsidP="00690608">
            <w:pPr>
              <w:pStyle w:val="CGCTableHeading"/>
              <w:jc w:val="right"/>
              <w:rPr>
                <w:rFonts w:ascii="Symbol" w:eastAsia="MS Mincho" w:hAnsi="Symbol" w:cs="Symbol" w:hint="eastAsia"/>
                <w:szCs w:val="16"/>
                <w:lang w:eastAsia="en-AU"/>
              </w:rPr>
            </w:pPr>
            <w:r w:rsidRPr="00442A3B">
              <w:rPr>
                <w:rFonts w:eastAsia="Times New Roman" w:cs="Open Sans Semibold"/>
                <w:szCs w:val="16"/>
                <w:lang w:eastAsia="en-AU"/>
              </w:rPr>
              <w:t>Proportion of spending affecting relativities</w:t>
            </w:r>
          </w:p>
        </w:tc>
      </w:tr>
      <w:tr w:rsidR="00AD5512" w:rsidRPr="00442A3B" w14:paraId="4BB74D4D" w14:textId="77777777" w:rsidTr="005913E9">
        <w:trPr>
          <w:trHeight w:val="284"/>
        </w:trPr>
        <w:tc>
          <w:tcPr>
            <w:tcW w:w="3147" w:type="dxa"/>
            <w:shd w:val="clear" w:color="auto" w:fill="B6D5E4"/>
            <w:noWrap/>
            <w:vAlign w:val="bottom"/>
          </w:tcPr>
          <w:p w14:paraId="3BFCFBA5" w14:textId="77777777" w:rsidR="00AD5512" w:rsidRPr="00442A3B" w:rsidRDefault="00AD5512" w:rsidP="00645971">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p>
        </w:tc>
        <w:tc>
          <w:tcPr>
            <w:tcW w:w="1612" w:type="dxa"/>
            <w:shd w:val="clear" w:color="auto" w:fill="B6D5E4"/>
            <w:noWrap/>
            <w:vAlign w:val="bottom"/>
          </w:tcPr>
          <w:p w14:paraId="734EC447" w14:textId="77777777" w:rsidR="00AD5512" w:rsidRPr="00442A3B" w:rsidRDefault="00AD5512" w:rsidP="00645971">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p>
        </w:tc>
        <w:tc>
          <w:tcPr>
            <w:tcW w:w="1258" w:type="dxa"/>
            <w:shd w:val="clear" w:color="auto" w:fill="B6D5E4"/>
            <w:noWrap/>
            <w:vAlign w:val="bottom"/>
          </w:tcPr>
          <w:p w14:paraId="2FCCC1BE" w14:textId="4ED702B2" w:rsidR="00AD5512" w:rsidRPr="00442A3B" w:rsidRDefault="00AD5512" w:rsidP="00A62796">
            <w:pPr>
              <w:pStyle w:val="CGCTablesubhead1"/>
              <w:jc w:val="right"/>
              <w:rPr>
                <w:rFonts w:eastAsia="Times New Roman" w:cs="Open Sans Semibold"/>
                <w:color w:val="000000"/>
                <w:szCs w:val="16"/>
                <w:lang w:eastAsia="en-AU"/>
              </w:rPr>
            </w:pPr>
            <w:r w:rsidRPr="00442A3B">
              <w:rPr>
                <w:rFonts w:eastAsia="Times New Roman" w:cs="Open Sans Semibold"/>
                <w:color w:val="000000"/>
                <w:szCs w:val="16"/>
                <w:lang w:eastAsia="en-AU"/>
              </w:rPr>
              <w:t>$m</w:t>
            </w:r>
          </w:p>
        </w:tc>
        <w:tc>
          <w:tcPr>
            <w:tcW w:w="2998" w:type="dxa"/>
            <w:shd w:val="clear" w:color="auto" w:fill="B6D5E4"/>
            <w:noWrap/>
            <w:vAlign w:val="bottom"/>
          </w:tcPr>
          <w:p w14:paraId="5D3169DE" w14:textId="298F3F9B" w:rsidR="00AD5512" w:rsidRPr="00442A3B" w:rsidRDefault="00AD5512" w:rsidP="00A62796">
            <w:pPr>
              <w:pStyle w:val="CGCTablesubhead1"/>
              <w:jc w:val="right"/>
              <w:rPr>
                <w:rFonts w:eastAsia="Times New Roman" w:cs="Open Sans Semibold"/>
                <w:color w:val="000000"/>
                <w:szCs w:val="16"/>
                <w:lang w:eastAsia="en-AU"/>
              </w:rPr>
            </w:pPr>
            <w:r w:rsidRPr="00442A3B">
              <w:rPr>
                <w:rFonts w:eastAsia="Times New Roman" w:cs="Open Sans Semibold"/>
                <w:color w:val="000000"/>
                <w:szCs w:val="16"/>
                <w:lang w:eastAsia="en-AU"/>
              </w:rPr>
              <w:t>%</w:t>
            </w:r>
          </w:p>
        </w:tc>
      </w:tr>
      <w:tr w:rsidR="00645971" w:rsidRPr="00442A3B" w14:paraId="2D84DE0D" w14:textId="77777777" w:rsidTr="00E846EF">
        <w:trPr>
          <w:trHeight w:val="284"/>
        </w:trPr>
        <w:tc>
          <w:tcPr>
            <w:tcW w:w="3147" w:type="dxa"/>
            <w:shd w:val="clear" w:color="auto" w:fill="auto"/>
            <w:noWrap/>
            <w:vAlign w:val="bottom"/>
            <w:hideMark/>
          </w:tcPr>
          <w:p w14:paraId="0B2D1861" w14:textId="77777777" w:rsidR="00645971" w:rsidRPr="00442A3B" w:rsidRDefault="00645971" w:rsidP="00645971">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Adelaide City Deal</w:t>
            </w:r>
          </w:p>
        </w:tc>
        <w:tc>
          <w:tcPr>
            <w:tcW w:w="1612" w:type="dxa"/>
            <w:shd w:val="clear" w:color="auto" w:fill="auto"/>
            <w:noWrap/>
            <w:vAlign w:val="bottom"/>
            <w:hideMark/>
          </w:tcPr>
          <w:p w14:paraId="5C0CE9EC" w14:textId="2D7B989B" w:rsidR="00645971" w:rsidRPr="00442A3B" w:rsidRDefault="00286C4A" w:rsidP="00645971">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South Australia</w:t>
            </w:r>
          </w:p>
        </w:tc>
        <w:tc>
          <w:tcPr>
            <w:tcW w:w="1258" w:type="dxa"/>
            <w:shd w:val="clear" w:color="auto" w:fill="auto"/>
            <w:noWrap/>
            <w:vAlign w:val="bottom"/>
            <w:hideMark/>
          </w:tcPr>
          <w:p w14:paraId="7676F4C6" w14:textId="77777777" w:rsidR="00645971" w:rsidRPr="00442A3B" w:rsidRDefault="00645971" w:rsidP="009E0ED8">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3.2</w:t>
            </w:r>
          </w:p>
        </w:tc>
        <w:tc>
          <w:tcPr>
            <w:tcW w:w="2998" w:type="dxa"/>
            <w:shd w:val="clear" w:color="auto" w:fill="auto"/>
            <w:noWrap/>
            <w:vAlign w:val="bottom"/>
            <w:hideMark/>
          </w:tcPr>
          <w:p w14:paraId="4C993B4D" w14:textId="77777777" w:rsidR="00645971" w:rsidRPr="00442A3B" w:rsidRDefault="00645971" w:rsidP="00F4769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100</w:t>
            </w:r>
          </w:p>
        </w:tc>
      </w:tr>
      <w:tr w:rsidR="00645971" w:rsidRPr="00442A3B" w14:paraId="116F139D" w14:textId="77777777" w:rsidTr="00E846EF">
        <w:trPr>
          <w:trHeight w:val="284"/>
        </w:trPr>
        <w:tc>
          <w:tcPr>
            <w:tcW w:w="3147" w:type="dxa"/>
            <w:shd w:val="clear" w:color="auto" w:fill="auto"/>
            <w:noWrap/>
            <w:vAlign w:val="bottom"/>
            <w:hideMark/>
          </w:tcPr>
          <w:p w14:paraId="5D4773D6" w14:textId="77777777" w:rsidR="00645971" w:rsidRPr="00442A3B" w:rsidRDefault="00645971" w:rsidP="00645971">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Barkly Regional Deal</w:t>
            </w:r>
          </w:p>
        </w:tc>
        <w:tc>
          <w:tcPr>
            <w:tcW w:w="1612" w:type="dxa"/>
            <w:shd w:val="clear" w:color="auto" w:fill="auto"/>
            <w:noWrap/>
            <w:vAlign w:val="bottom"/>
            <w:hideMark/>
          </w:tcPr>
          <w:p w14:paraId="1933ADCA" w14:textId="799A4EEB" w:rsidR="00645971" w:rsidRPr="00442A3B" w:rsidRDefault="00286C4A" w:rsidP="00645971">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Northern Territory</w:t>
            </w:r>
          </w:p>
        </w:tc>
        <w:tc>
          <w:tcPr>
            <w:tcW w:w="1258" w:type="dxa"/>
            <w:shd w:val="clear" w:color="auto" w:fill="auto"/>
            <w:noWrap/>
            <w:vAlign w:val="bottom"/>
            <w:hideMark/>
          </w:tcPr>
          <w:p w14:paraId="6E9ED813" w14:textId="77777777" w:rsidR="00645971" w:rsidRPr="00442A3B" w:rsidRDefault="00645971" w:rsidP="009E0ED8">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1.3</w:t>
            </w:r>
          </w:p>
        </w:tc>
        <w:tc>
          <w:tcPr>
            <w:tcW w:w="2998" w:type="dxa"/>
            <w:shd w:val="clear" w:color="auto" w:fill="auto"/>
            <w:noWrap/>
            <w:vAlign w:val="bottom"/>
            <w:hideMark/>
          </w:tcPr>
          <w:p w14:paraId="5ED44BDC" w14:textId="77777777" w:rsidR="00645971" w:rsidRPr="00442A3B" w:rsidRDefault="00645971" w:rsidP="00F4769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w:t>
            </w:r>
          </w:p>
        </w:tc>
      </w:tr>
      <w:tr w:rsidR="00645971" w:rsidRPr="00442A3B" w14:paraId="267C05DF" w14:textId="77777777" w:rsidTr="00E846EF">
        <w:trPr>
          <w:trHeight w:val="284"/>
        </w:trPr>
        <w:tc>
          <w:tcPr>
            <w:tcW w:w="3147" w:type="dxa"/>
            <w:shd w:val="clear" w:color="auto" w:fill="auto"/>
            <w:noWrap/>
            <w:vAlign w:val="bottom"/>
            <w:hideMark/>
          </w:tcPr>
          <w:p w14:paraId="6D501598" w14:textId="77777777" w:rsidR="00645971" w:rsidRPr="00442A3B" w:rsidRDefault="00645971" w:rsidP="00645971">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Darwin City Deal</w:t>
            </w:r>
          </w:p>
        </w:tc>
        <w:tc>
          <w:tcPr>
            <w:tcW w:w="1612" w:type="dxa"/>
            <w:shd w:val="clear" w:color="auto" w:fill="auto"/>
            <w:noWrap/>
            <w:vAlign w:val="bottom"/>
            <w:hideMark/>
          </w:tcPr>
          <w:p w14:paraId="345964D3" w14:textId="2FD291B2" w:rsidR="00645971" w:rsidRPr="00442A3B" w:rsidRDefault="00286C4A" w:rsidP="00645971">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Northern Territory</w:t>
            </w:r>
          </w:p>
        </w:tc>
        <w:tc>
          <w:tcPr>
            <w:tcW w:w="1258" w:type="dxa"/>
            <w:shd w:val="clear" w:color="auto" w:fill="auto"/>
            <w:noWrap/>
            <w:vAlign w:val="bottom"/>
            <w:hideMark/>
          </w:tcPr>
          <w:p w14:paraId="647DCF30" w14:textId="77777777" w:rsidR="00645971" w:rsidRPr="00442A3B" w:rsidRDefault="00645971" w:rsidP="009E0ED8">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25.0</w:t>
            </w:r>
          </w:p>
        </w:tc>
        <w:tc>
          <w:tcPr>
            <w:tcW w:w="2998" w:type="dxa"/>
            <w:shd w:val="clear" w:color="auto" w:fill="auto"/>
            <w:noWrap/>
            <w:vAlign w:val="bottom"/>
            <w:hideMark/>
          </w:tcPr>
          <w:p w14:paraId="49824ACA" w14:textId="77777777" w:rsidR="00645971" w:rsidRPr="00442A3B" w:rsidRDefault="00645971" w:rsidP="00F4769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w:t>
            </w:r>
          </w:p>
        </w:tc>
      </w:tr>
      <w:tr w:rsidR="00645971" w:rsidRPr="00442A3B" w14:paraId="53D79103" w14:textId="77777777" w:rsidTr="00E846EF">
        <w:trPr>
          <w:trHeight w:val="284"/>
        </w:trPr>
        <w:tc>
          <w:tcPr>
            <w:tcW w:w="3147" w:type="dxa"/>
            <w:shd w:val="clear" w:color="auto" w:fill="auto"/>
            <w:noWrap/>
            <w:vAlign w:val="bottom"/>
            <w:hideMark/>
          </w:tcPr>
          <w:p w14:paraId="7EF9F15B" w14:textId="77777777" w:rsidR="00645971" w:rsidRPr="00442A3B" w:rsidRDefault="00645971" w:rsidP="00645971">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Geelong City Deal</w:t>
            </w:r>
          </w:p>
        </w:tc>
        <w:tc>
          <w:tcPr>
            <w:tcW w:w="1612" w:type="dxa"/>
            <w:shd w:val="clear" w:color="auto" w:fill="auto"/>
            <w:noWrap/>
            <w:vAlign w:val="bottom"/>
            <w:hideMark/>
          </w:tcPr>
          <w:p w14:paraId="55AD3CD9" w14:textId="3C2C2B1D" w:rsidR="00645971" w:rsidRPr="00442A3B" w:rsidRDefault="00286C4A" w:rsidP="00645971">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Victoria</w:t>
            </w:r>
          </w:p>
        </w:tc>
        <w:tc>
          <w:tcPr>
            <w:tcW w:w="1258" w:type="dxa"/>
            <w:shd w:val="clear" w:color="auto" w:fill="auto"/>
            <w:noWrap/>
            <w:vAlign w:val="bottom"/>
            <w:hideMark/>
          </w:tcPr>
          <w:p w14:paraId="7204365B" w14:textId="77777777" w:rsidR="00645971" w:rsidRPr="00442A3B" w:rsidRDefault="00645971" w:rsidP="009E0ED8">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1.5</w:t>
            </w:r>
          </w:p>
        </w:tc>
        <w:tc>
          <w:tcPr>
            <w:tcW w:w="2998" w:type="dxa"/>
            <w:shd w:val="clear" w:color="auto" w:fill="auto"/>
            <w:noWrap/>
            <w:vAlign w:val="bottom"/>
            <w:hideMark/>
          </w:tcPr>
          <w:p w14:paraId="26A645FC" w14:textId="77777777" w:rsidR="00645971" w:rsidRPr="00442A3B" w:rsidRDefault="00645971" w:rsidP="00F4769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100</w:t>
            </w:r>
          </w:p>
        </w:tc>
      </w:tr>
      <w:tr w:rsidR="00645971" w:rsidRPr="00442A3B" w14:paraId="2DCCA755" w14:textId="77777777" w:rsidTr="00E846EF">
        <w:trPr>
          <w:trHeight w:val="284"/>
        </w:trPr>
        <w:tc>
          <w:tcPr>
            <w:tcW w:w="3147" w:type="dxa"/>
            <w:shd w:val="clear" w:color="auto" w:fill="auto"/>
            <w:noWrap/>
            <w:vAlign w:val="bottom"/>
            <w:hideMark/>
          </w:tcPr>
          <w:p w14:paraId="0FE31056" w14:textId="77777777" w:rsidR="00645971" w:rsidRPr="00442A3B" w:rsidRDefault="00645971" w:rsidP="00645971">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Launceston City Deal</w:t>
            </w:r>
          </w:p>
        </w:tc>
        <w:tc>
          <w:tcPr>
            <w:tcW w:w="1612" w:type="dxa"/>
            <w:shd w:val="clear" w:color="auto" w:fill="auto"/>
            <w:noWrap/>
            <w:vAlign w:val="bottom"/>
            <w:hideMark/>
          </w:tcPr>
          <w:p w14:paraId="14F66A78" w14:textId="1E0B19E9" w:rsidR="00645971" w:rsidRPr="00442A3B" w:rsidRDefault="00645971" w:rsidP="00645971">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Tas</w:t>
            </w:r>
            <w:r w:rsidR="00287347" w:rsidRPr="00442A3B">
              <w:rPr>
                <w:rFonts w:eastAsia="Times New Roman" w:cs="Open Sans Light"/>
                <w:color w:val="000000"/>
                <w:sz w:val="16"/>
                <w:szCs w:val="16"/>
                <w:lang w:eastAsia="en-AU"/>
              </w:rPr>
              <w:t>mania</w:t>
            </w:r>
          </w:p>
        </w:tc>
        <w:tc>
          <w:tcPr>
            <w:tcW w:w="1258" w:type="dxa"/>
            <w:shd w:val="clear" w:color="auto" w:fill="auto"/>
            <w:noWrap/>
            <w:vAlign w:val="bottom"/>
            <w:hideMark/>
          </w:tcPr>
          <w:p w14:paraId="4C5F2C0D" w14:textId="77777777" w:rsidR="00645971" w:rsidRPr="00442A3B" w:rsidRDefault="00645971" w:rsidP="009E0ED8">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2.5</w:t>
            </w:r>
          </w:p>
        </w:tc>
        <w:tc>
          <w:tcPr>
            <w:tcW w:w="2998" w:type="dxa"/>
            <w:shd w:val="clear" w:color="auto" w:fill="auto"/>
            <w:noWrap/>
            <w:vAlign w:val="bottom"/>
            <w:hideMark/>
          </w:tcPr>
          <w:p w14:paraId="7A29B9DF" w14:textId="77777777" w:rsidR="00645971" w:rsidRPr="00442A3B" w:rsidRDefault="00645971" w:rsidP="00F4769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sz w:val="16"/>
                <w:szCs w:val="16"/>
                <w:lang w:eastAsia="en-AU"/>
              </w:rPr>
              <w:t>0</w:t>
            </w:r>
          </w:p>
        </w:tc>
      </w:tr>
      <w:tr w:rsidR="00645971" w:rsidRPr="00442A3B" w14:paraId="510B2EC6" w14:textId="77777777" w:rsidTr="00E846EF">
        <w:trPr>
          <w:trHeight w:val="284"/>
        </w:trPr>
        <w:tc>
          <w:tcPr>
            <w:tcW w:w="3147" w:type="dxa"/>
            <w:shd w:val="clear" w:color="auto" w:fill="auto"/>
            <w:noWrap/>
            <w:vAlign w:val="bottom"/>
            <w:hideMark/>
          </w:tcPr>
          <w:p w14:paraId="1F3C4385" w14:textId="77777777" w:rsidR="00645971" w:rsidRPr="00442A3B" w:rsidRDefault="00645971" w:rsidP="00645971">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Western Sydney City Deal</w:t>
            </w:r>
          </w:p>
        </w:tc>
        <w:tc>
          <w:tcPr>
            <w:tcW w:w="1612" w:type="dxa"/>
            <w:shd w:val="clear" w:color="auto" w:fill="auto"/>
            <w:noWrap/>
            <w:vAlign w:val="bottom"/>
            <w:hideMark/>
          </w:tcPr>
          <w:p w14:paraId="65F6FE69" w14:textId="617E795F" w:rsidR="00645971" w:rsidRPr="00442A3B" w:rsidRDefault="00645971" w:rsidP="00645971">
            <w:pPr>
              <w:keepNext/>
              <w:keepLines/>
              <w:tabs>
                <w:tab w:val="clear" w:pos="567"/>
              </w:tabs>
              <w:spacing w:before="0" w:line="240" w:lineRule="auto"/>
              <w:rPr>
                <w:rFonts w:eastAsia="Times New Roman" w:cs="Open Sans Light"/>
                <w:color w:val="000000"/>
                <w:sz w:val="16"/>
                <w:szCs w:val="16"/>
                <w:lang w:eastAsia="en-AU"/>
              </w:rPr>
            </w:pPr>
            <w:r w:rsidRPr="00442A3B">
              <w:rPr>
                <w:rFonts w:eastAsia="Times New Roman" w:cs="Open Sans Light"/>
                <w:color w:val="000000"/>
                <w:sz w:val="16"/>
                <w:szCs w:val="16"/>
                <w:lang w:eastAsia="en-AU"/>
              </w:rPr>
              <w:t>N</w:t>
            </w:r>
            <w:r w:rsidR="00287347" w:rsidRPr="00442A3B">
              <w:rPr>
                <w:rFonts w:eastAsia="Times New Roman" w:cs="Open Sans Light"/>
                <w:color w:val="000000"/>
                <w:sz w:val="16"/>
                <w:szCs w:val="16"/>
                <w:lang w:eastAsia="en-AU"/>
              </w:rPr>
              <w:t xml:space="preserve">ew </w:t>
            </w:r>
            <w:r w:rsidRPr="00442A3B">
              <w:rPr>
                <w:rFonts w:eastAsia="Times New Roman" w:cs="Open Sans Light"/>
                <w:color w:val="000000"/>
                <w:sz w:val="16"/>
                <w:szCs w:val="16"/>
                <w:lang w:eastAsia="en-AU"/>
              </w:rPr>
              <w:t>S</w:t>
            </w:r>
            <w:r w:rsidR="00287347" w:rsidRPr="00442A3B">
              <w:rPr>
                <w:rFonts w:eastAsia="Times New Roman" w:cs="Open Sans Light"/>
                <w:color w:val="000000"/>
                <w:sz w:val="16"/>
                <w:szCs w:val="16"/>
                <w:lang w:eastAsia="en-AU"/>
              </w:rPr>
              <w:t xml:space="preserve">outh </w:t>
            </w:r>
            <w:r w:rsidRPr="00442A3B">
              <w:rPr>
                <w:rFonts w:eastAsia="Times New Roman" w:cs="Open Sans Light"/>
                <w:color w:val="000000"/>
                <w:sz w:val="16"/>
                <w:szCs w:val="16"/>
                <w:lang w:eastAsia="en-AU"/>
              </w:rPr>
              <w:t>W</w:t>
            </w:r>
            <w:r w:rsidR="00287347" w:rsidRPr="00442A3B">
              <w:rPr>
                <w:rFonts w:eastAsia="Times New Roman" w:cs="Open Sans Light"/>
                <w:color w:val="000000"/>
                <w:sz w:val="16"/>
                <w:szCs w:val="16"/>
                <w:lang w:eastAsia="en-AU"/>
              </w:rPr>
              <w:t>ales</w:t>
            </w:r>
          </w:p>
        </w:tc>
        <w:tc>
          <w:tcPr>
            <w:tcW w:w="1258" w:type="dxa"/>
            <w:shd w:val="clear" w:color="auto" w:fill="auto"/>
            <w:noWrap/>
            <w:vAlign w:val="bottom"/>
            <w:hideMark/>
          </w:tcPr>
          <w:p w14:paraId="4F8AEBB8" w14:textId="77777777" w:rsidR="00645971" w:rsidRPr="00442A3B" w:rsidRDefault="00645971" w:rsidP="009E0ED8">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themeColor="text1"/>
                <w:sz w:val="16"/>
                <w:szCs w:val="16"/>
                <w:lang w:eastAsia="en-AU"/>
              </w:rPr>
              <w:t>6.3</w:t>
            </w:r>
          </w:p>
        </w:tc>
        <w:tc>
          <w:tcPr>
            <w:tcW w:w="2998" w:type="dxa"/>
            <w:shd w:val="clear" w:color="auto" w:fill="auto"/>
            <w:noWrap/>
            <w:vAlign w:val="bottom"/>
            <w:hideMark/>
          </w:tcPr>
          <w:p w14:paraId="1F81C910" w14:textId="77777777" w:rsidR="00645971" w:rsidRPr="00442A3B" w:rsidRDefault="00645971" w:rsidP="00F47696">
            <w:pPr>
              <w:keepNext/>
              <w:keepLines/>
              <w:tabs>
                <w:tab w:val="clear" w:pos="567"/>
              </w:tabs>
              <w:spacing w:before="0" w:line="240" w:lineRule="auto"/>
              <w:jc w:val="right"/>
              <w:rPr>
                <w:rFonts w:eastAsia="Times New Roman" w:cs="Open Sans Light"/>
                <w:color w:val="000000"/>
                <w:sz w:val="16"/>
                <w:szCs w:val="16"/>
                <w:lang w:eastAsia="en-AU"/>
              </w:rPr>
            </w:pPr>
            <w:r w:rsidRPr="00442A3B">
              <w:rPr>
                <w:rFonts w:eastAsia="Times New Roman" w:cs="Open Sans Light"/>
                <w:color w:val="000000" w:themeColor="text1"/>
                <w:sz w:val="16"/>
                <w:szCs w:val="16"/>
                <w:lang w:eastAsia="en-AU"/>
              </w:rPr>
              <w:t>0</w:t>
            </w:r>
          </w:p>
        </w:tc>
      </w:tr>
    </w:tbl>
    <w:p w14:paraId="350E321B" w14:textId="77777777" w:rsidR="00645971" w:rsidRPr="00442A3B" w:rsidRDefault="00645971" w:rsidP="00F94D52">
      <w:pPr>
        <w:pStyle w:val="CGCTablenote"/>
      </w:pPr>
      <w:r w:rsidRPr="00442A3B">
        <w:t xml:space="preserve">Source: </w:t>
      </w:r>
      <w:r w:rsidRPr="00442A3B">
        <w:tab/>
        <w:t>Commission decision based on data from the Department of Infrastructure, Transport, Regional Development and Communications.</w:t>
      </w:r>
    </w:p>
    <w:p w14:paraId="19D5B2BD" w14:textId="77777777" w:rsidR="002E4998" w:rsidRPr="00442A3B" w:rsidRDefault="002E4998" w:rsidP="00C527D6">
      <w:pPr>
        <w:pStyle w:val="Heading3"/>
        <w:keepLines/>
        <w:widowControl/>
      </w:pPr>
      <w:bookmarkStart w:id="298" w:name="_Toc65050570"/>
      <w:bookmarkEnd w:id="296"/>
      <w:bookmarkEnd w:id="297"/>
      <w:r w:rsidRPr="00442A3B">
        <w:lastRenderedPageBreak/>
        <w:t>Implementation of new equalisation arrangements</w:t>
      </w:r>
      <w:bookmarkEnd w:id="298"/>
    </w:p>
    <w:p w14:paraId="2AC4B8C5" w14:textId="77777777" w:rsidR="00626CF9" w:rsidRPr="00442A3B" w:rsidRDefault="00626CF9" w:rsidP="00C527D6">
      <w:pPr>
        <w:pStyle w:val="Heading5"/>
        <w:keepLines/>
      </w:pPr>
      <w:r w:rsidRPr="00442A3B">
        <w:t>Issue</w:t>
      </w:r>
    </w:p>
    <w:p w14:paraId="57F126EC" w14:textId="53177B76" w:rsidR="00626CF9" w:rsidRPr="00442A3B" w:rsidRDefault="00626CF9" w:rsidP="00C527D6">
      <w:pPr>
        <w:pStyle w:val="CGCParaNumber"/>
        <w:keepNext/>
        <w:keepLines/>
        <w:ind w:left="567" w:hanging="567"/>
      </w:pPr>
      <w:r w:rsidRPr="00442A3B">
        <w:t xml:space="preserve">In 2018, the Australian parliament enacted the </w:t>
      </w:r>
      <w:r w:rsidRPr="00442A3B">
        <w:rPr>
          <w:i/>
          <w:iCs/>
        </w:rPr>
        <w:t>Treasury Laws Amendment (Making Sure Every State and Territory Gets Their Fair Share of GST) Act 2018</w:t>
      </w:r>
      <w:r w:rsidRPr="00442A3B">
        <w:t xml:space="preserve">, which amends the </w:t>
      </w:r>
      <w:r w:rsidRPr="00442A3B">
        <w:rPr>
          <w:i/>
          <w:iCs/>
        </w:rPr>
        <w:t xml:space="preserve">Commonwealth Grants Commission Act 1973 </w:t>
      </w:r>
      <w:r w:rsidRPr="00442A3B">
        <w:t xml:space="preserve">and the </w:t>
      </w:r>
      <w:r w:rsidRPr="00442A3B">
        <w:rPr>
          <w:i/>
          <w:iCs/>
        </w:rPr>
        <w:t>Federal Financial Relations Act 2009</w:t>
      </w:r>
      <w:r w:rsidRPr="00442A3B">
        <w:t xml:space="preserve">. The new arrangements will see a gradual </w:t>
      </w:r>
      <w:r w:rsidR="00880BE9" w:rsidRPr="00442A3B">
        <w:t>transition</w:t>
      </w:r>
      <w:r w:rsidRPr="00442A3B">
        <w:t xml:space="preserve"> from comprehensive to reasonable equalisation. Reasonable equalisation involves equalising to a standard State, being the fiscally stronger of New South Wales and Victoria. The transition to reasonable equalisation will be completed in 2026–27.</w:t>
      </w:r>
    </w:p>
    <w:p w14:paraId="44B3E90D" w14:textId="04C96A21" w:rsidR="00E72D14" w:rsidRPr="00442A3B" w:rsidRDefault="00626CF9" w:rsidP="00021B66">
      <w:pPr>
        <w:pStyle w:val="CGCParaNumber"/>
        <w:ind w:left="567" w:hanging="567"/>
      </w:pPr>
      <w:r w:rsidRPr="00442A3B">
        <w:t xml:space="preserve">The first phase of the new arrangements commenced in 2019-20 and involved the </w:t>
      </w:r>
      <w:r w:rsidR="007737D1" w:rsidRPr="00442A3B">
        <w:t>Commonwealth</w:t>
      </w:r>
      <w:r w:rsidRPr="00442A3B">
        <w:t xml:space="preserve"> making supplementary payments (if required) to deliver an outcome at least equivalent to a relativity of 0.70 to Western Australia and 4.66 to the Northern Territory. </w:t>
      </w:r>
      <w:r w:rsidR="00EB6549" w:rsidRPr="00442A3B">
        <w:t>Only W</w:t>
      </w:r>
      <w:r w:rsidR="00AC2FCE" w:rsidRPr="00442A3B">
        <w:t xml:space="preserve">estern Australia </w:t>
      </w:r>
      <w:r w:rsidR="00B23A36" w:rsidRPr="00442A3B">
        <w:t>required the supplementary payment.</w:t>
      </w:r>
    </w:p>
    <w:p w14:paraId="3E0838F1" w14:textId="1ABB23EE" w:rsidR="004F1015" w:rsidRPr="00442A3B" w:rsidRDefault="00626CF9" w:rsidP="00021B66">
      <w:pPr>
        <w:pStyle w:val="CGCParaNumber"/>
        <w:ind w:left="567" w:hanging="567"/>
      </w:pPr>
      <w:r w:rsidRPr="00442A3B">
        <w:t xml:space="preserve">The second phase of the new arrangements </w:t>
      </w:r>
      <w:r w:rsidR="00B1393F" w:rsidRPr="00442A3B">
        <w:t>starts</w:t>
      </w:r>
      <w:r w:rsidRPr="00442A3B">
        <w:t xml:space="preserve"> in 2021-22</w:t>
      </w:r>
      <w:r w:rsidR="00E72D14" w:rsidRPr="00442A3B">
        <w:t xml:space="preserve">. </w:t>
      </w:r>
      <w:r w:rsidRPr="00442A3B">
        <w:t xml:space="preserve">This involves commencing the transition of the Commission’s recommended GST </w:t>
      </w:r>
      <w:r w:rsidR="00CE4B2D" w:rsidRPr="00442A3B">
        <w:t xml:space="preserve">pool </w:t>
      </w:r>
      <w:r w:rsidRPr="00442A3B">
        <w:t>sharing relativities from being based on State relative fiscal capacities to being based on equalising State fiscal capacities to at least the fiscally stronger of New South Wales and Victoria</w:t>
      </w:r>
      <w:r w:rsidR="004F1015" w:rsidRPr="00442A3B">
        <w:t>.</w:t>
      </w:r>
      <w:r w:rsidRPr="00442A3B">
        <w:t xml:space="preserve"> </w:t>
      </w:r>
    </w:p>
    <w:p w14:paraId="1EFEB0D7" w14:textId="27B6FB1B" w:rsidR="00270CA2" w:rsidRPr="00442A3B" w:rsidRDefault="00626CF9" w:rsidP="00021B66">
      <w:pPr>
        <w:pStyle w:val="CGCParaNumber"/>
        <w:ind w:left="567" w:hanging="567"/>
      </w:pPr>
      <w:r w:rsidRPr="00442A3B">
        <w:t xml:space="preserve">In its </w:t>
      </w:r>
      <w:r w:rsidR="005909B1" w:rsidRPr="00442A3B">
        <w:t>2020 Review</w:t>
      </w:r>
      <w:r w:rsidRPr="00442A3B">
        <w:t xml:space="preserve"> report the Commission described how it intended to implement the new arrangements and provide sufficient information for States to understand the effects of each element.</w:t>
      </w:r>
      <w:r w:rsidR="00655729" w:rsidRPr="00442A3B">
        <w:rPr>
          <w:rStyle w:val="FootnoteReference"/>
        </w:rPr>
        <w:footnoteReference w:id="30"/>
      </w:r>
      <w:r w:rsidRPr="00442A3B">
        <w:t xml:space="preserve"> In particular, the Commission said that it would apply the same approach for the new arrangements as it does for the previous arrangements. That is, the standard State capacities would be calculated as the simple average of the </w:t>
      </w:r>
      <w:r w:rsidR="005E563D" w:rsidRPr="00442A3B">
        <w:t>3</w:t>
      </w:r>
      <w:r w:rsidRPr="00442A3B">
        <w:t xml:space="preserve"> assessment year outcomes, in the same way that the relative fiscal capacities are calculated as the simple average of the </w:t>
      </w:r>
      <w:r w:rsidR="005E563D" w:rsidRPr="00442A3B">
        <w:t>3</w:t>
      </w:r>
      <w:r w:rsidRPr="00442A3B">
        <w:t xml:space="preserve"> assessment years. </w:t>
      </w:r>
    </w:p>
    <w:p w14:paraId="596EFEE7" w14:textId="0C84185E" w:rsidR="00626CF9" w:rsidRPr="00442A3B" w:rsidRDefault="00270CA2" w:rsidP="00021B66">
      <w:pPr>
        <w:pStyle w:val="CGCParaNumber"/>
        <w:ind w:left="567" w:hanging="567"/>
      </w:pPr>
      <w:r w:rsidRPr="00442A3B">
        <w:t xml:space="preserve">The Commission asked </w:t>
      </w:r>
      <w:r w:rsidR="00626CF9" w:rsidRPr="00442A3B">
        <w:t>for feedback on the proposed implementation and presentation of the new arrangements.</w:t>
      </w:r>
      <w:r w:rsidR="00966842" w:rsidRPr="00442A3B">
        <w:t xml:space="preserve"> </w:t>
      </w:r>
    </w:p>
    <w:p w14:paraId="1235D596" w14:textId="77777777" w:rsidR="00626CF9" w:rsidRPr="00442A3B" w:rsidRDefault="00626CF9" w:rsidP="00B80A2B">
      <w:pPr>
        <w:pStyle w:val="Heading5"/>
      </w:pPr>
      <w:r w:rsidRPr="00442A3B">
        <w:t>State views</w:t>
      </w:r>
    </w:p>
    <w:p w14:paraId="364FA406" w14:textId="772FB4B1" w:rsidR="00626CF9" w:rsidRPr="00442A3B" w:rsidRDefault="00626CF9" w:rsidP="00021B66">
      <w:pPr>
        <w:pStyle w:val="CGCParaNumber"/>
        <w:ind w:left="567" w:hanging="567"/>
      </w:pPr>
      <w:r w:rsidRPr="00442A3B">
        <w:t>Most States supported the proposed presentation. Some asked for elements of the new arrangements to be shown separately.</w:t>
      </w:r>
    </w:p>
    <w:p w14:paraId="28544D6D" w14:textId="77777777" w:rsidR="00626CF9" w:rsidRPr="00442A3B" w:rsidRDefault="00626CF9" w:rsidP="00021B66">
      <w:pPr>
        <w:pStyle w:val="CGCParaNumber"/>
        <w:ind w:left="567" w:hanging="567"/>
      </w:pPr>
      <w:r w:rsidRPr="00442A3B">
        <w:t>Queensland said the calculations to equalise to the standard State should be undertaken in the application year, as is the case for the relativity floor.</w:t>
      </w:r>
    </w:p>
    <w:p w14:paraId="452B20DE" w14:textId="77777777" w:rsidR="00626CF9" w:rsidRPr="00442A3B" w:rsidRDefault="00626CF9" w:rsidP="00021B66">
      <w:pPr>
        <w:pStyle w:val="CGCParaNumber"/>
        <w:ind w:left="567" w:hanging="567"/>
      </w:pPr>
      <w:r w:rsidRPr="00442A3B">
        <w:t>Western Australia suggested it would be helpful to develop a glossary of terms relating to the new arrangements.</w:t>
      </w:r>
    </w:p>
    <w:p w14:paraId="2298CF6C" w14:textId="1F40E1E3" w:rsidR="00626CF9" w:rsidRPr="00442A3B" w:rsidRDefault="00626CF9" w:rsidP="00021B66">
      <w:pPr>
        <w:pStyle w:val="CGCParaNumber"/>
        <w:ind w:left="567" w:hanging="567"/>
      </w:pPr>
      <w:r w:rsidRPr="00442A3B">
        <w:t>The ACT said that in principle there was a case for backcasting the top-up pool, but accept</w:t>
      </w:r>
      <w:r w:rsidR="006706A6" w:rsidRPr="00442A3B">
        <w:t>ed</w:t>
      </w:r>
      <w:r w:rsidRPr="00442A3B">
        <w:t xml:space="preserve"> the amounts are too small to have a significant effect on grant distributions.</w:t>
      </w:r>
    </w:p>
    <w:p w14:paraId="5B5A35DA" w14:textId="77777777" w:rsidR="00626CF9" w:rsidRPr="00442A3B" w:rsidRDefault="00626CF9" w:rsidP="00B80A2B">
      <w:pPr>
        <w:pStyle w:val="Heading5"/>
      </w:pPr>
      <w:r w:rsidRPr="00442A3B">
        <w:t>Commission decision</w:t>
      </w:r>
    </w:p>
    <w:p w14:paraId="2ED0E14F" w14:textId="77777777" w:rsidR="00626CF9" w:rsidRPr="00442A3B" w:rsidRDefault="00626CF9" w:rsidP="00021B66">
      <w:pPr>
        <w:pStyle w:val="CGCParaNumber"/>
        <w:ind w:left="567" w:hanging="567"/>
      </w:pPr>
      <w:r w:rsidRPr="00442A3B">
        <w:t>The Commission will show each element of the new arrangements separately.</w:t>
      </w:r>
    </w:p>
    <w:p w14:paraId="1E6069DE" w14:textId="0AC572B3" w:rsidR="00626CF9" w:rsidRPr="00442A3B" w:rsidRDefault="00954633" w:rsidP="00021B66">
      <w:pPr>
        <w:pStyle w:val="CGCParaNumber"/>
        <w:ind w:left="567" w:hanging="567"/>
      </w:pPr>
      <w:r w:rsidRPr="00442A3B">
        <w:t>In</w:t>
      </w:r>
      <w:r w:rsidR="00626CF9" w:rsidRPr="00442A3B">
        <w:t xml:space="preserve"> regard</w:t>
      </w:r>
      <w:r w:rsidRPr="00442A3B">
        <w:t xml:space="preserve"> to</w:t>
      </w:r>
      <w:r w:rsidR="00626CF9" w:rsidRPr="00442A3B">
        <w:t xml:space="preserve"> Queensland’s comments, the arrangements for equalising the standard State and implementing a relativity floor are expressed in different pieces of legislation. </w:t>
      </w:r>
    </w:p>
    <w:p w14:paraId="73CA3F24" w14:textId="1A602804" w:rsidR="00626CF9" w:rsidRPr="00442A3B" w:rsidRDefault="00626CF9" w:rsidP="00021B66">
      <w:pPr>
        <w:pStyle w:val="CGCParaNumber"/>
        <w:ind w:left="567" w:hanging="567"/>
      </w:pPr>
      <w:r w:rsidRPr="00442A3B">
        <w:lastRenderedPageBreak/>
        <w:t xml:space="preserve">The amended </w:t>
      </w:r>
      <w:r w:rsidRPr="00442A3B">
        <w:rPr>
          <w:i/>
        </w:rPr>
        <w:t>Commonwealth Grants Commission Act 1973</w:t>
      </w:r>
      <w:r w:rsidRPr="00442A3B">
        <w:t xml:space="preserve"> describes the transition approach of blending the results of the previous arrangements (equalising State relative fiscal capacities) with the results of the new arrangements (equalising to the fiscally stronger between New South Wales and Victoria). Given this, the Commission consider</w:t>
      </w:r>
      <w:r w:rsidR="007F3BE9" w:rsidRPr="00442A3B">
        <w:t>ed</w:t>
      </w:r>
      <w:r w:rsidRPr="00442A3B">
        <w:t xml:space="preserve"> it appropriate to apply the same approach to the new arrangements as for the previous arrangements. That is, </w:t>
      </w:r>
      <w:r w:rsidR="00E11988" w:rsidRPr="00442A3B">
        <w:t xml:space="preserve">the Commission would </w:t>
      </w:r>
      <w:r w:rsidRPr="00442A3B">
        <w:t>deriv</w:t>
      </w:r>
      <w:r w:rsidR="00E11988" w:rsidRPr="00442A3B">
        <w:t>e</w:t>
      </w:r>
      <w:r w:rsidRPr="00442A3B">
        <w:t xml:space="preserve"> fiscal capacity measures as the average of </w:t>
      </w:r>
      <w:r w:rsidR="00F62F97" w:rsidRPr="00442A3B">
        <w:t xml:space="preserve">the results from </w:t>
      </w:r>
      <w:r w:rsidR="005E563D" w:rsidRPr="00442A3B">
        <w:t>3</w:t>
      </w:r>
      <w:r w:rsidRPr="00442A3B">
        <w:t xml:space="preserve"> assessment year</w:t>
      </w:r>
      <w:r w:rsidR="00F62F97" w:rsidRPr="00442A3B">
        <w:t>s</w:t>
      </w:r>
      <w:r w:rsidRPr="00442A3B">
        <w:t xml:space="preserve">. </w:t>
      </w:r>
    </w:p>
    <w:p w14:paraId="30E52B96" w14:textId="13AB5E04" w:rsidR="00626CF9" w:rsidRPr="00442A3B" w:rsidRDefault="00626CF9" w:rsidP="00021B66">
      <w:pPr>
        <w:pStyle w:val="CGCParaNumber"/>
        <w:ind w:left="567" w:hanging="567"/>
      </w:pPr>
      <w:r w:rsidRPr="00442A3B">
        <w:t xml:space="preserve">The amended </w:t>
      </w:r>
      <w:r w:rsidRPr="00442A3B">
        <w:rPr>
          <w:i/>
        </w:rPr>
        <w:t>Federal Financial Relations Act 2009</w:t>
      </w:r>
      <w:r w:rsidRPr="00442A3B">
        <w:t xml:space="preserve"> specifies the minimum relativity (or floor) for distributing the GST pool. This legislation also provides that from 2022-23 an adjustment may be required if the blending process results in a relativity that is less than the minimum. The Commission consider</w:t>
      </w:r>
      <w:r w:rsidR="007F3BE9" w:rsidRPr="00442A3B">
        <w:t>ed</w:t>
      </w:r>
      <w:r w:rsidRPr="00442A3B">
        <w:t xml:space="preserve"> it appropriate to make this adjustment to the year in which the recommended relativities will be used to distribute the GST pool</w:t>
      </w:r>
      <w:r w:rsidRPr="00442A3B" w:rsidDel="00C7194D">
        <w:t xml:space="preserve"> </w:t>
      </w:r>
      <w:r w:rsidRPr="00442A3B">
        <w:t>(the application year).</w:t>
      </w:r>
    </w:p>
    <w:p w14:paraId="62C5D55C" w14:textId="7C5E21DE" w:rsidR="00626CF9" w:rsidRPr="00442A3B" w:rsidRDefault="00626CF9" w:rsidP="00021B66">
      <w:pPr>
        <w:pStyle w:val="CGCParaNumber"/>
        <w:ind w:left="567" w:hanging="567"/>
      </w:pPr>
      <w:r w:rsidRPr="00442A3B">
        <w:t xml:space="preserve">The glossary on the Commission’s website (and in this report) has been updated to include terms relating to the new equalisation arrangements. </w:t>
      </w:r>
    </w:p>
    <w:p w14:paraId="41766075" w14:textId="77777777" w:rsidR="004E0A01" w:rsidRPr="00442A3B" w:rsidRDefault="004E0A01" w:rsidP="00FA34A0"/>
    <w:p w14:paraId="4ED81665" w14:textId="4686EE72" w:rsidR="004E0A01" w:rsidRPr="00442A3B" w:rsidRDefault="004E0A01" w:rsidP="00FA34A0">
      <w:pPr>
        <w:sectPr w:rsidR="004E0A01" w:rsidRPr="00442A3B" w:rsidSect="00623DD0">
          <w:headerReference w:type="default" r:id="rId97"/>
          <w:headerReference w:type="first" r:id="rId98"/>
          <w:footerReference w:type="first" r:id="rId99"/>
          <w:footnotePr>
            <w:numRestart w:val="eachSect"/>
          </w:footnotePr>
          <w:pgSz w:w="11907" w:h="16840" w:code="9"/>
          <w:pgMar w:top="1418" w:right="1474" w:bottom="1418" w:left="1474" w:header="567" w:footer="567" w:gutter="0"/>
          <w:cols w:space="720"/>
          <w:titlePg/>
          <w:docGrid w:linePitch="360"/>
        </w:sectPr>
      </w:pPr>
    </w:p>
    <w:p w14:paraId="37948472" w14:textId="4FCBB371" w:rsidR="004A7768" w:rsidRPr="00442A3B" w:rsidRDefault="004A7768" w:rsidP="00F0324C">
      <w:pPr>
        <w:pStyle w:val="Heading2"/>
      </w:pPr>
      <w:bookmarkStart w:id="299" w:name="_Toc65050571"/>
      <w:r w:rsidRPr="00442A3B">
        <w:lastRenderedPageBreak/>
        <w:t xml:space="preserve">Attachment A: </w:t>
      </w:r>
      <w:r w:rsidR="00473178" w:rsidRPr="00442A3B">
        <w:t>‘</w:t>
      </w:r>
      <w:r w:rsidRPr="00442A3B">
        <w:t>No worse</w:t>
      </w:r>
      <w:r w:rsidR="00911A21" w:rsidRPr="00442A3B">
        <w:t xml:space="preserve"> </w:t>
      </w:r>
      <w:r w:rsidRPr="00442A3B">
        <w:t>off</w:t>
      </w:r>
      <w:r w:rsidR="003B65E9" w:rsidRPr="00442A3B">
        <w:t>’</w:t>
      </w:r>
      <w:r w:rsidR="0022377F" w:rsidRPr="00442A3B">
        <w:t xml:space="preserve"> </w:t>
      </w:r>
      <w:bookmarkEnd w:id="196"/>
      <w:r w:rsidR="00D15347" w:rsidRPr="00442A3B">
        <w:t>relativities</w:t>
      </w:r>
      <w:bookmarkEnd w:id="299"/>
    </w:p>
    <w:p w14:paraId="15296ADE" w14:textId="4C3AE190" w:rsidR="00C54F2D" w:rsidRPr="00442A3B" w:rsidRDefault="0027739C" w:rsidP="00F0324C">
      <w:pPr>
        <w:pStyle w:val="CGCParaNumber"/>
        <w:numPr>
          <w:ilvl w:val="0"/>
          <w:numId w:val="15"/>
        </w:numPr>
        <w:ind w:left="567" w:hanging="567"/>
      </w:pPr>
      <w:r w:rsidRPr="00442A3B">
        <w:t>As require</w:t>
      </w:r>
      <w:r w:rsidR="001C73B6" w:rsidRPr="00442A3B">
        <w:t>d</w:t>
      </w:r>
      <w:r w:rsidRPr="00442A3B">
        <w:t xml:space="preserve"> by </w:t>
      </w:r>
      <w:r w:rsidR="000B05FF" w:rsidRPr="00442A3B">
        <w:t xml:space="preserve">clause 2(b) of the </w:t>
      </w:r>
      <w:r w:rsidR="005909B1" w:rsidRPr="00442A3B">
        <w:t>2021 Update</w:t>
      </w:r>
      <w:r w:rsidR="000B05FF" w:rsidRPr="00442A3B">
        <w:t xml:space="preserve"> terms of reference,</w:t>
      </w:r>
      <w:r w:rsidR="00572C07" w:rsidRPr="00442A3B">
        <w:t xml:space="preserve"> </w:t>
      </w:r>
      <w:r w:rsidR="00A24A6D" w:rsidRPr="00442A3B">
        <w:fldChar w:fldCharType="begin"/>
      </w:r>
      <w:r w:rsidR="00A24A6D" w:rsidRPr="00442A3B">
        <w:instrText xml:space="preserve"> REF _Ref62140967 \h </w:instrText>
      </w:r>
      <w:r w:rsidR="00442A3B">
        <w:instrText xml:space="preserve"> \* MERGEFORMAT </w:instrText>
      </w:r>
      <w:r w:rsidR="00A24A6D" w:rsidRPr="00442A3B">
        <w:fldChar w:fldCharType="separate"/>
      </w:r>
      <w:r w:rsidR="00FC3D3D" w:rsidRPr="00442A3B">
        <w:t>Table A-</w:t>
      </w:r>
      <w:r w:rsidR="00FC3D3D">
        <w:t>1</w:t>
      </w:r>
      <w:r w:rsidR="00A24A6D" w:rsidRPr="00442A3B">
        <w:fldChar w:fldCharType="end"/>
      </w:r>
      <w:r w:rsidR="00B50F99" w:rsidRPr="00442A3B">
        <w:t xml:space="preserve"> shows the </w:t>
      </w:r>
      <w:r w:rsidR="00560657" w:rsidRPr="00442A3B">
        <w:t>relativi</w:t>
      </w:r>
      <w:r w:rsidR="00151B58" w:rsidRPr="00442A3B">
        <w:t xml:space="preserve">ties that would have applied </w:t>
      </w:r>
      <w:r w:rsidR="00F85090" w:rsidRPr="00442A3B">
        <w:t xml:space="preserve">had </w:t>
      </w:r>
      <w:r w:rsidR="00D42C0D" w:rsidRPr="00442A3B">
        <w:t xml:space="preserve">the </w:t>
      </w:r>
      <w:r w:rsidR="00D42C0D" w:rsidRPr="00442A3B">
        <w:rPr>
          <w:i/>
        </w:rPr>
        <w:t>Treasury Laws Amendment (Making Sure Every State and Territory Gets Their Fair Share</w:t>
      </w:r>
      <w:r w:rsidR="00CE08F5" w:rsidRPr="00442A3B">
        <w:rPr>
          <w:i/>
        </w:rPr>
        <w:t xml:space="preserve"> of</w:t>
      </w:r>
      <w:r w:rsidR="00A25C51" w:rsidRPr="00442A3B">
        <w:rPr>
          <w:i/>
        </w:rPr>
        <w:t xml:space="preserve"> </w:t>
      </w:r>
      <w:r w:rsidR="00D42C0D" w:rsidRPr="00442A3B">
        <w:rPr>
          <w:i/>
        </w:rPr>
        <w:t>GST) Act 2018</w:t>
      </w:r>
      <w:r w:rsidR="00D42C0D" w:rsidRPr="00442A3B">
        <w:t xml:space="preserve"> not been enacted (referred to as the ‘no worse off’ </w:t>
      </w:r>
      <w:r w:rsidR="00D74996" w:rsidRPr="00442A3B">
        <w:t>relativities</w:t>
      </w:r>
      <w:r w:rsidR="00D42C0D" w:rsidRPr="00442A3B">
        <w:t xml:space="preserve">). </w:t>
      </w:r>
      <w:r w:rsidR="00A958D0" w:rsidRPr="00442A3B">
        <w:t xml:space="preserve">These relativities </w:t>
      </w:r>
      <w:r w:rsidR="00A879F6" w:rsidRPr="00442A3B">
        <w:t xml:space="preserve">are </w:t>
      </w:r>
      <w:r w:rsidR="00B77EC5" w:rsidRPr="00442A3B">
        <w:t>the State relative fiscal capacitie</w:t>
      </w:r>
      <w:r w:rsidR="004D6FF8" w:rsidRPr="00442A3B">
        <w:t xml:space="preserve">s, which </w:t>
      </w:r>
      <w:r w:rsidR="00522539" w:rsidRPr="00442A3B">
        <w:t xml:space="preserve">are shown in the first column of </w:t>
      </w:r>
      <w:r w:rsidR="009D725A" w:rsidRPr="00442A3B">
        <w:fldChar w:fldCharType="begin"/>
      </w:r>
      <w:r w:rsidR="009D725A" w:rsidRPr="00442A3B">
        <w:instrText xml:space="preserve"> REF _Ref18058941 \h </w:instrText>
      </w:r>
      <w:r w:rsidR="00442A3B">
        <w:instrText xml:space="preserve"> \* MERGEFORMAT </w:instrText>
      </w:r>
      <w:r w:rsidR="009D725A" w:rsidRPr="00442A3B">
        <w:fldChar w:fldCharType="separate"/>
      </w:r>
      <w:r w:rsidR="00FC3D3D" w:rsidRPr="00442A3B">
        <w:t>Table 1-</w:t>
      </w:r>
      <w:r w:rsidR="00FC3D3D">
        <w:t>2</w:t>
      </w:r>
      <w:r w:rsidR="009D725A" w:rsidRPr="00442A3B">
        <w:fldChar w:fldCharType="end"/>
      </w:r>
      <w:r w:rsidR="001715C2" w:rsidRPr="00442A3B">
        <w:t xml:space="preserve">. This </w:t>
      </w:r>
      <w:r w:rsidR="004D6FF8" w:rsidRPr="00442A3B">
        <w:t xml:space="preserve">is the first step </w:t>
      </w:r>
      <w:r w:rsidR="00CF7F22" w:rsidRPr="00442A3B">
        <w:t xml:space="preserve">in the process of </w:t>
      </w:r>
      <w:r w:rsidR="00363D45" w:rsidRPr="00442A3B">
        <w:t xml:space="preserve">deriving </w:t>
      </w:r>
      <w:r w:rsidR="00F9796E" w:rsidRPr="00442A3B">
        <w:t>the</w:t>
      </w:r>
      <w:r w:rsidR="00924C83" w:rsidRPr="00442A3B">
        <w:t xml:space="preserve"> </w:t>
      </w:r>
      <w:r w:rsidR="00C54F2D" w:rsidRPr="00442A3B">
        <w:t xml:space="preserve">GST relativities under the </w:t>
      </w:r>
      <w:r w:rsidR="003E7CD9" w:rsidRPr="00442A3B">
        <w:t>new</w:t>
      </w:r>
      <w:r w:rsidR="00C54F2D" w:rsidRPr="00442A3B">
        <w:t xml:space="preserve"> arrangement</w:t>
      </w:r>
      <w:r w:rsidR="001715C2" w:rsidRPr="00442A3B">
        <w:t>s</w:t>
      </w:r>
      <w:r w:rsidR="00C54F2D" w:rsidRPr="00442A3B">
        <w:t xml:space="preserve">. </w:t>
      </w:r>
    </w:p>
    <w:p w14:paraId="4CDA4490" w14:textId="77777777" w:rsidR="00780DCB" w:rsidRPr="00442A3B" w:rsidRDefault="003E33D9" w:rsidP="00780DCB">
      <w:pPr>
        <w:pStyle w:val="CGCParaNumber"/>
        <w:numPr>
          <w:ilvl w:val="0"/>
          <w:numId w:val="15"/>
        </w:numPr>
        <w:ind w:left="567" w:hanging="567"/>
      </w:pPr>
      <w:r w:rsidRPr="00442A3B">
        <w:t>The</w:t>
      </w:r>
      <w:r w:rsidR="007446D1" w:rsidRPr="00442A3B">
        <w:t xml:space="preserve"> </w:t>
      </w:r>
      <w:r w:rsidR="00184FA9" w:rsidRPr="00442A3B">
        <w:t>‘no</w:t>
      </w:r>
      <w:r w:rsidR="005E1A80" w:rsidRPr="00442A3B">
        <w:t xml:space="preserve"> worse off’ relativities</w:t>
      </w:r>
      <w:r w:rsidR="00102F0D" w:rsidRPr="00442A3B">
        <w:t xml:space="preserve"> are </w:t>
      </w:r>
      <w:r w:rsidR="00320228" w:rsidRPr="00442A3B">
        <w:t xml:space="preserve">to be used </w:t>
      </w:r>
      <w:r w:rsidR="00CD2BAB" w:rsidRPr="00442A3B">
        <w:t>in determining whether the</w:t>
      </w:r>
      <w:r w:rsidR="00F66B7C" w:rsidRPr="00442A3B">
        <w:t xml:space="preserve">re </w:t>
      </w:r>
      <w:r w:rsidR="005640A4" w:rsidRPr="00442A3B">
        <w:t>is a</w:t>
      </w:r>
      <w:r w:rsidR="00CD2BAB" w:rsidRPr="00442A3B">
        <w:t xml:space="preserve"> </w:t>
      </w:r>
      <w:r w:rsidR="00EB605B" w:rsidRPr="00442A3B">
        <w:t xml:space="preserve">requirement for </w:t>
      </w:r>
      <w:r w:rsidR="00A25C51" w:rsidRPr="00442A3B">
        <w:t xml:space="preserve">additional financial assistance </w:t>
      </w:r>
      <w:r w:rsidR="00EB605B" w:rsidRPr="00442A3B">
        <w:t>consistent with s</w:t>
      </w:r>
      <w:r w:rsidR="00915369" w:rsidRPr="00442A3B">
        <w:t>ection</w:t>
      </w:r>
      <w:r w:rsidR="004026C4" w:rsidRPr="00442A3B">
        <w:t>s 5(2</w:t>
      </w:r>
      <w:r w:rsidR="00840EFE" w:rsidRPr="00442A3B">
        <w:t xml:space="preserve">) and </w:t>
      </w:r>
      <w:r w:rsidR="00915369" w:rsidRPr="00442A3B">
        <w:t xml:space="preserve">5(3) of the amended </w:t>
      </w:r>
      <w:r w:rsidR="00915369" w:rsidRPr="00442A3B">
        <w:rPr>
          <w:i/>
        </w:rPr>
        <w:t>Federal Financial Relations Act 2009</w:t>
      </w:r>
      <w:r w:rsidR="002F09FE" w:rsidRPr="00442A3B">
        <w:t>’</w:t>
      </w:r>
      <w:r w:rsidR="00FB38BD" w:rsidRPr="00442A3B">
        <w:t>.</w:t>
      </w:r>
      <w:r w:rsidR="00B34541" w:rsidRPr="00442A3B">
        <w:t xml:space="preserve"> </w:t>
      </w:r>
      <w:r w:rsidR="00EA76EB" w:rsidRPr="00442A3B">
        <w:t>They reflect the Commission’s most recent assessment of States’ needs.</w:t>
      </w:r>
      <w:r w:rsidR="001715C2" w:rsidRPr="00442A3B">
        <w:t xml:space="preserve"> The relativities will be applied to the GST pool, </w:t>
      </w:r>
      <w:r w:rsidR="00E5373E" w:rsidRPr="00442A3B">
        <w:t>without including the top-up payments.</w:t>
      </w:r>
      <w:r w:rsidR="00495CC8" w:rsidRPr="00442A3B">
        <w:t xml:space="preserve"> </w:t>
      </w:r>
      <w:r w:rsidR="00CC3068" w:rsidRPr="00442A3B">
        <w:t xml:space="preserve">Throughout the report </w:t>
      </w:r>
      <w:r w:rsidR="002F232C" w:rsidRPr="00442A3B">
        <w:t xml:space="preserve">these relativities are referred to as </w:t>
      </w:r>
      <w:r w:rsidR="003A0E1D" w:rsidRPr="00442A3B">
        <w:t xml:space="preserve">relative fiscal </w:t>
      </w:r>
      <w:r w:rsidR="00F776A2" w:rsidRPr="00442A3B">
        <w:t>capacities.</w:t>
      </w:r>
    </w:p>
    <w:p w14:paraId="4987D835" w14:textId="6AA4C0CA" w:rsidR="00D7008C" w:rsidRPr="00442A3B" w:rsidRDefault="00D7008C" w:rsidP="00780DCB">
      <w:pPr>
        <w:pStyle w:val="CGCParaNumber"/>
        <w:numPr>
          <w:ilvl w:val="0"/>
          <w:numId w:val="15"/>
        </w:numPr>
        <w:ind w:left="567" w:hanging="567"/>
      </w:pPr>
      <w:r w:rsidRPr="00442A3B">
        <w:t xml:space="preserve">The </w:t>
      </w:r>
      <w:r w:rsidR="007737D1" w:rsidRPr="00442A3B">
        <w:t>‘</w:t>
      </w:r>
      <w:r w:rsidR="00131742" w:rsidRPr="00442A3B">
        <w:t>no worse off</w:t>
      </w:r>
      <w:r w:rsidR="007737D1" w:rsidRPr="00442A3B">
        <w:t>’</w:t>
      </w:r>
      <w:r w:rsidR="00131742" w:rsidRPr="00442A3B">
        <w:t xml:space="preserve"> entitlements of States will be funded by the </w:t>
      </w:r>
      <w:r w:rsidR="007737D1" w:rsidRPr="00442A3B">
        <w:t>Commonwealth</w:t>
      </w:r>
      <w:r w:rsidR="00131742" w:rsidRPr="00442A3B">
        <w:t>.</w:t>
      </w:r>
    </w:p>
    <w:p w14:paraId="60F4AEDA" w14:textId="625601E3" w:rsidR="00B50F99" w:rsidRPr="00442A3B" w:rsidRDefault="00B50F99" w:rsidP="00B50F99">
      <w:pPr>
        <w:pStyle w:val="Caption"/>
      </w:pPr>
      <w:bookmarkStart w:id="300" w:name="_Ref61009147"/>
      <w:bookmarkStart w:id="301" w:name="_Ref62140967"/>
      <w:bookmarkStart w:id="302" w:name="_Toc62487290"/>
      <w:bookmarkStart w:id="303" w:name="_Toc62723820"/>
      <w:r w:rsidRPr="00442A3B">
        <w:t xml:space="preserve">Table </w:t>
      </w:r>
      <w:bookmarkEnd w:id="300"/>
      <w:r w:rsidR="00D97C1B" w:rsidRPr="00442A3B">
        <w:t>A-</w:t>
      </w:r>
      <w:r w:rsidR="00D97C1B" w:rsidRPr="00442A3B">
        <w:rPr>
          <w:noProof/>
        </w:rPr>
        <w:fldChar w:fldCharType="begin"/>
      </w:r>
      <w:r w:rsidR="00D97C1B" w:rsidRPr="00442A3B">
        <w:rPr>
          <w:noProof/>
        </w:rPr>
        <w:instrText xml:space="preserve"> SEQ Table \* ARABIC \r 1 </w:instrText>
      </w:r>
      <w:r w:rsidR="00D97C1B" w:rsidRPr="00442A3B">
        <w:rPr>
          <w:noProof/>
        </w:rPr>
        <w:fldChar w:fldCharType="separate"/>
      </w:r>
      <w:r w:rsidR="00FC3D3D">
        <w:rPr>
          <w:noProof/>
        </w:rPr>
        <w:t>1</w:t>
      </w:r>
      <w:r w:rsidR="00D97C1B" w:rsidRPr="00442A3B">
        <w:rPr>
          <w:noProof/>
        </w:rPr>
        <w:fldChar w:fldCharType="end"/>
      </w:r>
      <w:bookmarkEnd w:id="301"/>
      <w:r w:rsidRPr="00442A3B">
        <w:tab/>
        <w:t xml:space="preserve">‘No worse off’ </w:t>
      </w:r>
      <w:r w:rsidR="007A3695" w:rsidRPr="00442A3B">
        <w:t>relativities</w:t>
      </w:r>
      <w:r w:rsidRPr="00442A3B">
        <w:t>, 2021-22</w:t>
      </w:r>
      <w:bookmarkEnd w:id="302"/>
      <w:bookmarkEnd w:id="303"/>
    </w:p>
    <w:tbl>
      <w:tblPr>
        <w:tblW w:w="8902" w:type="dxa"/>
        <w:tblCellMar>
          <w:left w:w="28" w:type="dxa"/>
          <w:right w:w="28" w:type="dxa"/>
        </w:tblCellMar>
        <w:tblLook w:val="04A0" w:firstRow="1" w:lastRow="0" w:firstColumn="1" w:lastColumn="0" w:noHBand="0" w:noVBand="1"/>
      </w:tblPr>
      <w:tblGrid>
        <w:gridCol w:w="1797"/>
        <w:gridCol w:w="802"/>
        <w:gridCol w:w="802"/>
        <w:gridCol w:w="802"/>
        <w:gridCol w:w="802"/>
        <w:gridCol w:w="802"/>
        <w:gridCol w:w="802"/>
        <w:gridCol w:w="802"/>
        <w:gridCol w:w="802"/>
        <w:gridCol w:w="802"/>
      </w:tblGrid>
      <w:tr w:rsidR="001E70B1" w:rsidRPr="00442A3B" w14:paraId="4CD8E165" w14:textId="77777777" w:rsidTr="001D2661">
        <w:trPr>
          <w:trHeight w:val="379"/>
        </w:trPr>
        <w:tc>
          <w:tcPr>
            <w:tcW w:w="1800" w:type="dxa"/>
            <w:tcBorders>
              <w:top w:val="nil"/>
              <w:left w:val="nil"/>
              <w:bottom w:val="nil"/>
              <w:right w:val="nil"/>
            </w:tcBorders>
            <w:shd w:val="clear" w:color="000000" w:fill="006991"/>
            <w:vAlign w:val="bottom"/>
            <w:hideMark/>
          </w:tcPr>
          <w:p w14:paraId="580880BC" w14:textId="77777777" w:rsidR="001E70B1" w:rsidRPr="00442A3B" w:rsidRDefault="001E70B1" w:rsidP="000868C7">
            <w:pPr>
              <w:pStyle w:val="CGCTableHeading"/>
              <w:jc w:val="right"/>
              <w:rPr>
                <w:rFonts w:ascii="Symbol" w:eastAsia="MS Mincho" w:hAnsi="Symbol" w:cs="Symbol" w:hint="eastAsia"/>
                <w:color w:val="FFFFFF"/>
                <w:szCs w:val="16"/>
                <w:lang w:eastAsia="en-AU"/>
              </w:rPr>
            </w:pPr>
            <w:r w:rsidRPr="00442A3B">
              <w:rPr>
                <w:lang w:eastAsia="en-AU"/>
              </w:rPr>
              <w:t> </w:t>
            </w:r>
          </w:p>
        </w:tc>
        <w:tc>
          <w:tcPr>
            <w:tcW w:w="803" w:type="dxa"/>
            <w:tcBorders>
              <w:top w:val="nil"/>
              <w:left w:val="nil"/>
              <w:bottom w:val="nil"/>
              <w:right w:val="nil"/>
            </w:tcBorders>
            <w:shd w:val="clear" w:color="000000" w:fill="006991"/>
            <w:vAlign w:val="center"/>
            <w:hideMark/>
          </w:tcPr>
          <w:p w14:paraId="593F8AC8" w14:textId="77777777" w:rsidR="001E70B1" w:rsidRPr="00442A3B" w:rsidRDefault="001E70B1" w:rsidP="000868C7">
            <w:pPr>
              <w:pStyle w:val="CGCTableHeading"/>
              <w:jc w:val="right"/>
              <w:rPr>
                <w:rFonts w:ascii="Symbol" w:eastAsia="MS Mincho" w:hAnsi="Symbol" w:cs="Symbol" w:hint="eastAsia"/>
                <w:color w:val="FFFFFF"/>
                <w:szCs w:val="16"/>
                <w:lang w:eastAsia="en-AU"/>
              </w:rPr>
            </w:pPr>
            <w:r w:rsidRPr="00442A3B">
              <w:rPr>
                <w:lang w:eastAsia="en-AU"/>
              </w:rPr>
              <w:t>NSW</w:t>
            </w:r>
          </w:p>
        </w:tc>
        <w:tc>
          <w:tcPr>
            <w:tcW w:w="803" w:type="dxa"/>
            <w:tcBorders>
              <w:top w:val="nil"/>
              <w:left w:val="nil"/>
              <w:bottom w:val="nil"/>
              <w:right w:val="nil"/>
            </w:tcBorders>
            <w:shd w:val="clear" w:color="000000" w:fill="006991"/>
            <w:vAlign w:val="center"/>
            <w:hideMark/>
          </w:tcPr>
          <w:p w14:paraId="75BBF65E" w14:textId="77777777" w:rsidR="001E70B1" w:rsidRPr="00442A3B" w:rsidRDefault="001E70B1" w:rsidP="000868C7">
            <w:pPr>
              <w:pStyle w:val="CGCTableHeading"/>
              <w:jc w:val="right"/>
              <w:rPr>
                <w:rFonts w:ascii="Symbol" w:eastAsia="MS Mincho" w:hAnsi="Symbol" w:cs="Symbol" w:hint="eastAsia"/>
                <w:color w:val="FFFFFF"/>
                <w:szCs w:val="16"/>
                <w:lang w:eastAsia="en-AU"/>
              </w:rPr>
            </w:pPr>
            <w:r w:rsidRPr="00442A3B">
              <w:rPr>
                <w:lang w:eastAsia="en-AU"/>
              </w:rPr>
              <w:t>Vic</w:t>
            </w:r>
          </w:p>
        </w:tc>
        <w:tc>
          <w:tcPr>
            <w:tcW w:w="803" w:type="dxa"/>
            <w:tcBorders>
              <w:top w:val="nil"/>
              <w:left w:val="nil"/>
              <w:bottom w:val="nil"/>
              <w:right w:val="nil"/>
            </w:tcBorders>
            <w:shd w:val="clear" w:color="000000" w:fill="006991"/>
            <w:vAlign w:val="center"/>
            <w:hideMark/>
          </w:tcPr>
          <w:p w14:paraId="46E75A93" w14:textId="77777777" w:rsidR="001E70B1" w:rsidRPr="00442A3B" w:rsidRDefault="001E70B1" w:rsidP="000868C7">
            <w:pPr>
              <w:pStyle w:val="CGCTableHeading"/>
              <w:jc w:val="right"/>
              <w:rPr>
                <w:rFonts w:ascii="Symbol" w:eastAsia="MS Mincho" w:hAnsi="Symbol" w:cs="Symbol" w:hint="eastAsia"/>
                <w:color w:val="FFFFFF"/>
                <w:szCs w:val="16"/>
                <w:lang w:eastAsia="en-AU"/>
              </w:rPr>
            </w:pPr>
            <w:r w:rsidRPr="00442A3B">
              <w:rPr>
                <w:lang w:eastAsia="en-AU"/>
              </w:rPr>
              <w:t>Qld</w:t>
            </w:r>
          </w:p>
        </w:tc>
        <w:tc>
          <w:tcPr>
            <w:tcW w:w="803" w:type="dxa"/>
            <w:tcBorders>
              <w:top w:val="nil"/>
              <w:left w:val="nil"/>
              <w:bottom w:val="nil"/>
              <w:right w:val="nil"/>
            </w:tcBorders>
            <w:shd w:val="clear" w:color="000000" w:fill="006991"/>
            <w:vAlign w:val="center"/>
            <w:hideMark/>
          </w:tcPr>
          <w:p w14:paraId="348A9EEE" w14:textId="77777777" w:rsidR="001E70B1" w:rsidRPr="00442A3B" w:rsidRDefault="001E70B1" w:rsidP="000868C7">
            <w:pPr>
              <w:pStyle w:val="CGCTableHeading"/>
              <w:jc w:val="right"/>
              <w:rPr>
                <w:rFonts w:ascii="Symbol" w:eastAsia="MS Mincho" w:hAnsi="Symbol" w:cs="Symbol" w:hint="eastAsia"/>
                <w:color w:val="FFFFFF"/>
                <w:szCs w:val="16"/>
                <w:lang w:eastAsia="en-AU"/>
              </w:rPr>
            </w:pPr>
            <w:r w:rsidRPr="00442A3B">
              <w:rPr>
                <w:lang w:eastAsia="en-AU"/>
              </w:rPr>
              <w:t>WA</w:t>
            </w:r>
          </w:p>
        </w:tc>
        <w:tc>
          <w:tcPr>
            <w:tcW w:w="803" w:type="dxa"/>
            <w:tcBorders>
              <w:top w:val="nil"/>
              <w:left w:val="nil"/>
              <w:bottom w:val="nil"/>
              <w:right w:val="nil"/>
            </w:tcBorders>
            <w:shd w:val="clear" w:color="000000" w:fill="006991"/>
            <w:vAlign w:val="center"/>
            <w:hideMark/>
          </w:tcPr>
          <w:p w14:paraId="44FFEF05" w14:textId="77777777" w:rsidR="001E70B1" w:rsidRPr="00442A3B" w:rsidRDefault="001E70B1" w:rsidP="000868C7">
            <w:pPr>
              <w:pStyle w:val="CGCTableHeading"/>
              <w:jc w:val="right"/>
              <w:rPr>
                <w:rFonts w:ascii="Symbol" w:eastAsia="MS Mincho" w:hAnsi="Symbol" w:cs="Symbol" w:hint="eastAsia"/>
                <w:color w:val="FFFFFF"/>
                <w:szCs w:val="16"/>
                <w:lang w:eastAsia="en-AU"/>
              </w:rPr>
            </w:pPr>
            <w:r w:rsidRPr="00442A3B">
              <w:rPr>
                <w:lang w:eastAsia="en-AU"/>
              </w:rPr>
              <w:t>SA</w:t>
            </w:r>
          </w:p>
        </w:tc>
        <w:tc>
          <w:tcPr>
            <w:tcW w:w="803" w:type="dxa"/>
            <w:tcBorders>
              <w:top w:val="nil"/>
              <w:left w:val="nil"/>
              <w:bottom w:val="nil"/>
              <w:right w:val="nil"/>
            </w:tcBorders>
            <w:shd w:val="clear" w:color="000000" w:fill="006991"/>
            <w:vAlign w:val="center"/>
            <w:hideMark/>
          </w:tcPr>
          <w:p w14:paraId="29817580" w14:textId="77777777" w:rsidR="001E70B1" w:rsidRPr="00442A3B" w:rsidRDefault="001E70B1" w:rsidP="000868C7">
            <w:pPr>
              <w:pStyle w:val="CGCTableHeading"/>
              <w:jc w:val="right"/>
              <w:rPr>
                <w:rFonts w:ascii="Symbol" w:eastAsia="MS Mincho" w:hAnsi="Symbol" w:cs="Symbol" w:hint="eastAsia"/>
                <w:color w:val="FFFFFF"/>
                <w:szCs w:val="16"/>
                <w:lang w:eastAsia="en-AU"/>
              </w:rPr>
            </w:pPr>
            <w:r w:rsidRPr="00442A3B">
              <w:rPr>
                <w:lang w:eastAsia="en-AU"/>
              </w:rPr>
              <w:t>Tas</w:t>
            </w:r>
          </w:p>
        </w:tc>
        <w:tc>
          <w:tcPr>
            <w:tcW w:w="803" w:type="dxa"/>
            <w:tcBorders>
              <w:top w:val="nil"/>
              <w:left w:val="nil"/>
              <w:bottom w:val="nil"/>
              <w:right w:val="nil"/>
            </w:tcBorders>
            <w:shd w:val="clear" w:color="000000" w:fill="006991"/>
            <w:vAlign w:val="center"/>
            <w:hideMark/>
          </w:tcPr>
          <w:p w14:paraId="66856B71" w14:textId="77777777" w:rsidR="001E70B1" w:rsidRPr="00442A3B" w:rsidRDefault="001E70B1" w:rsidP="000868C7">
            <w:pPr>
              <w:pStyle w:val="CGCTableHeading"/>
              <w:jc w:val="right"/>
              <w:rPr>
                <w:rFonts w:ascii="Symbol" w:eastAsia="MS Mincho" w:hAnsi="Symbol" w:cs="Symbol" w:hint="eastAsia"/>
                <w:color w:val="FFFFFF"/>
                <w:szCs w:val="16"/>
                <w:lang w:eastAsia="en-AU"/>
              </w:rPr>
            </w:pPr>
            <w:r w:rsidRPr="00442A3B">
              <w:rPr>
                <w:lang w:eastAsia="en-AU"/>
              </w:rPr>
              <w:t>ACT</w:t>
            </w:r>
          </w:p>
        </w:tc>
        <w:tc>
          <w:tcPr>
            <w:tcW w:w="803" w:type="dxa"/>
            <w:tcBorders>
              <w:top w:val="nil"/>
              <w:left w:val="nil"/>
              <w:bottom w:val="nil"/>
              <w:right w:val="nil"/>
            </w:tcBorders>
            <w:shd w:val="clear" w:color="000000" w:fill="006991"/>
            <w:vAlign w:val="center"/>
            <w:hideMark/>
          </w:tcPr>
          <w:p w14:paraId="2777B3E1" w14:textId="77777777" w:rsidR="001E70B1" w:rsidRPr="00442A3B" w:rsidRDefault="001E70B1" w:rsidP="000868C7">
            <w:pPr>
              <w:pStyle w:val="CGCTableHeading"/>
              <w:jc w:val="right"/>
              <w:rPr>
                <w:rFonts w:ascii="Symbol" w:eastAsia="MS Mincho" w:hAnsi="Symbol" w:cs="Symbol" w:hint="eastAsia"/>
                <w:color w:val="FFFFFF"/>
                <w:szCs w:val="16"/>
                <w:lang w:eastAsia="en-AU"/>
              </w:rPr>
            </w:pPr>
            <w:r w:rsidRPr="00442A3B">
              <w:rPr>
                <w:lang w:eastAsia="en-AU"/>
              </w:rPr>
              <w:t>NT</w:t>
            </w:r>
          </w:p>
        </w:tc>
        <w:tc>
          <w:tcPr>
            <w:tcW w:w="803" w:type="dxa"/>
            <w:tcBorders>
              <w:top w:val="nil"/>
              <w:left w:val="nil"/>
              <w:bottom w:val="nil"/>
              <w:right w:val="nil"/>
            </w:tcBorders>
            <w:shd w:val="clear" w:color="000000" w:fill="006991"/>
            <w:vAlign w:val="center"/>
            <w:hideMark/>
          </w:tcPr>
          <w:p w14:paraId="363C92CF" w14:textId="77777777" w:rsidR="001E70B1" w:rsidRPr="00442A3B" w:rsidRDefault="001E70B1" w:rsidP="000868C7">
            <w:pPr>
              <w:pStyle w:val="CGCTableHeading"/>
              <w:jc w:val="right"/>
              <w:rPr>
                <w:rFonts w:ascii="Symbol" w:eastAsia="MS Mincho" w:hAnsi="Symbol" w:cs="Symbol" w:hint="eastAsia"/>
                <w:color w:val="FFFFFF"/>
                <w:szCs w:val="16"/>
                <w:lang w:eastAsia="en-AU"/>
              </w:rPr>
            </w:pPr>
            <w:r w:rsidRPr="00442A3B">
              <w:rPr>
                <w:lang w:eastAsia="en-AU"/>
              </w:rPr>
              <w:t>Total</w:t>
            </w:r>
          </w:p>
        </w:tc>
      </w:tr>
      <w:tr w:rsidR="001E70B1" w:rsidRPr="00442A3B" w14:paraId="405B1348" w14:textId="77777777" w:rsidTr="001D2661">
        <w:trPr>
          <w:trHeight w:val="315"/>
        </w:trPr>
        <w:tc>
          <w:tcPr>
            <w:tcW w:w="1800" w:type="dxa"/>
            <w:tcBorders>
              <w:top w:val="single" w:sz="8" w:space="0" w:color="ADD6EA"/>
              <w:left w:val="nil"/>
              <w:bottom w:val="single" w:sz="8" w:space="0" w:color="ADD6EA"/>
              <w:right w:val="nil"/>
            </w:tcBorders>
            <w:shd w:val="clear" w:color="auto" w:fill="auto"/>
            <w:noWrap/>
            <w:vAlign w:val="bottom"/>
            <w:hideMark/>
          </w:tcPr>
          <w:p w14:paraId="374BC37F" w14:textId="77777777" w:rsidR="001E70B1" w:rsidRPr="00442A3B" w:rsidRDefault="001E70B1" w:rsidP="00A66C87">
            <w:pPr>
              <w:pStyle w:val="CGCTablerow"/>
              <w:rPr>
                <w:rFonts w:eastAsia="Times New Roman" w:cs="Open Sans Light"/>
                <w:color w:val="000000"/>
                <w:szCs w:val="16"/>
                <w:lang w:eastAsia="en-AU"/>
              </w:rPr>
            </w:pPr>
            <w:bookmarkStart w:id="304" w:name="RANGE!A5"/>
            <w:r w:rsidRPr="00442A3B">
              <w:rPr>
                <w:lang w:eastAsia="en-AU"/>
              </w:rPr>
              <w:t xml:space="preserve">’No worse off’ relativities </w:t>
            </w:r>
            <w:bookmarkEnd w:id="304"/>
          </w:p>
        </w:tc>
        <w:tc>
          <w:tcPr>
            <w:tcW w:w="803" w:type="dxa"/>
            <w:tcBorders>
              <w:top w:val="single" w:sz="8" w:space="0" w:color="ADD6EA"/>
              <w:left w:val="nil"/>
              <w:bottom w:val="single" w:sz="8" w:space="0" w:color="ADD6EA"/>
              <w:right w:val="nil"/>
            </w:tcBorders>
            <w:shd w:val="clear" w:color="auto" w:fill="auto"/>
            <w:noWrap/>
            <w:vAlign w:val="bottom"/>
            <w:hideMark/>
          </w:tcPr>
          <w:p w14:paraId="7097B6E0" w14:textId="77777777" w:rsidR="001E70B1" w:rsidRPr="00442A3B" w:rsidRDefault="001E70B1" w:rsidP="00A66C87">
            <w:pPr>
              <w:pStyle w:val="CGCTablerow"/>
              <w:jc w:val="right"/>
              <w:rPr>
                <w:rFonts w:eastAsia="Times New Roman" w:cs="Open Sans Light"/>
                <w:color w:val="000000"/>
                <w:szCs w:val="16"/>
                <w:lang w:eastAsia="en-AU"/>
              </w:rPr>
            </w:pPr>
            <w:r w:rsidRPr="00442A3B">
              <w:rPr>
                <w:lang w:eastAsia="en-AU"/>
              </w:rPr>
              <w:t>0.96451</w:t>
            </w:r>
          </w:p>
        </w:tc>
        <w:tc>
          <w:tcPr>
            <w:tcW w:w="803" w:type="dxa"/>
            <w:tcBorders>
              <w:top w:val="single" w:sz="8" w:space="0" w:color="ADD6EA"/>
              <w:left w:val="nil"/>
              <w:bottom w:val="single" w:sz="8" w:space="0" w:color="ADD6EA"/>
              <w:right w:val="nil"/>
            </w:tcBorders>
            <w:shd w:val="clear" w:color="auto" w:fill="auto"/>
            <w:noWrap/>
            <w:vAlign w:val="bottom"/>
            <w:hideMark/>
          </w:tcPr>
          <w:p w14:paraId="074FA41E" w14:textId="77777777" w:rsidR="001E70B1" w:rsidRPr="00442A3B" w:rsidRDefault="001E70B1" w:rsidP="00A66C87">
            <w:pPr>
              <w:pStyle w:val="CGCTablerow"/>
              <w:jc w:val="right"/>
              <w:rPr>
                <w:rFonts w:eastAsia="Times New Roman" w:cs="Open Sans Light"/>
                <w:color w:val="000000"/>
                <w:szCs w:val="16"/>
                <w:lang w:eastAsia="en-AU"/>
              </w:rPr>
            </w:pPr>
            <w:r w:rsidRPr="00442A3B">
              <w:rPr>
                <w:lang w:eastAsia="en-AU"/>
              </w:rPr>
              <w:t>0.93169</w:t>
            </w:r>
          </w:p>
        </w:tc>
        <w:tc>
          <w:tcPr>
            <w:tcW w:w="803" w:type="dxa"/>
            <w:tcBorders>
              <w:top w:val="single" w:sz="8" w:space="0" w:color="ADD6EA"/>
              <w:left w:val="nil"/>
              <w:bottom w:val="single" w:sz="8" w:space="0" w:color="ADD6EA"/>
              <w:right w:val="nil"/>
            </w:tcBorders>
            <w:shd w:val="clear" w:color="auto" w:fill="auto"/>
            <w:noWrap/>
            <w:vAlign w:val="bottom"/>
            <w:hideMark/>
          </w:tcPr>
          <w:p w14:paraId="1557C661" w14:textId="77777777" w:rsidR="001E70B1" w:rsidRPr="00442A3B" w:rsidRDefault="001E70B1" w:rsidP="00A66C87">
            <w:pPr>
              <w:pStyle w:val="CGCTablerow"/>
              <w:jc w:val="right"/>
              <w:rPr>
                <w:rFonts w:eastAsia="Times New Roman" w:cs="Open Sans Light"/>
                <w:color w:val="000000"/>
                <w:szCs w:val="16"/>
                <w:lang w:eastAsia="en-AU"/>
              </w:rPr>
            </w:pPr>
            <w:r w:rsidRPr="00442A3B">
              <w:rPr>
                <w:lang w:eastAsia="en-AU"/>
              </w:rPr>
              <w:t>1.06753</w:t>
            </w:r>
          </w:p>
        </w:tc>
        <w:tc>
          <w:tcPr>
            <w:tcW w:w="803" w:type="dxa"/>
            <w:tcBorders>
              <w:top w:val="single" w:sz="8" w:space="0" w:color="ADD6EA"/>
              <w:left w:val="nil"/>
              <w:bottom w:val="single" w:sz="8" w:space="0" w:color="ADD6EA"/>
              <w:right w:val="nil"/>
            </w:tcBorders>
            <w:shd w:val="clear" w:color="auto" w:fill="auto"/>
            <w:noWrap/>
            <w:vAlign w:val="bottom"/>
            <w:hideMark/>
          </w:tcPr>
          <w:p w14:paraId="6362228C" w14:textId="77777777" w:rsidR="001E70B1" w:rsidRPr="00442A3B" w:rsidRDefault="001E70B1" w:rsidP="00A66C87">
            <w:pPr>
              <w:pStyle w:val="CGCTablerow"/>
              <w:jc w:val="right"/>
              <w:rPr>
                <w:rFonts w:eastAsia="Times New Roman" w:cs="Open Sans Light"/>
                <w:color w:val="000000"/>
                <w:szCs w:val="16"/>
                <w:lang w:eastAsia="en-AU"/>
              </w:rPr>
            </w:pPr>
            <w:r w:rsidRPr="00442A3B">
              <w:rPr>
                <w:lang w:eastAsia="en-AU"/>
              </w:rPr>
              <w:t>0.32852</w:t>
            </w:r>
          </w:p>
        </w:tc>
        <w:tc>
          <w:tcPr>
            <w:tcW w:w="803" w:type="dxa"/>
            <w:tcBorders>
              <w:top w:val="single" w:sz="8" w:space="0" w:color="ADD6EA"/>
              <w:left w:val="nil"/>
              <w:bottom w:val="single" w:sz="8" w:space="0" w:color="ADD6EA"/>
              <w:right w:val="nil"/>
            </w:tcBorders>
            <w:shd w:val="clear" w:color="auto" w:fill="auto"/>
            <w:noWrap/>
            <w:vAlign w:val="bottom"/>
            <w:hideMark/>
          </w:tcPr>
          <w:p w14:paraId="46D42E40" w14:textId="77777777" w:rsidR="001E70B1" w:rsidRPr="00442A3B" w:rsidRDefault="001E70B1" w:rsidP="00A66C87">
            <w:pPr>
              <w:pStyle w:val="CGCTablerow"/>
              <w:jc w:val="right"/>
              <w:rPr>
                <w:rFonts w:eastAsia="Times New Roman" w:cs="Open Sans Light"/>
                <w:color w:val="000000"/>
                <w:szCs w:val="16"/>
                <w:lang w:eastAsia="en-AU"/>
              </w:rPr>
            </w:pPr>
            <w:r w:rsidRPr="00442A3B">
              <w:rPr>
                <w:lang w:eastAsia="en-AU"/>
              </w:rPr>
              <w:t>1.35554</w:t>
            </w:r>
          </w:p>
        </w:tc>
        <w:tc>
          <w:tcPr>
            <w:tcW w:w="803" w:type="dxa"/>
            <w:tcBorders>
              <w:top w:val="single" w:sz="8" w:space="0" w:color="ADD6EA"/>
              <w:left w:val="nil"/>
              <w:bottom w:val="single" w:sz="8" w:space="0" w:color="ADD6EA"/>
              <w:right w:val="nil"/>
            </w:tcBorders>
            <w:shd w:val="clear" w:color="auto" w:fill="auto"/>
            <w:noWrap/>
            <w:vAlign w:val="bottom"/>
            <w:hideMark/>
          </w:tcPr>
          <w:p w14:paraId="54FF1B79" w14:textId="77777777" w:rsidR="001E70B1" w:rsidRPr="00442A3B" w:rsidRDefault="001E70B1" w:rsidP="00A66C87">
            <w:pPr>
              <w:pStyle w:val="CGCTablerow"/>
              <w:jc w:val="right"/>
              <w:rPr>
                <w:rFonts w:eastAsia="Times New Roman" w:cs="Open Sans Light"/>
                <w:color w:val="000000"/>
                <w:szCs w:val="16"/>
                <w:lang w:eastAsia="en-AU"/>
              </w:rPr>
            </w:pPr>
            <w:r w:rsidRPr="00442A3B">
              <w:rPr>
                <w:lang w:eastAsia="en-AU"/>
              </w:rPr>
              <w:t>1.96901</w:t>
            </w:r>
          </w:p>
        </w:tc>
        <w:tc>
          <w:tcPr>
            <w:tcW w:w="803" w:type="dxa"/>
            <w:tcBorders>
              <w:top w:val="single" w:sz="8" w:space="0" w:color="ADD6EA"/>
              <w:left w:val="nil"/>
              <w:bottom w:val="single" w:sz="8" w:space="0" w:color="ADD6EA"/>
              <w:right w:val="nil"/>
            </w:tcBorders>
            <w:shd w:val="clear" w:color="auto" w:fill="auto"/>
            <w:noWrap/>
            <w:vAlign w:val="bottom"/>
            <w:hideMark/>
          </w:tcPr>
          <w:p w14:paraId="59CDE312" w14:textId="77777777" w:rsidR="001E70B1" w:rsidRPr="00442A3B" w:rsidRDefault="001E70B1" w:rsidP="00A66C87">
            <w:pPr>
              <w:pStyle w:val="CGCTablerow"/>
              <w:jc w:val="right"/>
              <w:rPr>
                <w:rFonts w:eastAsia="Times New Roman" w:cs="Open Sans Light"/>
                <w:color w:val="000000"/>
                <w:szCs w:val="16"/>
                <w:lang w:eastAsia="en-AU"/>
              </w:rPr>
            </w:pPr>
            <w:r w:rsidRPr="00442A3B">
              <w:rPr>
                <w:lang w:eastAsia="en-AU"/>
              </w:rPr>
              <w:t>1.17101</w:t>
            </w:r>
          </w:p>
        </w:tc>
        <w:tc>
          <w:tcPr>
            <w:tcW w:w="803" w:type="dxa"/>
            <w:tcBorders>
              <w:top w:val="single" w:sz="8" w:space="0" w:color="ADD6EA"/>
              <w:left w:val="nil"/>
              <w:bottom w:val="single" w:sz="8" w:space="0" w:color="ADD6EA"/>
              <w:right w:val="nil"/>
            </w:tcBorders>
            <w:shd w:val="clear" w:color="auto" w:fill="auto"/>
            <w:noWrap/>
            <w:vAlign w:val="bottom"/>
            <w:hideMark/>
          </w:tcPr>
          <w:p w14:paraId="4A8D1BE1" w14:textId="77777777" w:rsidR="001E70B1" w:rsidRPr="00442A3B" w:rsidRDefault="001E70B1" w:rsidP="00A66C87">
            <w:pPr>
              <w:pStyle w:val="CGCTablerow"/>
              <w:jc w:val="right"/>
              <w:rPr>
                <w:rFonts w:eastAsia="Times New Roman" w:cs="Open Sans Light"/>
                <w:color w:val="000000"/>
                <w:szCs w:val="16"/>
                <w:lang w:eastAsia="en-AU"/>
              </w:rPr>
            </w:pPr>
            <w:r w:rsidRPr="00442A3B">
              <w:rPr>
                <w:lang w:eastAsia="en-AU"/>
              </w:rPr>
              <w:t>4.80820</w:t>
            </w:r>
          </w:p>
        </w:tc>
        <w:tc>
          <w:tcPr>
            <w:tcW w:w="803" w:type="dxa"/>
            <w:tcBorders>
              <w:top w:val="single" w:sz="8" w:space="0" w:color="ADD6EA"/>
              <w:left w:val="nil"/>
              <w:bottom w:val="single" w:sz="8" w:space="0" w:color="ADD6EA"/>
              <w:right w:val="nil"/>
            </w:tcBorders>
            <w:shd w:val="clear" w:color="auto" w:fill="auto"/>
            <w:noWrap/>
            <w:vAlign w:val="bottom"/>
            <w:hideMark/>
          </w:tcPr>
          <w:p w14:paraId="2273679F" w14:textId="77777777" w:rsidR="001E70B1" w:rsidRPr="00442A3B" w:rsidRDefault="001E70B1" w:rsidP="00A66C87">
            <w:pPr>
              <w:pStyle w:val="CGCTablerow"/>
              <w:jc w:val="right"/>
              <w:rPr>
                <w:rFonts w:eastAsia="Times New Roman" w:cs="Open Sans Light"/>
                <w:color w:val="000000"/>
                <w:szCs w:val="16"/>
                <w:lang w:eastAsia="en-AU"/>
              </w:rPr>
            </w:pPr>
            <w:r w:rsidRPr="00442A3B">
              <w:rPr>
                <w:lang w:eastAsia="en-AU"/>
              </w:rPr>
              <w:t>1.00000</w:t>
            </w:r>
          </w:p>
        </w:tc>
      </w:tr>
    </w:tbl>
    <w:p w14:paraId="74912437" w14:textId="77777777" w:rsidR="00B50F99" w:rsidRPr="00442A3B" w:rsidRDefault="00B50F99" w:rsidP="005C2807">
      <w:pPr>
        <w:pStyle w:val="CGCTablenote"/>
        <w:keepNext/>
        <w:keepLines/>
      </w:pPr>
      <w:r w:rsidRPr="00442A3B">
        <w:t>Source:</w:t>
      </w:r>
      <w:r w:rsidRPr="00442A3B">
        <w:tab/>
        <w:t>Commission calculation.</w:t>
      </w:r>
    </w:p>
    <w:p w14:paraId="469CFA84" w14:textId="3E49713F" w:rsidR="004A7768" w:rsidRPr="00442A3B" w:rsidDel="00EA76EB" w:rsidRDefault="004A7768" w:rsidP="00F55CA9"/>
    <w:p w14:paraId="2851CD2B" w14:textId="77777777" w:rsidR="001E70B1" w:rsidRPr="00442A3B" w:rsidRDefault="001E70B1" w:rsidP="0022377F"/>
    <w:p w14:paraId="1A80CC01" w14:textId="46939F44" w:rsidR="00623BE1" w:rsidRPr="00442A3B" w:rsidRDefault="00623BE1" w:rsidP="0022377F">
      <w:pPr>
        <w:sectPr w:rsidR="00623BE1" w:rsidRPr="00442A3B" w:rsidSect="00623DD0">
          <w:headerReference w:type="default" r:id="rId100"/>
          <w:headerReference w:type="first" r:id="rId101"/>
          <w:footerReference w:type="first" r:id="rId102"/>
          <w:footnotePr>
            <w:numRestart w:val="eachSect"/>
          </w:footnotePr>
          <w:pgSz w:w="11907" w:h="16840" w:code="9"/>
          <w:pgMar w:top="1418" w:right="1474" w:bottom="1418" w:left="1474" w:header="567" w:footer="567" w:gutter="0"/>
          <w:cols w:space="720"/>
          <w:titlePg/>
          <w:docGrid w:linePitch="360"/>
        </w:sectPr>
      </w:pPr>
    </w:p>
    <w:p w14:paraId="104BFE55" w14:textId="29919C88" w:rsidR="00165998" w:rsidRPr="00442A3B" w:rsidRDefault="007C3D08" w:rsidP="00B36167">
      <w:pPr>
        <w:pStyle w:val="Heading2"/>
      </w:pPr>
      <w:bookmarkStart w:id="313" w:name="_Ref62201424"/>
      <w:bookmarkStart w:id="314" w:name="_Ref62201544"/>
      <w:bookmarkStart w:id="315" w:name="_Ref62201550"/>
      <w:bookmarkStart w:id="316" w:name="_Toc65050572"/>
      <w:r w:rsidRPr="00442A3B">
        <w:lastRenderedPageBreak/>
        <w:t xml:space="preserve">Attachment </w:t>
      </w:r>
      <w:r w:rsidR="004A7768" w:rsidRPr="00442A3B">
        <w:t>B</w:t>
      </w:r>
      <w:r w:rsidR="00833553" w:rsidRPr="00442A3B">
        <w:t xml:space="preserve">: </w:t>
      </w:r>
      <w:r w:rsidR="00165998" w:rsidRPr="00442A3B">
        <w:t>Quality assurance</w:t>
      </w:r>
      <w:bookmarkEnd w:id="313"/>
      <w:bookmarkEnd w:id="314"/>
      <w:bookmarkEnd w:id="315"/>
      <w:bookmarkEnd w:id="316"/>
    </w:p>
    <w:p w14:paraId="5DA22785" w14:textId="7D4C7575" w:rsidR="000916BA" w:rsidRPr="00442A3B" w:rsidRDefault="00E55058" w:rsidP="00A97DAF">
      <w:pPr>
        <w:pStyle w:val="CGCParaNumber"/>
        <w:numPr>
          <w:ilvl w:val="0"/>
          <w:numId w:val="42"/>
        </w:numPr>
        <w:ind w:left="360"/>
      </w:pPr>
      <w:r w:rsidRPr="00442A3B">
        <w:t>This attachment reports on the quality assurance procedures applied in this update. These procedures aim to ensure the data used in the Commission’s assessments are</w:t>
      </w:r>
      <w:r w:rsidR="004A23DF" w:rsidRPr="00442A3B">
        <w:t xml:space="preserve"> </w:t>
      </w:r>
      <w:r w:rsidRPr="00442A3B">
        <w:t>fit for purpose and of the best possible quality, the analysis is accurate and the</w:t>
      </w:r>
      <w:r w:rsidR="004A23DF" w:rsidRPr="00442A3B">
        <w:t xml:space="preserve"> </w:t>
      </w:r>
      <w:r w:rsidRPr="00442A3B">
        <w:t>reporting of the Commission’s findings and reasons for decisions leading to them is</w:t>
      </w:r>
      <w:r w:rsidR="004A23DF" w:rsidRPr="00442A3B">
        <w:t xml:space="preserve"> </w:t>
      </w:r>
      <w:r w:rsidRPr="00442A3B">
        <w:t xml:space="preserve">accurate and transparent. </w:t>
      </w:r>
      <w:r w:rsidR="00E26E28" w:rsidRPr="00442A3B">
        <w:t xml:space="preserve">The procedures are consistent with </w:t>
      </w:r>
      <w:r w:rsidR="00165998" w:rsidRPr="00442A3B">
        <w:t xml:space="preserve">the </w:t>
      </w:r>
      <w:r w:rsidR="005909B1" w:rsidRPr="00442A3B">
        <w:t>2020 Review</w:t>
      </w:r>
      <w:r w:rsidR="009F4A5A" w:rsidRPr="00442A3B">
        <w:t xml:space="preserve"> </w:t>
      </w:r>
      <w:r w:rsidR="00896821" w:rsidRPr="00442A3B">
        <w:t>Quality Assurance</w:t>
      </w:r>
      <w:r w:rsidR="00165998" w:rsidRPr="00442A3B">
        <w:t xml:space="preserve"> Strategic Plan, which is available on the </w:t>
      </w:r>
      <w:hyperlink r:id="rId103" w:history="1">
        <w:r w:rsidR="00165998" w:rsidRPr="00442A3B">
          <w:rPr>
            <w:rStyle w:val="Hyperlink"/>
          </w:rPr>
          <w:t>Commission’s website</w:t>
        </w:r>
      </w:hyperlink>
      <w:r w:rsidR="00165998" w:rsidRPr="00442A3B">
        <w:t xml:space="preserve"> (http</w:t>
      </w:r>
      <w:r w:rsidR="00490335" w:rsidRPr="00442A3B">
        <w:t>s</w:t>
      </w:r>
      <w:r w:rsidR="00165998" w:rsidRPr="00442A3B">
        <w:t xml:space="preserve">://www.cgc.gov.au). </w:t>
      </w:r>
    </w:p>
    <w:p w14:paraId="1113A1C3" w14:textId="77777777" w:rsidR="00165998" w:rsidRPr="00442A3B" w:rsidRDefault="00165998" w:rsidP="00165998">
      <w:pPr>
        <w:pStyle w:val="Heading3"/>
      </w:pPr>
      <w:bookmarkStart w:id="317" w:name="_Toc65050573"/>
      <w:r w:rsidRPr="00442A3B">
        <w:t>Checking calculations</w:t>
      </w:r>
      <w:bookmarkEnd w:id="317"/>
    </w:p>
    <w:p w14:paraId="5F06AB96" w14:textId="77777777" w:rsidR="007A58FF" w:rsidRPr="00442A3B" w:rsidRDefault="007A58FF" w:rsidP="000361EA">
      <w:pPr>
        <w:pStyle w:val="CGCParaNumber"/>
        <w:ind w:left="567" w:hanging="567"/>
      </w:pPr>
      <w:r w:rsidRPr="00442A3B">
        <w:t>The Commission completed a rigorous internal audit of all calculations. For each assessment, internal checks were performed and formally signed off by the assessment officer, the assessment team leader and another officer not involved in the original calculation.</w:t>
      </w:r>
    </w:p>
    <w:p w14:paraId="2C90198A" w14:textId="40D86877" w:rsidR="00165998" w:rsidRPr="00442A3B" w:rsidRDefault="00165998" w:rsidP="000361EA">
      <w:pPr>
        <w:pStyle w:val="CGCParaNumber"/>
        <w:ind w:left="567" w:hanging="567"/>
      </w:pPr>
      <w:bookmarkStart w:id="318" w:name="_Ref32844110"/>
      <w:r w:rsidRPr="00442A3B">
        <w:t xml:space="preserve">The Commission also engaged officers from the </w:t>
      </w:r>
      <w:r w:rsidR="00405E62" w:rsidRPr="00442A3B">
        <w:t>Australian</w:t>
      </w:r>
      <w:r w:rsidRPr="00442A3B">
        <w:t xml:space="preserve"> Treasury with relevant technical expertise to check the calculations. These checks were done after internal checks were completed. </w:t>
      </w:r>
      <w:bookmarkEnd w:id="318"/>
    </w:p>
    <w:p w14:paraId="2F308CA4" w14:textId="77777777" w:rsidR="00165998" w:rsidRPr="00442A3B" w:rsidRDefault="00165998" w:rsidP="00165998">
      <w:pPr>
        <w:pStyle w:val="Heading3"/>
      </w:pPr>
      <w:bookmarkStart w:id="319" w:name="_Toc65050574"/>
      <w:r w:rsidRPr="00442A3B">
        <w:t>Reporting of methods, decisions and results</w:t>
      </w:r>
      <w:bookmarkEnd w:id="319"/>
    </w:p>
    <w:p w14:paraId="74902A52" w14:textId="77777777" w:rsidR="00165998" w:rsidRPr="00442A3B" w:rsidRDefault="00165998" w:rsidP="000361EA">
      <w:pPr>
        <w:pStyle w:val="CGCParaNumber"/>
        <w:ind w:left="567" w:hanging="567"/>
      </w:pPr>
      <w:r w:rsidRPr="00442A3B">
        <w:t xml:space="preserve">Transparency and accuracy in reporting the assessment methods, decisions and results are important in ensuring high quality outputs. </w:t>
      </w:r>
    </w:p>
    <w:p w14:paraId="59B47536" w14:textId="77777777" w:rsidR="00165998" w:rsidRPr="00442A3B" w:rsidRDefault="00165998" w:rsidP="000361EA">
      <w:pPr>
        <w:pStyle w:val="CGCParaNumber"/>
        <w:ind w:left="567" w:hanging="567"/>
      </w:pPr>
      <w:r w:rsidRPr="00442A3B">
        <w:t xml:space="preserve">The Commission undertook a comprehensive program of proofreading and checking of tables and results to ensure they aligned with the original calculations. </w:t>
      </w:r>
    </w:p>
    <w:p w14:paraId="7B018855" w14:textId="7D8358AD" w:rsidR="00165998" w:rsidRPr="00442A3B" w:rsidRDefault="00165998" w:rsidP="000361EA">
      <w:pPr>
        <w:pStyle w:val="CGCParaNumber"/>
        <w:ind w:left="567" w:hanging="567"/>
      </w:pPr>
      <w:r w:rsidRPr="00442A3B">
        <w:t xml:space="preserve">The Commission posted all its discussion papers, State submissions on those papers, draft and final reports on the </w:t>
      </w:r>
      <w:hyperlink r:id="rId104">
        <w:r w:rsidRPr="00442A3B">
          <w:rPr>
            <w:rStyle w:val="Hyperlink"/>
          </w:rPr>
          <w:t>Commission’s website</w:t>
        </w:r>
      </w:hyperlink>
      <w:r w:rsidRPr="00442A3B">
        <w:t xml:space="preserve"> (</w:t>
      </w:r>
      <w:r w:rsidR="00490335" w:rsidRPr="00442A3B">
        <w:t>https://www.cgc.gov.au</w:t>
      </w:r>
      <w:r w:rsidRPr="00442A3B">
        <w:t xml:space="preserve">). </w:t>
      </w:r>
    </w:p>
    <w:p w14:paraId="02E30BF6" w14:textId="77777777" w:rsidR="00070F5B" w:rsidRPr="00442A3B" w:rsidRDefault="00070F5B" w:rsidP="00070F5B"/>
    <w:p w14:paraId="63D2333F" w14:textId="77777777" w:rsidR="00070F5B" w:rsidRPr="00442A3B" w:rsidRDefault="00070F5B" w:rsidP="00070F5B">
      <w:pPr>
        <w:sectPr w:rsidR="00070F5B" w:rsidRPr="00442A3B" w:rsidSect="00623DD0">
          <w:headerReference w:type="default" r:id="rId105"/>
          <w:headerReference w:type="first" r:id="rId106"/>
          <w:footerReference w:type="first" r:id="rId107"/>
          <w:footnotePr>
            <w:numRestart w:val="eachSect"/>
          </w:footnotePr>
          <w:pgSz w:w="11907" w:h="16840" w:code="9"/>
          <w:pgMar w:top="1418" w:right="1474" w:bottom="1418" w:left="1474" w:header="567" w:footer="567" w:gutter="0"/>
          <w:cols w:space="720"/>
          <w:titlePg/>
          <w:docGrid w:linePitch="360"/>
        </w:sectPr>
      </w:pPr>
    </w:p>
    <w:p w14:paraId="497F676D" w14:textId="09860CD8" w:rsidR="00743B4C" w:rsidRPr="00442A3B" w:rsidRDefault="00742A67" w:rsidP="003268F4">
      <w:pPr>
        <w:pStyle w:val="Heading2"/>
      </w:pPr>
      <w:bookmarkStart w:id="328" w:name="_Ref62201437"/>
      <w:bookmarkStart w:id="329" w:name="_Toc65050575"/>
      <w:r w:rsidRPr="00442A3B">
        <w:lastRenderedPageBreak/>
        <w:t>Glossary</w:t>
      </w:r>
      <w:bookmarkEnd w:id="328"/>
      <w:bookmarkEnd w:id="329"/>
    </w:p>
    <w:p w14:paraId="155CC463" w14:textId="1769923F" w:rsidR="00D958B8" w:rsidRPr="00442A3B" w:rsidRDefault="00D958B8" w:rsidP="00D958B8">
      <w:pPr>
        <w:spacing w:before="0"/>
      </w:pPr>
      <w:r w:rsidRPr="00442A3B">
        <w:t xml:space="preserve">This glossary </w:t>
      </w:r>
      <w:r w:rsidR="00BB53D8" w:rsidRPr="00442A3B">
        <w:t xml:space="preserve">includes </w:t>
      </w:r>
      <w:r w:rsidRPr="00442A3B">
        <w:t xml:space="preserve">terms </w:t>
      </w:r>
      <w:r w:rsidR="00D92D14" w:rsidRPr="00442A3B">
        <w:t xml:space="preserve">used in this report </w:t>
      </w:r>
      <w:r w:rsidRPr="00442A3B">
        <w:t xml:space="preserve">that have a meaning specific to the Commission. </w:t>
      </w:r>
      <w:r w:rsidR="00D92D14" w:rsidRPr="00442A3B">
        <w:t xml:space="preserve">A </w:t>
      </w:r>
      <w:r w:rsidR="00B03499" w:rsidRPr="00442A3B">
        <w:t xml:space="preserve">full list of Commission terminology is available on the website at </w:t>
      </w:r>
      <w:hyperlink r:id="rId108" w:history="1">
        <w:r w:rsidR="008E0C2B" w:rsidRPr="00442A3B">
          <w:rPr>
            <w:rStyle w:val="Hyperlink"/>
          </w:rPr>
          <w:t>www.cgc.gov.au</w:t>
        </w:r>
      </w:hyperlink>
      <w:r w:rsidR="008E0C2B" w:rsidRPr="00442A3B">
        <w:t xml:space="preserve">. </w:t>
      </w:r>
      <w:r w:rsidRPr="00442A3B">
        <w:t xml:space="preserve">The term ‘State(s)’ includes the Australian Capital Territory and the Northern Territory. </w:t>
      </w:r>
    </w:p>
    <w:p w14:paraId="22E6BCB2" w14:textId="77777777" w:rsidR="00D958B8" w:rsidRPr="00442A3B" w:rsidRDefault="00D958B8" w:rsidP="00D958B8">
      <w:pPr>
        <w:spacing w:before="0"/>
      </w:pPr>
    </w:p>
    <w:p w14:paraId="08E1AB05" w14:textId="35498B41" w:rsidR="00D958B8" w:rsidRPr="00442A3B" w:rsidRDefault="00D958B8" w:rsidP="00D958B8">
      <w:pPr>
        <w:rPr>
          <w:b/>
        </w:rPr>
      </w:pPr>
      <w:r w:rsidRPr="00442A3B">
        <w:rPr>
          <w:b/>
        </w:rPr>
        <w:t xml:space="preserve">actual per capita assessment method </w:t>
      </w:r>
    </w:p>
    <w:p w14:paraId="546A94B0" w14:textId="77777777" w:rsidR="00D958B8" w:rsidRPr="00442A3B" w:rsidRDefault="00D958B8" w:rsidP="00D958B8">
      <w:pPr>
        <w:spacing w:before="0"/>
      </w:pPr>
      <w:r w:rsidRPr="00442A3B">
        <w:t>The assessed expense or revenue for each State is set equal to its actual expense or revenue. It is used when, in the Commission’s judgment, the policies of all States are the same and any differences in expenses or revenue per capita are due to differences in State circumstances.</w:t>
      </w:r>
    </w:p>
    <w:p w14:paraId="17D714C8" w14:textId="77777777" w:rsidR="00D958B8" w:rsidRPr="00442A3B" w:rsidRDefault="00D958B8" w:rsidP="00D958B8">
      <w:pPr>
        <w:rPr>
          <w:b/>
        </w:rPr>
      </w:pPr>
      <w:r w:rsidRPr="00442A3B">
        <w:rPr>
          <w:b/>
        </w:rPr>
        <w:t>adjusted budget</w:t>
      </w:r>
    </w:p>
    <w:p w14:paraId="31450543" w14:textId="3B72EE2C" w:rsidR="00D958B8" w:rsidRPr="00442A3B" w:rsidRDefault="00D958B8" w:rsidP="00D958B8">
      <w:pPr>
        <w:spacing w:before="0"/>
      </w:pPr>
      <w:r w:rsidRPr="00442A3B">
        <w:t>A representation of State budgets used by the Commission to calculate average per capita revenue and expenditures. The scope of the adjusted budget covers all transactions of the State general government sector and urban transport and housing public non</w:t>
      </w:r>
      <w:r w:rsidRPr="00442A3B">
        <w:noBreakHyphen/>
        <w:t xml:space="preserve">financial corporations. </w:t>
      </w:r>
    </w:p>
    <w:p w14:paraId="3FE7B58E" w14:textId="21DE9D1A" w:rsidR="00D958B8" w:rsidRPr="00442A3B" w:rsidRDefault="00D958B8" w:rsidP="00D958B8">
      <w:pPr>
        <w:rPr>
          <w:b/>
        </w:rPr>
      </w:pPr>
      <w:r w:rsidRPr="00442A3B">
        <w:rPr>
          <w:b/>
        </w:rPr>
        <w:t xml:space="preserve">administrative scale </w:t>
      </w:r>
    </w:p>
    <w:p w14:paraId="372CD6BD" w14:textId="1F1F7FFB" w:rsidR="00D958B8" w:rsidRPr="00442A3B" w:rsidRDefault="00D958B8" w:rsidP="00D958B8">
      <w:pPr>
        <w:spacing w:before="0"/>
      </w:pPr>
      <w:r w:rsidRPr="00442A3B">
        <w:t xml:space="preserve">A </w:t>
      </w:r>
      <w:r w:rsidR="000108FB" w:rsidRPr="00442A3B">
        <w:t>measurement of the</w:t>
      </w:r>
      <w:r w:rsidRPr="00442A3B">
        <w:t xml:space="preserve"> differences in costs that States incur in providing the minimum level of administration and policy development required to deliver services. It relates to core head office functions and to specialised State-wide services provided centrally. </w:t>
      </w:r>
    </w:p>
    <w:p w14:paraId="4E36D572" w14:textId="77777777" w:rsidR="00D958B8" w:rsidRPr="00442A3B" w:rsidRDefault="00D958B8" w:rsidP="00D958B8">
      <w:pPr>
        <w:rPr>
          <w:b/>
        </w:rPr>
      </w:pPr>
      <w:r w:rsidRPr="00442A3B">
        <w:rPr>
          <w:b/>
        </w:rPr>
        <w:t>application year</w:t>
      </w:r>
    </w:p>
    <w:p w14:paraId="28A74684" w14:textId="37E97A14" w:rsidR="00D958B8" w:rsidRPr="00442A3B" w:rsidRDefault="00D958B8" w:rsidP="00D958B8">
      <w:pPr>
        <w:spacing w:before="0"/>
      </w:pPr>
      <w:r w:rsidRPr="00442A3B">
        <w:t xml:space="preserve">The year in which the recommended relativities are to be used to distribute the </w:t>
      </w:r>
      <w:bookmarkStart w:id="330" w:name="_Hlk62208058"/>
      <w:r w:rsidR="003013A6" w:rsidRPr="00442A3B">
        <w:t>GST</w:t>
      </w:r>
      <w:r w:rsidRPr="00442A3B">
        <w:t xml:space="preserve"> pool</w:t>
      </w:r>
      <w:bookmarkEnd w:id="330"/>
      <w:r w:rsidRPr="00442A3B">
        <w:t xml:space="preserve">. For example, for the </w:t>
      </w:r>
      <w:r w:rsidR="005909B1" w:rsidRPr="00442A3B">
        <w:t>2021 Update</w:t>
      </w:r>
      <w:r w:rsidRPr="00442A3B">
        <w:t xml:space="preserve"> the application </w:t>
      </w:r>
      <w:r w:rsidR="009054EE" w:rsidRPr="00442A3B">
        <w:t xml:space="preserve">year </w:t>
      </w:r>
      <w:r w:rsidRPr="00442A3B">
        <w:t>is 2021</w:t>
      </w:r>
      <w:r w:rsidRPr="00442A3B">
        <w:noBreakHyphen/>
        <w:t>22.</w:t>
      </w:r>
    </w:p>
    <w:p w14:paraId="5CF6DA82" w14:textId="77777777" w:rsidR="00D958B8" w:rsidRPr="00442A3B" w:rsidRDefault="00D958B8" w:rsidP="00D958B8">
      <w:pPr>
        <w:rPr>
          <w:b/>
        </w:rPr>
      </w:pPr>
      <w:r w:rsidRPr="00442A3B">
        <w:rPr>
          <w:b/>
        </w:rPr>
        <w:t>assessed expenses</w:t>
      </w:r>
    </w:p>
    <w:p w14:paraId="05299CF3" w14:textId="79EF51B3" w:rsidR="00D958B8" w:rsidRPr="00442A3B" w:rsidRDefault="00D958B8" w:rsidP="00D958B8">
      <w:pPr>
        <w:spacing w:before="0"/>
      </w:pPr>
      <w:r w:rsidRPr="00442A3B">
        <w:t xml:space="preserve">The expenses a State would incur if it were to follow average expense policies, allowing for the disabilities it faces in providing services, and assuming it provides services at the average level of efficiency. Assessed expenses exclude differences from the average due to </w:t>
      </w:r>
      <w:r w:rsidR="007B4C25" w:rsidRPr="00442A3B">
        <w:t xml:space="preserve">a State’s </w:t>
      </w:r>
      <w:r w:rsidRPr="00442A3B">
        <w:t>policy choice.</w:t>
      </w:r>
    </w:p>
    <w:p w14:paraId="4390A224" w14:textId="14EEE318" w:rsidR="00D958B8" w:rsidRPr="00442A3B" w:rsidRDefault="00D958B8" w:rsidP="00D958B8">
      <w:pPr>
        <w:rPr>
          <w:b/>
        </w:rPr>
      </w:pPr>
      <w:r w:rsidRPr="00442A3B">
        <w:rPr>
          <w:b/>
        </w:rPr>
        <w:t xml:space="preserve">assessed investment </w:t>
      </w:r>
    </w:p>
    <w:p w14:paraId="1EA91253" w14:textId="2D1B07F5" w:rsidR="00D958B8" w:rsidRPr="00442A3B" w:rsidRDefault="00D958B8" w:rsidP="00D958B8">
      <w:pPr>
        <w:spacing w:before="0"/>
      </w:pPr>
      <w:r w:rsidRPr="00442A3B">
        <w:t xml:space="preserve">The expenditure on new and replacement infrastructure a State would incur if it were to follow average policies, allowing for disabilities it faces in providing infrastructure, and assuming it requires the average level of infrastructure to deliver the average level of services. The Commission’s method for calculating assessed investment assumes that each State has the average </w:t>
      </w:r>
      <w:r w:rsidR="00E475E6" w:rsidRPr="00442A3B">
        <w:t xml:space="preserve">per capita stock of </w:t>
      </w:r>
      <w:r w:rsidRPr="00442A3B">
        <w:t xml:space="preserve">infrastructure at the start of each year. Assessed investment excludes differences from the average due to </w:t>
      </w:r>
      <w:r w:rsidR="007B4C25" w:rsidRPr="00442A3B">
        <w:t>a State’s policy choice</w:t>
      </w:r>
      <w:r w:rsidRPr="00442A3B">
        <w:t xml:space="preserve">. </w:t>
      </w:r>
    </w:p>
    <w:p w14:paraId="5730CC6C" w14:textId="77777777" w:rsidR="00D958B8" w:rsidRPr="00442A3B" w:rsidRDefault="00D958B8" w:rsidP="00D958B8">
      <w:pPr>
        <w:keepNext/>
        <w:keepLines/>
        <w:rPr>
          <w:b/>
        </w:rPr>
      </w:pPr>
      <w:r w:rsidRPr="00442A3B">
        <w:rPr>
          <w:b/>
        </w:rPr>
        <w:t>assessed net lending/borrowing</w:t>
      </w:r>
    </w:p>
    <w:p w14:paraId="061F3603" w14:textId="77777777" w:rsidR="00D958B8" w:rsidRPr="00442A3B" w:rsidRDefault="00D958B8" w:rsidP="00D958B8">
      <w:pPr>
        <w:keepNext/>
        <w:keepLines/>
        <w:spacing w:before="0"/>
      </w:pPr>
      <w:r w:rsidRPr="00442A3B">
        <w:t>The transaction-based change in net financial worth that a State would require to achieve the average net financial worth at the end of each year. The Commission’s method for calculating assessed net lending/borrowing assumes that each State has the average net financial worth at the start of each year.</w:t>
      </w:r>
    </w:p>
    <w:p w14:paraId="7667BE58" w14:textId="77777777" w:rsidR="00D958B8" w:rsidRPr="00442A3B" w:rsidRDefault="00D958B8" w:rsidP="00D958B8">
      <w:pPr>
        <w:keepNext/>
        <w:keepLines/>
        <w:rPr>
          <w:b/>
        </w:rPr>
      </w:pPr>
      <w:r w:rsidRPr="00442A3B">
        <w:rPr>
          <w:b/>
        </w:rPr>
        <w:t>assessed revenue</w:t>
      </w:r>
    </w:p>
    <w:p w14:paraId="04FE2B16" w14:textId="77777777" w:rsidR="00D958B8" w:rsidRPr="00442A3B" w:rsidRDefault="00D958B8" w:rsidP="00C91BEA">
      <w:pPr>
        <w:widowControl w:val="0"/>
        <w:spacing w:before="0"/>
      </w:pPr>
      <w:r w:rsidRPr="00442A3B">
        <w:t>The revenue a State would raise if it were to apply the average policies to its revenue base and raise revenue at the average level of efficiency. Assessed revenue excludes differences from the average due to policy choices under the control of that State, for example a higher or lower tax rate applied by a State compared to the average.</w:t>
      </w:r>
    </w:p>
    <w:p w14:paraId="25C79AE0" w14:textId="393393F2" w:rsidR="00D958B8" w:rsidRPr="00442A3B" w:rsidRDefault="00D958B8" w:rsidP="00C91BEA">
      <w:pPr>
        <w:keepNext/>
        <w:keepLines/>
        <w:widowControl w:val="0"/>
        <w:rPr>
          <w:b/>
        </w:rPr>
      </w:pPr>
      <w:r w:rsidRPr="00442A3B">
        <w:rPr>
          <w:b/>
        </w:rPr>
        <w:lastRenderedPageBreak/>
        <w:t>assessment years</w:t>
      </w:r>
    </w:p>
    <w:p w14:paraId="3E690611" w14:textId="11DF255A" w:rsidR="002F6D54" w:rsidRPr="00442A3B" w:rsidRDefault="002F6D54" w:rsidP="00C91BEA">
      <w:pPr>
        <w:keepNext/>
        <w:keepLines/>
        <w:spacing w:before="0"/>
      </w:pPr>
      <w:r w:rsidRPr="00442A3B">
        <w:t xml:space="preserve">The Commission uses data for </w:t>
      </w:r>
      <w:r w:rsidR="005E563D" w:rsidRPr="00442A3B">
        <w:t>3</w:t>
      </w:r>
      <w:r w:rsidRPr="00442A3B">
        <w:t xml:space="preserve"> assessment years </w:t>
      </w:r>
      <w:r w:rsidR="005D51E4" w:rsidRPr="00442A3B">
        <w:t>to calculate the States’ GST distribution.</w:t>
      </w:r>
      <w:r w:rsidRPr="00442A3B">
        <w:t xml:space="preserve"> </w:t>
      </w:r>
      <w:r w:rsidR="005A23DC" w:rsidRPr="00442A3B">
        <w:t xml:space="preserve">For the </w:t>
      </w:r>
      <w:r w:rsidR="005909B1" w:rsidRPr="00442A3B">
        <w:t>2021 Update</w:t>
      </w:r>
      <w:r w:rsidR="005A23DC" w:rsidRPr="00442A3B">
        <w:t xml:space="preserve"> the assessment years are </w:t>
      </w:r>
      <w:r w:rsidRPr="00442A3B">
        <w:t>201</w:t>
      </w:r>
      <w:r w:rsidR="00DA5B6A" w:rsidRPr="00442A3B">
        <w:t>7-</w:t>
      </w:r>
      <w:r w:rsidRPr="00442A3B">
        <w:t>1</w:t>
      </w:r>
      <w:r w:rsidR="00DA5B6A" w:rsidRPr="00442A3B">
        <w:t>8</w:t>
      </w:r>
      <w:r w:rsidR="003B5FDD" w:rsidRPr="00442A3B">
        <w:t xml:space="preserve">, 2018-19 and </w:t>
      </w:r>
      <w:r w:rsidRPr="00442A3B">
        <w:t>201</w:t>
      </w:r>
      <w:r w:rsidR="00DA5B6A" w:rsidRPr="00442A3B">
        <w:t>9-20</w:t>
      </w:r>
      <w:r w:rsidRPr="00442A3B">
        <w:t>.</w:t>
      </w:r>
    </w:p>
    <w:p w14:paraId="45E2B657" w14:textId="5591B644" w:rsidR="00D958B8" w:rsidRPr="00442A3B" w:rsidRDefault="00D958B8" w:rsidP="00D958B8">
      <w:pPr>
        <w:rPr>
          <w:b/>
        </w:rPr>
      </w:pPr>
      <w:r w:rsidRPr="00442A3B">
        <w:rPr>
          <w:b/>
        </w:rPr>
        <w:t xml:space="preserve">average </w:t>
      </w:r>
      <w:r w:rsidR="00A14026" w:rsidRPr="00442A3B">
        <w:rPr>
          <w:b/>
        </w:rPr>
        <w:t>expense/ revenue</w:t>
      </w:r>
    </w:p>
    <w:p w14:paraId="257A0A4A" w14:textId="48A97EA1" w:rsidR="00D958B8" w:rsidRPr="00442A3B" w:rsidRDefault="001E015C" w:rsidP="00D958B8">
      <w:pPr>
        <w:spacing w:before="0"/>
      </w:pPr>
      <w:r w:rsidRPr="00442A3B">
        <w:t>A</w:t>
      </w:r>
      <w:r w:rsidR="0068783E" w:rsidRPr="00442A3B">
        <w:t xml:space="preserve"> per capita measure derived as the total </w:t>
      </w:r>
      <w:r w:rsidR="00C024A2" w:rsidRPr="00442A3B">
        <w:t xml:space="preserve">spending, or </w:t>
      </w:r>
      <w:r w:rsidR="0068783E" w:rsidRPr="00442A3B">
        <w:t>revenue collected</w:t>
      </w:r>
      <w:r w:rsidR="00C024A2" w:rsidRPr="00442A3B">
        <w:t>,</w:t>
      </w:r>
      <w:r w:rsidR="0068783E" w:rsidRPr="00442A3B">
        <w:t xml:space="preserve"> divided by the total population across </w:t>
      </w:r>
      <w:r w:rsidR="00563AE7" w:rsidRPr="00442A3B">
        <w:t>Australia</w:t>
      </w:r>
      <w:r w:rsidR="0068783E" w:rsidRPr="00442A3B">
        <w:t xml:space="preserve">. The average represents the experience of the average Australian, so that the more populous States generally have a greater effect on the average than the less populous States. </w:t>
      </w:r>
    </w:p>
    <w:p w14:paraId="1C8018EE" w14:textId="77777777" w:rsidR="00D958B8" w:rsidRPr="00442A3B" w:rsidRDefault="00D958B8" w:rsidP="00D958B8">
      <w:pPr>
        <w:rPr>
          <w:b/>
        </w:rPr>
      </w:pPr>
      <w:r w:rsidRPr="00442A3B">
        <w:rPr>
          <w:b/>
        </w:rPr>
        <w:t>backcasting</w:t>
      </w:r>
    </w:p>
    <w:p w14:paraId="794911F6" w14:textId="77777777" w:rsidR="00D958B8" w:rsidRPr="00442A3B" w:rsidRDefault="00D958B8" w:rsidP="00D958B8">
      <w:pPr>
        <w:spacing w:before="0"/>
      </w:pPr>
      <w:r w:rsidRPr="00442A3B">
        <w:t>Changes made to assessment year data to reflect application year Commonwealth or State policies. Backcasting is mainly used to reflect major changes in federal financial arrangements. In effect, backcasting produces notional financial data that simulate a changed distribution of a Commonwealth payment, State revenue or expense. Actual data for the assessment period are adjusted to reflect what is reliably known to be happening in the application year.</w:t>
      </w:r>
    </w:p>
    <w:p w14:paraId="034310B8" w14:textId="0ABF8AD3" w:rsidR="00D958B8" w:rsidRPr="00442A3B" w:rsidRDefault="00D958B8" w:rsidP="00D958B8">
      <w:pPr>
        <w:rPr>
          <w:b/>
        </w:rPr>
      </w:pPr>
      <w:r w:rsidRPr="00442A3B">
        <w:rPr>
          <w:b/>
        </w:rPr>
        <w:t>blending</w:t>
      </w:r>
    </w:p>
    <w:p w14:paraId="3EE50A2E" w14:textId="7A6E52FA" w:rsidR="00D958B8" w:rsidRPr="00442A3B" w:rsidRDefault="00D958B8" w:rsidP="00D958B8">
      <w:pPr>
        <w:spacing w:before="0"/>
        <w:rPr>
          <w:bCs/>
        </w:rPr>
      </w:pPr>
      <w:r w:rsidRPr="00442A3B">
        <w:t>During transition to full application of the new arrangements, the Commission will blend the previous and the new arrangements (</w:t>
      </w:r>
      <w:r w:rsidR="00736EE1" w:rsidRPr="00442A3B">
        <w:t>referred to as</w:t>
      </w:r>
      <w:r w:rsidRPr="00442A3B">
        <w:t xml:space="preserve"> relative fiscal capacities and standard State capacities respectively) in proportions specified in the </w:t>
      </w:r>
      <w:r w:rsidRPr="00442A3B">
        <w:rPr>
          <w:i/>
        </w:rPr>
        <w:t>Treasury Laws Amendment (Making Sure Every State and Territory Gets Their Fair Share of GST) Act 2018</w:t>
      </w:r>
      <w:r w:rsidRPr="00442A3B">
        <w:t xml:space="preserve">, to derive the blended fiscal capacities. </w:t>
      </w:r>
    </w:p>
    <w:p w14:paraId="34D472CD" w14:textId="77777777" w:rsidR="00D958B8" w:rsidRPr="00442A3B" w:rsidRDefault="00D958B8" w:rsidP="00D64678">
      <w:pPr>
        <w:keepNext/>
        <w:keepLines/>
        <w:rPr>
          <w:b/>
        </w:rPr>
      </w:pPr>
      <w:r w:rsidRPr="00442A3B">
        <w:rPr>
          <w:b/>
        </w:rPr>
        <w:t>category</w:t>
      </w:r>
    </w:p>
    <w:p w14:paraId="5544F80A" w14:textId="11DBA599" w:rsidR="00D958B8" w:rsidRPr="00442A3B" w:rsidRDefault="00D958B8" w:rsidP="00D64678">
      <w:pPr>
        <w:keepNext/>
        <w:keepLines/>
        <w:spacing w:before="0"/>
      </w:pPr>
      <w:r w:rsidRPr="00442A3B">
        <w:t xml:space="preserve">A classification of in scope transactions relating to distinct services or revenue sources, used for assessment purposes. In this review, the adjusted budget is divided into Commonwealth payments, </w:t>
      </w:r>
      <w:r w:rsidR="005E563D" w:rsidRPr="00442A3B">
        <w:t>7</w:t>
      </w:r>
      <w:r w:rsidRPr="00442A3B">
        <w:t xml:space="preserve"> own</w:t>
      </w:r>
      <w:r w:rsidRPr="00442A3B">
        <w:noBreakHyphen/>
        <w:t xml:space="preserve">source revenue categories, </w:t>
      </w:r>
      <w:r w:rsidR="000D6E64" w:rsidRPr="00442A3B">
        <w:t xml:space="preserve">11 </w:t>
      </w:r>
      <w:r w:rsidRPr="00442A3B">
        <w:t xml:space="preserve">expense categories, investment and net borrowing. </w:t>
      </w:r>
    </w:p>
    <w:p w14:paraId="5F96CD9A" w14:textId="77777777" w:rsidR="00D958B8" w:rsidRPr="00442A3B" w:rsidRDefault="00D958B8" w:rsidP="00D958B8">
      <w:pPr>
        <w:rPr>
          <w:b/>
        </w:rPr>
      </w:pPr>
      <w:r w:rsidRPr="00442A3B">
        <w:rPr>
          <w:b/>
        </w:rPr>
        <w:t>Commonwealth payments</w:t>
      </w:r>
    </w:p>
    <w:p w14:paraId="375A880E" w14:textId="0F6A3D22" w:rsidR="00D958B8" w:rsidRPr="00442A3B" w:rsidRDefault="00D958B8" w:rsidP="00D958B8">
      <w:pPr>
        <w:spacing w:before="0"/>
      </w:pPr>
      <w:r w:rsidRPr="00442A3B">
        <w:t xml:space="preserve">Payments to States made by the </w:t>
      </w:r>
      <w:r w:rsidR="007737D1" w:rsidRPr="00442A3B">
        <w:t>Commonwealth</w:t>
      </w:r>
      <w:r w:rsidRPr="00442A3B">
        <w:t xml:space="preserve">, including general revenue grants (other than the </w:t>
      </w:r>
      <w:r w:rsidR="00C768F6" w:rsidRPr="00442A3B">
        <w:t>GST</w:t>
      </w:r>
      <w:r w:rsidRPr="00442A3B">
        <w:t xml:space="preserve"> pool), payments for specific purposes and Commonwealth own</w:t>
      </w:r>
      <w:r w:rsidR="007737D1" w:rsidRPr="00442A3B">
        <w:t>-</w:t>
      </w:r>
      <w:r w:rsidRPr="00442A3B">
        <w:t>purpose expenses. The Commission examines the purpose of each payment using an established guideline to decide whether the payment has an impact on State fiscal capacities.</w:t>
      </w:r>
    </w:p>
    <w:p w14:paraId="27224546" w14:textId="77777777" w:rsidR="00D958B8" w:rsidRPr="00442A3B" w:rsidRDefault="00D958B8" w:rsidP="00D958B8">
      <w:pPr>
        <w:rPr>
          <w:b/>
        </w:rPr>
      </w:pPr>
      <w:r w:rsidRPr="00442A3B">
        <w:rPr>
          <w:b/>
        </w:rPr>
        <w:t>component</w:t>
      </w:r>
    </w:p>
    <w:p w14:paraId="68C84D24" w14:textId="4B3AD04D" w:rsidR="00D958B8" w:rsidRPr="00442A3B" w:rsidRDefault="00D958B8" w:rsidP="00D958B8">
      <w:pPr>
        <w:spacing w:before="0"/>
      </w:pPr>
      <w:r w:rsidRPr="00442A3B">
        <w:t xml:space="preserve">A </w:t>
      </w:r>
      <w:r w:rsidR="00ED19A8" w:rsidRPr="00442A3B">
        <w:t>su</w:t>
      </w:r>
      <w:r w:rsidR="00786D50" w:rsidRPr="00442A3B">
        <w:t xml:space="preserve">b-set </w:t>
      </w:r>
      <w:r w:rsidRPr="00442A3B">
        <w:t>of an expense or revenue category that</w:t>
      </w:r>
      <w:r w:rsidR="00DB0D1B" w:rsidRPr="00442A3B">
        <w:t xml:space="preserve"> the Commission</w:t>
      </w:r>
      <w:r w:rsidR="008D7450" w:rsidRPr="00442A3B">
        <w:t xml:space="preserve"> has assessed differently</w:t>
      </w:r>
      <w:r w:rsidRPr="00442A3B">
        <w:t xml:space="preserve"> </w:t>
      </w:r>
      <w:r w:rsidR="00DB0D1B" w:rsidRPr="00442A3B">
        <w:t xml:space="preserve">from the rest of </w:t>
      </w:r>
      <w:r w:rsidRPr="00442A3B">
        <w:t xml:space="preserve">the category because </w:t>
      </w:r>
      <w:r w:rsidR="001E2260" w:rsidRPr="00442A3B">
        <w:t xml:space="preserve">the drivers of </w:t>
      </w:r>
      <w:r w:rsidR="00D10457" w:rsidRPr="00442A3B">
        <w:t xml:space="preserve">States’ </w:t>
      </w:r>
      <w:r w:rsidR="001E2260" w:rsidRPr="00442A3B">
        <w:t xml:space="preserve">expense </w:t>
      </w:r>
      <w:r w:rsidR="00E85168" w:rsidRPr="00442A3B">
        <w:t>requirements</w:t>
      </w:r>
      <w:r w:rsidR="001E2260" w:rsidRPr="00442A3B">
        <w:t xml:space="preserve"> </w:t>
      </w:r>
      <w:r w:rsidR="00DB32DC" w:rsidRPr="00442A3B">
        <w:t xml:space="preserve">or revenue </w:t>
      </w:r>
      <w:r w:rsidR="00E85168" w:rsidRPr="00442A3B">
        <w:t xml:space="preserve">raising </w:t>
      </w:r>
      <w:r w:rsidR="00DB32DC" w:rsidRPr="00442A3B">
        <w:t>capacity are</w:t>
      </w:r>
      <w:r w:rsidR="00774147" w:rsidRPr="00442A3B">
        <w:t xml:space="preserve"> different</w:t>
      </w:r>
      <w:r w:rsidRPr="00442A3B">
        <w:t>.</w:t>
      </w:r>
    </w:p>
    <w:p w14:paraId="7682C38B" w14:textId="0E81A04F" w:rsidR="00D958B8" w:rsidRPr="00442A3B" w:rsidRDefault="00D958B8" w:rsidP="00D958B8">
      <w:pPr>
        <w:rPr>
          <w:b/>
        </w:rPr>
      </w:pPr>
      <w:r w:rsidRPr="00442A3B">
        <w:rPr>
          <w:b/>
        </w:rPr>
        <w:t>disabilit</w:t>
      </w:r>
      <w:r w:rsidR="00EE51B3" w:rsidRPr="00442A3B">
        <w:rPr>
          <w:b/>
        </w:rPr>
        <w:t>ies</w:t>
      </w:r>
    </w:p>
    <w:p w14:paraId="1194A675" w14:textId="21A1D2D8" w:rsidR="00D958B8" w:rsidRPr="00442A3B" w:rsidRDefault="00EE51B3" w:rsidP="00D958B8">
      <w:pPr>
        <w:spacing w:before="0"/>
      </w:pPr>
      <w:r w:rsidRPr="00442A3B">
        <w:t>I</w:t>
      </w:r>
      <w:r w:rsidR="00D958B8" w:rsidRPr="00442A3B">
        <w:t>nfluence</w:t>
      </w:r>
      <w:r w:rsidRPr="00442A3B">
        <w:t>s</w:t>
      </w:r>
      <w:r w:rsidR="00D958B8" w:rsidRPr="00442A3B">
        <w:t xml:space="preserve"> beyond a State’s control that require it to:</w:t>
      </w:r>
    </w:p>
    <w:p w14:paraId="0EC28CD5" w14:textId="77777777" w:rsidR="00D958B8" w:rsidRPr="00442A3B" w:rsidRDefault="00D958B8" w:rsidP="003601D7">
      <w:pPr>
        <w:pStyle w:val="CGCBullet1"/>
        <w:spacing w:before="0"/>
      </w:pPr>
      <w:r w:rsidRPr="00442A3B">
        <w:t xml:space="preserve">spend more (or less) per capita than the average to provide the average level of service, or </w:t>
      </w:r>
    </w:p>
    <w:p w14:paraId="58A16EF1" w14:textId="77777777" w:rsidR="00D958B8" w:rsidRPr="00442A3B" w:rsidRDefault="00D958B8" w:rsidP="003601D7">
      <w:pPr>
        <w:pStyle w:val="CGCBullet1"/>
        <w:spacing w:before="0"/>
      </w:pPr>
      <w:r w:rsidRPr="00442A3B">
        <w:t xml:space="preserve">make a greater (or lesser) effort than the average to raise the average amount of revenue per capita. </w:t>
      </w:r>
    </w:p>
    <w:p w14:paraId="336AE9A4" w14:textId="664749DC" w:rsidR="00D958B8" w:rsidRPr="00442A3B" w:rsidRDefault="00D958B8" w:rsidP="00D958B8">
      <w:pPr>
        <w:rPr>
          <w:b/>
        </w:rPr>
      </w:pPr>
      <w:r w:rsidRPr="00442A3B">
        <w:rPr>
          <w:b/>
        </w:rPr>
        <w:t>discount</w:t>
      </w:r>
    </w:p>
    <w:p w14:paraId="2791F4D3" w14:textId="7F04A43C" w:rsidR="00D958B8" w:rsidRPr="00442A3B" w:rsidRDefault="00D958B8" w:rsidP="00D958B8">
      <w:pPr>
        <w:spacing w:before="0"/>
      </w:pPr>
      <w:r w:rsidRPr="00442A3B">
        <w:t xml:space="preserve">Where </w:t>
      </w:r>
      <w:r w:rsidR="00AF5747" w:rsidRPr="00442A3B">
        <w:t>the Commission establishes</w:t>
      </w:r>
      <w:r w:rsidRPr="00442A3B">
        <w:t xml:space="preserve"> a case for including </w:t>
      </w:r>
      <w:r w:rsidR="00B7028D" w:rsidRPr="00442A3B">
        <w:t>disabilities</w:t>
      </w:r>
      <w:r w:rsidRPr="00442A3B">
        <w:t xml:space="preserve"> in a category, but the measure of </w:t>
      </w:r>
      <w:r w:rsidR="006D3FC1" w:rsidRPr="00442A3B">
        <w:t>those disabilities</w:t>
      </w:r>
      <w:r w:rsidRPr="00442A3B">
        <w:t xml:space="preserve"> is affected by imperfect data or methods, the Commission may decide to apply a discount. When </w:t>
      </w:r>
      <w:r w:rsidR="00ED13B5" w:rsidRPr="00442A3B">
        <w:t>the Commission</w:t>
      </w:r>
      <w:r w:rsidRPr="00442A3B">
        <w:t xml:space="preserve"> </w:t>
      </w:r>
      <w:r w:rsidR="006560DA" w:rsidRPr="00442A3B">
        <w:t xml:space="preserve">discounts </w:t>
      </w:r>
      <w:r w:rsidRPr="00442A3B">
        <w:t>an assessment</w:t>
      </w:r>
      <w:r w:rsidR="006560DA" w:rsidRPr="00442A3B">
        <w:t>, it uses</w:t>
      </w:r>
      <w:r w:rsidRPr="00442A3B">
        <w:t xml:space="preserve"> a uniform set of discounts</w:t>
      </w:r>
      <w:r w:rsidR="00151662" w:rsidRPr="00442A3B">
        <w:t xml:space="preserve"> —</w:t>
      </w:r>
      <w:r w:rsidRPr="00442A3B">
        <w:t xml:space="preserve"> 12.5%, 25% or 50%</w:t>
      </w:r>
      <w:r w:rsidR="00151662" w:rsidRPr="00442A3B">
        <w:t xml:space="preserve"> —</w:t>
      </w:r>
      <w:r w:rsidRPr="00442A3B">
        <w:t xml:space="preserve"> </w:t>
      </w:r>
      <w:r w:rsidR="00BA43D1" w:rsidRPr="00442A3B">
        <w:t>applying</w:t>
      </w:r>
      <w:r w:rsidRPr="00442A3B">
        <w:t xml:space="preserve"> higher discounts where there is more concern </w:t>
      </w:r>
      <w:r w:rsidR="006F12B8" w:rsidRPr="00442A3B">
        <w:t>about</w:t>
      </w:r>
      <w:r w:rsidRPr="00442A3B">
        <w:t xml:space="preserve"> the data or method. </w:t>
      </w:r>
    </w:p>
    <w:p w14:paraId="2569F7A1" w14:textId="77777777" w:rsidR="00D958B8" w:rsidRPr="00442A3B" w:rsidRDefault="00D958B8" w:rsidP="0079737D">
      <w:pPr>
        <w:keepNext/>
        <w:keepLines/>
        <w:rPr>
          <w:b/>
        </w:rPr>
      </w:pPr>
      <w:r w:rsidRPr="00442A3B">
        <w:rPr>
          <w:b/>
        </w:rPr>
        <w:lastRenderedPageBreak/>
        <w:t>distribution</w:t>
      </w:r>
    </w:p>
    <w:p w14:paraId="6D4D9F12" w14:textId="48DF1737" w:rsidR="00D958B8" w:rsidRPr="00442A3B" w:rsidRDefault="00D958B8" w:rsidP="0079737D">
      <w:pPr>
        <w:keepNext/>
        <w:keepLines/>
        <w:spacing w:before="0"/>
      </w:pPr>
      <w:r w:rsidRPr="00442A3B">
        <w:t xml:space="preserve">State shares of the </w:t>
      </w:r>
      <w:r w:rsidR="00BF3D39" w:rsidRPr="00442A3B">
        <w:t xml:space="preserve">GST </w:t>
      </w:r>
      <w:r w:rsidRPr="00442A3B">
        <w:t>pool based on the recommended pool sharing relativities.</w:t>
      </w:r>
    </w:p>
    <w:p w14:paraId="3F1139E4" w14:textId="77777777" w:rsidR="00D958B8" w:rsidRPr="00442A3B" w:rsidRDefault="00D958B8" w:rsidP="00391FCD">
      <w:pPr>
        <w:keepLines/>
        <w:rPr>
          <w:b/>
        </w:rPr>
      </w:pPr>
      <w:r w:rsidRPr="00442A3B">
        <w:rPr>
          <w:b/>
        </w:rPr>
        <w:t>equal per capita (EPC) assessment method</w:t>
      </w:r>
    </w:p>
    <w:p w14:paraId="12E6B194" w14:textId="6A5C95CE" w:rsidR="00D958B8" w:rsidRPr="00442A3B" w:rsidRDefault="00D958B8" w:rsidP="00D958B8">
      <w:pPr>
        <w:keepNext/>
        <w:keepLines/>
        <w:spacing w:before="0"/>
      </w:pPr>
      <w:r w:rsidRPr="00442A3B">
        <w:t xml:space="preserve">Each State’s assessed expense or assessed revenue in a category is set equal to the Australian average per capita amount. </w:t>
      </w:r>
      <w:r w:rsidR="00DD7D7C" w:rsidRPr="00442A3B">
        <w:t>The Commission</w:t>
      </w:r>
      <w:r w:rsidRPr="00442A3B">
        <w:t xml:space="preserve"> typically use</w:t>
      </w:r>
      <w:r w:rsidR="00DD7D7C" w:rsidRPr="00442A3B">
        <w:t>s this</w:t>
      </w:r>
      <w:r w:rsidRPr="00442A3B">
        <w:t xml:space="preserve"> when </w:t>
      </w:r>
      <w:r w:rsidR="00DD7D7C" w:rsidRPr="00442A3B">
        <w:t>it</w:t>
      </w:r>
      <w:r w:rsidRPr="00442A3B">
        <w:t xml:space="preserve"> judges there to be no material disabilities between the States, or </w:t>
      </w:r>
      <w:r w:rsidR="00373866" w:rsidRPr="00442A3B">
        <w:t>where</w:t>
      </w:r>
      <w:r w:rsidR="00E90AB5" w:rsidRPr="00442A3B">
        <w:t xml:space="preserve"> it cannot develop</w:t>
      </w:r>
      <w:r w:rsidRPr="00442A3B">
        <w:t xml:space="preserve"> reliable assessments due to data or other limitations. </w:t>
      </w:r>
      <w:r w:rsidR="003A3118" w:rsidRPr="00442A3B">
        <w:t>This type of</w:t>
      </w:r>
      <w:r w:rsidRPr="00442A3B">
        <w:t xml:space="preserve"> assessment means that no needs are assessed for any State and that there is no impact on the </w:t>
      </w:r>
      <w:r w:rsidR="00D40B49" w:rsidRPr="00442A3B">
        <w:t xml:space="preserve">GST </w:t>
      </w:r>
      <w:r w:rsidRPr="00442A3B">
        <w:t>pool distribution.</w:t>
      </w:r>
    </w:p>
    <w:p w14:paraId="373734C3" w14:textId="77777777" w:rsidR="00D958B8" w:rsidRPr="00442A3B" w:rsidRDefault="00D958B8" w:rsidP="00D958B8">
      <w:pPr>
        <w:rPr>
          <w:b/>
        </w:rPr>
      </w:pPr>
      <w:r w:rsidRPr="00442A3B">
        <w:rPr>
          <w:b/>
        </w:rPr>
        <w:t>equalisation</w:t>
      </w:r>
    </w:p>
    <w:p w14:paraId="5BEFE6F1" w14:textId="36D82B78" w:rsidR="00D958B8" w:rsidRPr="00442A3B" w:rsidRDefault="00D958B8" w:rsidP="00D958B8">
      <w:pPr>
        <w:spacing w:before="0"/>
      </w:pPr>
      <w:r w:rsidRPr="00442A3B">
        <w:t>See horizontal fiscal equalisation.</w:t>
      </w:r>
    </w:p>
    <w:p w14:paraId="1D7B9E0B" w14:textId="77777777" w:rsidR="00D958B8" w:rsidRPr="00442A3B" w:rsidRDefault="00D958B8" w:rsidP="00D958B8">
      <w:pPr>
        <w:rPr>
          <w:b/>
        </w:rPr>
      </w:pPr>
      <w:r w:rsidRPr="00442A3B">
        <w:rPr>
          <w:b/>
        </w:rPr>
        <w:t>expenditure</w:t>
      </w:r>
    </w:p>
    <w:p w14:paraId="2A6AD474" w14:textId="25B29AA3" w:rsidR="00D958B8" w:rsidRPr="00442A3B" w:rsidRDefault="00F54A3C" w:rsidP="00D958B8">
      <w:pPr>
        <w:spacing w:before="0"/>
      </w:pPr>
      <w:r w:rsidRPr="00442A3B">
        <w:t>Refers</w:t>
      </w:r>
      <w:r w:rsidR="00D958B8" w:rsidRPr="00442A3B">
        <w:t xml:space="preserve"> to expenses and investment.</w:t>
      </w:r>
    </w:p>
    <w:p w14:paraId="5F65326B" w14:textId="77777777" w:rsidR="00D958B8" w:rsidRPr="00442A3B" w:rsidRDefault="00D958B8" w:rsidP="00D958B8">
      <w:pPr>
        <w:rPr>
          <w:b/>
        </w:rPr>
      </w:pPr>
      <w:r w:rsidRPr="00442A3B">
        <w:rPr>
          <w:b/>
        </w:rPr>
        <w:t>expenses</w:t>
      </w:r>
    </w:p>
    <w:p w14:paraId="484C0943" w14:textId="0F86B632" w:rsidR="00D958B8" w:rsidRPr="00442A3B" w:rsidRDefault="00D958B8" w:rsidP="00D958B8">
      <w:pPr>
        <w:spacing w:before="0"/>
      </w:pPr>
      <w:r w:rsidRPr="00442A3B">
        <w:t>Operating outlays under an accrual budgeting framework as defined in Government Finance Statistics.</w:t>
      </w:r>
    </w:p>
    <w:p w14:paraId="62A6159A" w14:textId="0485D8D4" w:rsidR="007744B6" w:rsidRPr="00442A3B" w:rsidRDefault="007744B6" w:rsidP="007744B6">
      <w:pPr>
        <w:rPr>
          <w:b/>
          <w:bCs/>
        </w:rPr>
      </w:pPr>
      <w:r w:rsidRPr="00442A3B">
        <w:rPr>
          <w:b/>
        </w:rPr>
        <w:t>GST</w:t>
      </w:r>
      <w:r w:rsidRPr="00442A3B">
        <w:rPr>
          <w:b/>
          <w:bCs/>
        </w:rPr>
        <w:t xml:space="preserve"> pool</w:t>
      </w:r>
    </w:p>
    <w:p w14:paraId="18979C59" w14:textId="1C09C951" w:rsidR="007744B6" w:rsidRPr="00442A3B" w:rsidRDefault="007744B6" w:rsidP="007744B6">
      <w:pPr>
        <w:spacing w:before="0"/>
      </w:pPr>
      <w:r w:rsidRPr="00442A3B">
        <w:t xml:space="preserve">The funds made available by the </w:t>
      </w:r>
      <w:r w:rsidR="007737D1" w:rsidRPr="00442A3B">
        <w:t>Commonwealth</w:t>
      </w:r>
      <w:r w:rsidRPr="00442A3B">
        <w:t xml:space="preserve"> for transfer to the States as untied financial assistance, consistent with the principle of horizontal fiscal equalisation. From 2021–22 it comprises Good and Services Tax (GST) revenue plus pool top-up payments.</w:t>
      </w:r>
    </w:p>
    <w:p w14:paraId="3C5BBC8F" w14:textId="77777777" w:rsidR="00F174F6" w:rsidRPr="00442A3B" w:rsidRDefault="00F174F6" w:rsidP="00F174F6">
      <w:pPr>
        <w:rPr>
          <w:b/>
        </w:rPr>
      </w:pPr>
      <w:r w:rsidRPr="00442A3B">
        <w:rPr>
          <w:b/>
        </w:rPr>
        <w:t>GST pool requirement</w:t>
      </w:r>
    </w:p>
    <w:p w14:paraId="265D7C90" w14:textId="364BA2F4" w:rsidR="00F174F6" w:rsidRPr="00442A3B" w:rsidRDefault="00F174F6" w:rsidP="00F174F6">
      <w:pPr>
        <w:spacing w:before="0"/>
      </w:pPr>
      <w:r w:rsidRPr="00442A3B">
        <w:t>A State’s requirement for GST</w:t>
      </w:r>
      <w:r w:rsidR="00C40E8F" w:rsidRPr="00442A3B">
        <w:t>, relative to the needs of other States.</w:t>
      </w:r>
    </w:p>
    <w:p w14:paraId="1E1AE047" w14:textId="5AD39FDB" w:rsidR="00D958B8" w:rsidRPr="00442A3B" w:rsidRDefault="00D958B8" w:rsidP="00D958B8">
      <w:pPr>
        <w:keepNext/>
        <w:keepLines/>
        <w:rPr>
          <w:b/>
        </w:rPr>
      </w:pPr>
      <w:r w:rsidRPr="00442A3B">
        <w:rPr>
          <w:b/>
        </w:rPr>
        <w:t>horizontal fiscal equalisation (</w:t>
      </w:r>
      <w:r w:rsidR="00F86EBF">
        <w:rPr>
          <w:b/>
        </w:rPr>
        <w:t>HFE</w:t>
      </w:r>
      <w:r w:rsidRPr="00442A3B">
        <w:rPr>
          <w:b/>
        </w:rPr>
        <w:t>)</w:t>
      </w:r>
    </w:p>
    <w:p w14:paraId="081AD29F" w14:textId="33BBD24D" w:rsidR="00D958B8" w:rsidRPr="00442A3B" w:rsidRDefault="0074685F" w:rsidP="00D958B8">
      <w:pPr>
        <w:keepNext/>
        <w:keepLines/>
        <w:spacing w:before="0"/>
      </w:pPr>
      <w:r w:rsidRPr="00442A3B">
        <w:t>A</w:t>
      </w:r>
      <w:r w:rsidR="00D958B8" w:rsidRPr="00442A3B">
        <w:t xml:space="preserve"> central government policy that seeks to reduce fiscal disparities between sub-central governments. Australia gives effect to HFE by </w:t>
      </w:r>
      <w:r w:rsidR="00832123" w:rsidRPr="00442A3B">
        <w:t>distributing</w:t>
      </w:r>
      <w:r w:rsidR="00D958B8" w:rsidRPr="00442A3B">
        <w:t xml:space="preserve"> the </w:t>
      </w:r>
      <w:r w:rsidR="00BB504F" w:rsidRPr="00442A3B">
        <w:t xml:space="preserve">GST </w:t>
      </w:r>
      <w:r w:rsidR="00687117" w:rsidRPr="00442A3B">
        <w:t>pool</w:t>
      </w:r>
      <w:r w:rsidR="00D958B8" w:rsidRPr="00442A3B">
        <w:t xml:space="preserve"> to States</w:t>
      </w:r>
      <w:r w:rsidR="00B24587" w:rsidRPr="00442A3B">
        <w:t xml:space="preserve"> in a way t</w:t>
      </w:r>
      <w:r w:rsidR="00D12ED1" w:rsidRPr="00442A3B">
        <w:t>hat</w:t>
      </w:r>
      <w:r w:rsidR="00D958B8" w:rsidRPr="00442A3B">
        <w:t xml:space="preserve"> aims to ensure that each of Australia’s States has a similar fiscal capacity, under average policies, to provide services and the associated infrastructure to </w:t>
      </w:r>
      <w:r w:rsidR="00DE2F54" w:rsidRPr="00442A3B">
        <w:t xml:space="preserve">its </w:t>
      </w:r>
      <w:r w:rsidR="00D958B8" w:rsidRPr="00442A3B">
        <w:t xml:space="preserve">communities. </w:t>
      </w:r>
      <w:r w:rsidR="00A83EF8" w:rsidRPr="00442A3B">
        <w:rPr>
          <w:lang w:val="en-US"/>
        </w:rPr>
        <w:t>From 2021-22 the horizontal fiscal equalisation system in Australia will begin to transition to new arrangements that will ensure States have the capacity to provide services at the standard of New South Wales or Victoria, whichever is highe</w:t>
      </w:r>
      <w:r w:rsidR="00413FE0" w:rsidRPr="00442A3B">
        <w:rPr>
          <w:lang w:val="en-US"/>
        </w:rPr>
        <w:t xml:space="preserve">r. </w:t>
      </w:r>
      <w:r w:rsidR="00D958B8" w:rsidRPr="00442A3B">
        <w:t>Separate equalisation arrangements apply to local government in Australia.</w:t>
      </w:r>
    </w:p>
    <w:p w14:paraId="080ED48A" w14:textId="1F99E00F" w:rsidR="00D958B8" w:rsidRPr="00442A3B" w:rsidRDefault="00D958B8" w:rsidP="00D958B8">
      <w:pPr>
        <w:rPr>
          <w:b/>
        </w:rPr>
      </w:pPr>
      <w:r w:rsidRPr="00442A3B">
        <w:rPr>
          <w:b/>
        </w:rPr>
        <w:t>impact on relativities (</w:t>
      </w:r>
      <w:r w:rsidR="00DF522F" w:rsidRPr="00442A3B">
        <w:rPr>
          <w:b/>
        </w:rPr>
        <w:t>in reference to Commonwealth payments</w:t>
      </w:r>
      <w:r w:rsidRPr="00442A3B">
        <w:rPr>
          <w:b/>
        </w:rPr>
        <w:t>)</w:t>
      </w:r>
    </w:p>
    <w:p w14:paraId="3BFC5D24" w14:textId="0ED1E7C2" w:rsidR="00D958B8" w:rsidRPr="00442A3B" w:rsidRDefault="00D958B8" w:rsidP="00D958B8">
      <w:pPr>
        <w:spacing w:before="0"/>
      </w:pPr>
      <w:r w:rsidRPr="00442A3B">
        <w:t xml:space="preserve">Treatment applied to a Commonwealth payment that provides budget support for State services for which expenditure needs are assessed. The expenditure funded by payments that affect the relativities </w:t>
      </w:r>
      <w:r w:rsidR="003B2E23" w:rsidRPr="00442A3B">
        <w:t>is</w:t>
      </w:r>
      <w:r w:rsidRPr="00442A3B">
        <w:t xml:space="preserve"> assessed in relevant categories and the revenue (or payment) is </w:t>
      </w:r>
      <w:r w:rsidR="00CB7C3C" w:rsidRPr="00442A3B">
        <w:t>included in State revenue</w:t>
      </w:r>
      <w:r w:rsidRPr="00442A3B">
        <w:t xml:space="preserve">. </w:t>
      </w:r>
    </w:p>
    <w:p w14:paraId="5B8E11F5" w14:textId="0DA29F5C" w:rsidR="00D958B8" w:rsidRPr="00442A3B" w:rsidRDefault="00D958B8" w:rsidP="00391FCD">
      <w:pPr>
        <w:rPr>
          <w:b/>
          <w:bCs/>
        </w:rPr>
      </w:pPr>
      <w:r w:rsidRPr="00442A3B">
        <w:rPr>
          <w:b/>
        </w:rPr>
        <w:t>indexation</w:t>
      </w:r>
      <w:r w:rsidRPr="00442A3B">
        <w:rPr>
          <w:b/>
          <w:bCs/>
        </w:rPr>
        <w:t xml:space="preserve"> amount </w:t>
      </w:r>
    </w:p>
    <w:p w14:paraId="7453C2B6" w14:textId="6921DC64" w:rsidR="00D958B8" w:rsidRPr="00442A3B" w:rsidRDefault="00D958B8" w:rsidP="00391FCD">
      <w:pPr>
        <w:spacing w:before="0"/>
      </w:pPr>
      <w:r w:rsidRPr="00442A3B">
        <w:t>An adjustment made to the pool top-up payments</w:t>
      </w:r>
      <w:r w:rsidR="00330352" w:rsidRPr="00442A3B">
        <w:t xml:space="preserve"> under the new arrangements</w:t>
      </w:r>
      <w:r w:rsidRPr="00442A3B">
        <w:t xml:space="preserve">. The indexation amount is equal to the growth in </w:t>
      </w:r>
      <w:r w:rsidR="00F87171" w:rsidRPr="00442A3B">
        <w:t xml:space="preserve">the </w:t>
      </w:r>
      <w:r w:rsidRPr="00442A3B">
        <w:t xml:space="preserve">GST </w:t>
      </w:r>
      <w:r w:rsidR="00B5625D" w:rsidRPr="00442A3B">
        <w:t>pool</w:t>
      </w:r>
      <w:r w:rsidRPr="00442A3B">
        <w:t>.</w:t>
      </w:r>
    </w:p>
    <w:p w14:paraId="4C61B0BC" w14:textId="77777777" w:rsidR="00D958B8" w:rsidRPr="00442A3B" w:rsidRDefault="00D958B8" w:rsidP="0079737D">
      <w:pPr>
        <w:rPr>
          <w:b/>
        </w:rPr>
      </w:pPr>
      <w:r w:rsidRPr="00442A3B">
        <w:rPr>
          <w:b/>
        </w:rPr>
        <w:t>infrastructure</w:t>
      </w:r>
    </w:p>
    <w:p w14:paraId="5AC5F66F" w14:textId="22D5DC5D" w:rsidR="00D958B8" w:rsidRPr="00442A3B" w:rsidRDefault="00613B90" w:rsidP="0079737D">
      <w:pPr>
        <w:spacing w:before="0"/>
      </w:pPr>
      <w:r w:rsidRPr="00442A3B">
        <w:t>Refers</w:t>
      </w:r>
      <w:r w:rsidR="00D958B8" w:rsidRPr="00442A3B">
        <w:t xml:space="preserve"> to the stock of fixed assets owned by a State’s general government sector and its urban public transport and housing public non-financial corporations for the purpose of delivering services. It includes buildings, non-building construction (such as roads and railways) and plant and equipment for economic and social purposes.</w:t>
      </w:r>
    </w:p>
    <w:p w14:paraId="50E4365A" w14:textId="77777777" w:rsidR="004A1BBB" w:rsidRPr="00442A3B" w:rsidRDefault="004A1BBB" w:rsidP="0079737D">
      <w:pPr>
        <w:keepNext/>
        <w:keepLines/>
        <w:rPr>
          <w:b/>
        </w:rPr>
      </w:pPr>
      <w:r w:rsidRPr="00442A3B">
        <w:rPr>
          <w:b/>
        </w:rPr>
        <w:lastRenderedPageBreak/>
        <w:t>investment</w:t>
      </w:r>
    </w:p>
    <w:p w14:paraId="5E06034B" w14:textId="58167EF1" w:rsidR="004A1BBB" w:rsidRPr="00442A3B" w:rsidRDefault="004A1BBB" w:rsidP="0079737D">
      <w:pPr>
        <w:keepNext/>
        <w:keepLines/>
        <w:spacing w:before="0"/>
        <w:rPr>
          <w:bCs/>
        </w:rPr>
      </w:pPr>
      <w:r w:rsidRPr="00442A3B">
        <w:t xml:space="preserve">The acquisition of produced assets less disposals of produced assets, before depreciation is deducted. This mainly comprises the acquisition less disposals of fixed produced assets. Fixed produced assets are goods and services that are used in production for more than one year. </w:t>
      </w:r>
    </w:p>
    <w:p w14:paraId="778BEDDE" w14:textId="77777777" w:rsidR="00D958B8" w:rsidRPr="00442A3B" w:rsidRDefault="00D958B8" w:rsidP="00604316">
      <w:pPr>
        <w:keepNext/>
        <w:keepLines/>
        <w:rPr>
          <w:b/>
        </w:rPr>
      </w:pPr>
      <w:r w:rsidRPr="00442A3B">
        <w:rPr>
          <w:b/>
        </w:rPr>
        <w:t xml:space="preserve">material, materiality </w:t>
      </w:r>
    </w:p>
    <w:p w14:paraId="4E314CEB" w14:textId="194E93BB" w:rsidR="00D958B8" w:rsidRPr="00442A3B" w:rsidRDefault="00D958B8" w:rsidP="00604316">
      <w:pPr>
        <w:keepNext/>
        <w:keepLines/>
        <w:spacing w:before="0"/>
      </w:pPr>
      <w:r w:rsidRPr="00442A3B">
        <w:t xml:space="preserve">A test </w:t>
      </w:r>
      <w:r w:rsidR="00AA3DF5" w:rsidRPr="00442A3B">
        <w:t>the Commission uses</w:t>
      </w:r>
      <w:r w:rsidRPr="00442A3B">
        <w:t xml:space="preserve"> </w:t>
      </w:r>
      <w:r w:rsidR="00F57DAA" w:rsidRPr="00442A3B">
        <w:t>in making</w:t>
      </w:r>
      <w:r w:rsidR="00110EC9" w:rsidRPr="00442A3B">
        <w:t xml:space="preserve"> </w:t>
      </w:r>
      <w:r w:rsidRPr="00442A3B">
        <w:t xml:space="preserve">decisions about whether </w:t>
      </w:r>
      <w:r w:rsidR="00110EC9" w:rsidRPr="00442A3B">
        <w:t>to undertake</w:t>
      </w:r>
      <w:r w:rsidRPr="00442A3B">
        <w:t xml:space="preserve"> separate assessment</w:t>
      </w:r>
      <w:r w:rsidR="00CF4EB4" w:rsidRPr="00442A3B">
        <w:t>s</w:t>
      </w:r>
      <w:r w:rsidRPr="00442A3B">
        <w:t xml:space="preserve"> of disabilit</w:t>
      </w:r>
      <w:r w:rsidR="00CF5ED8" w:rsidRPr="00442A3B">
        <w:t>ies</w:t>
      </w:r>
      <w:r w:rsidRPr="00442A3B">
        <w:t xml:space="preserve">, or </w:t>
      </w:r>
      <w:r w:rsidR="00110EC9" w:rsidRPr="00442A3B">
        <w:t xml:space="preserve">to make </w:t>
      </w:r>
      <w:r w:rsidRPr="00442A3B">
        <w:t>data adjustment</w:t>
      </w:r>
      <w:r w:rsidR="00F57DAA" w:rsidRPr="00442A3B">
        <w:t>s</w:t>
      </w:r>
      <w:r w:rsidRPr="00442A3B">
        <w:t xml:space="preserve">. The </w:t>
      </w:r>
      <w:r w:rsidR="00BC77B0" w:rsidRPr="00442A3B">
        <w:t>Commission defines</w:t>
      </w:r>
      <w:r w:rsidRPr="00442A3B">
        <w:t xml:space="preserve"> materiality levels in terms of the amount of the </w:t>
      </w:r>
      <w:r w:rsidR="00691681" w:rsidRPr="00442A3B">
        <w:t xml:space="preserve">GST </w:t>
      </w:r>
      <w:r w:rsidRPr="00442A3B">
        <w:t xml:space="preserve">pool redistributed per capita for any State. Different thresholds are used for disabilities and data adjustments. An assessment or adjustment is said to be material if it exceeds the materiality threshold (see the assessment guidelines in the </w:t>
      </w:r>
      <w:r w:rsidR="005909B1" w:rsidRPr="00442A3B">
        <w:t>2020 Review</w:t>
      </w:r>
      <w:r w:rsidRPr="00442A3B">
        <w:t xml:space="preserve"> report).</w:t>
      </w:r>
    </w:p>
    <w:p w14:paraId="060BFCED" w14:textId="77777777" w:rsidR="00D958B8" w:rsidRPr="00442A3B" w:rsidRDefault="00D958B8" w:rsidP="00D958B8">
      <w:pPr>
        <w:keepNext/>
        <w:keepLines/>
        <w:rPr>
          <w:b/>
        </w:rPr>
      </w:pPr>
      <w:r w:rsidRPr="00442A3B">
        <w:rPr>
          <w:b/>
        </w:rPr>
        <w:t>national partnership payments</w:t>
      </w:r>
    </w:p>
    <w:p w14:paraId="14F2D27D" w14:textId="13AC85AF" w:rsidR="00D958B8" w:rsidRPr="00442A3B" w:rsidRDefault="00CA279E" w:rsidP="00D958B8">
      <w:pPr>
        <w:spacing w:before="0"/>
        <w:rPr>
          <w:bCs/>
        </w:rPr>
      </w:pPr>
      <w:r w:rsidRPr="00442A3B">
        <w:t xml:space="preserve">Payments </w:t>
      </w:r>
      <w:r w:rsidR="00D958B8" w:rsidRPr="00442A3B">
        <w:rPr>
          <w:bCs/>
        </w:rPr>
        <w:t>from the</w:t>
      </w:r>
      <w:r w:rsidR="00D958B8" w:rsidRPr="00442A3B">
        <w:rPr>
          <w:b/>
        </w:rPr>
        <w:t xml:space="preserve"> </w:t>
      </w:r>
      <w:r w:rsidR="00D958B8" w:rsidRPr="00442A3B">
        <w:t xml:space="preserve">Commonwealth to States to support the delivery of specified projects, facilitate reforms, or reward jurisdictions that deliver nationally significant reforms. </w:t>
      </w:r>
      <w:r w:rsidR="00D5379E" w:rsidRPr="00442A3B">
        <w:t>A subset of payments for specific purposes.</w:t>
      </w:r>
    </w:p>
    <w:p w14:paraId="7D1CA250" w14:textId="2B1092BA" w:rsidR="00180613" w:rsidRPr="00442A3B" w:rsidRDefault="00180613" w:rsidP="00180613">
      <w:pPr>
        <w:keepNext/>
        <w:rPr>
          <w:b/>
        </w:rPr>
      </w:pPr>
      <w:r w:rsidRPr="00442A3B">
        <w:rPr>
          <w:b/>
        </w:rPr>
        <w:t xml:space="preserve">national specific purpose payments </w:t>
      </w:r>
    </w:p>
    <w:p w14:paraId="4E8BD6BD" w14:textId="1C4D2B85" w:rsidR="00180613" w:rsidRPr="00442A3B" w:rsidRDefault="00CA279E" w:rsidP="00180613">
      <w:pPr>
        <w:keepNext/>
        <w:spacing w:before="0"/>
      </w:pPr>
      <w:r w:rsidRPr="00442A3B">
        <w:rPr>
          <w:bCs/>
        </w:rPr>
        <w:t>Payments</w:t>
      </w:r>
      <w:r w:rsidR="00180613" w:rsidRPr="00442A3B">
        <w:rPr>
          <w:bCs/>
        </w:rPr>
        <w:t xml:space="preserve"> from the</w:t>
      </w:r>
      <w:r w:rsidR="00180613" w:rsidRPr="00442A3B">
        <w:rPr>
          <w:b/>
        </w:rPr>
        <w:t xml:space="preserve"> </w:t>
      </w:r>
      <w:r w:rsidR="00180613" w:rsidRPr="00442A3B">
        <w:t>Commonwealth to States,</w:t>
      </w:r>
      <w:r w:rsidR="00180613" w:rsidRPr="00442A3B">
        <w:rPr>
          <w:rFonts w:ascii="Cambria Math" w:hAnsi="Cambria Math" w:cs="Cambria Math"/>
          <w:color w:val="212529"/>
          <w:shd w:val="clear" w:color="auto" w:fill="FFFFFF"/>
        </w:rPr>
        <w:t xml:space="preserve"> </w:t>
      </w:r>
      <w:r w:rsidR="00180613" w:rsidRPr="00442A3B">
        <w:t>to be spent in key service delivery sector</w:t>
      </w:r>
      <w:r w:rsidR="00D5379E" w:rsidRPr="00442A3B">
        <w:t xml:space="preserve">s. A subset of payments for specific purposes. </w:t>
      </w:r>
    </w:p>
    <w:p w14:paraId="0E313DD3" w14:textId="77777777" w:rsidR="00D958B8" w:rsidRPr="00442A3B" w:rsidRDefault="00D958B8" w:rsidP="00D958B8">
      <w:pPr>
        <w:keepNext/>
        <w:keepLines/>
        <w:rPr>
          <w:b/>
        </w:rPr>
      </w:pPr>
      <w:r w:rsidRPr="00442A3B">
        <w:rPr>
          <w:b/>
        </w:rPr>
        <w:t>natural disaster relief</w:t>
      </w:r>
    </w:p>
    <w:p w14:paraId="121D8925" w14:textId="33E4B769" w:rsidR="00D958B8" w:rsidRPr="00442A3B" w:rsidRDefault="00D958B8" w:rsidP="00D958B8">
      <w:pPr>
        <w:keepNext/>
        <w:keepLines/>
        <w:spacing w:before="0"/>
        <w:rPr>
          <w:bCs/>
        </w:rPr>
      </w:pPr>
      <w:r w:rsidRPr="00442A3B">
        <w:rPr>
          <w:bCs/>
        </w:rPr>
        <w:t>Expenses incurred by States under the Disaster Recovery Funding Arrangements 2018.</w:t>
      </w:r>
      <w:r w:rsidR="00126A8F" w:rsidRPr="00442A3B">
        <w:rPr>
          <w:bCs/>
        </w:rPr>
        <w:t xml:space="preserve"> These are assessed on an actual per capita basis.</w:t>
      </w:r>
    </w:p>
    <w:p w14:paraId="29E4012A" w14:textId="77777777" w:rsidR="00D958B8" w:rsidRPr="00442A3B" w:rsidRDefault="00D958B8" w:rsidP="00D958B8">
      <w:pPr>
        <w:rPr>
          <w:b/>
        </w:rPr>
      </w:pPr>
      <w:r w:rsidRPr="00442A3B">
        <w:rPr>
          <w:b/>
        </w:rPr>
        <w:t>net financial worth</w:t>
      </w:r>
    </w:p>
    <w:p w14:paraId="2B0D6DA5" w14:textId="006DE233" w:rsidR="00D958B8" w:rsidRPr="00442A3B" w:rsidRDefault="00AA5078" w:rsidP="00D958B8">
      <w:pPr>
        <w:spacing w:before="0"/>
      </w:pPr>
      <w:r w:rsidRPr="00442A3B">
        <w:t>The</w:t>
      </w:r>
      <w:r w:rsidR="00D958B8" w:rsidRPr="00442A3B">
        <w:t xml:space="preserve"> sum of financial assets minus the sum of liabilities.</w:t>
      </w:r>
    </w:p>
    <w:p w14:paraId="3D340E0F" w14:textId="77777777" w:rsidR="00D958B8" w:rsidRPr="00442A3B" w:rsidRDefault="00D958B8" w:rsidP="00D958B8">
      <w:pPr>
        <w:keepNext/>
        <w:keepLines/>
        <w:rPr>
          <w:b/>
        </w:rPr>
      </w:pPr>
      <w:r w:rsidRPr="00442A3B">
        <w:rPr>
          <w:b/>
        </w:rPr>
        <w:t>net borrowing</w:t>
      </w:r>
    </w:p>
    <w:p w14:paraId="110C3B5B" w14:textId="6854BC87" w:rsidR="00D958B8" w:rsidRPr="00442A3B" w:rsidRDefault="00D958B8" w:rsidP="00D958B8">
      <w:pPr>
        <w:keepNext/>
        <w:keepLines/>
        <w:spacing w:before="0"/>
      </w:pPr>
      <w:r w:rsidRPr="00442A3B">
        <w:t>The outcome of an operating budget calculated as the sum of expenses and investment less the sum of State own</w:t>
      </w:r>
      <w:r w:rsidR="4302CC72" w:rsidRPr="00442A3B">
        <w:t xml:space="preserve"> </w:t>
      </w:r>
      <w:r w:rsidRPr="00442A3B">
        <w:t xml:space="preserve">source revenues and revenues received from the </w:t>
      </w:r>
      <w:r w:rsidR="007737D1" w:rsidRPr="00442A3B">
        <w:t>Commonwealth</w:t>
      </w:r>
      <w:r w:rsidRPr="00442A3B">
        <w:t>. Negative net borrowing is referred to as net lending.</w:t>
      </w:r>
    </w:p>
    <w:p w14:paraId="1D4DC6BC" w14:textId="77777777" w:rsidR="00D958B8" w:rsidRPr="00442A3B" w:rsidRDefault="00D958B8" w:rsidP="00D958B8">
      <w:pPr>
        <w:keepNext/>
        <w:keepLines/>
        <w:rPr>
          <w:b/>
        </w:rPr>
      </w:pPr>
      <w:r w:rsidRPr="00442A3B">
        <w:rPr>
          <w:b/>
        </w:rPr>
        <w:t>new arrangements</w:t>
      </w:r>
    </w:p>
    <w:p w14:paraId="61D572A7" w14:textId="7B4494F7" w:rsidR="003C05A1" w:rsidRPr="00442A3B" w:rsidRDefault="002A7900" w:rsidP="003C05A1">
      <w:pPr>
        <w:spacing w:before="0"/>
        <w:rPr>
          <w:bCs/>
        </w:rPr>
      </w:pPr>
      <w:r w:rsidRPr="00442A3B">
        <w:t>The</w:t>
      </w:r>
      <w:r w:rsidR="003C05A1" w:rsidRPr="00442A3B">
        <w:t xml:space="preserve"> </w:t>
      </w:r>
      <w:r w:rsidR="003C05A1" w:rsidRPr="00442A3B">
        <w:rPr>
          <w:i/>
        </w:rPr>
        <w:t>Treasury Laws Amendment (Making Sure Every State and Territory Gets Their Fair Share of GST) Act 2018</w:t>
      </w:r>
      <w:r w:rsidR="001C5659">
        <w:rPr>
          <w:i/>
        </w:rPr>
        <w:t xml:space="preserve"> </w:t>
      </w:r>
      <w:r w:rsidR="00EE0D2A" w:rsidRPr="00442A3B">
        <w:rPr>
          <w:iCs/>
        </w:rPr>
        <w:t xml:space="preserve">specifies </w:t>
      </w:r>
      <w:r w:rsidR="00EE0D2A" w:rsidRPr="00442A3B">
        <w:t>that</w:t>
      </w:r>
      <w:r w:rsidR="001C5659">
        <w:t>, when fully impl</w:t>
      </w:r>
      <w:r w:rsidR="00781061">
        <w:t>emen</w:t>
      </w:r>
      <w:r w:rsidR="001C5659">
        <w:t>ted,</w:t>
      </w:r>
      <w:r w:rsidR="00EE0D2A" w:rsidRPr="00442A3B">
        <w:t xml:space="preserve"> </w:t>
      </w:r>
      <w:r w:rsidR="00AB60F2" w:rsidRPr="00442A3B">
        <w:t>no</w:t>
      </w:r>
      <w:r w:rsidR="003C05A1" w:rsidRPr="00442A3B">
        <w:t xml:space="preserve"> State </w:t>
      </w:r>
      <w:r w:rsidR="00AB60F2" w:rsidRPr="00442A3B">
        <w:t>will receive a per capita GST share less than</w:t>
      </w:r>
      <w:r w:rsidR="003C05A1" w:rsidRPr="00442A3B">
        <w:t xml:space="preserve"> the </w:t>
      </w:r>
      <w:r w:rsidR="00AB60F2" w:rsidRPr="00442A3B">
        <w:t>lower</w:t>
      </w:r>
      <w:r w:rsidR="003C05A1" w:rsidRPr="00442A3B">
        <w:t xml:space="preserve"> of New South Wales or Victoria. For an explanation of how this is being implemented, see </w:t>
      </w:r>
      <w:r w:rsidR="003C05A1" w:rsidRPr="00442A3B">
        <w:rPr>
          <w:i/>
        </w:rPr>
        <w:t xml:space="preserve">Report on GST Revenue Sharing Relativities </w:t>
      </w:r>
      <w:r w:rsidR="005909B1" w:rsidRPr="00442A3B">
        <w:rPr>
          <w:i/>
        </w:rPr>
        <w:t>2020 Review</w:t>
      </w:r>
      <w:r w:rsidR="003C05A1" w:rsidRPr="00442A3B">
        <w:t>, Volume 2, Chapter 4.</w:t>
      </w:r>
      <w:r w:rsidR="003C05A1" w:rsidRPr="00442A3B">
        <w:rPr>
          <w:bCs/>
        </w:rPr>
        <w:t xml:space="preserve"> </w:t>
      </w:r>
    </w:p>
    <w:p w14:paraId="355868B1" w14:textId="5E637937" w:rsidR="00D958B8" w:rsidRPr="00442A3B" w:rsidRDefault="00D958B8" w:rsidP="002F51F5">
      <w:pPr>
        <w:keepNext/>
        <w:keepLines/>
        <w:widowControl w:val="0"/>
        <w:rPr>
          <w:b/>
        </w:rPr>
      </w:pPr>
      <w:r w:rsidRPr="00442A3B">
        <w:rPr>
          <w:b/>
        </w:rPr>
        <w:t xml:space="preserve">no impact on relativities </w:t>
      </w:r>
      <w:r w:rsidR="00DF522F" w:rsidRPr="00442A3B">
        <w:rPr>
          <w:b/>
        </w:rPr>
        <w:t>(in reference to Commonwealth payments)</w:t>
      </w:r>
    </w:p>
    <w:p w14:paraId="1BB52286" w14:textId="21CAF5BE" w:rsidR="00D958B8" w:rsidRPr="00442A3B" w:rsidRDefault="00D958B8" w:rsidP="002F51F5">
      <w:pPr>
        <w:keepNext/>
        <w:keepLines/>
        <w:widowControl w:val="0"/>
        <w:spacing w:before="0"/>
      </w:pPr>
      <w:r w:rsidRPr="00442A3B">
        <w:t>Treatment applied to a Commonwealth payment that does not provide budget support for State services or for which expenditure needs are not assessed. Both the payment and the expenses relating to it are removed from the adjusted budget to ensure they have no impact on a State’s fiscal capacity. Occasionally the terms of reference instruct the Commission to ensure a particular payment has no impact on relativities. (See quarantine</w:t>
      </w:r>
      <w:r w:rsidR="002266A8" w:rsidRPr="00442A3B">
        <w:t>)</w:t>
      </w:r>
      <w:r w:rsidRPr="00442A3B">
        <w:t>.</w:t>
      </w:r>
    </w:p>
    <w:p w14:paraId="3FE2D61E" w14:textId="799B4A60" w:rsidR="008533BE" w:rsidRPr="00442A3B" w:rsidRDefault="008533BE" w:rsidP="002F51F5">
      <w:pPr>
        <w:spacing w:before="80"/>
        <w:rPr>
          <w:b/>
          <w:bCs/>
        </w:rPr>
      </w:pPr>
      <w:r w:rsidRPr="00442A3B">
        <w:rPr>
          <w:b/>
          <w:bCs/>
        </w:rPr>
        <w:t>no worse off</w:t>
      </w:r>
    </w:p>
    <w:p w14:paraId="39B7E539" w14:textId="3B9A98E3" w:rsidR="007737D1" w:rsidRPr="00442A3B" w:rsidRDefault="003A3E87" w:rsidP="002F51F5">
      <w:pPr>
        <w:spacing w:before="80"/>
      </w:pPr>
      <w:r w:rsidRPr="00442A3B">
        <w:t>A</w:t>
      </w:r>
      <w:r w:rsidR="008533BE" w:rsidRPr="00442A3B">
        <w:t xml:space="preserve"> concept to explain the provisions of section 5</w:t>
      </w:r>
      <w:r w:rsidR="00AE07B9" w:rsidRPr="00442A3B">
        <w:t>(3)</w:t>
      </w:r>
      <w:r w:rsidR="008533BE" w:rsidRPr="00442A3B">
        <w:t xml:space="preserve"> of the </w:t>
      </w:r>
      <w:r w:rsidR="001F13BD" w:rsidRPr="00442A3B">
        <w:rPr>
          <w:i/>
          <w:iCs/>
        </w:rPr>
        <w:t>Treasury Laws Amendment (Making Sure Every State and Territory Gets Their Fair Share of GST) Act 2018</w:t>
      </w:r>
      <w:r w:rsidR="008533BE" w:rsidRPr="00442A3B">
        <w:rPr>
          <w:i/>
          <w:iCs/>
        </w:rPr>
        <w:t xml:space="preserve">. </w:t>
      </w:r>
      <w:r w:rsidR="008533BE" w:rsidRPr="00442A3B">
        <w:t xml:space="preserve">Under those provisions, </w:t>
      </w:r>
      <w:r w:rsidR="08FCBC13" w:rsidRPr="00442A3B">
        <w:t xml:space="preserve">over the </w:t>
      </w:r>
      <w:r w:rsidR="776325FB" w:rsidRPr="00442A3B">
        <w:t xml:space="preserve">transition </w:t>
      </w:r>
      <w:r w:rsidR="000E5CE0" w:rsidRPr="00442A3B">
        <w:t>years</w:t>
      </w:r>
      <w:r w:rsidR="08FCBC13" w:rsidRPr="00442A3B">
        <w:t xml:space="preserve"> </w:t>
      </w:r>
      <w:r w:rsidR="776325FB" w:rsidRPr="00442A3B">
        <w:t>(</w:t>
      </w:r>
      <w:r w:rsidR="08FCBC13" w:rsidRPr="00442A3B">
        <w:t>2021-22 to 2026-27</w:t>
      </w:r>
      <w:r w:rsidR="0BCABA91" w:rsidRPr="00442A3B">
        <w:t>)</w:t>
      </w:r>
      <w:r w:rsidR="08FCBC13" w:rsidRPr="00442A3B">
        <w:t xml:space="preserve">, </w:t>
      </w:r>
      <w:r w:rsidR="008533BE" w:rsidRPr="00442A3B">
        <w:t xml:space="preserve">a State will </w:t>
      </w:r>
      <w:r w:rsidR="006A1A30" w:rsidRPr="00442A3B">
        <w:t xml:space="preserve">be entitled to additional financial assistance </w:t>
      </w:r>
      <w:r w:rsidR="003F17FE" w:rsidRPr="00442A3B">
        <w:t>if</w:t>
      </w:r>
      <w:r w:rsidR="005B31E8" w:rsidRPr="00442A3B">
        <w:t xml:space="preserve"> </w:t>
      </w:r>
      <w:r w:rsidR="005355CF" w:rsidRPr="00442A3B">
        <w:t>it</w:t>
      </w:r>
      <w:r w:rsidR="008533BE" w:rsidRPr="00442A3B">
        <w:t xml:space="preserve"> receive</w:t>
      </w:r>
      <w:r w:rsidR="003F17FE" w:rsidRPr="00442A3B">
        <w:t>s</w:t>
      </w:r>
      <w:r w:rsidR="008533BE" w:rsidRPr="00442A3B">
        <w:t xml:space="preserve"> a lower </w:t>
      </w:r>
      <w:r w:rsidR="00785C3B" w:rsidRPr="00442A3B">
        <w:t>GST pool</w:t>
      </w:r>
      <w:r w:rsidR="008533BE" w:rsidRPr="00442A3B">
        <w:t xml:space="preserve"> grant under the </w:t>
      </w:r>
      <w:r w:rsidR="00785C3B" w:rsidRPr="00442A3B">
        <w:t xml:space="preserve">new arrangements </w:t>
      </w:r>
      <w:r w:rsidR="008533BE" w:rsidRPr="00442A3B">
        <w:t>than it would have received if the legislati</w:t>
      </w:r>
      <w:r w:rsidR="00C75ACA" w:rsidRPr="00442A3B">
        <w:t>ve change</w:t>
      </w:r>
      <w:r w:rsidR="00AE07B9" w:rsidRPr="00442A3B">
        <w:t>s</w:t>
      </w:r>
      <w:r w:rsidR="008533BE" w:rsidRPr="00442A3B">
        <w:t xml:space="preserve"> had not been enacted. </w:t>
      </w:r>
      <w:r w:rsidR="007737D1" w:rsidRPr="00442A3B">
        <w:t>This additional financial assistance will be funded by the Commonwealth.</w:t>
      </w:r>
    </w:p>
    <w:p w14:paraId="0EFA2874" w14:textId="1012BBB6" w:rsidR="00D958B8" w:rsidRPr="00442A3B" w:rsidRDefault="00D958B8" w:rsidP="00336532">
      <w:pPr>
        <w:keepNext/>
        <w:keepLines/>
        <w:spacing w:before="80"/>
        <w:rPr>
          <w:b/>
        </w:rPr>
      </w:pPr>
      <w:r w:rsidRPr="00442A3B">
        <w:rPr>
          <w:b/>
        </w:rPr>
        <w:lastRenderedPageBreak/>
        <w:t xml:space="preserve">payments for specific purposes </w:t>
      </w:r>
    </w:p>
    <w:p w14:paraId="2DEE9F57" w14:textId="760F4A76" w:rsidR="00D958B8" w:rsidRPr="00442A3B" w:rsidRDefault="00D958B8" w:rsidP="00336532">
      <w:pPr>
        <w:keepNext/>
        <w:keepLines/>
        <w:spacing w:before="0"/>
        <w:rPr>
          <w:bCs/>
        </w:rPr>
      </w:pPr>
      <w:r w:rsidRPr="00442A3B">
        <w:rPr>
          <w:bCs/>
        </w:rPr>
        <w:t>Payments from the Commonwealth</w:t>
      </w:r>
      <w:r w:rsidRPr="00442A3B">
        <w:rPr>
          <w:b/>
        </w:rPr>
        <w:t xml:space="preserve"> </w:t>
      </w:r>
      <w:r w:rsidRPr="00442A3B">
        <w:t xml:space="preserve">to the States relating to policy areas for which the States have primary responsibility. </w:t>
      </w:r>
      <w:r w:rsidR="008F4EF8" w:rsidRPr="00442A3B">
        <w:t>They</w:t>
      </w:r>
      <w:r w:rsidRPr="00442A3B">
        <w:t xml:space="preserve"> cover most functional areas of State (and local government) activity, including health, education, skills and workforce development, community services, housing, Indigenous affairs, infrastructure and the environment. They include </w:t>
      </w:r>
      <w:r w:rsidR="006B4882" w:rsidRPr="00442A3B">
        <w:t>national</w:t>
      </w:r>
      <w:r w:rsidRPr="00442A3B">
        <w:t xml:space="preserve"> specific purpose payments and national partnership payments.</w:t>
      </w:r>
    </w:p>
    <w:p w14:paraId="4781230F" w14:textId="77777777" w:rsidR="004E728D" w:rsidRPr="00442A3B" w:rsidRDefault="004E728D" w:rsidP="004E728D">
      <w:pPr>
        <w:spacing w:before="80"/>
        <w:rPr>
          <w:b/>
          <w:bCs/>
        </w:rPr>
      </w:pPr>
      <w:r w:rsidRPr="00442A3B">
        <w:rPr>
          <w:b/>
          <w:bCs/>
        </w:rPr>
        <w:t>pool top-up payments</w:t>
      </w:r>
    </w:p>
    <w:p w14:paraId="402ADA07" w14:textId="6ED27616" w:rsidR="004E728D" w:rsidRPr="00442A3B" w:rsidRDefault="004E728D" w:rsidP="004E728D">
      <w:pPr>
        <w:keepNext/>
        <w:keepLines/>
        <w:spacing w:before="80"/>
      </w:pPr>
      <w:r w:rsidRPr="00442A3B">
        <w:t xml:space="preserve">Additional funds provided by the </w:t>
      </w:r>
      <w:r w:rsidR="007737D1" w:rsidRPr="00442A3B">
        <w:t>Commonwealth</w:t>
      </w:r>
      <w:r w:rsidRPr="00442A3B">
        <w:t xml:space="preserve">, along with GST revenue, to form the </w:t>
      </w:r>
      <w:r w:rsidR="00CC5E1E" w:rsidRPr="00442A3B">
        <w:t xml:space="preserve">GST </w:t>
      </w:r>
      <w:r w:rsidRPr="00442A3B">
        <w:t>pool</w:t>
      </w:r>
      <w:r w:rsidR="002551B2" w:rsidRPr="00442A3B">
        <w:t xml:space="preserve">, as </w:t>
      </w:r>
      <w:r w:rsidR="00710890" w:rsidRPr="00442A3B">
        <w:t xml:space="preserve">specified in </w:t>
      </w:r>
      <w:r w:rsidR="00076DC4" w:rsidRPr="00442A3B">
        <w:t>section 8A(1) of</w:t>
      </w:r>
      <w:r w:rsidRPr="00442A3B">
        <w:t xml:space="preserve"> the </w:t>
      </w:r>
      <w:r w:rsidR="00076DC4" w:rsidRPr="00442A3B">
        <w:rPr>
          <w:i/>
          <w:iCs/>
        </w:rPr>
        <w:t>Treasury Laws Amendment (Making Sure Every State and Territory Gets Their Fair Share of GST) Act 2018</w:t>
      </w:r>
      <w:r w:rsidRPr="00442A3B">
        <w:rPr>
          <w:i/>
        </w:rPr>
        <w:t>.</w:t>
      </w:r>
    </w:p>
    <w:p w14:paraId="2431D1F1" w14:textId="77777777" w:rsidR="002A5220" w:rsidRPr="00442A3B" w:rsidRDefault="002A5220" w:rsidP="002A5220">
      <w:pPr>
        <w:keepNext/>
        <w:keepLines/>
        <w:rPr>
          <w:b/>
          <w:bCs/>
        </w:rPr>
      </w:pPr>
      <w:r w:rsidRPr="00442A3B">
        <w:rPr>
          <w:b/>
        </w:rPr>
        <w:t>previous arrangements</w:t>
      </w:r>
    </w:p>
    <w:p w14:paraId="264FBFFA" w14:textId="6E8C33BC" w:rsidR="002A5220" w:rsidRPr="00442A3B" w:rsidRDefault="005F3487" w:rsidP="002A5220">
      <w:pPr>
        <w:spacing w:before="0"/>
      </w:pPr>
      <w:r w:rsidRPr="00442A3B">
        <w:t>The</w:t>
      </w:r>
      <w:r w:rsidR="002A5220" w:rsidRPr="00442A3B">
        <w:t xml:space="preserve"> process for equalisation that applied prior to the commencement of new legislative arrangements from 2021. </w:t>
      </w:r>
    </w:p>
    <w:p w14:paraId="440EF45A" w14:textId="77777777" w:rsidR="00D958B8" w:rsidRPr="00442A3B" w:rsidRDefault="00D958B8" w:rsidP="00D958B8">
      <w:pPr>
        <w:rPr>
          <w:b/>
        </w:rPr>
      </w:pPr>
      <w:r w:rsidRPr="00442A3B">
        <w:rPr>
          <w:b/>
        </w:rPr>
        <w:t>quarantine</w:t>
      </w:r>
    </w:p>
    <w:p w14:paraId="0CC0E82E" w14:textId="77777777" w:rsidR="00D958B8" w:rsidRPr="00442A3B" w:rsidRDefault="00D958B8" w:rsidP="00D958B8">
      <w:pPr>
        <w:spacing w:before="0"/>
      </w:pPr>
      <w:r w:rsidRPr="00442A3B">
        <w:t>The treatment of a Commonwealth payment, and where possible the expense for which it is used, in such a way as to have no impact on the relativities. Quarantining always results from instructions given directly to the Commission in its terms of reference and the term is used only in this context.</w:t>
      </w:r>
    </w:p>
    <w:p w14:paraId="4BC00326" w14:textId="77777777" w:rsidR="00D958B8" w:rsidRPr="00442A3B" w:rsidRDefault="00D958B8" w:rsidP="00D958B8">
      <w:pPr>
        <w:rPr>
          <w:b/>
        </w:rPr>
      </w:pPr>
      <w:r w:rsidRPr="00442A3B">
        <w:rPr>
          <w:b/>
        </w:rPr>
        <w:t>redistribution</w:t>
      </w:r>
    </w:p>
    <w:p w14:paraId="2045B920" w14:textId="2CB1ADBC" w:rsidR="00D958B8" w:rsidRPr="00442A3B" w:rsidRDefault="00D958B8" w:rsidP="00D958B8">
      <w:pPr>
        <w:spacing w:before="0"/>
      </w:pPr>
      <w:r w:rsidRPr="00442A3B">
        <w:t xml:space="preserve">The difference between an equal per capita distribution of </w:t>
      </w:r>
      <w:r w:rsidR="009516B9" w:rsidRPr="00442A3B">
        <w:t>GST</w:t>
      </w:r>
      <w:r w:rsidR="007D4A30" w:rsidRPr="00442A3B">
        <w:t xml:space="preserve"> </w:t>
      </w:r>
      <w:r w:rsidRPr="00442A3B">
        <w:t>pool and one based on the principle of horizontal fiscal equalisation.</w:t>
      </w:r>
    </w:p>
    <w:p w14:paraId="06074DA8" w14:textId="35D9B121" w:rsidR="00D958B8" w:rsidRPr="00442A3B" w:rsidRDefault="00D958B8" w:rsidP="00D958B8">
      <w:pPr>
        <w:keepNext/>
        <w:keepLines/>
        <w:rPr>
          <w:b/>
        </w:rPr>
      </w:pPr>
      <w:r w:rsidRPr="00442A3B">
        <w:rPr>
          <w:b/>
        </w:rPr>
        <w:t xml:space="preserve">relative </w:t>
      </w:r>
      <w:r w:rsidRPr="00442A3B">
        <w:rPr>
          <w:b/>
          <w:bCs/>
        </w:rPr>
        <w:t>fiscal</w:t>
      </w:r>
      <w:r w:rsidRPr="00442A3B">
        <w:rPr>
          <w:b/>
        </w:rPr>
        <w:t xml:space="preserve"> capacity</w:t>
      </w:r>
    </w:p>
    <w:p w14:paraId="613ADD1A" w14:textId="3BA21B35" w:rsidR="00D958B8" w:rsidRPr="00442A3B" w:rsidRDefault="004D397D" w:rsidP="00D958B8">
      <w:pPr>
        <w:spacing w:before="0"/>
        <w:rPr>
          <w:bCs/>
        </w:rPr>
      </w:pPr>
      <w:r w:rsidRPr="00442A3B">
        <w:t xml:space="preserve">A </w:t>
      </w:r>
      <w:r w:rsidR="002458F1" w:rsidRPr="00442A3B">
        <w:t>State</w:t>
      </w:r>
      <w:r w:rsidRPr="00442A3B">
        <w:t>’s</w:t>
      </w:r>
      <w:r w:rsidR="002458F1" w:rsidRPr="00442A3B">
        <w:t xml:space="preserve"> relative fiscal capacit</w:t>
      </w:r>
      <w:r w:rsidR="00E63A74" w:rsidRPr="00442A3B">
        <w:t>y</w:t>
      </w:r>
      <w:r w:rsidR="005A71F2" w:rsidRPr="00442A3B">
        <w:t xml:space="preserve"> </w:t>
      </w:r>
      <w:r w:rsidR="00E63A74" w:rsidRPr="00442A3B">
        <w:t>is</w:t>
      </w:r>
      <w:r w:rsidR="005A71F2" w:rsidRPr="00442A3B">
        <w:t xml:space="preserve"> </w:t>
      </w:r>
      <w:r w:rsidR="002F0A7A" w:rsidRPr="00442A3B">
        <w:t>a measure</w:t>
      </w:r>
      <w:r w:rsidR="005A71F2" w:rsidRPr="00442A3B">
        <w:t xml:space="preserve"> used to </w:t>
      </w:r>
      <w:r w:rsidR="002458F1" w:rsidRPr="00442A3B">
        <w:t xml:space="preserve">inform the </w:t>
      </w:r>
      <w:r w:rsidR="005A71F2" w:rsidRPr="00442A3B">
        <w:t>distribution of the GST pool.</w:t>
      </w:r>
      <w:r w:rsidR="002458F1" w:rsidRPr="00442A3B">
        <w:t xml:space="preserve"> </w:t>
      </w:r>
      <w:r w:rsidR="00923F3F" w:rsidRPr="00442A3B">
        <w:t>Relative fiscal capacities</w:t>
      </w:r>
      <w:r w:rsidR="005A71F2" w:rsidRPr="00442A3B">
        <w:t xml:space="preserve"> are d</w:t>
      </w:r>
      <w:r w:rsidR="002458F1" w:rsidRPr="00442A3B">
        <w:t>etermined for each State such that, after allowing for material factors affecting revenues and expenditures, each would have the fiscal capacity to provide services and the associated infrastructure at the same standard, if each made the same effort to raise revenue from its own-sources and operated at the same level of efficiency</w:t>
      </w:r>
      <w:r w:rsidR="00923F3F" w:rsidRPr="00442A3B">
        <w:t>.</w:t>
      </w:r>
      <w:r w:rsidR="00C65E0B" w:rsidRPr="00442A3B">
        <w:t xml:space="preserve"> The measure is designed </w:t>
      </w:r>
      <w:r w:rsidR="00A07653" w:rsidRPr="00442A3B">
        <w:t>so</w:t>
      </w:r>
      <w:r w:rsidR="00C65E0B" w:rsidRPr="00442A3B">
        <w:t xml:space="preserve"> that </w:t>
      </w:r>
      <w:r w:rsidR="00A07653" w:rsidRPr="00442A3B">
        <w:t xml:space="preserve">the higher a State’s </w:t>
      </w:r>
      <w:r w:rsidR="00900BE0" w:rsidRPr="00442A3B">
        <w:t xml:space="preserve">GST requirement, the higher the </w:t>
      </w:r>
      <w:r w:rsidR="006215FF" w:rsidRPr="00442A3B">
        <w:t xml:space="preserve">value of the </w:t>
      </w:r>
      <w:r w:rsidR="00900BE0" w:rsidRPr="00442A3B">
        <w:t>measure</w:t>
      </w:r>
      <w:r w:rsidR="005666CE" w:rsidRPr="00442A3B">
        <w:t>.</w:t>
      </w:r>
    </w:p>
    <w:p w14:paraId="2A411BB1" w14:textId="77777777" w:rsidR="00D958B8" w:rsidRPr="00442A3B" w:rsidRDefault="00D958B8" w:rsidP="00D958B8">
      <w:pPr>
        <w:rPr>
          <w:b/>
        </w:rPr>
      </w:pPr>
      <w:r w:rsidRPr="00442A3B">
        <w:rPr>
          <w:b/>
        </w:rPr>
        <w:t>relativity</w:t>
      </w:r>
    </w:p>
    <w:p w14:paraId="1ED028B3" w14:textId="37DA2B0E" w:rsidR="00D958B8" w:rsidRPr="00442A3B" w:rsidRDefault="00D958B8" w:rsidP="00D958B8">
      <w:pPr>
        <w:spacing w:before="0"/>
      </w:pPr>
      <w:r w:rsidRPr="00442A3B">
        <w:t xml:space="preserve">A per capita weight </w:t>
      </w:r>
      <w:r w:rsidR="007737D1" w:rsidRPr="00442A3B">
        <w:t>used to calculate</w:t>
      </w:r>
      <w:r w:rsidRPr="00442A3B">
        <w:t xml:space="preserve"> the </w:t>
      </w:r>
      <w:r w:rsidR="00A401DB" w:rsidRPr="00442A3B">
        <w:t>share of the GST</w:t>
      </w:r>
      <w:r w:rsidRPr="00442A3B">
        <w:t xml:space="preserve"> pool a State will receive. </w:t>
      </w:r>
      <w:r w:rsidR="002F5723" w:rsidRPr="00442A3B">
        <w:t xml:space="preserve">From the </w:t>
      </w:r>
      <w:r w:rsidR="005909B1" w:rsidRPr="00442A3B">
        <w:t>2021 Update</w:t>
      </w:r>
      <w:r w:rsidR="002F5723" w:rsidRPr="00442A3B">
        <w:t>, i</w:t>
      </w:r>
      <w:r w:rsidR="007A657A" w:rsidRPr="00442A3B">
        <w:t xml:space="preserve">t </w:t>
      </w:r>
      <w:r w:rsidR="00735D35" w:rsidRPr="00442A3B">
        <w:t xml:space="preserve">is derived by blending the </w:t>
      </w:r>
      <w:r w:rsidR="002F4688" w:rsidRPr="00442A3B">
        <w:t>relative fiscal capacit</w:t>
      </w:r>
      <w:r w:rsidR="000A15B4" w:rsidRPr="00442A3B">
        <w:t>ies</w:t>
      </w:r>
      <w:r w:rsidR="00735D35" w:rsidRPr="00442A3B">
        <w:t xml:space="preserve"> with </w:t>
      </w:r>
      <w:r w:rsidR="005C1EB9" w:rsidRPr="00442A3B">
        <w:t xml:space="preserve">the </w:t>
      </w:r>
      <w:r w:rsidR="00AD0E46" w:rsidRPr="00442A3B">
        <w:t>standard State</w:t>
      </w:r>
      <w:r w:rsidR="005E48E9" w:rsidRPr="00442A3B">
        <w:t xml:space="preserve"> capacit</w:t>
      </w:r>
      <w:r w:rsidR="00187D58" w:rsidRPr="00442A3B">
        <w:t>ies</w:t>
      </w:r>
      <w:r w:rsidR="00E21347" w:rsidRPr="00442A3B">
        <w:t xml:space="preserve"> to </w:t>
      </w:r>
      <w:r w:rsidR="005C1EB9" w:rsidRPr="00442A3B">
        <w:t xml:space="preserve">transition </w:t>
      </w:r>
      <w:r w:rsidR="00E21347" w:rsidRPr="00442A3B">
        <w:t xml:space="preserve">to </w:t>
      </w:r>
      <w:r w:rsidR="00742A2E" w:rsidRPr="00442A3B">
        <w:t>the new arrangements</w:t>
      </w:r>
      <w:r w:rsidR="00E21347" w:rsidRPr="00442A3B">
        <w:t>.</w:t>
      </w:r>
    </w:p>
    <w:p w14:paraId="32B614E0" w14:textId="7B6D045E" w:rsidR="00D958B8" w:rsidRPr="00442A3B" w:rsidRDefault="00D958B8" w:rsidP="00D958B8">
      <w:pPr>
        <w:keepNext/>
        <w:keepLines/>
        <w:rPr>
          <w:b/>
          <w:bCs/>
        </w:rPr>
      </w:pPr>
      <w:r w:rsidRPr="00442A3B">
        <w:rPr>
          <w:b/>
          <w:bCs/>
        </w:rPr>
        <w:t>relativity floor</w:t>
      </w:r>
    </w:p>
    <w:p w14:paraId="0E4B918C" w14:textId="24CECB62" w:rsidR="00D958B8" w:rsidRPr="00442A3B" w:rsidRDefault="00D958B8" w:rsidP="00D958B8">
      <w:pPr>
        <w:spacing w:before="0"/>
      </w:pPr>
      <w:r w:rsidRPr="00442A3B">
        <w:t xml:space="preserve">A minimum </w:t>
      </w:r>
      <w:r w:rsidR="0029262D" w:rsidRPr="00442A3B">
        <w:t>GST</w:t>
      </w:r>
      <w:r w:rsidRPr="00442A3B">
        <w:t xml:space="preserve"> pool sharing relativity, with an initial value of 0.7 to apply from 2022–23, then raised to 0.75 to apply from 2024</w:t>
      </w:r>
      <w:r w:rsidR="006A0501" w:rsidRPr="00442A3B">
        <w:t>-</w:t>
      </w:r>
      <w:r w:rsidRPr="00442A3B">
        <w:t>25.</w:t>
      </w:r>
      <w:r w:rsidR="003C2AE1" w:rsidRPr="00442A3B">
        <w:t xml:space="preserve"> </w:t>
      </w:r>
      <w:r w:rsidR="00383615" w:rsidRPr="00442A3B">
        <w:t xml:space="preserve">For </w:t>
      </w:r>
      <w:r w:rsidR="007F676E" w:rsidRPr="00442A3B">
        <w:t>2021-22</w:t>
      </w:r>
      <w:r w:rsidR="00383615" w:rsidRPr="00442A3B">
        <w:t xml:space="preserve">, </w:t>
      </w:r>
      <w:r w:rsidR="007F676E" w:rsidRPr="00442A3B">
        <w:t xml:space="preserve">the Northern Territory </w:t>
      </w:r>
      <w:r w:rsidR="007D44EC" w:rsidRPr="00442A3B">
        <w:t xml:space="preserve">will have a </w:t>
      </w:r>
      <w:r w:rsidR="0029262D" w:rsidRPr="00442A3B">
        <w:t>GST pool</w:t>
      </w:r>
      <w:r w:rsidR="007F676E" w:rsidRPr="00442A3B">
        <w:t xml:space="preserve"> share</w:t>
      </w:r>
      <w:r w:rsidR="0029262D" w:rsidRPr="00442A3B">
        <w:t xml:space="preserve"> </w:t>
      </w:r>
      <w:r w:rsidR="0068019D" w:rsidRPr="00442A3B">
        <w:t xml:space="preserve">at least </w:t>
      </w:r>
      <w:r w:rsidR="007F676E" w:rsidRPr="00442A3B">
        <w:t>equivalent to a relativity of 4.66.</w:t>
      </w:r>
    </w:p>
    <w:p w14:paraId="041B55DF" w14:textId="77777777" w:rsidR="00D958B8" w:rsidRPr="00442A3B" w:rsidRDefault="00D958B8" w:rsidP="00B7220F">
      <w:pPr>
        <w:rPr>
          <w:b/>
        </w:rPr>
      </w:pPr>
      <w:r w:rsidRPr="00442A3B">
        <w:rPr>
          <w:b/>
        </w:rPr>
        <w:t>revenue base</w:t>
      </w:r>
    </w:p>
    <w:p w14:paraId="27B9ED5B" w14:textId="61BB5DFE" w:rsidR="00D958B8" w:rsidRPr="00442A3B" w:rsidRDefault="00D958B8" w:rsidP="00B7220F">
      <w:pPr>
        <w:spacing w:before="0"/>
      </w:pPr>
      <w:r w:rsidRPr="00442A3B">
        <w:t xml:space="preserve">A measure of the transactions, activities, or assets that are taxed by the States. Differences between the revenue bases of each State are used by the Commission to determine the relative capacities of each to raise revenue. </w:t>
      </w:r>
    </w:p>
    <w:p w14:paraId="22D38F62" w14:textId="77777777" w:rsidR="00D958B8" w:rsidRPr="00442A3B" w:rsidRDefault="00D958B8" w:rsidP="00B7220F">
      <w:pPr>
        <w:rPr>
          <w:b/>
        </w:rPr>
      </w:pPr>
      <w:r w:rsidRPr="00442A3B">
        <w:rPr>
          <w:b/>
        </w:rPr>
        <w:t>revenue effort</w:t>
      </w:r>
    </w:p>
    <w:p w14:paraId="2930557B" w14:textId="4775B4C2" w:rsidR="00D958B8" w:rsidRPr="00442A3B" w:rsidRDefault="00D958B8" w:rsidP="00B7220F">
      <w:pPr>
        <w:spacing w:before="0"/>
      </w:pPr>
      <w:r w:rsidRPr="00442A3B">
        <w:t>The intensity of use of a revenue base (the implied tax rate) measured as actual revenue divided by assessed revenue. It is influenced by the rate of tax or charge, the exemptions, and concessions provided, actual scope of the revenue base in a State, and the effort it put</w:t>
      </w:r>
      <w:r w:rsidR="00DD44DB" w:rsidRPr="00442A3B">
        <w:t>s</w:t>
      </w:r>
      <w:r w:rsidRPr="00442A3B">
        <w:t xml:space="preserve"> into ensuring compliance. </w:t>
      </w:r>
    </w:p>
    <w:p w14:paraId="3E4C0FF9" w14:textId="77777777" w:rsidR="00D958B8" w:rsidRPr="00442A3B" w:rsidRDefault="00D958B8" w:rsidP="00336532">
      <w:pPr>
        <w:keepNext/>
        <w:keepLines/>
        <w:rPr>
          <w:b/>
        </w:rPr>
      </w:pPr>
      <w:r w:rsidRPr="00442A3B">
        <w:rPr>
          <w:b/>
        </w:rPr>
        <w:lastRenderedPageBreak/>
        <w:t>review</w:t>
      </w:r>
    </w:p>
    <w:p w14:paraId="070D9775" w14:textId="5D870FF5" w:rsidR="00D958B8" w:rsidRPr="00442A3B" w:rsidRDefault="00D958B8" w:rsidP="00336532">
      <w:pPr>
        <w:keepNext/>
        <w:keepLines/>
        <w:spacing w:before="0"/>
      </w:pPr>
      <w:r w:rsidRPr="00442A3B">
        <w:t xml:space="preserve">The process in which the Commission reconsiders the methods used to calculate the </w:t>
      </w:r>
      <w:r w:rsidR="00E31418" w:rsidRPr="00442A3B">
        <w:t>GST</w:t>
      </w:r>
      <w:r w:rsidRPr="00442A3B">
        <w:t xml:space="preserve"> distribution, according to terms of reference given to it. From 1988 onwards, reviews have usually occurred every </w:t>
      </w:r>
      <w:r w:rsidR="005E563D" w:rsidRPr="00442A3B">
        <w:t>5</w:t>
      </w:r>
      <w:r w:rsidRPr="00442A3B">
        <w:t xml:space="preserve"> years. By contrast, an update is conducted every year other than a review year and updates the distribution using the methods determined in the last review and the latest data.</w:t>
      </w:r>
    </w:p>
    <w:p w14:paraId="2F78085F" w14:textId="77777777" w:rsidR="00D958B8" w:rsidRPr="00442A3B" w:rsidRDefault="00D958B8" w:rsidP="00D958B8">
      <w:pPr>
        <w:keepNext/>
        <w:keepLines/>
        <w:rPr>
          <w:b/>
        </w:rPr>
      </w:pPr>
      <w:r w:rsidRPr="00442A3B">
        <w:rPr>
          <w:b/>
        </w:rPr>
        <w:t xml:space="preserve">service delivery scale </w:t>
      </w:r>
    </w:p>
    <w:p w14:paraId="2AE5E613" w14:textId="72F5CA50" w:rsidR="00D958B8" w:rsidRPr="00442A3B" w:rsidRDefault="00D958B8" w:rsidP="00D958B8">
      <w:pPr>
        <w:keepNext/>
        <w:keepLines/>
        <w:spacing w:before="0"/>
        <w:rPr>
          <w:b/>
        </w:rPr>
      </w:pPr>
      <w:r w:rsidRPr="00442A3B">
        <w:t>S</w:t>
      </w:r>
      <w:r w:rsidRPr="00442A3B">
        <w:rPr>
          <w:bCs/>
        </w:rPr>
        <w:t xml:space="preserve">ervice delivery scale </w:t>
      </w:r>
      <w:r w:rsidR="005403EF" w:rsidRPr="00442A3B">
        <w:rPr>
          <w:bCs/>
        </w:rPr>
        <w:t>(SD</w:t>
      </w:r>
      <w:r w:rsidR="00F86EBF">
        <w:rPr>
          <w:bCs/>
        </w:rPr>
        <w:t>S</w:t>
      </w:r>
      <w:r w:rsidR="005403EF" w:rsidRPr="00442A3B">
        <w:rPr>
          <w:bCs/>
        </w:rPr>
        <w:t xml:space="preserve">) </w:t>
      </w:r>
      <w:r w:rsidRPr="00442A3B">
        <w:rPr>
          <w:bCs/>
        </w:rPr>
        <w:t>is a</w:t>
      </w:r>
      <w:r w:rsidRPr="00442A3B">
        <w:rPr>
          <w:b/>
        </w:rPr>
        <w:t xml:space="preserve"> </w:t>
      </w:r>
      <w:r w:rsidR="00EC0BA9" w:rsidRPr="00442A3B">
        <w:t>measurement of</w:t>
      </w:r>
      <w:r w:rsidRPr="00442A3B">
        <w:t xml:space="preserve"> the additional costs of providing a service because the population served is small and isolated from other points of service delivery. </w:t>
      </w:r>
    </w:p>
    <w:p w14:paraId="50B83E45" w14:textId="76FB5410" w:rsidR="00D958B8" w:rsidRPr="00442A3B" w:rsidRDefault="00D958B8" w:rsidP="00D958B8">
      <w:pPr>
        <w:keepNext/>
        <w:keepLines/>
        <w:rPr>
          <w:b/>
        </w:rPr>
      </w:pPr>
      <w:r w:rsidRPr="00442A3B">
        <w:rPr>
          <w:b/>
        </w:rPr>
        <w:t xml:space="preserve">sociodemographic composition </w:t>
      </w:r>
    </w:p>
    <w:p w14:paraId="4739AEF7" w14:textId="2C040631" w:rsidR="00D958B8" w:rsidRPr="00442A3B" w:rsidRDefault="00D958B8" w:rsidP="00D958B8">
      <w:pPr>
        <w:keepNext/>
        <w:keepLines/>
        <w:spacing w:before="0"/>
        <w:rPr>
          <w:b/>
        </w:rPr>
      </w:pPr>
      <w:r w:rsidRPr="00442A3B">
        <w:rPr>
          <w:bCs/>
        </w:rPr>
        <w:t>Sociodemographic composition (SDC) is a</w:t>
      </w:r>
      <w:r w:rsidRPr="00442A3B">
        <w:rPr>
          <w:b/>
        </w:rPr>
        <w:t xml:space="preserve"> </w:t>
      </w:r>
      <w:r w:rsidR="00EC0BA9" w:rsidRPr="00442A3B">
        <w:t>measurement of</w:t>
      </w:r>
      <w:r w:rsidRPr="00442A3B">
        <w:t xml:space="preserve"> differences in both the average use and cost of providing services due to differences between States in the relative size of various sociodemographic groups. It can reflect differences between States in some or all population characteristics such as age, socioeconomic status, Indigenous status and location. </w:t>
      </w:r>
    </w:p>
    <w:p w14:paraId="14D1D8A4" w14:textId="41B3195D" w:rsidR="00D958B8" w:rsidRPr="00442A3B" w:rsidRDefault="00D958B8" w:rsidP="00D958B8">
      <w:pPr>
        <w:keepNext/>
        <w:rPr>
          <w:b/>
          <w:bCs/>
        </w:rPr>
      </w:pPr>
      <w:r w:rsidRPr="00442A3B">
        <w:rPr>
          <w:b/>
        </w:rPr>
        <w:t>standard</w:t>
      </w:r>
      <w:r w:rsidRPr="00442A3B">
        <w:rPr>
          <w:b/>
          <w:bCs/>
        </w:rPr>
        <w:t xml:space="preserve"> </w:t>
      </w:r>
      <w:r w:rsidR="00933F28" w:rsidRPr="00442A3B">
        <w:rPr>
          <w:b/>
          <w:bCs/>
        </w:rPr>
        <w:t>State</w:t>
      </w:r>
    </w:p>
    <w:p w14:paraId="5170CCFD" w14:textId="1CACC166" w:rsidR="00D958B8" w:rsidRPr="00442A3B" w:rsidRDefault="00241C61" w:rsidP="00D958B8">
      <w:pPr>
        <w:keepNext/>
        <w:rPr>
          <w:bCs/>
        </w:rPr>
      </w:pPr>
      <w:r w:rsidRPr="00442A3B">
        <w:t xml:space="preserve">The fiscally stronger of New South Wales and Victoria, used in the context of </w:t>
      </w:r>
      <w:r w:rsidR="00D958B8" w:rsidRPr="00442A3B">
        <w:t>the new arrangements.</w:t>
      </w:r>
      <w:r w:rsidR="00D958B8" w:rsidRPr="00442A3B">
        <w:rPr>
          <w:bCs/>
        </w:rPr>
        <w:t xml:space="preserve"> </w:t>
      </w:r>
    </w:p>
    <w:p w14:paraId="6F74F5B3" w14:textId="72E6034D" w:rsidR="00D958B8" w:rsidRPr="00442A3B" w:rsidRDefault="00D958B8" w:rsidP="00D958B8">
      <w:pPr>
        <w:keepNext/>
        <w:rPr>
          <w:b/>
          <w:bCs/>
        </w:rPr>
      </w:pPr>
      <w:r w:rsidRPr="00442A3B">
        <w:rPr>
          <w:b/>
          <w:bCs/>
        </w:rPr>
        <w:t xml:space="preserve">standard </w:t>
      </w:r>
      <w:r w:rsidR="00933F28" w:rsidRPr="00442A3B">
        <w:rPr>
          <w:b/>
          <w:bCs/>
        </w:rPr>
        <w:t>State</w:t>
      </w:r>
      <w:r w:rsidRPr="00442A3B">
        <w:rPr>
          <w:b/>
          <w:bCs/>
        </w:rPr>
        <w:t xml:space="preserve"> capacity</w:t>
      </w:r>
    </w:p>
    <w:p w14:paraId="428A841F" w14:textId="064DABB3" w:rsidR="00DF5408" w:rsidRPr="00442A3B" w:rsidRDefault="00DF5408" w:rsidP="00D958B8">
      <w:pPr>
        <w:keepNext/>
      </w:pPr>
      <w:r w:rsidRPr="00442A3B">
        <w:t>A measure of a State’s ability, benchmarked to the standard state, to provide average services, including infrastructure, to its population if it raised revenue from its own revenue bases at average effort taking account of its actual other Commonwealth payments. Collectively for all States, these are referred to as standard State capacities.</w:t>
      </w:r>
    </w:p>
    <w:p w14:paraId="08A02CAB" w14:textId="5533E2A4" w:rsidR="00D958B8" w:rsidRPr="00442A3B" w:rsidRDefault="00D958B8" w:rsidP="00D958B8">
      <w:pPr>
        <w:keepNext/>
        <w:rPr>
          <w:b/>
        </w:rPr>
      </w:pPr>
      <w:r w:rsidRPr="00442A3B">
        <w:rPr>
          <w:b/>
        </w:rPr>
        <w:t>State(s)</w:t>
      </w:r>
    </w:p>
    <w:p w14:paraId="03DE45B6" w14:textId="77777777" w:rsidR="00D958B8" w:rsidRPr="00442A3B" w:rsidRDefault="00D958B8" w:rsidP="00D958B8">
      <w:pPr>
        <w:spacing w:before="0"/>
      </w:pPr>
      <w:r w:rsidRPr="00442A3B">
        <w:t>Unless the context indicates otherwise, the term ‘State(s)’ includes the Australian Capital Territory and the Northern Territory.</w:t>
      </w:r>
    </w:p>
    <w:p w14:paraId="2B75F6D3" w14:textId="576761FB" w:rsidR="00D958B8" w:rsidRPr="00442A3B" w:rsidRDefault="00D958B8" w:rsidP="00D958B8">
      <w:pPr>
        <w:rPr>
          <w:b/>
          <w:bCs/>
        </w:rPr>
      </w:pPr>
      <w:r w:rsidRPr="00442A3B">
        <w:rPr>
          <w:b/>
          <w:bCs/>
        </w:rPr>
        <w:t>transition year</w:t>
      </w:r>
    </w:p>
    <w:p w14:paraId="678AD865" w14:textId="75DDEF33" w:rsidR="00D958B8" w:rsidRPr="00442A3B" w:rsidRDefault="005F3082" w:rsidP="00D958B8">
      <w:pPr>
        <w:spacing w:before="0"/>
        <w:rPr>
          <w:bCs/>
        </w:rPr>
      </w:pPr>
      <w:r w:rsidRPr="00442A3B">
        <w:t>R</w:t>
      </w:r>
      <w:r w:rsidR="00D958B8" w:rsidRPr="00442A3B">
        <w:rPr>
          <w:bCs/>
        </w:rPr>
        <w:t>efer</w:t>
      </w:r>
      <w:r w:rsidR="00324917" w:rsidRPr="00442A3B">
        <w:rPr>
          <w:bCs/>
        </w:rPr>
        <w:t>s</w:t>
      </w:r>
      <w:r w:rsidR="00D958B8" w:rsidRPr="00442A3B">
        <w:t xml:space="preserve"> to the transition to the new </w:t>
      </w:r>
      <w:r w:rsidR="00D958B8" w:rsidRPr="00442A3B">
        <w:rPr>
          <w:bCs/>
        </w:rPr>
        <w:t>arran</w:t>
      </w:r>
      <w:r w:rsidR="00A57CC3" w:rsidRPr="00442A3B">
        <w:rPr>
          <w:bCs/>
        </w:rPr>
        <w:t>ge</w:t>
      </w:r>
      <w:r w:rsidR="00D958B8" w:rsidRPr="00442A3B">
        <w:rPr>
          <w:bCs/>
        </w:rPr>
        <w:t>ments.</w:t>
      </w:r>
      <w:r w:rsidR="00D958B8" w:rsidRPr="00442A3B">
        <w:t xml:space="preserve"> The transition years are 2021–22 to 202</w:t>
      </w:r>
      <w:r w:rsidR="004D2D4C" w:rsidRPr="00442A3B">
        <w:t>6</w:t>
      </w:r>
      <w:r w:rsidR="00D958B8" w:rsidRPr="00442A3B">
        <w:t>–2</w:t>
      </w:r>
      <w:r w:rsidR="004D2D4C" w:rsidRPr="00442A3B">
        <w:t>7</w:t>
      </w:r>
      <w:r w:rsidR="00D958B8" w:rsidRPr="00442A3B">
        <w:t>. These are the payment, or application</w:t>
      </w:r>
      <w:r w:rsidR="00B15790" w:rsidRPr="00442A3B">
        <w:rPr>
          <w:bCs/>
        </w:rPr>
        <w:t>,</w:t>
      </w:r>
      <w:r w:rsidR="00D958B8" w:rsidRPr="00442A3B">
        <w:t xml:space="preserve"> years not the assessment years.</w:t>
      </w:r>
      <w:r w:rsidR="00D958B8" w:rsidRPr="00442A3B">
        <w:rPr>
          <w:bCs/>
        </w:rPr>
        <w:t xml:space="preserve"> </w:t>
      </w:r>
    </w:p>
    <w:p w14:paraId="549C9024" w14:textId="77777777" w:rsidR="00D958B8" w:rsidRPr="00442A3B" w:rsidRDefault="00D958B8" w:rsidP="00D958B8">
      <w:pPr>
        <w:rPr>
          <w:b/>
        </w:rPr>
      </w:pPr>
      <w:r w:rsidRPr="00442A3B">
        <w:rPr>
          <w:b/>
        </w:rPr>
        <w:t>update</w:t>
      </w:r>
    </w:p>
    <w:p w14:paraId="15529763" w14:textId="26841A91" w:rsidR="00D958B8" w:rsidRPr="00442A3B" w:rsidRDefault="00D958B8" w:rsidP="00D958B8">
      <w:pPr>
        <w:spacing w:before="0"/>
      </w:pPr>
      <w:r w:rsidRPr="00442A3B">
        <w:t xml:space="preserve">The annual assessment of the </w:t>
      </w:r>
      <w:r w:rsidR="005F591C" w:rsidRPr="00442A3B">
        <w:t xml:space="preserve">GST </w:t>
      </w:r>
      <w:r w:rsidRPr="00442A3B">
        <w:t>pool</w:t>
      </w:r>
      <w:r w:rsidRPr="00442A3B" w:rsidDel="00D3529C">
        <w:t xml:space="preserve"> </w:t>
      </w:r>
      <w:r w:rsidRPr="00442A3B">
        <w:t xml:space="preserve">distribution undertaken by the Commission between reviews. Updates incorporate new budgetary developments and the most recent available data. In general, the methods used are those adopted in the most recent review. </w:t>
      </w:r>
      <w:r w:rsidR="6567E2A3" w:rsidRPr="00442A3B">
        <w:t xml:space="preserve">From the </w:t>
      </w:r>
      <w:r w:rsidR="005909B1" w:rsidRPr="00442A3B">
        <w:t>2021 Update</w:t>
      </w:r>
      <w:r w:rsidR="6567E2A3" w:rsidRPr="00442A3B">
        <w:t>, the recommended</w:t>
      </w:r>
      <w:r w:rsidR="00032346" w:rsidRPr="00442A3B">
        <w:t xml:space="preserve"> relativities also reflect the transition to </w:t>
      </w:r>
      <w:r w:rsidR="003A37DF" w:rsidRPr="00442A3B">
        <w:t>the new arrangements</w:t>
      </w:r>
      <w:r w:rsidR="00032346" w:rsidRPr="00442A3B">
        <w:t>.</w:t>
      </w:r>
    </w:p>
    <w:p w14:paraId="1C86706E" w14:textId="77777777" w:rsidR="00D958B8" w:rsidRPr="00442A3B" w:rsidRDefault="00D958B8" w:rsidP="00D958B8">
      <w:pPr>
        <w:keepNext/>
        <w:keepLines/>
        <w:rPr>
          <w:b/>
        </w:rPr>
      </w:pPr>
      <w:r w:rsidRPr="00442A3B">
        <w:rPr>
          <w:b/>
        </w:rPr>
        <w:t>user charges</w:t>
      </w:r>
    </w:p>
    <w:p w14:paraId="4CB37CB8" w14:textId="005C1A43" w:rsidR="006B3B9B" w:rsidRDefault="00D958B8" w:rsidP="00411252">
      <w:pPr>
        <w:keepNext/>
        <w:keepLines/>
        <w:spacing w:before="0"/>
      </w:pPr>
      <w:r w:rsidRPr="00442A3B">
        <w:t xml:space="preserve">Fees and charges raised by States through provision of goods or services. In the adjusted budget, user charges for some functions or categories are deducted from related expenses. Other user charges are included in the </w:t>
      </w:r>
      <w:r w:rsidR="00FE6263" w:rsidRPr="00442A3B">
        <w:t>o</w:t>
      </w:r>
      <w:r w:rsidRPr="00442A3B">
        <w:t>ther revenue category and have no effect on a State’s fiscal capacity.</w:t>
      </w:r>
    </w:p>
    <w:p w14:paraId="68681EA8" w14:textId="1F2D8196" w:rsidR="00AE0E45" w:rsidRDefault="00AE0E45" w:rsidP="00411252">
      <w:pPr>
        <w:keepNext/>
        <w:keepLines/>
        <w:spacing w:before="0"/>
      </w:pPr>
    </w:p>
    <w:p w14:paraId="7EF51248" w14:textId="001B5715" w:rsidR="00165998" w:rsidRDefault="00165998" w:rsidP="00165998">
      <w:pPr>
        <w:rPr>
          <w:rFonts w:eastAsia="Calibri" w:cs="Open Sans Light"/>
          <w:szCs w:val="20"/>
        </w:rPr>
      </w:pPr>
    </w:p>
    <w:p w14:paraId="33E8669E" w14:textId="1B2D1AE0" w:rsidR="00985405" w:rsidRDefault="00985405" w:rsidP="00165998">
      <w:pPr>
        <w:rPr>
          <w:rFonts w:eastAsia="Calibri" w:cs="Open Sans Light"/>
          <w:szCs w:val="20"/>
        </w:rPr>
      </w:pPr>
    </w:p>
    <w:p w14:paraId="2C6CD233" w14:textId="65C8CBA9" w:rsidR="00985405" w:rsidRDefault="00985405" w:rsidP="00165998">
      <w:pPr>
        <w:rPr>
          <w:rFonts w:eastAsia="Calibri" w:cs="Open Sans Light"/>
          <w:szCs w:val="20"/>
        </w:rPr>
      </w:pPr>
    </w:p>
    <w:p w14:paraId="52D0FA3D" w14:textId="22B9CD7B" w:rsidR="00DC0F02" w:rsidRPr="001377B1" w:rsidRDefault="00045748" w:rsidP="008615EF">
      <w:pPr>
        <w:pStyle w:val="Publicationtitle3"/>
      </w:pPr>
      <w:r>
        <w:t>c</w:t>
      </w:r>
      <w:r w:rsidR="00CD5BA9">
        <w:t>gc</w:t>
      </w:r>
      <w:r>
        <w:t>.gov.au</w:t>
      </w:r>
    </w:p>
    <w:sectPr w:rsidR="00DC0F02" w:rsidRPr="001377B1" w:rsidSect="00623DD0">
      <w:headerReference w:type="default" r:id="rId109"/>
      <w:footerReference w:type="default" r:id="rId110"/>
      <w:headerReference w:type="first" r:id="rId111"/>
      <w:footerReference w:type="first" r:id="rId112"/>
      <w:footnotePr>
        <w:numRestart w:val="eachSect"/>
      </w:footnotePr>
      <w:pgSz w:w="11907" w:h="16840" w:code="9"/>
      <w:pgMar w:top="1418" w:right="1474" w:bottom="1418" w:left="1474" w:header="567" w:footer="567" w:gutter="0"/>
      <w:cols w:space="708"/>
      <w:vAlign w:val="bottom"/>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32EB16" w14:textId="77777777" w:rsidR="00A254DE" w:rsidRDefault="00A254DE">
      <w:r>
        <w:separator/>
      </w:r>
    </w:p>
  </w:endnote>
  <w:endnote w:type="continuationSeparator" w:id="0">
    <w:p w14:paraId="4FCEF870" w14:textId="77777777" w:rsidR="00A254DE" w:rsidRDefault="00A254DE">
      <w:r>
        <w:continuationSeparator/>
      </w:r>
    </w:p>
  </w:endnote>
  <w:endnote w:type="continuationNotice" w:id="1">
    <w:p w14:paraId="5B2D4BD5" w14:textId="77777777" w:rsidR="00A254DE" w:rsidRDefault="00A254D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ontserrat Ultra Light">
    <w:panose1 w:val="00000300000000000000"/>
    <w:charset w:val="00"/>
    <w:family w:val="modern"/>
    <w:notTrueType/>
    <w:pitch w:val="variable"/>
    <w:sig w:usb0="00000007" w:usb1="00000000" w:usb2="00000000" w:usb3="00000000" w:csb0="00000093" w:csb1="00000000"/>
  </w:font>
  <w:font w:name="Montserrat Extra Bold">
    <w:panose1 w:val="00000900000000000000"/>
    <w:charset w:val="00"/>
    <w:family w:val="modern"/>
    <w:notTrueType/>
    <w:pitch w:val="variable"/>
    <w:sig w:usb0="00000007" w:usb1="00000000" w:usb2="00000000" w:usb3="00000000" w:csb0="00000093" w:csb1="00000000"/>
  </w:font>
  <w:font w:name="Montserrat Semi Bold">
    <w:panose1 w:val="00000700000000000000"/>
    <w:charset w:val="00"/>
    <w:family w:val="modern"/>
    <w:notTrueType/>
    <w:pitch w:val="variable"/>
    <w:sig w:usb0="00000007" w:usb1="00000000" w:usb2="00000000" w:usb3="00000000" w:csb0="00000093" w:csb1="00000000"/>
  </w:font>
  <w:font w:name="Montserrat ExtraBold">
    <w:panose1 w:val="000009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Change w:id="1" w:author="Lynne Williams" w:date="2021-02-05T04:43:00Z">
        <w:tblPr>
          <w:tblStyle w:val="TableGrid"/>
          <w:tblW w:w="0" w:type="nil"/>
          <w:tblLayout w:type="fixed"/>
          <w:tblLook w:val="06A0" w:firstRow="1" w:lastRow="0" w:firstColumn="1" w:lastColumn="0" w:noHBand="1" w:noVBand="1"/>
        </w:tblPr>
      </w:tblPrChange>
    </w:tblPr>
    <w:tblGrid>
      <w:gridCol w:w="2985"/>
      <w:gridCol w:w="2985"/>
      <w:gridCol w:w="2985"/>
      <w:tblGridChange w:id="2">
        <w:tblGrid>
          <w:gridCol w:w="2985"/>
          <w:gridCol w:w="2985"/>
          <w:gridCol w:w="2985"/>
        </w:tblGrid>
      </w:tblGridChange>
    </w:tblGrid>
    <w:tr w:rsidR="1B485DA2" w14:paraId="6B402E26" w14:textId="77777777" w:rsidTr="1B485DA2">
      <w:tc>
        <w:tcPr>
          <w:tcW w:w="2985" w:type="dxa"/>
          <w:tcPrChange w:id="3" w:author="Lynne Williams" w:date="2021-02-05T04:43:00Z">
            <w:tcPr>
              <w:tcW w:w="2985" w:type="dxa"/>
            </w:tcPr>
          </w:tcPrChange>
        </w:tcPr>
        <w:p w14:paraId="450959C8" w14:textId="17F34B74" w:rsidR="1B485DA2" w:rsidRDefault="1B485DA2">
          <w:pPr>
            <w:pStyle w:val="Header"/>
            <w:ind w:left="-115"/>
            <w:pPrChange w:id="4" w:author="Marc Boisseau" w:date="2021-02-05T04:43:00Z">
              <w:pPr/>
            </w:pPrChange>
          </w:pPr>
        </w:p>
      </w:tc>
      <w:tc>
        <w:tcPr>
          <w:tcW w:w="2985" w:type="dxa"/>
          <w:tcPrChange w:id="5" w:author="Lynne Williams" w:date="2021-02-05T04:43:00Z">
            <w:tcPr>
              <w:tcW w:w="2985" w:type="dxa"/>
            </w:tcPr>
          </w:tcPrChange>
        </w:tcPr>
        <w:p w14:paraId="69D0A564" w14:textId="15490D62" w:rsidR="1B485DA2" w:rsidRDefault="1B485DA2">
          <w:pPr>
            <w:pStyle w:val="Header"/>
            <w:jc w:val="center"/>
            <w:pPrChange w:id="6" w:author="Marc Boisseau" w:date="2021-02-05T04:43:00Z">
              <w:pPr/>
            </w:pPrChange>
          </w:pPr>
        </w:p>
      </w:tc>
      <w:tc>
        <w:tcPr>
          <w:tcW w:w="2985" w:type="dxa"/>
          <w:tcPrChange w:id="7" w:author="Lynne Williams" w:date="2021-02-05T04:43:00Z">
            <w:tcPr>
              <w:tcW w:w="2985" w:type="dxa"/>
            </w:tcPr>
          </w:tcPrChange>
        </w:tcPr>
        <w:p w14:paraId="24508A4A" w14:textId="0ABEA076" w:rsidR="1B485DA2" w:rsidRDefault="1B485DA2">
          <w:pPr>
            <w:pStyle w:val="Header"/>
            <w:ind w:right="-115"/>
            <w:jc w:val="right"/>
            <w:pPrChange w:id="8" w:author="Marc Boisseau" w:date="2021-02-05T04:43:00Z">
              <w:pPr/>
            </w:pPrChange>
          </w:pPr>
        </w:p>
      </w:tc>
    </w:tr>
  </w:tbl>
  <w:p w14:paraId="26340244" w14:textId="6FF24D89" w:rsidR="006F4056" w:rsidRDefault="006F405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5BEFA" w14:textId="57681715" w:rsidR="00577F4E" w:rsidRDefault="00577F4E">
    <w:pPr>
      <w:pStyle w:val="Footer"/>
    </w:pPr>
    <w:r>
      <w:t xml:space="preserve">Chapter 2 Changes since the </w:t>
    </w:r>
    <w:r w:rsidR="005909B1">
      <w:t>2020 Review</w:t>
    </w:r>
    <w:r>
      <w:tab/>
    </w:r>
    <w:r>
      <w:tab/>
    </w:r>
    <w:sdt>
      <w:sdtPr>
        <w:id w:val="90588486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4650127"/>
      <w:docPartObj>
        <w:docPartGallery w:val="Page Numbers (Bottom of Page)"/>
        <w:docPartUnique/>
      </w:docPartObj>
    </w:sdtPr>
    <w:sdtEndPr>
      <w:rPr>
        <w:noProof/>
      </w:rPr>
    </w:sdtEndPr>
    <w:sdtContent>
      <w:p w14:paraId="482A40C1" w14:textId="77777777" w:rsidR="00577F4E" w:rsidRDefault="00577F4E">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B640D" w14:textId="77777777" w:rsidR="00577F4E" w:rsidRDefault="00577F4E">
    <w:pPr>
      <w:pStyle w:val="Footer"/>
    </w:pPr>
    <w:r>
      <w:t>Chapter 3: State by state changes</w:t>
    </w:r>
    <w:r>
      <w:tab/>
    </w:r>
    <w:r>
      <w:tab/>
    </w:r>
    <w:sdt>
      <w:sdtPr>
        <w:id w:val="-208830682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BF14C" w14:textId="77777777" w:rsidR="00577F4E" w:rsidRDefault="00577F4E">
    <w:pPr>
      <w:pStyle w:val="Footer"/>
    </w:pPr>
    <w:r>
      <w:t xml:space="preserve">Chapter 3 State by State changes </w:t>
    </w:r>
    <w:r>
      <w:tab/>
    </w:r>
    <w:r>
      <w:tab/>
      <w:t xml:space="preserve"> </w:t>
    </w:r>
    <w:sdt>
      <w:sdtPr>
        <w:id w:val="113737240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9E2CD" w14:textId="24DD1DA0" w:rsidR="00577F4E" w:rsidRDefault="00C83C79">
    <w:pPr>
      <w:pStyle w:val="Footer"/>
    </w:pPr>
    <w:r w:rsidRPr="00C83C79">
      <w:t>Chapter 4 New issues in this update</w:t>
    </w:r>
    <w:r w:rsidR="00577F4E">
      <w:tab/>
    </w:r>
    <w:r w:rsidR="00577F4E">
      <w:tab/>
    </w:r>
    <w:sdt>
      <w:sdtPr>
        <w:id w:val="1608159519"/>
        <w:docPartObj>
          <w:docPartGallery w:val="Page Numbers (Bottom of Page)"/>
          <w:docPartUnique/>
        </w:docPartObj>
      </w:sdtPr>
      <w:sdtEndPr>
        <w:rPr>
          <w:noProof/>
        </w:rPr>
      </w:sdtEndPr>
      <w:sdtContent>
        <w:r w:rsidR="00577F4E">
          <w:fldChar w:fldCharType="begin"/>
        </w:r>
        <w:r w:rsidR="00577F4E">
          <w:instrText xml:space="preserve"> PAGE   \* MERGEFORMAT </w:instrText>
        </w:r>
        <w:r w:rsidR="00577F4E">
          <w:fldChar w:fldCharType="separate"/>
        </w:r>
        <w:r w:rsidR="00577F4E">
          <w:rPr>
            <w:noProof/>
          </w:rPr>
          <w:t>2</w:t>
        </w:r>
        <w:r w:rsidR="00577F4E">
          <w:rPr>
            <w:noProof/>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9ECB1" w14:textId="77777777" w:rsidR="00577F4E" w:rsidRDefault="00623BE1">
    <w:pPr>
      <w:pStyle w:val="Footer"/>
    </w:pPr>
    <w:bookmarkStart w:id="195" w:name="_Hlk63149182"/>
    <w:r>
      <w:t>Chapter 3 State by State changes</w:t>
    </w:r>
    <w:bookmarkEnd w:id="195"/>
    <w:r w:rsidR="00577F4E">
      <w:tab/>
    </w:r>
    <w:r w:rsidR="00577F4E">
      <w:tab/>
      <w:t xml:space="preserve"> </w:t>
    </w:r>
    <w:sdt>
      <w:sdtPr>
        <w:id w:val="-1295442768"/>
        <w:docPartObj>
          <w:docPartGallery w:val="Page Numbers (Bottom of Page)"/>
          <w:docPartUnique/>
        </w:docPartObj>
      </w:sdtPr>
      <w:sdtEndPr>
        <w:rPr>
          <w:noProof/>
        </w:rPr>
      </w:sdtEndPr>
      <w:sdtContent>
        <w:r w:rsidR="00577F4E">
          <w:fldChar w:fldCharType="begin"/>
        </w:r>
        <w:r w:rsidR="00577F4E">
          <w:instrText xml:space="preserve"> PAGE   \* MERGEFORMAT </w:instrText>
        </w:r>
        <w:r w:rsidR="00577F4E">
          <w:fldChar w:fldCharType="separate"/>
        </w:r>
        <w:r w:rsidR="00577F4E">
          <w:rPr>
            <w:noProof/>
          </w:rPr>
          <w:t>2</w:t>
        </w:r>
        <w:r w:rsidR="00577F4E">
          <w:rPr>
            <w:noProof/>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D4CA1" w14:textId="7FD837AE" w:rsidR="00ED4A97" w:rsidRDefault="00F676FE">
    <w:pPr>
      <w:pStyle w:val="Footer"/>
    </w:pPr>
    <w:r>
      <w:tab/>
    </w:r>
    <w:r>
      <w:tab/>
      <w:t xml:space="preserve"> </w:t>
    </w:r>
    <w:sdt>
      <w:sdtPr>
        <w:id w:val="-13492594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8A7AC" w14:textId="2206E867" w:rsidR="00ED4A97" w:rsidRDefault="00AC68FB">
    <w:pPr>
      <w:pStyle w:val="Footer"/>
    </w:pPr>
    <w:r>
      <w:t xml:space="preserve">Attachment A ‘No worse off’ </w:t>
    </w:r>
    <w:r w:rsidR="00D23343">
      <w:t>relativities</w:t>
    </w:r>
    <w:r w:rsidR="00F676FE">
      <w:tab/>
    </w:r>
    <w:r w:rsidR="00F676FE">
      <w:tab/>
      <w:t xml:space="preserve"> </w:t>
    </w:r>
    <w:sdt>
      <w:sdtPr>
        <w:id w:val="1786156947"/>
        <w:docPartObj>
          <w:docPartGallery w:val="Page Numbers (Bottom of Page)"/>
          <w:docPartUnique/>
        </w:docPartObj>
      </w:sdtPr>
      <w:sdtEndPr>
        <w:rPr>
          <w:noProof/>
        </w:rPr>
      </w:sdtEndPr>
      <w:sdtContent>
        <w:r w:rsidR="00F676FE">
          <w:fldChar w:fldCharType="begin"/>
        </w:r>
        <w:r w:rsidR="00F676FE">
          <w:instrText xml:space="preserve"> PAGE   \* MERGEFORMAT </w:instrText>
        </w:r>
        <w:r w:rsidR="00F676FE">
          <w:fldChar w:fldCharType="separate"/>
        </w:r>
        <w:r w:rsidR="00F676FE">
          <w:rPr>
            <w:noProof/>
          </w:rPr>
          <w:t>2</w:t>
        </w:r>
        <w:r w:rsidR="00F676FE">
          <w:rPr>
            <w:noProof/>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8492C" w14:textId="2E304869" w:rsidR="00577F4E" w:rsidRDefault="00D23343" w:rsidP="00623BE1">
    <w:pPr>
      <w:pStyle w:val="Footer"/>
      <w:jc w:val="center"/>
    </w:pPr>
    <w:r>
      <w:t>Attachment B Quality assurance</w:t>
    </w:r>
    <w:r w:rsidR="00623BE1">
      <w:tab/>
    </w:r>
    <w:r w:rsidR="00623BE1">
      <w:tab/>
      <w:t xml:space="preserve"> </w:t>
    </w:r>
    <w:sdt>
      <w:sdtPr>
        <w:id w:val="-1040667553"/>
        <w:docPartObj>
          <w:docPartGallery w:val="Page Numbers (Bottom of Page)"/>
          <w:docPartUnique/>
        </w:docPartObj>
      </w:sdtPr>
      <w:sdtEndPr>
        <w:rPr>
          <w:noProof/>
        </w:rPr>
      </w:sdtEndPr>
      <w:sdtContent>
        <w:r w:rsidR="00623BE1">
          <w:fldChar w:fldCharType="begin"/>
        </w:r>
        <w:r w:rsidR="00623BE1">
          <w:instrText xml:space="preserve"> PAGE   \* MERGEFORMAT </w:instrText>
        </w:r>
        <w:r w:rsidR="00623BE1">
          <w:fldChar w:fldCharType="separate"/>
        </w:r>
        <w:r w:rsidR="00623BE1">
          <w:rPr>
            <w:noProof/>
          </w:rPr>
          <w:t>2</w:t>
        </w:r>
        <w:r w:rsidR="00623BE1">
          <w:rPr>
            <w:noProof/>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F8708" w14:textId="4C2A4072" w:rsidR="00577F4E" w:rsidRPr="0011178C" w:rsidRDefault="00EA6130" w:rsidP="003929D2">
    <w:pPr>
      <w:pStyle w:val="Footer"/>
    </w:pPr>
    <w:r>
      <w:t>Glossary</w:t>
    </w:r>
    <w:r>
      <w:tab/>
    </w:r>
    <w:r>
      <w:tab/>
    </w:r>
    <w:r>
      <w:tab/>
    </w:r>
    <w:r w:rsidR="00577F4E">
      <w:fldChar w:fldCharType="begin"/>
    </w:r>
    <w:r w:rsidR="00577F4E">
      <w:instrText xml:space="preserve"> PAGE  \* Arabic  \* MERGEFORMAT </w:instrText>
    </w:r>
    <w:r w:rsidR="00577F4E">
      <w:fldChar w:fldCharType="separate"/>
    </w:r>
    <w:r w:rsidR="00577F4E">
      <w:rPr>
        <w:noProof/>
      </w:rPr>
      <w:t>3</w:t>
    </w:r>
    <w:r w:rsidR="00577F4E">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47CCD" w14:textId="77777777" w:rsidR="00577F4E" w:rsidRDefault="00577F4E">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4B206" w14:textId="15973A16" w:rsidR="00577F4E" w:rsidRPr="007E487F" w:rsidRDefault="00577F4E" w:rsidP="00D520FA">
    <w:pPr>
      <w:pStyle w:val="Footer"/>
    </w:pPr>
    <w:r>
      <w:tab/>
    </w:r>
    <w:r w:rsidR="00102CE0">
      <w:fldChar w:fldCharType="begin"/>
    </w:r>
    <w:r w:rsidR="00102CE0">
      <w:instrText xml:space="preserve"> PAGE   \* MERGEFORMAT </w:instrText>
    </w:r>
    <w:r w:rsidR="00102CE0">
      <w:fldChar w:fldCharType="separate"/>
    </w:r>
    <w:r w:rsidR="00102CE0">
      <w:rPr>
        <w:noProof/>
      </w:rPr>
      <w:t>1</w:t>
    </w:r>
    <w:r w:rsidR="00102CE0">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FF7E" w14:textId="0568E2AE" w:rsidR="006F4056" w:rsidRDefault="006F40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2501011"/>
      <w:docPartObj>
        <w:docPartGallery w:val="Page Numbers (Bottom of Page)"/>
        <w:docPartUnique/>
      </w:docPartObj>
    </w:sdtPr>
    <w:sdtEndPr>
      <w:rPr>
        <w:noProof/>
      </w:rPr>
    </w:sdtEndPr>
    <w:sdtContent>
      <w:p w14:paraId="5EEE02F5" w14:textId="77777777" w:rsidR="00577F4E" w:rsidRDefault="00577F4E">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Change w:id="19" w:author="Lynne Williams" w:date="2021-02-05T04:43:00Z">
        <w:tblPr>
          <w:tblStyle w:val="TableGrid"/>
          <w:tblW w:w="0" w:type="nil"/>
          <w:tblLayout w:type="fixed"/>
          <w:tblLook w:val="06A0" w:firstRow="1" w:lastRow="0" w:firstColumn="1" w:lastColumn="0" w:noHBand="1" w:noVBand="1"/>
        </w:tblPr>
      </w:tblPrChange>
    </w:tblPr>
    <w:tblGrid>
      <w:gridCol w:w="2985"/>
      <w:gridCol w:w="2985"/>
      <w:gridCol w:w="2985"/>
      <w:tblGridChange w:id="20">
        <w:tblGrid>
          <w:gridCol w:w="2985"/>
          <w:gridCol w:w="2985"/>
          <w:gridCol w:w="2985"/>
        </w:tblGrid>
      </w:tblGridChange>
    </w:tblGrid>
    <w:tr w:rsidR="1B485DA2" w14:paraId="6E47B47C" w14:textId="77777777" w:rsidTr="1B485DA2">
      <w:tc>
        <w:tcPr>
          <w:tcW w:w="2985" w:type="dxa"/>
          <w:tcPrChange w:id="21" w:author="Lynne Williams" w:date="2021-02-05T04:43:00Z">
            <w:tcPr>
              <w:tcW w:w="2985" w:type="dxa"/>
            </w:tcPr>
          </w:tcPrChange>
        </w:tcPr>
        <w:p w14:paraId="7AA44E84" w14:textId="33CD874E" w:rsidR="1B485DA2" w:rsidRDefault="1B485DA2">
          <w:pPr>
            <w:pStyle w:val="Header"/>
            <w:ind w:left="-115"/>
            <w:pPrChange w:id="22" w:author="Marc Boisseau" w:date="2021-02-05T04:43:00Z">
              <w:pPr/>
            </w:pPrChange>
          </w:pPr>
        </w:p>
      </w:tc>
      <w:tc>
        <w:tcPr>
          <w:tcW w:w="2985" w:type="dxa"/>
          <w:tcPrChange w:id="23" w:author="Lynne Williams" w:date="2021-02-05T04:43:00Z">
            <w:tcPr>
              <w:tcW w:w="2985" w:type="dxa"/>
            </w:tcPr>
          </w:tcPrChange>
        </w:tcPr>
        <w:p w14:paraId="24FAFDB9" w14:textId="07CF4AD2" w:rsidR="1B485DA2" w:rsidRDefault="1B485DA2">
          <w:pPr>
            <w:pStyle w:val="Header"/>
            <w:jc w:val="center"/>
            <w:pPrChange w:id="24" w:author="Marc Boisseau" w:date="2021-02-05T04:43:00Z">
              <w:pPr/>
            </w:pPrChange>
          </w:pPr>
        </w:p>
      </w:tc>
      <w:tc>
        <w:tcPr>
          <w:tcW w:w="2985" w:type="dxa"/>
          <w:tcPrChange w:id="25" w:author="Lynne Williams" w:date="2021-02-05T04:43:00Z">
            <w:tcPr>
              <w:tcW w:w="2985" w:type="dxa"/>
            </w:tcPr>
          </w:tcPrChange>
        </w:tcPr>
        <w:p w14:paraId="1AB72504" w14:textId="3995897F" w:rsidR="1B485DA2" w:rsidRDefault="1B485DA2">
          <w:pPr>
            <w:pStyle w:val="Header"/>
            <w:ind w:right="-115"/>
            <w:jc w:val="right"/>
            <w:pPrChange w:id="26" w:author="Marc Boisseau" w:date="2021-02-05T04:43:00Z">
              <w:pPr/>
            </w:pPrChange>
          </w:pPr>
        </w:p>
      </w:tc>
    </w:tr>
  </w:tbl>
  <w:p w14:paraId="68A152D8" w14:textId="757AE042" w:rsidR="006F4056" w:rsidRDefault="006F405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85CDC" w14:textId="77777777" w:rsidR="00577F4E" w:rsidRDefault="00577F4E">
    <w:pPr>
      <w:pStyle w:val="Footer"/>
    </w:pP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5695223"/>
      <w:docPartObj>
        <w:docPartGallery w:val="Page Numbers (Bottom of Page)"/>
        <w:docPartUnique/>
      </w:docPartObj>
    </w:sdtPr>
    <w:sdtEndPr>
      <w:rPr>
        <w:noProof/>
      </w:rPr>
    </w:sdtEndPr>
    <w:sdtContent>
      <w:p w14:paraId="6B4A4519" w14:textId="77777777" w:rsidR="00577F4E" w:rsidRDefault="00577F4E">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DECA5" w14:textId="77777777" w:rsidR="00577F4E" w:rsidRDefault="00577F4E">
    <w:pPr>
      <w:pStyle w:val="Footer"/>
    </w:pPr>
    <w:r>
      <w:t>Chapter 1 Recommended GST distribution</w:t>
    </w:r>
    <w:r>
      <w:tab/>
    </w:r>
    <w:r>
      <w:tab/>
    </w:r>
    <w:sdt>
      <w:sdtPr>
        <w:id w:val="66113492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1586322"/>
      <w:docPartObj>
        <w:docPartGallery w:val="Page Numbers (Bottom of Page)"/>
        <w:docPartUnique/>
      </w:docPartObj>
    </w:sdtPr>
    <w:sdtEndPr>
      <w:rPr>
        <w:noProof/>
      </w:rPr>
    </w:sdtEndPr>
    <w:sdtContent>
      <w:p w14:paraId="6EF8D5B3" w14:textId="77777777" w:rsidR="00577F4E" w:rsidRDefault="00577F4E">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06F2C3" w14:textId="77777777" w:rsidR="00A254DE" w:rsidRPr="00201B3A" w:rsidRDefault="00A254DE">
      <w:pPr>
        <w:rPr>
          <w:color w:val="ADD6EA"/>
        </w:rPr>
      </w:pPr>
      <w:r w:rsidRPr="00201B3A">
        <w:rPr>
          <w:color w:val="ADD6EA"/>
        </w:rPr>
        <w:separator/>
      </w:r>
    </w:p>
  </w:footnote>
  <w:footnote w:type="continuationSeparator" w:id="0">
    <w:p w14:paraId="41066140" w14:textId="77777777" w:rsidR="00A254DE" w:rsidRPr="001F7F1B" w:rsidRDefault="00A254DE">
      <w:pPr>
        <w:rPr>
          <w:color w:val="ADD6EA"/>
        </w:rPr>
      </w:pPr>
      <w:r w:rsidRPr="001F7F1B">
        <w:rPr>
          <w:color w:val="ADD6EA"/>
        </w:rPr>
        <w:continuationSeparator/>
      </w:r>
    </w:p>
  </w:footnote>
  <w:footnote w:type="continuationNotice" w:id="1">
    <w:p w14:paraId="6A8DEF29" w14:textId="77777777" w:rsidR="00A254DE" w:rsidRDefault="00A254DE">
      <w:pPr>
        <w:spacing w:before="0" w:line="240" w:lineRule="auto"/>
      </w:pPr>
    </w:p>
  </w:footnote>
  <w:footnote w:id="2">
    <w:p w14:paraId="5B675260" w14:textId="66BC038B" w:rsidR="00B050FA" w:rsidRDefault="00B050FA" w:rsidP="00B050FA">
      <w:pPr>
        <w:pStyle w:val="FootnoteText"/>
      </w:pPr>
      <w:r>
        <w:rPr>
          <w:rStyle w:val="FootnoteReference"/>
        </w:rPr>
        <w:footnoteRef/>
      </w:r>
      <w:r>
        <w:t xml:space="preserve"> </w:t>
      </w:r>
      <w:r>
        <w:tab/>
      </w:r>
      <w:r w:rsidRPr="00AB5B45">
        <w:rPr>
          <w:i/>
        </w:rPr>
        <w:t>Treasury Laws Amendment (Making sure every State and Territory gets their Fair Share of GST) Act 2018</w:t>
      </w:r>
      <w:r>
        <w:rPr>
          <w:i/>
        </w:rPr>
        <w:t>.</w:t>
      </w:r>
    </w:p>
  </w:footnote>
  <w:footnote w:id="3">
    <w:p w14:paraId="13B268E5" w14:textId="7B347CDB" w:rsidR="00932D44" w:rsidRDefault="00932D44" w:rsidP="00932D44">
      <w:pPr>
        <w:pStyle w:val="FootnoteText"/>
      </w:pPr>
      <w:r>
        <w:rPr>
          <w:rStyle w:val="FootnoteReference"/>
        </w:rPr>
        <w:footnoteRef/>
      </w:r>
      <w:r>
        <w:t xml:space="preserve"> </w:t>
      </w:r>
      <w:r>
        <w:tab/>
        <w:t xml:space="preserve">A relativity is a </w:t>
      </w:r>
      <w:r w:rsidRPr="00B81121">
        <w:t xml:space="preserve">per capita weight </w:t>
      </w:r>
      <w:r>
        <w:t xml:space="preserve">calculated </w:t>
      </w:r>
      <w:r w:rsidRPr="00B81121">
        <w:t>by the Commission</w:t>
      </w:r>
      <w:r>
        <w:t>. It is used to allocate States’ shares of the GST</w:t>
      </w:r>
      <w:r w:rsidRPr="00B81121">
        <w:t xml:space="preserve"> pool. </w:t>
      </w:r>
    </w:p>
  </w:footnote>
  <w:footnote w:id="4">
    <w:p w14:paraId="3A9E1B02" w14:textId="5C73EF9B" w:rsidR="00A8778C" w:rsidRDefault="00A8778C" w:rsidP="00A8778C">
      <w:pPr>
        <w:pStyle w:val="FootnoteText"/>
      </w:pPr>
      <w:r>
        <w:rPr>
          <w:rStyle w:val="FootnoteReference"/>
        </w:rPr>
        <w:footnoteRef/>
      </w:r>
      <w:r>
        <w:t xml:space="preserve"> </w:t>
      </w:r>
      <w:r>
        <w:tab/>
        <w:t>However, the Commission consulted with States on COVID-19 and this will inform its assessments in future years.</w:t>
      </w:r>
    </w:p>
  </w:footnote>
  <w:footnote w:id="5">
    <w:p w14:paraId="5DAB83C1" w14:textId="77777777" w:rsidR="00915137" w:rsidRDefault="00915137" w:rsidP="00915137">
      <w:pPr>
        <w:pStyle w:val="FootnoteText"/>
      </w:pPr>
      <w:r>
        <w:rPr>
          <w:rStyle w:val="FootnoteReference"/>
        </w:rPr>
        <w:footnoteRef/>
      </w:r>
      <w:r>
        <w:t xml:space="preserve"> </w:t>
      </w:r>
      <w:r>
        <w:tab/>
        <w:t xml:space="preserve">The reduction in GST revenue in 2019-20, along with high growth in States’ spending, has meant that States </w:t>
      </w:r>
      <w:r w:rsidRPr="0029319D">
        <w:t>with expense needs</w:t>
      </w:r>
      <w:r>
        <w:t xml:space="preserve"> below average (such as </w:t>
      </w:r>
      <w:r w:rsidRPr="0029319D">
        <w:t>Victoria and the ACT</w:t>
      </w:r>
      <w:r>
        <w:t xml:space="preserve">) were assessed as requiring a lower share of the GST pool than otherwise. </w:t>
      </w:r>
      <w:r w:rsidRPr="0029319D">
        <w:t xml:space="preserve">States with </w:t>
      </w:r>
      <w:r>
        <w:t xml:space="preserve">expense needs </w:t>
      </w:r>
      <w:r w:rsidRPr="0029319D">
        <w:t xml:space="preserve">above average </w:t>
      </w:r>
      <w:r>
        <w:t>(</w:t>
      </w:r>
      <w:r w:rsidRPr="0029319D">
        <w:t>such as the Northern Territory and Tasmania</w:t>
      </w:r>
      <w:r>
        <w:t xml:space="preserve">) were assessed as requiring a larger share of the GST pool than otherwise. </w:t>
      </w:r>
      <w:r w:rsidRPr="00A8778C">
        <w:t xml:space="preserve">This </w:t>
      </w:r>
      <w:r>
        <w:t>is because</w:t>
      </w:r>
      <w:r w:rsidRPr="00A8778C">
        <w:t xml:space="preserve"> the proportion of the GST pool required to enable States to cover their assessed expenses and equalise their fiscal capacities increase</w:t>
      </w:r>
      <w:r>
        <w:t>d</w:t>
      </w:r>
      <w:r w:rsidRPr="00A8778C">
        <w:t>, with the result that less can be distributed on an equal per capita basis.</w:t>
      </w:r>
    </w:p>
  </w:footnote>
  <w:footnote w:id="6">
    <w:p w14:paraId="14A9C642" w14:textId="57520BB1" w:rsidR="00A17286" w:rsidRPr="009C5CAA" w:rsidRDefault="00A17286">
      <w:pPr>
        <w:pStyle w:val="FootnoteText"/>
        <w:rPr>
          <w:lang w:val="en-US"/>
        </w:rPr>
      </w:pPr>
      <w:r>
        <w:rPr>
          <w:rStyle w:val="FootnoteReference"/>
        </w:rPr>
        <w:footnoteRef/>
      </w:r>
      <w:r>
        <w:t xml:space="preserve"> </w:t>
      </w:r>
      <w:r w:rsidR="00157AD3">
        <w:tab/>
      </w:r>
      <w:r w:rsidR="007B01B2">
        <w:t>From here on, GST</w:t>
      </w:r>
      <w:r w:rsidR="001F2D99">
        <w:t xml:space="preserve"> pool</w:t>
      </w:r>
      <w:r w:rsidR="007B01B2">
        <w:t xml:space="preserve"> means GST </w:t>
      </w:r>
      <w:r w:rsidR="004240C8">
        <w:t xml:space="preserve">revenue plus any pool top-ups </w:t>
      </w:r>
      <w:r w:rsidR="00395C0F">
        <w:t xml:space="preserve">as per the amended </w:t>
      </w:r>
      <w:r w:rsidR="00395C0F" w:rsidRPr="000E4C7A">
        <w:rPr>
          <w:i/>
        </w:rPr>
        <w:t>Federal Financial Relations Act 2009</w:t>
      </w:r>
      <w:r w:rsidR="009C5CAA">
        <w:rPr>
          <w:i/>
        </w:rPr>
        <w:t>.</w:t>
      </w:r>
    </w:p>
  </w:footnote>
  <w:footnote w:id="7">
    <w:p w14:paraId="0E2A1C4E" w14:textId="640C4B5B" w:rsidR="00923CB9" w:rsidRDefault="00923CB9">
      <w:pPr>
        <w:pStyle w:val="FootnoteText"/>
      </w:pPr>
      <w:r>
        <w:rPr>
          <w:rStyle w:val="FootnoteReference"/>
        </w:rPr>
        <w:footnoteRef/>
      </w:r>
      <w:r>
        <w:t xml:space="preserve"> </w:t>
      </w:r>
      <w:r>
        <w:tab/>
      </w:r>
      <w:r w:rsidRPr="00AF7040">
        <w:rPr>
          <w:i/>
          <w:iCs/>
        </w:rPr>
        <w:t>Commonwealth Grants Commission Act 1973</w:t>
      </w:r>
      <w:r>
        <w:t>, section 16(AB)</w:t>
      </w:r>
      <w:r w:rsidR="00D26163">
        <w:t>.</w:t>
      </w:r>
    </w:p>
  </w:footnote>
  <w:footnote w:id="8">
    <w:p w14:paraId="3625476B" w14:textId="0D7310E5" w:rsidR="001F6A5A" w:rsidRPr="000E47D6" w:rsidRDefault="001F6A5A">
      <w:pPr>
        <w:pStyle w:val="FootnoteText"/>
        <w:rPr>
          <w:lang w:val="en-US"/>
        </w:rPr>
      </w:pPr>
      <w:r>
        <w:rPr>
          <w:rStyle w:val="FootnoteReference"/>
        </w:rPr>
        <w:footnoteRef/>
      </w:r>
      <w:r>
        <w:t xml:space="preserve"> </w:t>
      </w:r>
      <w:r w:rsidR="000E47D6">
        <w:tab/>
      </w:r>
      <w:r w:rsidR="000E47D6" w:rsidRPr="000E47D6">
        <w:t xml:space="preserve">Some payments </w:t>
      </w:r>
      <w:r w:rsidR="00B92D33">
        <w:t>we</w:t>
      </w:r>
      <w:r w:rsidR="000E47D6" w:rsidRPr="000E47D6">
        <w:t>re excluded because they d</w:t>
      </w:r>
      <w:r w:rsidR="00B92D33">
        <w:t>id</w:t>
      </w:r>
      <w:r w:rsidR="000E47D6" w:rsidRPr="000E47D6">
        <w:t xml:space="preserve"> not meet the Commission’s Commonwealth payments guidelines or </w:t>
      </w:r>
      <w:r w:rsidR="00B92D33">
        <w:t>were</w:t>
      </w:r>
      <w:r w:rsidR="000E47D6">
        <w:t xml:space="preserve"> excluded </w:t>
      </w:r>
      <w:r w:rsidR="000E47D6" w:rsidRPr="000E47D6">
        <w:t xml:space="preserve">by the terms of reference. See </w:t>
      </w:r>
      <w:r w:rsidR="00B33810">
        <w:t>Chapter</w:t>
      </w:r>
      <w:r w:rsidR="000E47D6" w:rsidRPr="000E47D6">
        <w:t xml:space="preserve"> 5 of Volume 2 of the </w:t>
      </w:r>
      <w:r w:rsidR="005909B1">
        <w:t>2020 Review</w:t>
      </w:r>
      <w:r w:rsidR="000E47D6" w:rsidRPr="000E47D6">
        <w:t xml:space="preserve"> report for details</w:t>
      </w:r>
      <w:r w:rsidR="00543616">
        <w:t>.</w:t>
      </w:r>
    </w:p>
  </w:footnote>
  <w:footnote w:id="9">
    <w:p w14:paraId="7DCDF3C4" w14:textId="6D96B529" w:rsidR="00565EB6" w:rsidRPr="00565EB6" w:rsidRDefault="00565EB6">
      <w:pPr>
        <w:pStyle w:val="FootnoteText"/>
        <w:rPr>
          <w:lang w:val="en-US"/>
        </w:rPr>
      </w:pPr>
      <w:r>
        <w:rPr>
          <w:rStyle w:val="FootnoteReference"/>
        </w:rPr>
        <w:footnoteRef/>
      </w:r>
      <w:r w:rsidR="00AD0EAC">
        <w:rPr>
          <w:lang w:val="en-US"/>
        </w:rPr>
        <w:t xml:space="preserve"> </w:t>
      </w:r>
      <w:r w:rsidR="00E80609">
        <w:rPr>
          <w:lang w:val="en-US"/>
        </w:rPr>
        <w:tab/>
      </w:r>
      <w:r w:rsidR="00B97D20">
        <w:rPr>
          <w:lang w:val="en-US"/>
        </w:rPr>
        <w:t xml:space="preserve">In this update, </w:t>
      </w:r>
      <w:r w:rsidR="008E6A55" w:rsidRPr="008E6A55">
        <w:rPr>
          <w:lang w:val="en-US"/>
        </w:rPr>
        <w:t>New South Wales</w:t>
      </w:r>
      <w:r w:rsidR="008E6A55">
        <w:rPr>
          <w:lang w:val="en-US"/>
        </w:rPr>
        <w:t xml:space="preserve"> is the standard State for two </w:t>
      </w:r>
      <w:r w:rsidR="00E81E9B">
        <w:rPr>
          <w:lang w:val="en-US"/>
        </w:rPr>
        <w:t xml:space="preserve">assessment </w:t>
      </w:r>
      <w:r w:rsidR="008E6A55">
        <w:rPr>
          <w:lang w:val="en-US"/>
        </w:rPr>
        <w:t xml:space="preserve">years and </w:t>
      </w:r>
      <w:r w:rsidR="008E6A55" w:rsidRPr="008E6A55">
        <w:rPr>
          <w:lang w:val="en-US"/>
        </w:rPr>
        <w:t>Victoria</w:t>
      </w:r>
      <w:r w:rsidR="008E6A55">
        <w:rPr>
          <w:lang w:val="en-US"/>
        </w:rPr>
        <w:t xml:space="preserve"> for one. This </w:t>
      </w:r>
      <w:r w:rsidR="00484C73">
        <w:rPr>
          <w:lang w:val="en-US"/>
        </w:rPr>
        <w:t>resulted</w:t>
      </w:r>
      <w:r w:rsidR="008E6A55">
        <w:rPr>
          <w:lang w:val="en-US"/>
        </w:rPr>
        <w:t xml:space="preserve"> </w:t>
      </w:r>
      <w:r w:rsidR="006D76D4">
        <w:rPr>
          <w:lang w:val="en-US"/>
        </w:rPr>
        <w:t xml:space="preserve">in the standard State relativity for </w:t>
      </w:r>
      <w:r w:rsidR="006D76D4" w:rsidRPr="006D76D4">
        <w:rPr>
          <w:lang w:val="en-US"/>
        </w:rPr>
        <w:t>Western Australia</w:t>
      </w:r>
      <w:r w:rsidR="006D76D4">
        <w:rPr>
          <w:lang w:val="en-US"/>
        </w:rPr>
        <w:t xml:space="preserve"> being lower than </w:t>
      </w:r>
      <w:r w:rsidR="0090402F">
        <w:rPr>
          <w:lang w:val="en-US"/>
        </w:rPr>
        <w:t xml:space="preserve">those for </w:t>
      </w:r>
      <w:r w:rsidR="00160319" w:rsidRPr="00160319">
        <w:rPr>
          <w:lang w:val="en-US"/>
        </w:rPr>
        <w:t>New South Wales</w:t>
      </w:r>
      <w:r w:rsidR="00160319">
        <w:rPr>
          <w:lang w:val="en-US"/>
        </w:rPr>
        <w:t xml:space="preserve"> </w:t>
      </w:r>
      <w:r w:rsidR="00716A4E">
        <w:rPr>
          <w:lang w:val="en-US"/>
        </w:rPr>
        <w:t>and</w:t>
      </w:r>
      <w:r w:rsidR="0090402F">
        <w:rPr>
          <w:lang w:val="en-US"/>
        </w:rPr>
        <w:t xml:space="preserve"> </w:t>
      </w:r>
      <w:r w:rsidR="00160319" w:rsidRPr="00160319">
        <w:rPr>
          <w:lang w:val="en-US"/>
        </w:rPr>
        <w:t>Victoria</w:t>
      </w:r>
      <w:r w:rsidR="00160319">
        <w:rPr>
          <w:lang w:val="en-US"/>
        </w:rPr>
        <w:t>.</w:t>
      </w:r>
      <w:r w:rsidR="0033637F">
        <w:rPr>
          <w:lang w:val="en-US"/>
        </w:rPr>
        <w:t xml:space="preserve"> </w:t>
      </w:r>
    </w:p>
  </w:footnote>
  <w:footnote w:id="10">
    <w:p w14:paraId="7E22B5FE" w14:textId="43F6CE26" w:rsidR="00577F4E" w:rsidRPr="00D7439E" w:rsidRDefault="00577F4E" w:rsidP="00EA73E2">
      <w:pPr>
        <w:pStyle w:val="FootnoteText"/>
      </w:pPr>
      <w:r w:rsidRPr="00D7439E">
        <w:rPr>
          <w:rStyle w:val="FootnoteReference"/>
        </w:rPr>
        <w:footnoteRef/>
      </w:r>
      <w:r w:rsidRPr="00D7439E">
        <w:t xml:space="preserve"> </w:t>
      </w:r>
      <w:r w:rsidRPr="00D7439E">
        <w:tab/>
        <w:t>Ibid. Schedule 1, section 1, paragraph 16AB(3).</w:t>
      </w:r>
      <w:r w:rsidR="00260D23" w:rsidRPr="00D7439E">
        <w:t xml:space="preserve"> </w:t>
      </w:r>
    </w:p>
  </w:footnote>
  <w:footnote w:id="11">
    <w:p w14:paraId="20F9ED43" w14:textId="77777777" w:rsidR="00577F4E" w:rsidRDefault="00577F4E" w:rsidP="00EA73E2">
      <w:pPr>
        <w:pStyle w:val="FootnoteText"/>
      </w:pPr>
      <w:r w:rsidRPr="00D7439E">
        <w:rPr>
          <w:rStyle w:val="FootnoteReference"/>
        </w:rPr>
        <w:footnoteRef/>
      </w:r>
      <w:r w:rsidRPr="00D7439E">
        <w:t xml:space="preserve"> </w:t>
      </w:r>
      <w:r w:rsidRPr="00D7439E">
        <w:tab/>
        <w:t>Ibid. Schedule 1, section 4.</w:t>
      </w:r>
    </w:p>
  </w:footnote>
  <w:footnote w:id="12">
    <w:p w14:paraId="6002A3CF" w14:textId="37170EB8" w:rsidR="00895F40" w:rsidRPr="00F93E3D" w:rsidRDefault="00895F40">
      <w:pPr>
        <w:pStyle w:val="FootnoteText"/>
        <w:rPr>
          <w:lang w:val="en-US"/>
        </w:rPr>
      </w:pPr>
      <w:r>
        <w:rPr>
          <w:rStyle w:val="FootnoteReference"/>
        </w:rPr>
        <w:footnoteRef/>
      </w:r>
      <w:r>
        <w:t xml:space="preserve"> </w:t>
      </w:r>
      <w:r w:rsidR="00BB5EAA">
        <w:rPr>
          <w:lang w:val="en-US"/>
        </w:rPr>
        <w:tab/>
      </w:r>
      <w:r>
        <w:rPr>
          <w:lang w:val="en-US"/>
        </w:rPr>
        <w:t xml:space="preserve">The </w:t>
      </w:r>
      <w:r w:rsidR="00110D7D">
        <w:rPr>
          <w:lang w:val="en-US"/>
        </w:rPr>
        <w:t>terms used in the paragraph are defined in the glossary.</w:t>
      </w:r>
    </w:p>
  </w:footnote>
  <w:footnote w:id="13">
    <w:p w14:paraId="7CE779E4" w14:textId="3FF28F6E" w:rsidR="0084619D" w:rsidRPr="00DD5936" w:rsidRDefault="0084619D">
      <w:pPr>
        <w:pStyle w:val="FootnoteText"/>
      </w:pPr>
      <w:r>
        <w:rPr>
          <w:rStyle w:val="FootnoteReference"/>
        </w:rPr>
        <w:footnoteRef/>
      </w:r>
      <w:r>
        <w:t xml:space="preserve"> </w:t>
      </w:r>
      <w:r w:rsidR="00DD5936">
        <w:tab/>
      </w:r>
      <w:r w:rsidR="00CA25E3" w:rsidRPr="00CA25E3">
        <w:t>State population shares and the GST pool amount for 202</w:t>
      </w:r>
      <w:r w:rsidR="005720BA">
        <w:t>0</w:t>
      </w:r>
      <w:r w:rsidR="00CA25E3" w:rsidRPr="00CA25E3">
        <w:t>-2</w:t>
      </w:r>
      <w:r w:rsidR="005720BA">
        <w:t>1</w:t>
      </w:r>
      <w:r w:rsidR="00CA25E3" w:rsidRPr="00CA25E3">
        <w:t xml:space="preserve"> will be finalised </w:t>
      </w:r>
      <w:r w:rsidR="008E3AFB">
        <w:t xml:space="preserve">later </w:t>
      </w:r>
      <w:r w:rsidR="00CA25E3" w:rsidRPr="00CA25E3">
        <w:t>in 202</w:t>
      </w:r>
      <w:r w:rsidR="005720BA">
        <w:t>1</w:t>
      </w:r>
      <w:r w:rsidR="00CA25E3" w:rsidRPr="00CA25E3">
        <w:t xml:space="preserve"> in the</w:t>
      </w:r>
      <w:r w:rsidR="008E3AFB">
        <w:t xml:space="preserve"> Commonwealth of Australia’s </w:t>
      </w:r>
      <w:r w:rsidR="00CA25E3" w:rsidRPr="00CA25E3">
        <w:rPr>
          <w:i/>
          <w:iCs/>
        </w:rPr>
        <w:t>Final Budget Outcome</w:t>
      </w:r>
      <w:r w:rsidR="008E3AFB">
        <w:rPr>
          <w:i/>
          <w:iCs/>
        </w:rPr>
        <w:t xml:space="preserve"> 2020-21</w:t>
      </w:r>
      <w:r w:rsidR="00CA25E3" w:rsidRPr="00CA25E3">
        <w:t>.</w:t>
      </w:r>
      <w:r w:rsidR="0083339A" w:rsidRPr="0083339A">
        <w:t xml:space="preserve"> </w:t>
      </w:r>
      <w:r w:rsidR="001D26F2">
        <w:t xml:space="preserve">For 2021-22, they </w:t>
      </w:r>
      <w:r w:rsidR="0083339A" w:rsidRPr="00CA25E3">
        <w:t xml:space="preserve">will be finalised in </w:t>
      </w:r>
      <w:r w:rsidR="007D5D01">
        <w:t xml:space="preserve">2022 in </w:t>
      </w:r>
      <w:r w:rsidR="008E3AFB" w:rsidRPr="00CA25E3">
        <w:t>the</w:t>
      </w:r>
      <w:r w:rsidR="008E3AFB">
        <w:t xml:space="preserve"> Commonwealth of Australia’s </w:t>
      </w:r>
      <w:r w:rsidR="0083339A" w:rsidRPr="00CA25E3">
        <w:rPr>
          <w:i/>
          <w:iCs/>
        </w:rPr>
        <w:t>Final Budget Outcome</w:t>
      </w:r>
      <w:r w:rsidR="008E3AFB">
        <w:rPr>
          <w:i/>
          <w:iCs/>
        </w:rPr>
        <w:t xml:space="preserve"> 2021-22</w:t>
      </w:r>
      <w:r w:rsidR="0083339A" w:rsidRPr="00DD5936">
        <w:t xml:space="preserve">.  </w:t>
      </w:r>
    </w:p>
  </w:footnote>
  <w:footnote w:id="14">
    <w:p w14:paraId="45C896CB" w14:textId="59CCDBD7" w:rsidR="00577F4E" w:rsidRDefault="00577F4E" w:rsidP="00165998">
      <w:pPr>
        <w:pStyle w:val="FootnoteText"/>
      </w:pPr>
      <w:r>
        <w:rPr>
          <w:rStyle w:val="FootnoteReference"/>
        </w:rPr>
        <w:footnoteRef/>
      </w:r>
      <w:r>
        <w:t xml:space="preserve"> </w:t>
      </w:r>
      <w:r w:rsidRPr="00C062B3">
        <w:tab/>
      </w:r>
      <w:r>
        <w:t>Revisions can also occur because data providers identify errors in their data, or because of errors made by the Commission in previous inquiries.</w:t>
      </w:r>
    </w:p>
  </w:footnote>
  <w:footnote w:id="15">
    <w:p w14:paraId="7EB230F8" w14:textId="4D909A01" w:rsidR="00636504" w:rsidRPr="00A756F3" w:rsidRDefault="00636504" w:rsidP="00636504">
      <w:pPr>
        <w:pStyle w:val="FootnoteText"/>
        <w:rPr>
          <w:lang w:val="en-US"/>
        </w:rPr>
      </w:pPr>
      <w:r w:rsidRPr="00271F0F">
        <w:rPr>
          <w:rStyle w:val="FootnoteReference"/>
        </w:rPr>
        <w:footnoteRef/>
      </w:r>
      <w:r w:rsidRPr="00271F0F">
        <w:t xml:space="preserve"> </w:t>
      </w:r>
      <w:r w:rsidRPr="00271F0F">
        <w:tab/>
        <w:t>The Commission consider</w:t>
      </w:r>
      <w:r w:rsidR="00B67766" w:rsidRPr="00271F0F">
        <w:t>ed</w:t>
      </w:r>
      <w:r w:rsidRPr="00271F0F">
        <w:t xml:space="preserve"> this does not amount to local government equalisation (which would exceed the Commission’s terms of reference) but that it recognises an unavoidable cost that all States fund.</w:t>
      </w:r>
    </w:p>
  </w:footnote>
  <w:footnote w:id="16">
    <w:p w14:paraId="2743F4F1" w14:textId="6F74DDAE" w:rsidR="00577F4E" w:rsidRDefault="00577F4E" w:rsidP="00165998">
      <w:pPr>
        <w:pStyle w:val="FootnoteText"/>
      </w:pPr>
      <w:r>
        <w:rPr>
          <w:rStyle w:val="FootnoteReference"/>
        </w:rPr>
        <w:footnoteRef/>
      </w:r>
      <w:r>
        <w:t xml:space="preserve"> </w:t>
      </w:r>
      <w:r>
        <w:tab/>
      </w:r>
      <w:r w:rsidR="00EB6572">
        <w:t>The Commission does not include</w:t>
      </w:r>
      <w:r>
        <w:t xml:space="preserve"> all </w:t>
      </w:r>
      <w:r w:rsidR="00305B02">
        <w:t xml:space="preserve">payments for specific purposes </w:t>
      </w:r>
      <w:r>
        <w:t xml:space="preserve">in </w:t>
      </w:r>
      <w:r w:rsidR="00140F04">
        <w:t>its</w:t>
      </w:r>
      <w:r>
        <w:t xml:space="preserve"> calculations of State fiscal capacities. It uses a set of guidelines to decide whether a payment should be included. The terms of reference also direct the Commission to exclude some payments (known as ‘quarantining’).</w:t>
      </w:r>
    </w:p>
  </w:footnote>
  <w:footnote w:id="17">
    <w:p w14:paraId="4FDE5E23" w14:textId="2A52D1A7" w:rsidR="006D1D19" w:rsidRPr="00D943AA" w:rsidRDefault="006D1D19" w:rsidP="006D1D19">
      <w:pPr>
        <w:pStyle w:val="FootnoteText"/>
        <w:rPr>
          <w:lang w:val="en-US"/>
        </w:rPr>
      </w:pPr>
      <w:r>
        <w:rPr>
          <w:rStyle w:val="FootnoteReference"/>
        </w:rPr>
        <w:footnoteRef/>
      </w:r>
      <w:r>
        <w:t xml:space="preserve"> </w:t>
      </w:r>
      <w:r w:rsidR="00877622">
        <w:tab/>
      </w:r>
      <w:r>
        <w:t xml:space="preserve">The changes </w:t>
      </w:r>
      <w:r w:rsidR="00991D34">
        <w:t>related to</w:t>
      </w:r>
      <w:r>
        <w:t xml:space="preserve"> the National Health Reform funding include</w:t>
      </w:r>
      <w:r w:rsidR="002F436A">
        <w:t>d</w:t>
      </w:r>
      <w:r>
        <w:t xml:space="preserve"> only funding changes to </w:t>
      </w:r>
      <w:r w:rsidR="00C67305">
        <w:t>h</w:t>
      </w:r>
      <w:r>
        <w:t xml:space="preserve">ospital </w:t>
      </w:r>
      <w:r w:rsidR="00C67305">
        <w:t>s</w:t>
      </w:r>
      <w:r>
        <w:t xml:space="preserve">ervices and </w:t>
      </w:r>
      <w:r w:rsidR="00C67305">
        <w:t>p</w:t>
      </w:r>
      <w:r>
        <w:t xml:space="preserve">ublic </w:t>
      </w:r>
      <w:r w:rsidR="00C67305">
        <w:t>h</w:t>
      </w:r>
      <w:r>
        <w:t xml:space="preserve">ealth under the </w:t>
      </w:r>
      <w:r w:rsidR="00C67305">
        <w:t>National Health Reform agreement</w:t>
      </w:r>
      <w:r w:rsidR="00183611">
        <w:t>.</w:t>
      </w:r>
      <w:r>
        <w:t xml:space="preserve"> </w:t>
      </w:r>
      <w:r w:rsidR="002F436A">
        <w:t>They did</w:t>
      </w:r>
      <w:r>
        <w:t xml:space="preserve"> not include </w:t>
      </w:r>
      <w:r w:rsidR="00F260CB" w:rsidRPr="00F260CB">
        <w:t xml:space="preserve">the Commonwealth component of </w:t>
      </w:r>
      <w:r w:rsidR="007D62F7">
        <w:t>funding for the</w:t>
      </w:r>
      <w:r>
        <w:t xml:space="preserve"> COVID-19 public health response as these payments were excluded from having any impact on the relativities</w:t>
      </w:r>
      <w:r w:rsidR="007D62F7">
        <w:t xml:space="preserve"> (see </w:t>
      </w:r>
      <w:r w:rsidR="00B33810">
        <w:t>Chapter</w:t>
      </w:r>
      <w:r w:rsidR="007D62F7">
        <w:t xml:space="preserve"> 4 for </w:t>
      </w:r>
      <w:r w:rsidR="00424B5F">
        <w:t>further discussion of COVID-19 related health funding).</w:t>
      </w:r>
    </w:p>
  </w:footnote>
  <w:footnote w:id="18">
    <w:p w14:paraId="42E2DD47" w14:textId="538713B7" w:rsidR="00910502" w:rsidRDefault="00910502" w:rsidP="00910502">
      <w:pPr>
        <w:pStyle w:val="FootnoteText"/>
      </w:pPr>
      <w:r>
        <w:rPr>
          <w:rStyle w:val="FootnoteReference"/>
        </w:rPr>
        <w:footnoteRef/>
      </w:r>
      <w:r w:rsidR="00DA392B">
        <w:t xml:space="preserve"> </w:t>
      </w:r>
      <w:r w:rsidR="002B5534">
        <w:tab/>
      </w:r>
      <w:r w:rsidRPr="00192288">
        <w:t xml:space="preserve">This slow growth in </w:t>
      </w:r>
      <w:r w:rsidR="003355C8" w:rsidRPr="00192288">
        <w:t xml:space="preserve">the </w:t>
      </w:r>
      <w:r w:rsidRPr="00192288">
        <w:t xml:space="preserve">GST </w:t>
      </w:r>
      <w:r w:rsidR="003355C8" w:rsidRPr="00192288">
        <w:t xml:space="preserve">pool was </w:t>
      </w:r>
      <w:r w:rsidRPr="00192288">
        <w:t>due to a range of factors, including slower economic growth</w:t>
      </w:r>
      <w:r w:rsidR="004D5A48" w:rsidRPr="00192288">
        <w:t xml:space="preserve"> (intensified by COVID-19) and</w:t>
      </w:r>
      <w:r w:rsidRPr="00192288">
        <w:t xml:space="preserve"> changing consumption patterns.</w:t>
      </w:r>
    </w:p>
  </w:footnote>
  <w:footnote w:id="19">
    <w:p w14:paraId="68117D0A" w14:textId="3F3AF89E" w:rsidR="00577F4E" w:rsidRDefault="00577F4E" w:rsidP="00BA7CC1">
      <w:pPr>
        <w:pStyle w:val="FootnoteText"/>
      </w:pPr>
      <w:r>
        <w:rPr>
          <w:rStyle w:val="FootnoteReference"/>
        </w:rPr>
        <w:footnoteRef/>
      </w:r>
      <w:r>
        <w:t xml:space="preserve"> </w:t>
      </w:r>
      <w:r>
        <w:tab/>
      </w:r>
      <w:r w:rsidR="00CF5619">
        <w:t xml:space="preserve">The previous sections </w:t>
      </w:r>
      <w:r>
        <w:t>explained how the Commission’s assessment of State fiscal capacities changed between the 2020 Review</w:t>
      </w:r>
      <w:r w:rsidR="00CF5619">
        <w:t xml:space="preserve"> and the </w:t>
      </w:r>
      <w:r w:rsidR="005909B1">
        <w:t>2021 Update</w:t>
      </w:r>
      <w:r>
        <w:t xml:space="preserve">. This </w:t>
      </w:r>
      <w:r w:rsidR="00DB3481">
        <w:t>section</w:t>
      </w:r>
      <w:r>
        <w:t xml:space="preserve"> describes the underlying sources of difference in States’ fiscal capacities causing the GST to deviate from an equal</w:t>
      </w:r>
      <w:r w:rsidR="007B0D6A">
        <w:t> </w:t>
      </w:r>
      <w:r>
        <w:t>per capita distribution.</w:t>
      </w:r>
    </w:p>
  </w:footnote>
  <w:footnote w:id="20">
    <w:p w14:paraId="6507197E" w14:textId="40E4F01B" w:rsidR="009641E5" w:rsidRDefault="009641E5">
      <w:pPr>
        <w:pStyle w:val="FootnoteText"/>
      </w:pPr>
      <w:r>
        <w:rPr>
          <w:rStyle w:val="FootnoteReference"/>
        </w:rPr>
        <w:footnoteRef/>
      </w:r>
      <w:r>
        <w:t xml:space="preserve"> </w:t>
      </w:r>
      <w:r w:rsidR="00416611">
        <w:t xml:space="preserve">If relative fiscal capacities had been applied to the GST pool, </w:t>
      </w:r>
      <w:r w:rsidR="004A5DE5">
        <w:t xml:space="preserve">9.7% of the pool would have been </w:t>
      </w:r>
      <w:r w:rsidR="00416611">
        <w:t>redistribut</w:t>
      </w:r>
      <w:r w:rsidR="004A5DE5">
        <w:t>ed.</w:t>
      </w:r>
      <w:r w:rsidR="00416611">
        <w:t xml:space="preserve"> </w:t>
      </w:r>
    </w:p>
  </w:footnote>
  <w:footnote w:id="21">
    <w:p w14:paraId="6D508819" w14:textId="77777777" w:rsidR="00B33810" w:rsidRDefault="00B33810" w:rsidP="00B33810">
      <w:pPr>
        <w:pStyle w:val="FootnoteText"/>
      </w:pPr>
      <w:r>
        <w:rPr>
          <w:rStyle w:val="FootnoteReference"/>
        </w:rPr>
        <w:footnoteRef/>
      </w:r>
      <w:r>
        <w:t xml:space="preserve"> </w:t>
      </w:r>
      <w:r>
        <w:tab/>
        <w:t xml:space="preserve">Pool top-up payments are described in section 8A of the amended </w:t>
      </w:r>
      <w:r w:rsidRPr="000B367E">
        <w:rPr>
          <w:i/>
        </w:rPr>
        <w:t>Federal Financial Relations Act 2009</w:t>
      </w:r>
      <w:r>
        <w:t>.</w:t>
      </w:r>
    </w:p>
  </w:footnote>
  <w:footnote w:id="22">
    <w:p w14:paraId="7F97003F" w14:textId="2B22E232" w:rsidR="00DE3F04" w:rsidRDefault="00DE3F04" w:rsidP="00DE3F04">
      <w:pPr>
        <w:pStyle w:val="FootnoteText"/>
      </w:pPr>
      <w:r>
        <w:rPr>
          <w:rStyle w:val="FootnoteReference"/>
        </w:rPr>
        <w:footnoteRef/>
      </w:r>
      <w:r>
        <w:t xml:space="preserve"> </w:t>
      </w:r>
      <w:r>
        <w:tab/>
        <w:t xml:space="preserve">As detailed in section 16AB of the </w:t>
      </w:r>
      <w:r w:rsidRPr="002B685B">
        <w:rPr>
          <w:i/>
          <w:iCs/>
        </w:rPr>
        <w:t>Commonwealth Grants Commission Act 1973</w:t>
      </w:r>
      <w:r>
        <w:t>.</w:t>
      </w:r>
      <w:r w:rsidR="0054419E">
        <w:t xml:space="preserve"> </w:t>
      </w:r>
      <w:r w:rsidR="0054419E" w:rsidRPr="001F7F1B">
        <w:t xml:space="preserve">From 2021-22, the GST pool comprises GST revenue as well as top-up payments, as detailed in section 8A of the </w:t>
      </w:r>
      <w:r w:rsidR="0054419E" w:rsidRPr="0054419E">
        <w:rPr>
          <w:i/>
          <w:iCs/>
        </w:rPr>
        <w:t>Federal Financial Relations Act, 2009.</w:t>
      </w:r>
    </w:p>
  </w:footnote>
  <w:footnote w:id="23">
    <w:p w14:paraId="6CD3908F" w14:textId="67CEEC40" w:rsidR="009828CD" w:rsidRDefault="009828CD" w:rsidP="009828CD">
      <w:pPr>
        <w:pStyle w:val="FootnoteText"/>
      </w:pPr>
      <w:r>
        <w:rPr>
          <w:rStyle w:val="FootnoteReference"/>
        </w:rPr>
        <w:footnoteRef/>
      </w:r>
      <w:r>
        <w:t xml:space="preserve"> </w:t>
      </w:r>
      <w:r w:rsidR="00682F0D">
        <w:tab/>
      </w:r>
      <w:r>
        <w:t xml:space="preserve">The </w:t>
      </w:r>
      <w:r w:rsidRPr="009731EB">
        <w:t xml:space="preserve">National Partnership on COVID-19 Response </w:t>
      </w:r>
      <w:r>
        <w:t xml:space="preserve">payments </w:t>
      </w:r>
      <w:r w:rsidR="00590AE2">
        <w:t>were</w:t>
      </w:r>
      <w:r>
        <w:t xml:space="preserve"> sourced from the National Health Funding Body and align</w:t>
      </w:r>
      <w:r w:rsidR="00590AE2">
        <w:t>ed</w:t>
      </w:r>
      <w:r>
        <w:t xml:space="preserve"> with the aggregates published in the</w:t>
      </w:r>
      <w:r w:rsidR="008E3AFB" w:rsidRPr="008E3AFB">
        <w:t xml:space="preserve"> Commonwealth of Australia’s</w:t>
      </w:r>
      <w:r>
        <w:t xml:space="preserve"> </w:t>
      </w:r>
      <w:r w:rsidRPr="008E3AFB">
        <w:rPr>
          <w:i/>
          <w:iCs/>
        </w:rPr>
        <w:t>Final Budget Outcome</w:t>
      </w:r>
      <w:r w:rsidR="008E3AFB" w:rsidRPr="008E3AFB">
        <w:rPr>
          <w:i/>
          <w:iCs/>
        </w:rPr>
        <w:t xml:space="preserve"> 2019-20</w:t>
      </w:r>
      <w:r>
        <w:t xml:space="preserve">. </w:t>
      </w:r>
      <w:r w:rsidRPr="009731EB">
        <w:t>Entitlements for 2019-20 will be finalised following reconciliation of activity data by the Administrator of the National Health Funding Pool, and a subsequent Determination by the Treasurer.</w:t>
      </w:r>
    </w:p>
  </w:footnote>
  <w:footnote w:id="24">
    <w:p w14:paraId="0B5D9EFC" w14:textId="621AF75B" w:rsidR="009828CD" w:rsidRDefault="009828CD" w:rsidP="009828CD">
      <w:pPr>
        <w:pStyle w:val="FootnoteText"/>
      </w:pPr>
      <w:r>
        <w:rPr>
          <w:rStyle w:val="FootnoteReference"/>
        </w:rPr>
        <w:footnoteRef/>
      </w:r>
      <w:r>
        <w:t xml:space="preserve"> </w:t>
      </w:r>
      <w:r w:rsidR="00682F0D">
        <w:tab/>
      </w:r>
      <w:r>
        <w:rPr>
          <w:rStyle w:val="Strong"/>
          <w:b w:val="0"/>
          <w:bCs w:val="0"/>
        </w:rPr>
        <w:t xml:space="preserve">There </w:t>
      </w:r>
      <w:r w:rsidR="00590AE2">
        <w:rPr>
          <w:rStyle w:val="Strong"/>
          <w:b w:val="0"/>
          <w:bCs w:val="0"/>
        </w:rPr>
        <w:t>was</w:t>
      </w:r>
      <w:r>
        <w:rPr>
          <w:rStyle w:val="Strong"/>
          <w:b w:val="0"/>
          <w:bCs w:val="0"/>
        </w:rPr>
        <w:t xml:space="preserve"> also</w:t>
      </w:r>
      <w:r w:rsidRPr="57A88EC4">
        <w:rPr>
          <w:rStyle w:val="Strong"/>
          <w:b w:val="0"/>
          <w:bCs w:val="0"/>
        </w:rPr>
        <w:t xml:space="preserve"> a </w:t>
      </w:r>
      <w:r>
        <w:rPr>
          <w:rStyle w:val="Strong"/>
          <w:b w:val="0"/>
          <w:bCs w:val="0"/>
        </w:rPr>
        <w:t xml:space="preserve">$1.2 billion </w:t>
      </w:r>
      <w:r w:rsidRPr="57A88EC4">
        <w:rPr>
          <w:rStyle w:val="Strong"/>
          <w:b w:val="0"/>
          <w:bCs w:val="0"/>
        </w:rPr>
        <w:t>private hospital viability payment</w:t>
      </w:r>
      <w:r w:rsidRPr="00E75615">
        <w:rPr>
          <w:rStyle w:val="Strong"/>
          <w:b w:val="0"/>
          <w:bCs w:val="0"/>
        </w:rPr>
        <w:t>,</w:t>
      </w:r>
      <w:r w:rsidRPr="57A88EC4">
        <w:rPr>
          <w:rStyle w:val="Strong"/>
          <w:b w:val="0"/>
          <w:bCs w:val="0"/>
        </w:rPr>
        <w:t xml:space="preserve"> which </w:t>
      </w:r>
      <w:r w:rsidR="00590AE2">
        <w:rPr>
          <w:rStyle w:val="Strong"/>
          <w:b w:val="0"/>
          <w:bCs w:val="0"/>
        </w:rPr>
        <w:t>was</w:t>
      </w:r>
      <w:r w:rsidRPr="57A88EC4">
        <w:rPr>
          <w:rStyle w:val="Strong"/>
          <w:b w:val="0"/>
          <w:bCs w:val="0"/>
        </w:rPr>
        <w:t xml:space="preserve"> 100% Commonwealth funded.</w:t>
      </w:r>
      <w:r>
        <w:rPr>
          <w:rStyle w:val="Strong"/>
          <w:b w:val="0"/>
          <w:bCs w:val="0"/>
        </w:rPr>
        <w:t xml:space="preserve"> This payment </w:t>
      </w:r>
      <w:r w:rsidR="00590AE2">
        <w:rPr>
          <w:rStyle w:val="Strong"/>
          <w:b w:val="0"/>
          <w:bCs w:val="0"/>
        </w:rPr>
        <w:t>did</w:t>
      </w:r>
      <w:r>
        <w:rPr>
          <w:rStyle w:val="Strong"/>
          <w:b w:val="0"/>
          <w:bCs w:val="0"/>
        </w:rPr>
        <w:t xml:space="preserve"> not affect State fiscal capacities, or GST shares.</w:t>
      </w:r>
    </w:p>
  </w:footnote>
  <w:footnote w:id="25">
    <w:p w14:paraId="1BD3C9CC" w14:textId="5D126D0D" w:rsidR="000603DB" w:rsidRDefault="000603DB" w:rsidP="000603DB">
      <w:pPr>
        <w:pStyle w:val="FootnoteText"/>
      </w:pPr>
      <w:r>
        <w:rPr>
          <w:rStyle w:val="FootnoteReference"/>
        </w:rPr>
        <w:footnoteRef/>
      </w:r>
      <w:r>
        <w:t xml:space="preserve"> </w:t>
      </w:r>
      <w:r w:rsidR="00682F0D">
        <w:tab/>
      </w:r>
      <w:r w:rsidRPr="00CB2E44">
        <w:t>In 2019</w:t>
      </w:r>
      <w:r w:rsidRPr="00CB2E44">
        <w:noBreakHyphen/>
        <w:t xml:space="preserve">20, State spending in the other industries component increased by 46% (growth had averaged 16% per annum over the previous </w:t>
      </w:r>
      <w:r w:rsidR="005E563D">
        <w:t>3</w:t>
      </w:r>
      <w:r w:rsidRPr="00CB2E44">
        <w:t xml:space="preserve"> years). Assuming unchanged spending on regulation, the split between regulation and business development changes from 53% regulation/47% business development in assessment years 1 and 2 to 36% regulation/64% business development in assessment year 3.</w:t>
      </w:r>
    </w:p>
  </w:footnote>
  <w:footnote w:id="26">
    <w:p w14:paraId="7CD77D47" w14:textId="2375EE95" w:rsidR="00505048" w:rsidRDefault="00505048" w:rsidP="00505048">
      <w:pPr>
        <w:pStyle w:val="FootnoteText"/>
      </w:pPr>
      <w:r>
        <w:rPr>
          <w:rStyle w:val="FootnoteReference"/>
        </w:rPr>
        <w:footnoteRef/>
      </w:r>
      <w:r>
        <w:t xml:space="preserve"> </w:t>
      </w:r>
      <w:r>
        <w:tab/>
        <w:t xml:space="preserve">The </w:t>
      </w:r>
      <w:r w:rsidRPr="00025178">
        <w:t>Independent Hospital Pricing Authority</w:t>
      </w:r>
      <w:r w:rsidRPr="000E5348">
        <w:t xml:space="preserve"> cost and pricing models for each year, including the remoteness adjustments, are calculated based on data </w:t>
      </w:r>
      <w:r>
        <w:t xml:space="preserve">from </w:t>
      </w:r>
      <w:r w:rsidR="005E563D">
        <w:t>3</w:t>
      </w:r>
      <w:r w:rsidRPr="000E5348">
        <w:t xml:space="preserve"> years </w:t>
      </w:r>
      <w:r>
        <w:t>earlier</w:t>
      </w:r>
      <w:r w:rsidRPr="000E5348">
        <w:t xml:space="preserve">. Within this constraint, </w:t>
      </w:r>
      <w:r>
        <w:t xml:space="preserve">the </w:t>
      </w:r>
      <w:r w:rsidRPr="00B76D1A">
        <w:t>Independent Hospital Pricing Authority</w:t>
      </w:r>
      <w:r w:rsidRPr="000E5348">
        <w:t xml:space="preserve"> has been expanding the scope of remoteness disabilities progressively, with the remoteness adjustments for </w:t>
      </w:r>
      <w:r>
        <w:t xml:space="preserve">non-admitted patients </w:t>
      </w:r>
      <w:r w:rsidRPr="000E5348">
        <w:t>to commence in 2019-20.</w:t>
      </w:r>
    </w:p>
  </w:footnote>
  <w:footnote w:id="27">
    <w:p w14:paraId="1546B24D" w14:textId="6767DC63" w:rsidR="00E87A27" w:rsidRDefault="00E87A27" w:rsidP="00E87A27">
      <w:pPr>
        <w:pStyle w:val="FootnoteText"/>
      </w:pPr>
      <w:r>
        <w:rPr>
          <w:rStyle w:val="FootnoteReference"/>
        </w:rPr>
        <w:footnoteRef/>
      </w:r>
      <w:r>
        <w:t xml:space="preserve"> </w:t>
      </w:r>
      <w:r>
        <w:tab/>
        <w:t xml:space="preserve">The 2018 </w:t>
      </w:r>
      <w:r w:rsidRPr="000F3CC8">
        <w:rPr>
          <w:rStyle w:val="Strong"/>
          <w:b w:val="0"/>
          <w:bCs w:val="0"/>
        </w:rPr>
        <w:t>Characteristics of Employment survey</w:t>
      </w:r>
      <w:r>
        <w:t xml:space="preserve"> data, used to model relative wage costs for 2018-19, were also revised after the modelled outcomes were provided to the Commission for the </w:t>
      </w:r>
      <w:r w:rsidR="005909B1">
        <w:t>2020 Review</w:t>
      </w:r>
      <w:r>
        <w:t>.</w:t>
      </w:r>
    </w:p>
  </w:footnote>
  <w:footnote w:id="28">
    <w:p w14:paraId="368C88B5" w14:textId="6ACA4E0D" w:rsidR="00B9179D" w:rsidRPr="00FC3FF6" w:rsidRDefault="00B9179D" w:rsidP="00B9179D">
      <w:pPr>
        <w:pStyle w:val="FootnoteText"/>
        <w:rPr>
          <w:lang w:val="en-GB"/>
        </w:rPr>
      </w:pPr>
      <w:r>
        <w:rPr>
          <w:rStyle w:val="FootnoteReference"/>
        </w:rPr>
        <w:footnoteRef/>
      </w:r>
      <w:r>
        <w:t xml:space="preserve"> </w:t>
      </w:r>
      <w:r>
        <w:tab/>
      </w:r>
      <w:r>
        <w:rPr>
          <w:lang w:val="en-GB"/>
        </w:rPr>
        <w:t>Some expenses are assessed EPC because population is considered the driver. This is referred to as a deliberative EPC assessment. In these cases, the Commission considers that needs are assessed.</w:t>
      </w:r>
    </w:p>
  </w:footnote>
  <w:footnote w:id="29">
    <w:p w14:paraId="54FFB997" w14:textId="34A9C7DE" w:rsidR="0082389E" w:rsidRPr="00D123D7" w:rsidRDefault="0082389E" w:rsidP="0082389E">
      <w:pPr>
        <w:pStyle w:val="FootnoteText"/>
        <w:rPr>
          <w:rStyle w:val="FootnoteReference"/>
        </w:rPr>
      </w:pPr>
      <w:r w:rsidRPr="00D123D7">
        <w:rPr>
          <w:rStyle w:val="FootnoteReference"/>
        </w:rPr>
        <w:footnoteRef/>
      </w:r>
      <w:r w:rsidRPr="00D123D7">
        <w:rPr>
          <w:rStyle w:val="FootnoteReference"/>
        </w:rPr>
        <w:t xml:space="preserve"> </w:t>
      </w:r>
      <w:r w:rsidR="00682F0D">
        <w:tab/>
      </w:r>
      <w:r w:rsidRPr="00682F0D">
        <w:t xml:space="preserve">This information is necessary if a Commonwealth </w:t>
      </w:r>
      <w:r w:rsidR="00EC1A56">
        <w:t>own-purpose expenses</w:t>
      </w:r>
      <w:r w:rsidRPr="00682F0D">
        <w:t xml:space="preserve"> </w:t>
      </w:r>
      <w:r w:rsidR="008D0707">
        <w:t xml:space="preserve">payment </w:t>
      </w:r>
      <w:r w:rsidRPr="00682F0D">
        <w:t>is to receive a ‘no impact’ treatment. Without it, the Commission is unable to identify the expense related to the payment.</w:t>
      </w:r>
    </w:p>
  </w:footnote>
  <w:footnote w:id="30">
    <w:p w14:paraId="3AEAD160" w14:textId="14DB009A" w:rsidR="00655729" w:rsidRPr="00655729" w:rsidRDefault="00655729" w:rsidP="00655729">
      <w:pPr>
        <w:pStyle w:val="FootnoteText"/>
        <w:rPr>
          <w:iCs/>
        </w:rPr>
      </w:pPr>
      <w:r>
        <w:rPr>
          <w:rStyle w:val="FootnoteReference"/>
        </w:rPr>
        <w:footnoteRef/>
      </w:r>
      <w:r w:rsidR="009E333E">
        <w:tab/>
      </w:r>
      <w:r>
        <w:t xml:space="preserve">See Chapter 4, </w:t>
      </w:r>
      <w:r w:rsidRPr="00BA7FF0">
        <w:rPr>
          <w:i/>
          <w:lang w:val="en-US"/>
        </w:rPr>
        <w:t xml:space="preserve">Report on GST Revenue Sharing Relativities </w:t>
      </w:r>
      <w:r w:rsidR="005909B1">
        <w:rPr>
          <w:i/>
          <w:lang w:val="en-US"/>
        </w:rPr>
        <w:t>2020 Review</w:t>
      </w:r>
      <w:r w:rsidRPr="00BA7FF0">
        <w:rPr>
          <w:i/>
          <w:lang w:val="en-US"/>
        </w:rPr>
        <w:t xml:space="preserve"> —</w:t>
      </w:r>
      <w:r>
        <w:rPr>
          <w:i/>
          <w:lang w:val="en-US"/>
        </w:rPr>
        <w:t xml:space="preserve"> Volume 2, available</w:t>
      </w:r>
      <w:r>
        <w:rPr>
          <w:iCs/>
          <w:lang w:val="en-US"/>
        </w:rPr>
        <w:t xml:space="preserve"> at www.cgc.g</w:t>
      </w:r>
      <w:r w:rsidR="00012502">
        <w:rPr>
          <w:iCs/>
          <w:lang w:val="en-US"/>
        </w:rPr>
        <w:t>o</w:t>
      </w:r>
      <w:r>
        <w:rPr>
          <w:iCs/>
          <w:lang w:val="en-US"/>
        </w:rPr>
        <w:t>v.au</w:t>
      </w:r>
      <w:r w:rsidR="002F0FFB">
        <w:rPr>
          <w:iCs/>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985"/>
      <w:gridCol w:w="2985"/>
      <w:gridCol w:w="2985"/>
    </w:tblGrid>
    <w:tr w:rsidR="1B485DA2" w14:paraId="1CAD696F" w14:textId="77777777" w:rsidTr="00750C14">
      <w:tc>
        <w:tcPr>
          <w:tcW w:w="2985" w:type="dxa"/>
        </w:tcPr>
        <w:p w14:paraId="300941C5" w14:textId="0398F15F" w:rsidR="1B485DA2" w:rsidRDefault="1B485DA2" w:rsidP="00AF18CF">
          <w:pPr>
            <w:pStyle w:val="Header"/>
            <w:ind w:left="-115"/>
          </w:pPr>
        </w:p>
      </w:tc>
      <w:tc>
        <w:tcPr>
          <w:tcW w:w="2985" w:type="dxa"/>
        </w:tcPr>
        <w:p w14:paraId="50E1CB97" w14:textId="44715A3F" w:rsidR="1B485DA2" w:rsidRDefault="1B485DA2" w:rsidP="00CB0AD3">
          <w:pPr>
            <w:pStyle w:val="Header"/>
            <w:jc w:val="center"/>
          </w:pPr>
        </w:p>
      </w:tc>
      <w:tc>
        <w:tcPr>
          <w:tcW w:w="2985" w:type="dxa"/>
        </w:tcPr>
        <w:p w14:paraId="218C195B" w14:textId="36978BC0" w:rsidR="1B485DA2" w:rsidRDefault="1B485DA2">
          <w:pPr>
            <w:pStyle w:val="Header"/>
            <w:ind w:right="-115"/>
            <w:jc w:val="right"/>
            <w:pPrChange w:id="0" w:author="Marc Boisseau" w:date="2021-02-05T04:43:00Z">
              <w:pPr/>
            </w:pPrChange>
          </w:pPr>
        </w:p>
      </w:tc>
    </w:tr>
  </w:tbl>
  <w:p w14:paraId="2E99AD01" w14:textId="322B230A" w:rsidR="006F4056" w:rsidRDefault="006F405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F0D99" w14:textId="69893A23" w:rsidR="006F4056" w:rsidRDefault="006F405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Change w:id="38" w:author="Lynne Williams" w:date="2021-02-05T04:43:00Z">
        <w:tblPr>
          <w:tblStyle w:val="TableGrid"/>
          <w:tblW w:w="0" w:type="nil"/>
          <w:tblLayout w:type="fixed"/>
          <w:tblLook w:val="06A0" w:firstRow="1" w:lastRow="0" w:firstColumn="1" w:lastColumn="0" w:noHBand="1" w:noVBand="1"/>
        </w:tblPr>
      </w:tblPrChange>
    </w:tblPr>
    <w:tblGrid>
      <w:gridCol w:w="2985"/>
      <w:gridCol w:w="2985"/>
      <w:gridCol w:w="2985"/>
      <w:tblGridChange w:id="39">
        <w:tblGrid>
          <w:gridCol w:w="2985"/>
          <w:gridCol w:w="2985"/>
          <w:gridCol w:w="2985"/>
        </w:tblGrid>
      </w:tblGridChange>
    </w:tblGrid>
    <w:tr w:rsidR="1B485DA2" w14:paraId="61678D43" w14:textId="77777777" w:rsidTr="1B485DA2">
      <w:tc>
        <w:tcPr>
          <w:tcW w:w="2985" w:type="dxa"/>
          <w:tcPrChange w:id="40" w:author="Lynne Williams" w:date="2021-02-05T04:43:00Z">
            <w:tcPr>
              <w:tcW w:w="2985" w:type="dxa"/>
            </w:tcPr>
          </w:tcPrChange>
        </w:tcPr>
        <w:p w14:paraId="1746A8C0" w14:textId="6D0EE736" w:rsidR="1B485DA2" w:rsidRDefault="1B485DA2">
          <w:pPr>
            <w:pStyle w:val="Header"/>
            <w:ind w:left="-115"/>
            <w:pPrChange w:id="41" w:author="Marc Boisseau" w:date="2021-02-05T04:43:00Z">
              <w:pPr/>
            </w:pPrChange>
          </w:pPr>
        </w:p>
      </w:tc>
      <w:tc>
        <w:tcPr>
          <w:tcW w:w="2985" w:type="dxa"/>
          <w:tcPrChange w:id="42" w:author="Lynne Williams" w:date="2021-02-05T04:43:00Z">
            <w:tcPr>
              <w:tcW w:w="2985" w:type="dxa"/>
            </w:tcPr>
          </w:tcPrChange>
        </w:tcPr>
        <w:p w14:paraId="233CA005" w14:textId="1126CFFD" w:rsidR="1B485DA2" w:rsidRDefault="1B485DA2">
          <w:pPr>
            <w:pStyle w:val="Header"/>
            <w:jc w:val="center"/>
            <w:pPrChange w:id="43" w:author="Marc Boisseau" w:date="2021-02-05T04:43:00Z">
              <w:pPr/>
            </w:pPrChange>
          </w:pPr>
        </w:p>
      </w:tc>
      <w:tc>
        <w:tcPr>
          <w:tcW w:w="2985" w:type="dxa"/>
          <w:tcPrChange w:id="44" w:author="Lynne Williams" w:date="2021-02-05T04:43:00Z">
            <w:tcPr>
              <w:tcW w:w="2985" w:type="dxa"/>
            </w:tcPr>
          </w:tcPrChange>
        </w:tcPr>
        <w:p w14:paraId="609D420A" w14:textId="69160BF9" w:rsidR="1B485DA2" w:rsidRDefault="1B485DA2">
          <w:pPr>
            <w:pStyle w:val="Header"/>
            <w:ind w:right="-115"/>
            <w:jc w:val="right"/>
            <w:pPrChange w:id="45" w:author="Marc Boisseau" w:date="2021-02-05T04:43:00Z">
              <w:pPr/>
            </w:pPrChange>
          </w:pPr>
        </w:p>
      </w:tc>
    </w:tr>
  </w:tbl>
  <w:p w14:paraId="5AAB4F19" w14:textId="58F2227A" w:rsidR="006F4056" w:rsidRDefault="006F405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61267" w14:textId="3C7FB5AC" w:rsidR="006F4056" w:rsidRDefault="006F405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3C9E2" w14:textId="2E72333D" w:rsidR="006F4056" w:rsidRDefault="006F405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1B2B4" w14:textId="0EDA9B76" w:rsidR="006F4056" w:rsidRDefault="006F405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31CBF" w14:textId="640709E8" w:rsidR="006F4056" w:rsidRDefault="006F405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A8056" w14:textId="633917CF" w:rsidR="006F4056" w:rsidRDefault="006F405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5E9FF" w14:textId="449D0310" w:rsidR="006F4056" w:rsidRDefault="006F405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20EC1" w14:textId="4EB88F93" w:rsidR="006F4056" w:rsidRDefault="006F405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C9A94" w14:textId="3A376C22" w:rsidR="006F4056" w:rsidRDefault="006F40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24506" w14:textId="01E3C784" w:rsidR="006F4056" w:rsidRDefault="006F405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C6F20" w14:textId="580444CB" w:rsidR="006F4056" w:rsidRDefault="006F405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0196F" w14:textId="596547B1" w:rsidR="006F4056" w:rsidRDefault="006F405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4A87D" w14:textId="62FD2B1B" w:rsidR="006F4056" w:rsidRDefault="006F405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5BB3A" w14:textId="7B073F6E" w:rsidR="006F4056" w:rsidRDefault="006F405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926FB" w14:textId="31056E2F" w:rsidR="006F4056" w:rsidRDefault="006F405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8A0DF" w14:textId="70CE4BEA" w:rsidR="006F4056" w:rsidRDefault="006F405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7109D" w14:textId="02030BF3" w:rsidR="006F4056" w:rsidRDefault="006F405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BE10E" w14:textId="085C843E" w:rsidR="006F4056" w:rsidRDefault="006F405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5948B" w14:textId="249BD09F" w:rsidR="006F4056" w:rsidRDefault="006F405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4B638" w14:textId="0CC4820F" w:rsidR="006F4056" w:rsidRDefault="006F40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392CC" w14:textId="7B0C74ED" w:rsidR="006F4056" w:rsidRDefault="006F405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FAC3B" w14:textId="2A00D66C" w:rsidR="006F4056" w:rsidRDefault="006F4056">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96BE8" w14:textId="6FE8A227" w:rsidR="006F4056" w:rsidRDefault="006F4056">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F8372" w14:textId="3E66E6EA" w:rsidR="006F4056" w:rsidRDefault="006F4056">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6A91A" w14:textId="7D6F03C9" w:rsidR="006F4056" w:rsidRDefault="006F4056">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FE9DE" w14:textId="651FD845" w:rsidR="006F4056" w:rsidRDefault="006F4056">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00010" w14:textId="5292F8B1" w:rsidR="006F4056" w:rsidRDefault="006F4056">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FEC14" w14:textId="7B7C18F0" w:rsidR="006F4056" w:rsidRDefault="006F405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15C79" w14:textId="1081D214" w:rsidR="006F4056" w:rsidRDefault="006F405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B97C7" w14:textId="271FBC29" w:rsidR="006F4056" w:rsidRDefault="006F4056">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13AB0" w14:textId="3F80C30C" w:rsidR="006F4056" w:rsidRDefault="006F40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F0909" w14:textId="68184066" w:rsidR="006F4056" w:rsidRDefault="006F4056">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127E4" w14:textId="15DA8E7C" w:rsidR="006F4056" w:rsidRDefault="006F4056">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Change w:id="305" w:author="Lynne Williams" w:date="2021-02-05T04:43:00Z">
        <w:tblPr>
          <w:tblStyle w:val="TableGrid"/>
          <w:tblW w:w="0" w:type="nil"/>
          <w:tblLayout w:type="fixed"/>
          <w:tblLook w:val="06A0" w:firstRow="1" w:lastRow="0" w:firstColumn="1" w:lastColumn="0" w:noHBand="1" w:noVBand="1"/>
        </w:tblPr>
      </w:tblPrChange>
    </w:tblPr>
    <w:tblGrid>
      <w:gridCol w:w="2985"/>
      <w:gridCol w:w="2985"/>
      <w:gridCol w:w="2985"/>
      <w:tblGridChange w:id="306">
        <w:tblGrid>
          <w:gridCol w:w="2985"/>
          <w:gridCol w:w="2985"/>
          <w:gridCol w:w="2985"/>
        </w:tblGrid>
      </w:tblGridChange>
    </w:tblGrid>
    <w:tr w:rsidR="1B485DA2" w14:paraId="3BE6727D" w14:textId="77777777" w:rsidTr="1B485DA2">
      <w:tc>
        <w:tcPr>
          <w:tcW w:w="2985" w:type="dxa"/>
          <w:tcPrChange w:id="307" w:author="Lynne Williams" w:date="2021-02-05T04:43:00Z">
            <w:tcPr>
              <w:tcW w:w="2985" w:type="dxa"/>
            </w:tcPr>
          </w:tcPrChange>
        </w:tcPr>
        <w:p w14:paraId="7196ACB5" w14:textId="0A7D4081" w:rsidR="1B485DA2" w:rsidRDefault="1B485DA2">
          <w:pPr>
            <w:pStyle w:val="Header"/>
            <w:ind w:left="-115"/>
            <w:pPrChange w:id="308" w:author="Marc Boisseau" w:date="2021-02-05T04:43:00Z">
              <w:pPr/>
            </w:pPrChange>
          </w:pPr>
        </w:p>
      </w:tc>
      <w:tc>
        <w:tcPr>
          <w:tcW w:w="2985" w:type="dxa"/>
          <w:tcPrChange w:id="309" w:author="Lynne Williams" w:date="2021-02-05T04:43:00Z">
            <w:tcPr>
              <w:tcW w:w="2985" w:type="dxa"/>
            </w:tcPr>
          </w:tcPrChange>
        </w:tcPr>
        <w:p w14:paraId="07DF1167" w14:textId="65BAD7B9" w:rsidR="1B485DA2" w:rsidRDefault="1B485DA2">
          <w:pPr>
            <w:pStyle w:val="Header"/>
            <w:jc w:val="center"/>
            <w:pPrChange w:id="310" w:author="Marc Boisseau" w:date="2021-02-05T04:43:00Z">
              <w:pPr/>
            </w:pPrChange>
          </w:pPr>
        </w:p>
      </w:tc>
      <w:tc>
        <w:tcPr>
          <w:tcW w:w="2985" w:type="dxa"/>
          <w:tcPrChange w:id="311" w:author="Lynne Williams" w:date="2021-02-05T04:43:00Z">
            <w:tcPr>
              <w:tcW w:w="2985" w:type="dxa"/>
            </w:tcPr>
          </w:tcPrChange>
        </w:tcPr>
        <w:p w14:paraId="291942BF" w14:textId="6359E1B3" w:rsidR="1B485DA2" w:rsidRDefault="1B485DA2">
          <w:pPr>
            <w:pStyle w:val="Header"/>
            <w:ind w:right="-115"/>
            <w:jc w:val="right"/>
            <w:pPrChange w:id="312" w:author="Marc Boisseau" w:date="2021-02-05T04:43:00Z">
              <w:pPr/>
            </w:pPrChange>
          </w:pPr>
        </w:p>
      </w:tc>
    </w:tr>
  </w:tbl>
  <w:p w14:paraId="717D4EB2" w14:textId="1EFE6D4A" w:rsidR="006F4056" w:rsidRDefault="006F4056">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100F1" w14:textId="1627036F" w:rsidR="006F4056" w:rsidRDefault="006F4056">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Change w:id="320" w:author="Lynne Williams" w:date="2021-02-05T04:43:00Z">
        <w:tblPr>
          <w:tblStyle w:val="TableGrid"/>
          <w:tblW w:w="0" w:type="nil"/>
          <w:tblLayout w:type="fixed"/>
          <w:tblLook w:val="06A0" w:firstRow="1" w:lastRow="0" w:firstColumn="1" w:lastColumn="0" w:noHBand="1" w:noVBand="1"/>
        </w:tblPr>
      </w:tblPrChange>
    </w:tblPr>
    <w:tblGrid>
      <w:gridCol w:w="2985"/>
      <w:gridCol w:w="2985"/>
      <w:gridCol w:w="2985"/>
      <w:tblGridChange w:id="321">
        <w:tblGrid>
          <w:gridCol w:w="2985"/>
          <w:gridCol w:w="2985"/>
          <w:gridCol w:w="2985"/>
        </w:tblGrid>
      </w:tblGridChange>
    </w:tblGrid>
    <w:tr w:rsidR="1B485DA2" w14:paraId="0E196543" w14:textId="77777777" w:rsidTr="1B485DA2">
      <w:tc>
        <w:tcPr>
          <w:tcW w:w="2985" w:type="dxa"/>
          <w:tcPrChange w:id="322" w:author="Lynne Williams" w:date="2021-02-05T04:43:00Z">
            <w:tcPr>
              <w:tcW w:w="2985" w:type="dxa"/>
            </w:tcPr>
          </w:tcPrChange>
        </w:tcPr>
        <w:p w14:paraId="3332D809" w14:textId="08A1DB6C" w:rsidR="1B485DA2" w:rsidRDefault="1B485DA2">
          <w:pPr>
            <w:pStyle w:val="Header"/>
            <w:ind w:left="-115"/>
            <w:pPrChange w:id="323" w:author="Marc Boisseau" w:date="2021-02-05T04:43:00Z">
              <w:pPr/>
            </w:pPrChange>
          </w:pPr>
        </w:p>
      </w:tc>
      <w:tc>
        <w:tcPr>
          <w:tcW w:w="2985" w:type="dxa"/>
          <w:tcPrChange w:id="324" w:author="Lynne Williams" w:date="2021-02-05T04:43:00Z">
            <w:tcPr>
              <w:tcW w:w="2985" w:type="dxa"/>
            </w:tcPr>
          </w:tcPrChange>
        </w:tcPr>
        <w:p w14:paraId="1E313B58" w14:textId="28415617" w:rsidR="1B485DA2" w:rsidRDefault="1B485DA2">
          <w:pPr>
            <w:pStyle w:val="Header"/>
            <w:jc w:val="center"/>
            <w:pPrChange w:id="325" w:author="Marc Boisseau" w:date="2021-02-05T04:43:00Z">
              <w:pPr/>
            </w:pPrChange>
          </w:pPr>
        </w:p>
      </w:tc>
      <w:tc>
        <w:tcPr>
          <w:tcW w:w="2985" w:type="dxa"/>
          <w:tcPrChange w:id="326" w:author="Lynne Williams" w:date="2021-02-05T04:43:00Z">
            <w:tcPr>
              <w:tcW w:w="2985" w:type="dxa"/>
            </w:tcPr>
          </w:tcPrChange>
        </w:tcPr>
        <w:p w14:paraId="755770A0" w14:textId="7691191E" w:rsidR="1B485DA2" w:rsidRDefault="1B485DA2">
          <w:pPr>
            <w:pStyle w:val="Header"/>
            <w:ind w:right="-115"/>
            <w:jc w:val="right"/>
            <w:pPrChange w:id="327" w:author="Marc Boisseau" w:date="2021-02-05T04:43:00Z">
              <w:pPr/>
            </w:pPrChange>
          </w:pPr>
        </w:p>
      </w:tc>
    </w:tr>
  </w:tbl>
  <w:p w14:paraId="6FBC3A07" w14:textId="7015490A" w:rsidR="006F4056" w:rsidRDefault="006F4056">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A9E91" w14:textId="316E6AA7" w:rsidR="006F4056" w:rsidRDefault="006F4056">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17D07" w14:textId="0FE0B959" w:rsidR="006F4056" w:rsidRDefault="006F4056">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A2679" w14:textId="72FDACE0" w:rsidR="006F4056" w:rsidRDefault="006F40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Change w:id="11" w:author="Lynne Williams" w:date="2021-02-05T04:43:00Z">
        <w:tblPr>
          <w:tblStyle w:val="TableGrid"/>
          <w:tblW w:w="0" w:type="nil"/>
          <w:tblLayout w:type="fixed"/>
          <w:tblLook w:val="06A0" w:firstRow="1" w:lastRow="0" w:firstColumn="1" w:lastColumn="0" w:noHBand="1" w:noVBand="1"/>
        </w:tblPr>
      </w:tblPrChange>
    </w:tblPr>
    <w:tblGrid>
      <w:gridCol w:w="2985"/>
      <w:gridCol w:w="2985"/>
      <w:gridCol w:w="2985"/>
      <w:tblGridChange w:id="12">
        <w:tblGrid>
          <w:gridCol w:w="2985"/>
          <w:gridCol w:w="2985"/>
          <w:gridCol w:w="2985"/>
        </w:tblGrid>
      </w:tblGridChange>
    </w:tblGrid>
    <w:tr w:rsidR="1B485DA2" w14:paraId="0E0C6265" w14:textId="77777777" w:rsidTr="1B485DA2">
      <w:tc>
        <w:tcPr>
          <w:tcW w:w="2985" w:type="dxa"/>
          <w:tcPrChange w:id="13" w:author="Lynne Williams" w:date="2021-02-05T04:43:00Z">
            <w:tcPr>
              <w:tcW w:w="2985" w:type="dxa"/>
            </w:tcPr>
          </w:tcPrChange>
        </w:tcPr>
        <w:p w14:paraId="12838B92" w14:textId="47F7C3B7" w:rsidR="1B485DA2" w:rsidRDefault="1B485DA2">
          <w:pPr>
            <w:pStyle w:val="Header"/>
            <w:ind w:left="-115"/>
            <w:pPrChange w:id="14" w:author="Marc Boisseau" w:date="2021-02-05T04:43:00Z">
              <w:pPr/>
            </w:pPrChange>
          </w:pPr>
        </w:p>
      </w:tc>
      <w:tc>
        <w:tcPr>
          <w:tcW w:w="2985" w:type="dxa"/>
          <w:tcPrChange w:id="15" w:author="Lynne Williams" w:date="2021-02-05T04:43:00Z">
            <w:tcPr>
              <w:tcW w:w="2985" w:type="dxa"/>
            </w:tcPr>
          </w:tcPrChange>
        </w:tcPr>
        <w:p w14:paraId="62B529FE" w14:textId="22668136" w:rsidR="1B485DA2" w:rsidRDefault="1B485DA2">
          <w:pPr>
            <w:pStyle w:val="Header"/>
            <w:jc w:val="center"/>
            <w:pPrChange w:id="16" w:author="Marc Boisseau" w:date="2021-02-05T04:43:00Z">
              <w:pPr/>
            </w:pPrChange>
          </w:pPr>
        </w:p>
      </w:tc>
      <w:tc>
        <w:tcPr>
          <w:tcW w:w="2985" w:type="dxa"/>
          <w:tcPrChange w:id="17" w:author="Lynne Williams" w:date="2021-02-05T04:43:00Z">
            <w:tcPr>
              <w:tcW w:w="2985" w:type="dxa"/>
            </w:tcPr>
          </w:tcPrChange>
        </w:tcPr>
        <w:p w14:paraId="2C9294A3" w14:textId="694FA635" w:rsidR="1B485DA2" w:rsidRDefault="1B485DA2">
          <w:pPr>
            <w:pStyle w:val="Header"/>
            <w:ind w:right="-115"/>
            <w:jc w:val="right"/>
            <w:pPrChange w:id="18" w:author="Marc Boisseau" w:date="2021-02-05T04:43:00Z">
              <w:pPr/>
            </w:pPrChange>
          </w:pPr>
        </w:p>
      </w:tc>
    </w:tr>
  </w:tbl>
  <w:p w14:paraId="6062CBFA" w14:textId="06F5E127" w:rsidR="006F4056" w:rsidRDefault="006F40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1FEC2" w14:textId="6221D441" w:rsidR="006F4056" w:rsidRDefault="006F405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60844" w14:textId="51FE1593" w:rsidR="006F4056" w:rsidRDefault="006F405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E3159" w14:textId="339FABF5" w:rsidR="006F4056" w:rsidRDefault="006F405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Change w:id="29" w:author="Lynne Williams" w:date="2021-02-05T04:43:00Z">
        <w:tblPr>
          <w:tblStyle w:val="TableGrid"/>
          <w:tblW w:w="0" w:type="nil"/>
          <w:tblLayout w:type="fixed"/>
          <w:tblLook w:val="06A0" w:firstRow="1" w:lastRow="0" w:firstColumn="1" w:lastColumn="0" w:noHBand="1" w:noVBand="1"/>
        </w:tblPr>
      </w:tblPrChange>
    </w:tblPr>
    <w:tblGrid>
      <w:gridCol w:w="2985"/>
      <w:gridCol w:w="2985"/>
      <w:gridCol w:w="2985"/>
      <w:tblGridChange w:id="30">
        <w:tblGrid>
          <w:gridCol w:w="2985"/>
          <w:gridCol w:w="2985"/>
          <w:gridCol w:w="2985"/>
        </w:tblGrid>
      </w:tblGridChange>
    </w:tblGrid>
    <w:tr w:rsidR="1B485DA2" w14:paraId="543D921C" w14:textId="77777777" w:rsidTr="1B485DA2">
      <w:tc>
        <w:tcPr>
          <w:tcW w:w="2985" w:type="dxa"/>
          <w:tcPrChange w:id="31" w:author="Lynne Williams" w:date="2021-02-05T04:43:00Z">
            <w:tcPr>
              <w:tcW w:w="2985" w:type="dxa"/>
            </w:tcPr>
          </w:tcPrChange>
        </w:tcPr>
        <w:p w14:paraId="6E29B9A7" w14:textId="6CBB0AAD" w:rsidR="1B485DA2" w:rsidRDefault="1B485DA2">
          <w:pPr>
            <w:pStyle w:val="Header"/>
            <w:ind w:left="-115"/>
            <w:pPrChange w:id="32" w:author="Marc Boisseau" w:date="2021-02-05T04:43:00Z">
              <w:pPr/>
            </w:pPrChange>
          </w:pPr>
        </w:p>
      </w:tc>
      <w:tc>
        <w:tcPr>
          <w:tcW w:w="2985" w:type="dxa"/>
          <w:tcPrChange w:id="33" w:author="Lynne Williams" w:date="2021-02-05T04:43:00Z">
            <w:tcPr>
              <w:tcW w:w="2985" w:type="dxa"/>
            </w:tcPr>
          </w:tcPrChange>
        </w:tcPr>
        <w:p w14:paraId="7DF2DD10" w14:textId="17BBDCE7" w:rsidR="1B485DA2" w:rsidRDefault="1B485DA2">
          <w:pPr>
            <w:pStyle w:val="Header"/>
            <w:jc w:val="center"/>
            <w:pPrChange w:id="34" w:author="Marc Boisseau" w:date="2021-02-05T04:43:00Z">
              <w:pPr/>
            </w:pPrChange>
          </w:pPr>
        </w:p>
      </w:tc>
      <w:tc>
        <w:tcPr>
          <w:tcW w:w="2985" w:type="dxa"/>
          <w:tcPrChange w:id="35" w:author="Lynne Williams" w:date="2021-02-05T04:43:00Z">
            <w:tcPr>
              <w:tcW w:w="2985" w:type="dxa"/>
            </w:tcPr>
          </w:tcPrChange>
        </w:tcPr>
        <w:p w14:paraId="32DAFFFF" w14:textId="22C5FF94" w:rsidR="1B485DA2" w:rsidRDefault="1B485DA2">
          <w:pPr>
            <w:pStyle w:val="Header"/>
            <w:ind w:right="-115"/>
            <w:jc w:val="right"/>
            <w:pPrChange w:id="36" w:author="Marc Boisseau" w:date="2021-02-05T04:43:00Z">
              <w:pPr/>
            </w:pPrChange>
          </w:pPr>
        </w:p>
      </w:tc>
    </w:tr>
  </w:tbl>
  <w:p w14:paraId="5A3B51E4" w14:textId="10D6BF81" w:rsidR="006F4056" w:rsidRDefault="006F40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5161D"/>
    <w:multiLevelType w:val="hybridMultilevel"/>
    <w:tmpl w:val="C0504302"/>
    <w:lvl w:ilvl="0" w:tplc="2B7CBD9E">
      <w:start w:val="1"/>
      <w:numFmt w:val="lowerRoman"/>
      <w:pStyle w:val="CGCBullet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F15E9B"/>
    <w:multiLevelType w:val="hybridMultilevel"/>
    <w:tmpl w:val="6B9A8C68"/>
    <w:lvl w:ilvl="0" w:tplc="0C09000F">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 w15:restartNumberingAfterBreak="0">
    <w:nsid w:val="15BF05D3"/>
    <w:multiLevelType w:val="hybridMultilevel"/>
    <w:tmpl w:val="05143D82"/>
    <w:lvl w:ilvl="0" w:tplc="F5184B00">
      <w:start w:val="1"/>
      <w:numFmt w:val="bullet"/>
      <w:pStyle w:val="CGCBullet2"/>
      <w:lvlText w:val=""/>
      <w:lvlJc w:val="left"/>
      <w:pPr>
        <w:ind w:left="720" w:hanging="360"/>
      </w:pPr>
      <w:rPr>
        <w:rFonts w:ascii="Symbol" w:hAnsi="Symbol" w:hint="default"/>
        <w:b/>
        <w:color w:val="5CA5C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E71B9C"/>
    <w:multiLevelType w:val="hybridMultilevel"/>
    <w:tmpl w:val="B778E962"/>
    <w:lvl w:ilvl="0" w:tplc="CA885F44">
      <w:start w:val="1"/>
      <w:numFmt w:val="bullet"/>
      <w:pStyle w:val="CGCBullet1"/>
      <w:lvlText w:val=""/>
      <w:lvlJc w:val="left"/>
      <w:pPr>
        <w:ind w:left="720" w:hanging="360"/>
      </w:pPr>
      <w:rPr>
        <w:rFonts w:ascii="Symbol" w:hAnsi="Symbol" w:hint="default"/>
        <w:color w:val="5CA5C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F90E44"/>
    <w:multiLevelType w:val="hybridMultilevel"/>
    <w:tmpl w:val="D20EF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9E6149"/>
    <w:multiLevelType w:val="hybridMultilevel"/>
    <w:tmpl w:val="A9FEFD10"/>
    <w:lvl w:ilvl="0" w:tplc="855EFA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AF3A2E"/>
    <w:multiLevelType w:val="hybridMultilevel"/>
    <w:tmpl w:val="CA8C0118"/>
    <w:lvl w:ilvl="0" w:tplc="F80227BC">
      <w:start w:val="1"/>
      <w:numFmt w:val="none"/>
      <w:lvlText w:val="%1."/>
      <w:lvlJc w:val="left"/>
      <w:pPr>
        <w:tabs>
          <w:tab w:val="num" w:pos="0"/>
        </w:tabs>
        <w:ind w:left="0" w:firstLine="0"/>
      </w:pPr>
      <w:rPr>
        <w:rFonts w:hint="default"/>
      </w:rPr>
    </w:lvl>
    <w:lvl w:ilvl="1" w:tplc="A7E2260A">
      <w:start w:val="1"/>
      <w:numFmt w:val="none"/>
      <w:lvlText w:val="%2"/>
      <w:lvlJc w:val="left"/>
      <w:pPr>
        <w:tabs>
          <w:tab w:val="num" w:pos="720"/>
        </w:tabs>
        <w:ind w:left="720" w:firstLine="0"/>
      </w:pPr>
      <w:rPr>
        <w:rFonts w:hint="default"/>
      </w:rPr>
    </w:lvl>
    <w:lvl w:ilvl="2" w:tplc="B78AC2A8">
      <w:start w:val="1"/>
      <w:numFmt w:val="none"/>
      <w:lvlText w:val="%3"/>
      <w:lvlJc w:val="left"/>
      <w:pPr>
        <w:tabs>
          <w:tab w:val="num" w:pos="0"/>
        </w:tabs>
        <w:ind w:left="0" w:firstLine="0"/>
      </w:pPr>
      <w:rPr>
        <w:rFonts w:hint="default"/>
      </w:rPr>
    </w:lvl>
    <w:lvl w:ilvl="3" w:tplc="54245C1C">
      <w:start w:val="1"/>
      <w:numFmt w:val="none"/>
      <w:lvlText w:val="%4)"/>
      <w:lvlJc w:val="left"/>
      <w:pPr>
        <w:tabs>
          <w:tab w:val="num" w:pos="2160"/>
        </w:tabs>
        <w:ind w:left="2160" w:firstLine="0"/>
      </w:pPr>
      <w:rPr>
        <w:rFonts w:hint="default"/>
      </w:rPr>
    </w:lvl>
    <w:lvl w:ilvl="4" w:tplc="2CEC9FA6">
      <w:start w:val="1"/>
      <w:numFmt w:val="none"/>
      <w:lvlText w:val="(%5)"/>
      <w:lvlJc w:val="left"/>
      <w:pPr>
        <w:tabs>
          <w:tab w:val="num" w:pos="2880"/>
        </w:tabs>
        <w:ind w:left="2880" w:firstLine="0"/>
      </w:pPr>
      <w:rPr>
        <w:rFonts w:hint="default"/>
      </w:rPr>
    </w:lvl>
    <w:lvl w:ilvl="5" w:tplc="30BAB462">
      <w:start w:val="1"/>
      <w:numFmt w:val="lowerLetter"/>
      <w:lvlText w:val="(%6)"/>
      <w:lvlJc w:val="left"/>
      <w:pPr>
        <w:tabs>
          <w:tab w:val="num" w:pos="3960"/>
        </w:tabs>
        <w:ind w:left="3600" w:firstLine="0"/>
      </w:pPr>
      <w:rPr>
        <w:rFonts w:hint="default"/>
      </w:rPr>
    </w:lvl>
    <w:lvl w:ilvl="6" w:tplc="C56421BE">
      <w:start w:val="1"/>
      <w:numFmt w:val="lowerRoman"/>
      <w:lvlText w:val="(%7)"/>
      <w:lvlJc w:val="left"/>
      <w:pPr>
        <w:tabs>
          <w:tab w:val="num" w:pos="4680"/>
        </w:tabs>
        <w:ind w:left="4320" w:firstLine="0"/>
      </w:pPr>
      <w:rPr>
        <w:rFonts w:hint="default"/>
      </w:rPr>
    </w:lvl>
    <w:lvl w:ilvl="7" w:tplc="E8382910">
      <w:start w:val="1"/>
      <w:numFmt w:val="lowerLetter"/>
      <w:pStyle w:val="Heading8"/>
      <w:lvlText w:val="(%8)"/>
      <w:lvlJc w:val="left"/>
      <w:pPr>
        <w:tabs>
          <w:tab w:val="num" w:pos="5400"/>
        </w:tabs>
        <w:ind w:left="5040" w:firstLine="0"/>
      </w:pPr>
      <w:rPr>
        <w:rFonts w:hint="default"/>
      </w:rPr>
    </w:lvl>
    <w:lvl w:ilvl="8" w:tplc="B42EBD36">
      <w:start w:val="1"/>
      <w:numFmt w:val="lowerRoman"/>
      <w:pStyle w:val="Heading9"/>
      <w:lvlText w:val="(%9)"/>
      <w:lvlJc w:val="left"/>
      <w:pPr>
        <w:tabs>
          <w:tab w:val="num" w:pos="6120"/>
        </w:tabs>
        <w:ind w:left="5760" w:firstLine="0"/>
      </w:pPr>
      <w:rPr>
        <w:rFonts w:hint="default"/>
      </w:rPr>
    </w:lvl>
  </w:abstractNum>
  <w:abstractNum w:abstractNumId="7" w15:restartNumberingAfterBreak="0">
    <w:nsid w:val="2C892D35"/>
    <w:multiLevelType w:val="hybridMultilevel"/>
    <w:tmpl w:val="38D0CF82"/>
    <w:lvl w:ilvl="0" w:tplc="465249F2">
      <w:numFmt w:val="bullet"/>
      <w:lvlText w:val="-"/>
      <w:lvlJc w:val="left"/>
      <w:pPr>
        <w:ind w:left="720" w:hanging="360"/>
      </w:pPr>
      <w:rPr>
        <w:rFonts w:ascii="Open Sans Light" w:eastAsiaTheme="minorHAnsi" w:hAnsi="Open Sans Light" w:cs="Open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5A2F29"/>
    <w:multiLevelType w:val="hybridMultilevel"/>
    <w:tmpl w:val="EC5AD7E4"/>
    <w:lvl w:ilvl="0" w:tplc="DA78C06C">
      <w:start w:val="1"/>
      <w:numFmt w:val="decimal"/>
      <w:pStyle w:val="CGCParaNumber"/>
      <w:lvlText w:val="%1"/>
      <w:lvlJc w:val="left"/>
      <w:pPr>
        <w:ind w:left="720" w:hanging="360"/>
      </w:pPr>
      <w:rPr>
        <w:rFonts w:ascii="Open Sans Light" w:hAnsi="Open Sans Light" w:hint="default"/>
        <w:b w:val="0"/>
        <w:i w:val="0"/>
        <w:caps w:val="0"/>
        <w:strike w:val="0"/>
        <w:dstrike w:val="0"/>
        <w:vanish w:val="0"/>
        <w:color w:val="000000" w:themeColor="text1"/>
        <w:sz w:val="2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2FB5C42"/>
    <w:multiLevelType w:val="hybridMultilevel"/>
    <w:tmpl w:val="12E8D1C4"/>
    <w:lvl w:ilvl="0" w:tplc="0B4EFD10">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0" w15:restartNumberingAfterBreak="0">
    <w:nsid w:val="54A57B01"/>
    <w:multiLevelType w:val="hybridMultilevel"/>
    <w:tmpl w:val="18C824A2"/>
    <w:lvl w:ilvl="0" w:tplc="C92AC940">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8796968"/>
    <w:multiLevelType w:val="hybridMultilevel"/>
    <w:tmpl w:val="F0360104"/>
    <w:lvl w:ilvl="0" w:tplc="E1AAD61E">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2" w15:restartNumberingAfterBreak="0">
    <w:nsid w:val="5D387583"/>
    <w:multiLevelType w:val="hybridMultilevel"/>
    <w:tmpl w:val="4A3C3688"/>
    <w:lvl w:ilvl="0" w:tplc="5CA6D58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6B56961"/>
    <w:multiLevelType w:val="hybridMultilevel"/>
    <w:tmpl w:val="EC0A00E0"/>
    <w:lvl w:ilvl="0" w:tplc="8A0205E8">
      <w:start w:val="1"/>
      <w:numFmt w:val="bullet"/>
      <w:pStyle w:val="CGCQuoteBullet"/>
      <w:lvlText w:val=""/>
      <w:lvlJc w:val="left"/>
      <w:pPr>
        <w:ind w:left="1741" w:hanging="360"/>
      </w:pPr>
      <w:rPr>
        <w:rFonts w:ascii="Courier New" w:hAnsi="Courier New" w:hint="default"/>
        <w:color w:val="5CA5C2"/>
      </w:rPr>
    </w:lvl>
    <w:lvl w:ilvl="1" w:tplc="0C090003" w:tentative="1">
      <w:start w:val="1"/>
      <w:numFmt w:val="bullet"/>
      <w:lvlText w:val="o"/>
      <w:lvlJc w:val="left"/>
      <w:pPr>
        <w:ind w:left="2461" w:hanging="360"/>
      </w:pPr>
      <w:rPr>
        <w:rFonts w:ascii="Open Sans Light" w:hAnsi="Open Sans Light" w:cs="Open Sans Light" w:hint="default"/>
      </w:rPr>
    </w:lvl>
    <w:lvl w:ilvl="2" w:tplc="0C090005" w:tentative="1">
      <w:start w:val="1"/>
      <w:numFmt w:val="bullet"/>
      <w:lvlText w:val=""/>
      <w:lvlJc w:val="left"/>
      <w:pPr>
        <w:ind w:left="3181" w:hanging="360"/>
      </w:pPr>
      <w:rPr>
        <w:rFonts w:ascii="MS Gothic" w:hAnsi="MS Gothic" w:hint="default"/>
      </w:rPr>
    </w:lvl>
    <w:lvl w:ilvl="3" w:tplc="0C090001" w:tentative="1">
      <w:start w:val="1"/>
      <w:numFmt w:val="bullet"/>
      <w:lvlText w:val=""/>
      <w:lvlJc w:val="left"/>
      <w:pPr>
        <w:ind w:left="3901" w:hanging="360"/>
      </w:pPr>
      <w:rPr>
        <w:rFonts w:ascii="Courier New" w:hAnsi="Courier New" w:hint="default"/>
      </w:rPr>
    </w:lvl>
    <w:lvl w:ilvl="4" w:tplc="0C090003" w:tentative="1">
      <w:start w:val="1"/>
      <w:numFmt w:val="bullet"/>
      <w:lvlText w:val="o"/>
      <w:lvlJc w:val="left"/>
      <w:pPr>
        <w:ind w:left="4621" w:hanging="360"/>
      </w:pPr>
      <w:rPr>
        <w:rFonts w:ascii="Open Sans Light" w:hAnsi="Open Sans Light" w:cs="Open Sans Light" w:hint="default"/>
      </w:rPr>
    </w:lvl>
    <w:lvl w:ilvl="5" w:tplc="0C090005" w:tentative="1">
      <w:start w:val="1"/>
      <w:numFmt w:val="bullet"/>
      <w:lvlText w:val=""/>
      <w:lvlJc w:val="left"/>
      <w:pPr>
        <w:ind w:left="5341" w:hanging="360"/>
      </w:pPr>
      <w:rPr>
        <w:rFonts w:ascii="MS Gothic" w:hAnsi="MS Gothic" w:hint="default"/>
      </w:rPr>
    </w:lvl>
    <w:lvl w:ilvl="6" w:tplc="0C090001" w:tentative="1">
      <w:start w:val="1"/>
      <w:numFmt w:val="bullet"/>
      <w:lvlText w:val=""/>
      <w:lvlJc w:val="left"/>
      <w:pPr>
        <w:ind w:left="6061" w:hanging="360"/>
      </w:pPr>
      <w:rPr>
        <w:rFonts w:ascii="Courier New" w:hAnsi="Courier New" w:hint="default"/>
      </w:rPr>
    </w:lvl>
    <w:lvl w:ilvl="7" w:tplc="0C090003" w:tentative="1">
      <w:start w:val="1"/>
      <w:numFmt w:val="bullet"/>
      <w:lvlText w:val="o"/>
      <w:lvlJc w:val="left"/>
      <w:pPr>
        <w:ind w:left="6781" w:hanging="360"/>
      </w:pPr>
      <w:rPr>
        <w:rFonts w:ascii="Open Sans Light" w:hAnsi="Open Sans Light" w:cs="Open Sans Light" w:hint="default"/>
      </w:rPr>
    </w:lvl>
    <w:lvl w:ilvl="8" w:tplc="0C090005" w:tentative="1">
      <w:start w:val="1"/>
      <w:numFmt w:val="bullet"/>
      <w:lvlText w:val=""/>
      <w:lvlJc w:val="left"/>
      <w:pPr>
        <w:ind w:left="7501" w:hanging="360"/>
      </w:pPr>
      <w:rPr>
        <w:rFonts w:ascii="MS Gothic" w:hAnsi="MS Gothic" w:hint="default"/>
      </w:rPr>
    </w:lvl>
  </w:abstractNum>
  <w:abstractNum w:abstractNumId="14" w15:restartNumberingAfterBreak="0">
    <w:nsid w:val="69AE757B"/>
    <w:multiLevelType w:val="hybridMultilevel"/>
    <w:tmpl w:val="37C297E0"/>
    <w:lvl w:ilvl="0" w:tplc="FA02E2F4">
      <w:start w:val="1"/>
      <w:numFmt w:val="lowerLetter"/>
      <w:lvlText w:val="(%1)"/>
      <w:lvlJc w:val="left"/>
      <w:pPr>
        <w:ind w:left="689" w:hanging="576"/>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5" w15:restartNumberingAfterBreak="0">
    <w:nsid w:val="76113BB6"/>
    <w:multiLevelType w:val="hybridMultilevel"/>
    <w:tmpl w:val="DF926C28"/>
    <w:lvl w:ilvl="0" w:tplc="D85003E6">
      <w:start w:val="1"/>
      <w:numFmt w:val="decimal"/>
      <w:lvlText w:val="%1"/>
      <w:lvlJc w:val="left"/>
      <w:pPr>
        <w:ind w:left="720" w:hanging="360"/>
      </w:pPr>
      <w:rPr>
        <w:rFonts w:ascii="Wingdings" w:hAnsi="Wingdings" w:hint="default"/>
        <w:b w:val="0"/>
        <w:i w:val="0"/>
        <w:caps w:val="0"/>
        <w:strike w:val="0"/>
        <w:dstrike w:val="0"/>
        <w:vanish w:val="0"/>
        <w:color w:val="000000" w:themeColor="text1"/>
        <w:sz w:val="2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C09489A"/>
    <w:multiLevelType w:val="hybridMultilevel"/>
    <w:tmpl w:val="F4FE3A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8"/>
  </w:num>
  <w:num w:numId="3">
    <w:abstractNumId w:val="3"/>
  </w:num>
  <w:num w:numId="4">
    <w:abstractNumId w:val="2"/>
  </w:num>
  <w:num w:numId="5">
    <w:abstractNumId w:val="0"/>
  </w:num>
  <w:num w:numId="6">
    <w:abstractNumId w:val="13"/>
  </w:num>
  <w:num w:numId="7">
    <w:abstractNumId w:val="8"/>
  </w:num>
  <w:num w:numId="8">
    <w:abstractNumId w:val="8"/>
    <w:lvlOverride w:ilvl="0">
      <w:startOverride w:val="1"/>
    </w:lvlOverride>
  </w:num>
  <w:num w:numId="9">
    <w:abstractNumId w:val="14"/>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num>
  <w:num w:numId="17">
    <w:abstractNumId w:val="15"/>
  </w:num>
  <w:num w:numId="18">
    <w:abstractNumId w:val="8"/>
    <w:lvlOverride w:ilvl="0">
      <w:startOverride w:val="1"/>
    </w:lvlOverride>
  </w:num>
  <w:num w:numId="19">
    <w:abstractNumId w:val="8"/>
    <w:lvlOverride w:ilvl="0">
      <w:startOverride w:val="1"/>
    </w:lvlOverride>
  </w:num>
  <w:num w:numId="20">
    <w:abstractNumId w:val="9"/>
  </w:num>
  <w:num w:numId="21">
    <w:abstractNumId w:val="11"/>
  </w:num>
  <w:num w:numId="22">
    <w:abstractNumId w:val="16"/>
  </w:num>
  <w:num w:numId="23">
    <w:abstractNumId w:val="8"/>
  </w:num>
  <w:num w:numId="24">
    <w:abstractNumId w:val="8"/>
    <w:lvlOverride w:ilvl="0">
      <w:startOverride w:val="1"/>
    </w:lvlOverride>
  </w:num>
  <w:num w:numId="25">
    <w:abstractNumId w:val="8"/>
  </w:num>
  <w:num w:numId="26">
    <w:abstractNumId w:val="8"/>
  </w:num>
  <w:num w:numId="27">
    <w:abstractNumId w:val="3"/>
  </w:num>
  <w:num w:numId="28">
    <w:abstractNumId w:val="2"/>
  </w:num>
  <w:num w:numId="29">
    <w:abstractNumId w:val="0"/>
  </w:num>
  <w:num w:numId="30">
    <w:abstractNumId w:val="1"/>
  </w:num>
  <w:num w:numId="31">
    <w:abstractNumId w:val="10"/>
  </w:num>
  <w:num w:numId="32">
    <w:abstractNumId w:val="7"/>
  </w:num>
  <w:num w:numId="33">
    <w:abstractNumId w:val="4"/>
  </w:num>
  <w:num w:numId="34">
    <w:abstractNumId w:val="3"/>
  </w:num>
  <w:num w:numId="35">
    <w:abstractNumId w:val="3"/>
  </w:num>
  <w:num w:numId="36">
    <w:abstractNumId w:val="3"/>
  </w:num>
  <w:num w:numId="37">
    <w:abstractNumId w:val="3"/>
  </w:num>
  <w:num w:numId="38">
    <w:abstractNumId w:val="3"/>
  </w:num>
  <w:num w:numId="39">
    <w:abstractNumId w:val="3"/>
  </w:num>
  <w:num w:numId="40">
    <w:abstractNumId w:val="3"/>
  </w:num>
  <w:num w:numId="41">
    <w:abstractNumId w:val="3"/>
  </w:num>
  <w:num w:numId="42">
    <w:abstractNumId w:val="8"/>
    <w:lvlOverride w:ilvl="0">
      <w:startOverride w:val="1"/>
    </w:lvlOverride>
  </w:num>
  <w:num w:numId="43">
    <w:abstractNumId w:val="12"/>
  </w:num>
  <w:num w:numId="44">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1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57"/>
  <w:drawingGridVerticalSpacing w:val="57"/>
  <w:displayHorizontalDrawingGridEvery w:val="2"/>
  <w:displayVertic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65998"/>
    <w:rsid w:val="00000280"/>
    <w:rsid w:val="0000044B"/>
    <w:rsid w:val="000005BE"/>
    <w:rsid w:val="00000652"/>
    <w:rsid w:val="00000772"/>
    <w:rsid w:val="00000998"/>
    <w:rsid w:val="000009C4"/>
    <w:rsid w:val="00000B3C"/>
    <w:rsid w:val="00000BE2"/>
    <w:rsid w:val="00000C15"/>
    <w:rsid w:val="00000C1A"/>
    <w:rsid w:val="00000C62"/>
    <w:rsid w:val="00000F58"/>
    <w:rsid w:val="0000112B"/>
    <w:rsid w:val="00001233"/>
    <w:rsid w:val="0000123D"/>
    <w:rsid w:val="00001418"/>
    <w:rsid w:val="00001BD0"/>
    <w:rsid w:val="00001CB4"/>
    <w:rsid w:val="00001DA7"/>
    <w:rsid w:val="000020F7"/>
    <w:rsid w:val="000022F4"/>
    <w:rsid w:val="0000236D"/>
    <w:rsid w:val="000023AC"/>
    <w:rsid w:val="000026D0"/>
    <w:rsid w:val="0000290F"/>
    <w:rsid w:val="00002BCC"/>
    <w:rsid w:val="00002FA4"/>
    <w:rsid w:val="0000307E"/>
    <w:rsid w:val="00003155"/>
    <w:rsid w:val="000032A4"/>
    <w:rsid w:val="00003479"/>
    <w:rsid w:val="000034C3"/>
    <w:rsid w:val="00003A09"/>
    <w:rsid w:val="00003A91"/>
    <w:rsid w:val="00003C49"/>
    <w:rsid w:val="00003DDD"/>
    <w:rsid w:val="00003E72"/>
    <w:rsid w:val="0000408D"/>
    <w:rsid w:val="000040D9"/>
    <w:rsid w:val="000042A6"/>
    <w:rsid w:val="00004548"/>
    <w:rsid w:val="00004581"/>
    <w:rsid w:val="00004885"/>
    <w:rsid w:val="00005229"/>
    <w:rsid w:val="000056FF"/>
    <w:rsid w:val="0000577B"/>
    <w:rsid w:val="000057D3"/>
    <w:rsid w:val="00005958"/>
    <w:rsid w:val="0000595F"/>
    <w:rsid w:val="00005B81"/>
    <w:rsid w:val="00005CBF"/>
    <w:rsid w:val="00005D7E"/>
    <w:rsid w:val="00005F9C"/>
    <w:rsid w:val="00006067"/>
    <w:rsid w:val="00006598"/>
    <w:rsid w:val="000065CF"/>
    <w:rsid w:val="000065DB"/>
    <w:rsid w:val="00006640"/>
    <w:rsid w:val="0000670F"/>
    <w:rsid w:val="000068B9"/>
    <w:rsid w:val="0000692A"/>
    <w:rsid w:val="00006BE8"/>
    <w:rsid w:val="00006E89"/>
    <w:rsid w:val="00006FA8"/>
    <w:rsid w:val="000071C5"/>
    <w:rsid w:val="000072CE"/>
    <w:rsid w:val="00007559"/>
    <w:rsid w:val="00007584"/>
    <w:rsid w:val="000076F3"/>
    <w:rsid w:val="00007739"/>
    <w:rsid w:val="00007BA3"/>
    <w:rsid w:val="00007D2E"/>
    <w:rsid w:val="00007FAE"/>
    <w:rsid w:val="000100E9"/>
    <w:rsid w:val="0001014A"/>
    <w:rsid w:val="000102BB"/>
    <w:rsid w:val="000102DF"/>
    <w:rsid w:val="00010806"/>
    <w:rsid w:val="0001088C"/>
    <w:rsid w:val="000108FB"/>
    <w:rsid w:val="00010A99"/>
    <w:rsid w:val="00010D5A"/>
    <w:rsid w:val="00011381"/>
    <w:rsid w:val="0001144E"/>
    <w:rsid w:val="0001146E"/>
    <w:rsid w:val="00011506"/>
    <w:rsid w:val="00011896"/>
    <w:rsid w:val="0001192D"/>
    <w:rsid w:val="00011B81"/>
    <w:rsid w:val="00011BE1"/>
    <w:rsid w:val="00011C03"/>
    <w:rsid w:val="00011C40"/>
    <w:rsid w:val="00011D24"/>
    <w:rsid w:val="00011DC6"/>
    <w:rsid w:val="00011E72"/>
    <w:rsid w:val="00011F57"/>
    <w:rsid w:val="00012044"/>
    <w:rsid w:val="0001206E"/>
    <w:rsid w:val="00012084"/>
    <w:rsid w:val="000123F7"/>
    <w:rsid w:val="000124F0"/>
    <w:rsid w:val="00012502"/>
    <w:rsid w:val="000126AC"/>
    <w:rsid w:val="000128FF"/>
    <w:rsid w:val="0001292A"/>
    <w:rsid w:val="00012D6B"/>
    <w:rsid w:val="000131AD"/>
    <w:rsid w:val="00013226"/>
    <w:rsid w:val="000136AD"/>
    <w:rsid w:val="00013BCD"/>
    <w:rsid w:val="00013CEE"/>
    <w:rsid w:val="0001406B"/>
    <w:rsid w:val="000143CB"/>
    <w:rsid w:val="00014564"/>
    <w:rsid w:val="0001461F"/>
    <w:rsid w:val="000149DF"/>
    <w:rsid w:val="00014D1E"/>
    <w:rsid w:val="00014F8A"/>
    <w:rsid w:val="00015223"/>
    <w:rsid w:val="0001545A"/>
    <w:rsid w:val="00015682"/>
    <w:rsid w:val="000156C6"/>
    <w:rsid w:val="00015843"/>
    <w:rsid w:val="0001594D"/>
    <w:rsid w:val="00015A02"/>
    <w:rsid w:val="00015B8F"/>
    <w:rsid w:val="00015C35"/>
    <w:rsid w:val="00015DAC"/>
    <w:rsid w:val="00015E4F"/>
    <w:rsid w:val="0001608C"/>
    <w:rsid w:val="00016103"/>
    <w:rsid w:val="0001612E"/>
    <w:rsid w:val="0001665B"/>
    <w:rsid w:val="00016B18"/>
    <w:rsid w:val="00016B86"/>
    <w:rsid w:val="00016BAC"/>
    <w:rsid w:val="00016C8B"/>
    <w:rsid w:val="00016D12"/>
    <w:rsid w:val="00016FE0"/>
    <w:rsid w:val="00017052"/>
    <w:rsid w:val="0001719E"/>
    <w:rsid w:val="00017210"/>
    <w:rsid w:val="00017BA3"/>
    <w:rsid w:val="000201AF"/>
    <w:rsid w:val="000201EF"/>
    <w:rsid w:val="00020625"/>
    <w:rsid w:val="000208C9"/>
    <w:rsid w:val="0002092E"/>
    <w:rsid w:val="000209CC"/>
    <w:rsid w:val="00020A50"/>
    <w:rsid w:val="00020A57"/>
    <w:rsid w:val="00020DB7"/>
    <w:rsid w:val="00020DFD"/>
    <w:rsid w:val="00020EAF"/>
    <w:rsid w:val="00020F11"/>
    <w:rsid w:val="00021251"/>
    <w:rsid w:val="00021605"/>
    <w:rsid w:val="0002173B"/>
    <w:rsid w:val="000217A1"/>
    <w:rsid w:val="00021B66"/>
    <w:rsid w:val="00021D7D"/>
    <w:rsid w:val="00022221"/>
    <w:rsid w:val="0002228C"/>
    <w:rsid w:val="00022299"/>
    <w:rsid w:val="000225F3"/>
    <w:rsid w:val="00022619"/>
    <w:rsid w:val="0002262B"/>
    <w:rsid w:val="00022867"/>
    <w:rsid w:val="00022A62"/>
    <w:rsid w:val="00022BEE"/>
    <w:rsid w:val="00022EA9"/>
    <w:rsid w:val="00023037"/>
    <w:rsid w:val="00023053"/>
    <w:rsid w:val="00023095"/>
    <w:rsid w:val="00023380"/>
    <w:rsid w:val="000233ED"/>
    <w:rsid w:val="00023661"/>
    <w:rsid w:val="00023760"/>
    <w:rsid w:val="00023813"/>
    <w:rsid w:val="00023832"/>
    <w:rsid w:val="0002384E"/>
    <w:rsid w:val="000239E8"/>
    <w:rsid w:val="00023B2B"/>
    <w:rsid w:val="00023DE6"/>
    <w:rsid w:val="00023E66"/>
    <w:rsid w:val="00024233"/>
    <w:rsid w:val="00024574"/>
    <w:rsid w:val="00024745"/>
    <w:rsid w:val="000247FE"/>
    <w:rsid w:val="00024846"/>
    <w:rsid w:val="00024A42"/>
    <w:rsid w:val="00024B9D"/>
    <w:rsid w:val="00025091"/>
    <w:rsid w:val="0002517B"/>
    <w:rsid w:val="00025247"/>
    <w:rsid w:val="00025338"/>
    <w:rsid w:val="00025393"/>
    <w:rsid w:val="000253CF"/>
    <w:rsid w:val="0002546A"/>
    <w:rsid w:val="000255DD"/>
    <w:rsid w:val="00025A09"/>
    <w:rsid w:val="00025BD0"/>
    <w:rsid w:val="00025CF3"/>
    <w:rsid w:val="00025CFB"/>
    <w:rsid w:val="00025D6C"/>
    <w:rsid w:val="00025D94"/>
    <w:rsid w:val="00025DE4"/>
    <w:rsid w:val="00025E63"/>
    <w:rsid w:val="00025EFC"/>
    <w:rsid w:val="00025F19"/>
    <w:rsid w:val="00025F20"/>
    <w:rsid w:val="00025F40"/>
    <w:rsid w:val="00026075"/>
    <w:rsid w:val="000260CB"/>
    <w:rsid w:val="00026355"/>
    <w:rsid w:val="00026384"/>
    <w:rsid w:val="000263CF"/>
    <w:rsid w:val="0002660D"/>
    <w:rsid w:val="000267DE"/>
    <w:rsid w:val="000268B7"/>
    <w:rsid w:val="0002690B"/>
    <w:rsid w:val="00026ACF"/>
    <w:rsid w:val="00026B49"/>
    <w:rsid w:val="00026F37"/>
    <w:rsid w:val="00026F84"/>
    <w:rsid w:val="00026FF8"/>
    <w:rsid w:val="000271C2"/>
    <w:rsid w:val="000271C9"/>
    <w:rsid w:val="000275DF"/>
    <w:rsid w:val="0002773D"/>
    <w:rsid w:val="000277E1"/>
    <w:rsid w:val="00027C0F"/>
    <w:rsid w:val="00027CA3"/>
    <w:rsid w:val="00027D42"/>
    <w:rsid w:val="00027E82"/>
    <w:rsid w:val="00027E96"/>
    <w:rsid w:val="00030276"/>
    <w:rsid w:val="000307D7"/>
    <w:rsid w:val="000308B5"/>
    <w:rsid w:val="00030CBF"/>
    <w:rsid w:val="00030F4F"/>
    <w:rsid w:val="00030F5B"/>
    <w:rsid w:val="00030FD6"/>
    <w:rsid w:val="00030FEC"/>
    <w:rsid w:val="000311EB"/>
    <w:rsid w:val="00031253"/>
    <w:rsid w:val="00031268"/>
    <w:rsid w:val="0003126F"/>
    <w:rsid w:val="000314CF"/>
    <w:rsid w:val="00031558"/>
    <w:rsid w:val="000315CD"/>
    <w:rsid w:val="00031694"/>
    <w:rsid w:val="0003170A"/>
    <w:rsid w:val="0003197D"/>
    <w:rsid w:val="00031A4C"/>
    <w:rsid w:val="00031B04"/>
    <w:rsid w:val="00031BBC"/>
    <w:rsid w:val="00031F30"/>
    <w:rsid w:val="000321EE"/>
    <w:rsid w:val="00032346"/>
    <w:rsid w:val="00032551"/>
    <w:rsid w:val="00032725"/>
    <w:rsid w:val="00032784"/>
    <w:rsid w:val="000327AD"/>
    <w:rsid w:val="000327C8"/>
    <w:rsid w:val="00032937"/>
    <w:rsid w:val="000329C4"/>
    <w:rsid w:val="00032D60"/>
    <w:rsid w:val="00032E7E"/>
    <w:rsid w:val="00032EA5"/>
    <w:rsid w:val="00032F41"/>
    <w:rsid w:val="000330EA"/>
    <w:rsid w:val="000331FF"/>
    <w:rsid w:val="00033300"/>
    <w:rsid w:val="00033304"/>
    <w:rsid w:val="0003363B"/>
    <w:rsid w:val="000337FA"/>
    <w:rsid w:val="000337FF"/>
    <w:rsid w:val="00033B8E"/>
    <w:rsid w:val="00033C55"/>
    <w:rsid w:val="00033E2A"/>
    <w:rsid w:val="00033E7A"/>
    <w:rsid w:val="00034521"/>
    <w:rsid w:val="0003494F"/>
    <w:rsid w:val="00034985"/>
    <w:rsid w:val="00034AF3"/>
    <w:rsid w:val="00034E49"/>
    <w:rsid w:val="00035062"/>
    <w:rsid w:val="000350B6"/>
    <w:rsid w:val="00035115"/>
    <w:rsid w:val="00035403"/>
    <w:rsid w:val="000354D0"/>
    <w:rsid w:val="00035576"/>
    <w:rsid w:val="0003579B"/>
    <w:rsid w:val="00035CE6"/>
    <w:rsid w:val="00035DEF"/>
    <w:rsid w:val="00035E27"/>
    <w:rsid w:val="00035E40"/>
    <w:rsid w:val="000361EA"/>
    <w:rsid w:val="00036B4B"/>
    <w:rsid w:val="00036C28"/>
    <w:rsid w:val="00036D8F"/>
    <w:rsid w:val="00036FE0"/>
    <w:rsid w:val="000374D2"/>
    <w:rsid w:val="000374FD"/>
    <w:rsid w:val="000375B9"/>
    <w:rsid w:val="000375C6"/>
    <w:rsid w:val="0003784B"/>
    <w:rsid w:val="00037A66"/>
    <w:rsid w:val="00037BC8"/>
    <w:rsid w:val="00037DAD"/>
    <w:rsid w:val="00037E22"/>
    <w:rsid w:val="000402BD"/>
    <w:rsid w:val="000402EC"/>
    <w:rsid w:val="000403B3"/>
    <w:rsid w:val="000403D4"/>
    <w:rsid w:val="00040B1B"/>
    <w:rsid w:val="00040B51"/>
    <w:rsid w:val="00040BDC"/>
    <w:rsid w:val="00040E09"/>
    <w:rsid w:val="000411A4"/>
    <w:rsid w:val="0004123E"/>
    <w:rsid w:val="00041427"/>
    <w:rsid w:val="0004142A"/>
    <w:rsid w:val="00041573"/>
    <w:rsid w:val="00041748"/>
    <w:rsid w:val="00041803"/>
    <w:rsid w:val="0004184D"/>
    <w:rsid w:val="0004192D"/>
    <w:rsid w:val="00041C9B"/>
    <w:rsid w:val="00041E84"/>
    <w:rsid w:val="00041F1D"/>
    <w:rsid w:val="00042008"/>
    <w:rsid w:val="00042094"/>
    <w:rsid w:val="00042460"/>
    <w:rsid w:val="000424EA"/>
    <w:rsid w:val="00042516"/>
    <w:rsid w:val="0004273C"/>
    <w:rsid w:val="00042797"/>
    <w:rsid w:val="00042823"/>
    <w:rsid w:val="00042862"/>
    <w:rsid w:val="0004288D"/>
    <w:rsid w:val="00042B29"/>
    <w:rsid w:val="00042CA6"/>
    <w:rsid w:val="00042DC2"/>
    <w:rsid w:val="00042E28"/>
    <w:rsid w:val="00042F4E"/>
    <w:rsid w:val="0004302E"/>
    <w:rsid w:val="000432B6"/>
    <w:rsid w:val="0004331C"/>
    <w:rsid w:val="00043351"/>
    <w:rsid w:val="00043410"/>
    <w:rsid w:val="000434C4"/>
    <w:rsid w:val="00043AAE"/>
    <w:rsid w:val="00043B41"/>
    <w:rsid w:val="00043D23"/>
    <w:rsid w:val="00043F51"/>
    <w:rsid w:val="000441AE"/>
    <w:rsid w:val="00044344"/>
    <w:rsid w:val="000444EF"/>
    <w:rsid w:val="000446F9"/>
    <w:rsid w:val="00044B9D"/>
    <w:rsid w:val="00044D2D"/>
    <w:rsid w:val="000450A1"/>
    <w:rsid w:val="000451EF"/>
    <w:rsid w:val="000452C3"/>
    <w:rsid w:val="00045748"/>
    <w:rsid w:val="0004583F"/>
    <w:rsid w:val="0004587D"/>
    <w:rsid w:val="0004599B"/>
    <w:rsid w:val="00045A49"/>
    <w:rsid w:val="00045AFC"/>
    <w:rsid w:val="00045BA2"/>
    <w:rsid w:val="00045E2E"/>
    <w:rsid w:val="00045E71"/>
    <w:rsid w:val="00045F1F"/>
    <w:rsid w:val="00045F2B"/>
    <w:rsid w:val="00046089"/>
    <w:rsid w:val="000463D5"/>
    <w:rsid w:val="000466C5"/>
    <w:rsid w:val="000469FF"/>
    <w:rsid w:val="00046B38"/>
    <w:rsid w:val="0004704B"/>
    <w:rsid w:val="000471DD"/>
    <w:rsid w:val="0004738A"/>
    <w:rsid w:val="000473DC"/>
    <w:rsid w:val="00047763"/>
    <w:rsid w:val="00047AF9"/>
    <w:rsid w:val="00047B01"/>
    <w:rsid w:val="00047BC3"/>
    <w:rsid w:val="00047CA7"/>
    <w:rsid w:val="00047CCA"/>
    <w:rsid w:val="00047D51"/>
    <w:rsid w:val="00047F80"/>
    <w:rsid w:val="00050222"/>
    <w:rsid w:val="0005062A"/>
    <w:rsid w:val="0005062F"/>
    <w:rsid w:val="00050769"/>
    <w:rsid w:val="00050E4C"/>
    <w:rsid w:val="00050F31"/>
    <w:rsid w:val="00050FFE"/>
    <w:rsid w:val="00051085"/>
    <w:rsid w:val="0005117A"/>
    <w:rsid w:val="00051229"/>
    <w:rsid w:val="0005126A"/>
    <w:rsid w:val="0005135E"/>
    <w:rsid w:val="00051447"/>
    <w:rsid w:val="000514BF"/>
    <w:rsid w:val="000517FA"/>
    <w:rsid w:val="000518D4"/>
    <w:rsid w:val="00051901"/>
    <w:rsid w:val="00051B74"/>
    <w:rsid w:val="00051D55"/>
    <w:rsid w:val="00051FF3"/>
    <w:rsid w:val="000521F2"/>
    <w:rsid w:val="00052209"/>
    <w:rsid w:val="0005225D"/>
    <w:rsid w:val="00052285"/>
    <w:rsid w:val="000522A8"/>
    <w:rsid w:val="000526ED"/>
    <w:rsid w:val="000529E6"/>
    <w:rsid w:val="00052A35"/>
    <w:rsid w:val="00052B9F"/>
    <w:rsid w:val="00052D88"/>
    <w:rsid w:val="00052F40"/>
    <w:rsid w:val="00053020"/>
    <w:rsid w:val="00053039"/>
    <w:rsid w:val="00053247"/>
    <w:rsid w:val="00053465"/>
    <w:rsid w:val="000534F2"/>
    <w:rsid w:val="0005356E"/>
    <w:rsid w:val="000535C7"/>
    <w:rsid w:val="000535C9"/>
    <w:rsid w:val="000536F7"/>
    <w:rsid w:val="00053A84"/>
    <w:rsid w:val="00053A92"/>
    <w:rsid w:val="00053AE5"/>
    <w:rsid w:val="00053AED"/>
    <w:rsid w:val="00053B72"/>
    <w:rsid w:val="00053C04"/>
    <w:rsid w:val="00053CF3"/>
    <w:rsid w:val="00053D15"/>
    <w:rsid w:val="00053D73"/>
    <w:rsid w:val="00053FD2"/>
    <w:rsid w:val="000541EC"/>
    <w:rsid w:val="00054375"/>
    <w:rsid w:val="0005453F"/>
    <w:rsid w:val="000545AF"/>
    <w:rsid w:val="000547D8"/>
    <w:rsid w:val="00054819"/>
    <w:rsid w:val="0005489B"/>
    <w:rsid w:val="0005495F"/>
    <w:rsid w:val="0005497F"/>
    <w:rsid w:val="00054CCF"/>
    <w:rsid w:val="000551C2"/>
    <w:rsid w:val="0005521C"/>
    <w:rsid w:val="00055504"/>
    <w:rsid w:val="0005563A"/>
    <w:rsid w:val="0005598E"/>
    <w:rsid w:val="00055F5E"/>
    <w:rsid w:val="00056373"/>
    <w:rsid w:val="000564C9"/>
    <w:rsid w:val="0005666A"/>
    <w:rsid w:val="000566E2"/>
    <w:rsid w:val="000568F9"/>
    <w:rsid w:val="00056AFC"/>
    <w:rsid w:val="00056C3E"/>
    <w:rsid w:val="00056D82"/>
    <w:rsid w:val="0005749A"/>
    <w:rsid w:val="00057581"/>
    <w:rsid w:val="00057696"/>
    <w:rsid w:val="00057C6F"/>
    <w:rsid w:val="00057C78"/>
    <w:rsid w:val="00057EF2"/>
    <w:rsid w:val="000601A2"/>
    <w:rsid w:val="000603DB"/>
    <w:rsid w:val="000605BC"/>
    <w:rsid w:val="000606D1"/>
    <w:rsid w:val="00060D79"/>
    <w:rsid w:val="00060E36"/>
    <w:rsid w:val="00060F40"/>
    <w:rsid w:val="0006100B"/>
    <w:rsid w:val="00061111"/>
    <w:rsid w:val="000614D4"/>
    <w:rsid w:val="000616F5"/>
    <w:rsid w:val="00061737"/>
    <w:rsid w:val="000617F8"/>
    <w:rsid w:val="00061989"/>
    <w:rsid w:val="00061A7F"/>
    <w:rsid w:val="00061B9E"/>
    <w:rsid w:val="00061FEE"/>
    <w:rsid w:val="00062022"/>
    <w:rsid w:val="00062167"/>
    <w:rsid w:val="000621E6"/>
    <w:rsid w:val="000624BB"/>
    <w:rsid w:val="00062573"/>
    <w:rsid w:val="0006264A"/>
    <w:rsid w:val="00062661"/>
    <w:rsid w:val="000626D5"/>
    <w:rsid w:val="00062714"/>
    <w:rsid w:val="00062B18"/>
    <w:rsid w:val="00062D7B"/>
    <w:rsid w:val="00063062"/>
    <w:rsid w:val="000630D9"/>
    <w:rsid w:val="000631BA"/>
    <w:rsid w:val="00063596"/>
    <w:rsid w:val="000636CF"/>
    <w:rsid w:val="00063AA3"/>
    <w:rsid w:val="00063CA7"/>
    <w:rsid w:val="00063D37"/>
    <w:rsid w:val="00063E04"/>
    <w:rsid w:val="00063E25"/>
    <w:rsid w:val="00063F12"/>
    <w:rsid w:val="00063FDC"/>
    <w:rsid w:val="000640C2"/>
    <w:rsid w:val="0006443D"/>
    <w:rsid w:val="00064709"/>
    <w:rsid w:val="00064759"/>
    <w:rsid w:val="00064847"/>
    <w:rsid w:val="000648E8"/>
    <w:rsid w:val="00064B58"/>
    <w:rsid w:val="00064E91"/>
    <w:rsid w:val="0006515F"/>
    <w:rsid w:val="0006518F"/>
    <w:rsid w:val="000652CE"/>
    <w:rsid w:val="000657CE"/>
    <w:rsid w:val="00065991"/>
    <w:rsid w:val="00065BD8"/>
    <w:rsid w:val="00065F2A"/>
    <w:rsid w:val="00066029"/>
    <w:rsid w:val="00066033"/>
    <w:rsid w:val="00066150"/>
    <w:rsid w:val="000663D5"/>
    <w:rsid w:val="000665EF"/>
    <w:rsid w:val="00066903"/>
    <w:rsid w:val="00066924"/>
    <w:rsid w:val="00066BF2"/>
    <w:rsid w:val="00066C4F"/>
    <w:rsid w:val="000672C4"/>
    <w:rsid w:val="000674CF"/>
    <w:rsid w:val="00067757"/>
    <w:rsid w:val="00067D57"/>
    <w:rsid w:val="00067D60"/>
    <w:rsid w:val="000702DC"/>
    <w:rsid w:val="00070BC5"/>
    <w:rsid w:val="00070CCE"/>
    <w:rsid w:val="00070D64"/>
    <w:rsid w:val="00070F0C"/>
    <w:rsid w:val="00070F5B"/>
    <w:rsid w:val="00070FDF"/>
    <w:rsid w:val="00071038"/>
    <w:rsid w:val="00071210"/>
    <w:rsid w:val="0007137B"/>
    <w:rsid w:val="00071386"/>
    <w:rsid w:val="0007148C"/>
    <w:rsid w:val="00071615"/>
    <w:rsid w:val="00071663"/>
    <w:rsid w:val="000717FC"/>
    <w:rsid w:val="00071A91"/>
    <w:rsid w:val="00071AFE"/>
    <w:rsid w:val="00071B07"/>
    <w:rsid w:val="00071FC0"/>
    <w:rsid w:val="00072088"/>
    <w:rsid w:val="0007243A"/>
    <w:rsid w:val="000724B7"/>
    <w:rsid w:val="000726CB"/>
    <w:rsid w:val="00072979"/>
    <w:rsid w:val="00072B18"/>
    <w:rsid w:val="00072C0E"/>
    <w:rsid w:val="00072C97"/>
    <w:rsid w:val="00072F2A"/>
    <w:rsid w:val="0007304F"/>
    <w:rsid w:val="00073251"/>
    <w:rsid w:val="00073321"/>
    <w:rsid w:val="0007361A"/>
    <w:rsid w:val="00073977"/>
    <w:rsid w:val="00073A39"/>
    <w:rsid w:val="00073B97"/>
    <w:rsid w:val="00073BF9"/>
    <w:rsid w:val="00073DD1"/>
    <w:rsid w:val="00074034"/>
    <w:rsid w:val="000743A2"/>
    <w:rsid w:val="000743E8"/>
    <w:rsid w:val="0007458E"/>
    <w:rsid w:val="00074874"/>
    <w:rsid w:val="000749A1"/>
    <w:rsid w:val="00074D96"/>
    <w:rsid w:val="00075128"/>
    <w:rsid w:val="00075271"/>
    <w:rsid w:val="0007547A"/>
    <w:rsid w:val="00075A9F"/>
    <w:rsid w:val="0007602B"/>
    <w:rsid w:val="00076184"/>
    <w:rsid w:val="0007648D"/>
    <w:rsid w:val="0007655C"/>
    <w:rsid w:val="000767A0"/>
    <w:rsid w:val="000769F3"/>
    <w:rsid w:val="00076A0E"/>
    <w:rsid w:val="00076C57"/>
    <w:rsid w:val="00076D63"/>
    <w:rsid w:val="00076DC4"/>
    <w:rsid w:val="00076ED2"/>
    <w:rsid w:val="0007726A"/>
    <w:rsid w:val="000772A8"/>
    <w:rsid w:val="0007757C"/>
    <w:rsid w:val="0007789C"/>
    <w:rsid w:val="00077920"/>
    <w:rsid w:val="00077A7B"/>
    <w:rsid w:val="00077F31"/>
    <w:rsid w:val="00080320"/>
    <w:rsid w:val="00080361"/>
    <w:rsid w:val="000805CB"/>
    <w:rsid w:val="00080634"/>
    <w:rsid w:val="000809FA"/>
    <w:rsid w:val="00080F00"/>
    <w:rsid w:val="00080FA7"/>
    <w:rsid w:val="00081130"/>
    <w:rsid w:val="00081391"/>
    <w:rsid w:val="000814F8"/>
    <w:rsid w:val="0008171F"/>
    <w:rsid w:val="000818B2"/>
    <w:rsid w:val="000818DF"/>
    <w:rsid w:val="0008199D"/>
    <w:rsid w:val="000819BF"/>
    <w:rsid w:val="00081A1D"/>
    <w:rsid w:val="00081B0E"/>
    <w:rsid w:val="00081B37"/>
    <w:rsid w:val="00081B94"/>
    <w:rsid w:val="00081BF1"/>
    <w:rsid w:val="00081D85"/>
    <w:rsid w:val="00081E12"/>
    <w:rsid w:val="00081E2B"/>
    <w:rsid w:val="00081E3D"/>
    <w:rsid w:val="00082284"/>
    <w:rsid w:val="000822DB"/>
    <w:rsid w:val="000824A6"/>
    <w:rsid w:val="00082524"/>
    <w:rsid w:val="00082645"/>
    <w:rsid w:val="000826CB"/>
    <w:rsid w:val="00082A0B"/>
    <w:rsid w:val="00082C3E"/>
    <w:rsid w:val="0008301B"/>
    <w:rsid w:val="00083343"/>
    <w:rsid w:val="0008341C"/>
    <w:rsid w:val="000834B8"/>
    <w:rsid w:val="000834E7"/>
    <w:rsid w:val="0008361D"/>
    <w:rsid w:val="0008382D"/>
    <w:rsid w:val="0008385C"/>
    <w:rsid w:val="00083AD5"/>
    <w:rsid w:val="00083B76"/>
    <w:rsid w:val="00083B8C"/>
    <w:rsid w:val="00083C7B"/>
    <w:rsid w:val="00083D7D"/>
    <w:rsid w:val="00084002"/>
    <w:rsid w:val="000841DD"/>
    <w:rsid w:val="00084424"/>
    <w:rsid w:val="0008442B"/>
    <w:rsid w:val="00084632"/>
    <w:rsid w:val="00084D30"/>
    <w:rsid w:val="00084F11"/>
    <w:rsid w:val="000851DD"/>
    <w:rsid w:val="000851E1"/>
    <w:rsid w:val="000851E3"/>
    <w:rsid w:val="00085842"/>
    <w:rsid w:val="000858ED"/>
    <w:rsid w:val="0008596F"/>
    <w:rsid w:val="00085BE0"/>
    <w:rsid w:val="00085C07"/>
    <w:rsid w:val="00085DD4"/>
    <w:rsid w:val="00085EA5"/>
    <w:rsid w:val="00085EC8"/>
    <w:rsid w:val="00085F86"/>
    <w:rsid w:val="0008654A"/>
    <w:rsid w:val="000866F9"/>
    <w:rsid w:val="000867A9"/>
    <w:rsid w:val="0008683C"/>
    <w:rsid w:val="00086895"/>
    <w:rsid w:val="000868C7"/>
    <w:rsid w:val="00086973"/>
    <w:rsid w:val="00086A3A"/>
    <w:rsid w:val="00086B3D"/>
    <w:rsid w:val="00086BF3"/>
    <w:rsid w:val="00086D39"/>
    <w:rsid w:val="00086DCF"/>
    <w:rsid w:val="0008708C"/>
    <w:rsid w:val="00087370"/>
    <w:rsid w:val="000874F1"/>
    <w:rsid w:val="00087B3C"/>
    <w:rsid w:val="00090431"/>
    <w:rsid w:val="00090474"/>
    <w:rsid w:val="00090510"/>
    <w:rsid w:val="000906A5"/>
    <w:rsid w:val="000907C0"/>
    <w:rsid w:val="0009095B"/>
    <w:rsid w:val="0009099A"/>
    <w:rsid w:val="00090B3F"/>
    <w:rsid w:val="00090C0B"/>
    <w:rsid w:val="00090D11"/>
    <w:rsid w:val="00090D2C"/>
    <w:rsid w:val="00091366"/>
    <w:rsid w:val="000916BA"/>
    <w:rsid w:val="000917CC"/>
    <w:rsid w:val="000918F9"/>
    <w:rsid w:val="00091DD8"/>
    <w:rsid w:val="00091E6E"/>
    <w:rsid w:val="00092027"/>
    <w:rsid w:val="00092041"/>
    <w:rsid w:val="000920F8"/>
    <w:rsid w:val="00092566"/>
    <w:rsid w:val="000927DE"/>
    <w:rsid w:val="00092832"/>
    <w:rsid w:val="00092836"/>
    <w:rsid w:val="00092D38"/>
    <w:rsid w:val="00092F1B"/>
    <w:rsid w:val="00092F1F"/>
    <w:rsid w:val="00092F64"/>
    <w:rsid w:val="00092F69"/>
    <w:rsid w:val="00093415"/>
    <w:rsid w:val="00093512"/>
    <w:rsid w:val="000935C6"/>
    <w:rsid w:val="00093796"/>
    <w:rsid w:val="000937CD"/>
    <w:rsid w:val="00093AB5"/>
    <w:rsid w:val="00093BF1"/>
    <w:rsid w:val="00093F2E"/>
    <w:rsid w:val="000940D9"/>
    <w:rsid w:val="000940F7"/>
    <w:rsid w:val="0009415A"/>
    <w:rsid w:val="000941AC"/>
    <w:rsid w:val="00094294"/>
    <w:rsid w:val="00094382"/>
    <w:rsid w:val="00094503"/>
    <w:rsid w:val="000948B4"/>
    <w:rsid w:val="00094DA4"/>
    <w:rsid w:val="00094E55"/>
    <w:rsid w:val="00094E90"/>
    <w:rsid w:val="00094FCE"/>
    <w:rsid w:val="00094FE0"/>
    <w:rsid w:val="000950A4"/>
    <w:rsid w:val="00095167"/>
    <w:rsid w:val="00095284"/>
    <w:rsid w:val="00095377"/>
    <w:rsid w:val="00095383"/>
    <w:rsid w:val="00095534"/>
    <w:rsid w:val="00095609"/>
    <w:rsid w:val="000959BD"/>
    <w:rsid w:val="00095AC9"/>
    <w:rsid w:val="00095B83"/>
    <w:rsid w:val="00095C2E"/>
    <w:rsid w:val="00095E71"/>
    <w:rsid w:val="000960BF"/>
    <w:rsid w:val="00096153"/>
    <w:rsid w:val="000961BB"/>
    <w:rsid w:val="00096317"/>
    <w:rsid w:val="0009637F"/>
    <w:rsid w:val="0009650F"/>
    <w:rsid w:val="0009689D"/>
    <w:rsid w:val="000968EA"/>
    <w:rsid w:val="00096907"/>
    <w:rsid w:val="00096B29"/>
    <w:rsid w:val="00096BB5"/>
    <w:rsid w:val="00096BBE"/>
    <w:rsid w:val="00096D39"/>
    <w:rsid w:val="00096E6E"/>
    <w:rsid w:val="00096EF5"/>
    <w:rsid w:val="00096F4A"/>
    <w:rsid w:val="00097192"/>
    <w:rsid w:val="00097288"/>
    <w:rsid w:val="000972CA"/>
    <w:rsid w:val="000972D0"/>
    <w:rsid w:val="000972DA"/>
    <w:rsid w:val="00097612"/>
    <w:rsid w:val="000976FC"/>
    <w:rsid w:val="00097AF8"/>
    <w:rsid w:val="00097D54"/>
    <w:rsid w:val="000A0249"/>
    <w:rsid w:val="000A02D5"/>
    <w:rsid w:val="000A030A"/>
    <w:rsid w:val="000A051D"/>
    <w:rsid w:val="000A06FE"/>
    <w:rsid w:val="000A074E"/>
    <w:rsid w:val="000A0BE5"/>
    <w:rsid w:val="000A0C48"/>
    <w:rsid w:val="000A1023"/>
    <w:rsid w:val="000A104F"/>
    <w:rsid w:val="000A1088"/>
    <w:rsid w:val="000A11BF"/>
    <w:rsid w:val="000A14B3"/>
    <w:rsid w:val="000A15B4"/>
    <w:rsid w:val="000A1DBA"/>
    <w:rsid w:val="000A1EFE"/>
    <w:rsid w:val="000A1FF1"/>
    <w:rsid w:val="000A209B"/>
    <w:rsid w:val="000A216B"/>
    <w:rsid w:val="000A24A0"/>
    <w:rsid w:val="000A298C"/>
    <w:rsid w:val="000A2ABC"/>
    <w:rsid w:val="000A2ADD"/>
    <w:rsid w:val="000A2B63"/>
    <w:rsid w:val="000A2E79"/>
    <w:rsid w:val="000A2EA5"/>
    <w:rsid w:val="000A3213"/>
    <w:rsid w:val="000A353C"/>
    <w:rsid w:val="000A36D9"/>
    <w:rsid w:val="000A3794"/>
    <w:rsid w:val="000A3837"/>
    <w:rsid w:val="000A3898"/>
    <w:rsid w:val="000A3953"/>
    <w:rsid w:val="000A3F85"/>
    <w:rsid w:val="000A3F95"/>
    <w:rsid w:val="000A428D"/>
    <w:rsid w:val="000A42AD"/>
    <w:rsid w:val="000A442C"/>
    <w:rsid w:val="000A46CB"/>
    <w:rsid w:val="000A4868"/>
    <w:rsid w:val="000A4B08"/>
    <w:rsid w:val="000A4D2B"/>
    <w:rsid w:val="000A4F20"/>
    <w:rsid w:val="000A5023"/>
    <w:rsid w:val="000A50EA"/>
    <w:rsid w:val="000A522F"/>
    <w:rsid w:val="000A5268"/>
    <w:rsid w:val="000A5270"/>
    <w:rsid w:val="000A52A1"/>
    <w:rsid w:val="000A5494"/>
    <w:rsid w:val="000A584D"/>
    <w:rsid w:val="000A5870"/>
    <w:rsid w:val="000A5899"/>
    <w:rsid w:val="000A58FC"/>
    <w:rsid w:val="000A5903"/>
    <w:rsid w:val="000A5D76"/>
    <w:rsid w:val="000A5DEB"/>
    <w:rsid w:val="000A5E26"/>
    <w:rsid w:val="000A5FFF"/>
    <w:rsid w:val="000A6209"/>
    <w:rsid w:val="000A6344"/>
    <w:rsid w:val="000A63FD"/>
    <w:rsid w:val="000A64C2"/>
    <w:rsid w:val="000A65CE"/>
    <w:rsid w:val="000A65E5"/>
    <w:rsid w:val="000A65EC"/>
    <w:rsid w:val="000A67DA"/>
    <w:rsid w:val="000A689E"/>
    <w:rsid w:val="000A6C82"/>
    <w:rsid w:val="000A6E12"/>
    <w:rsid w:val="000A72A0"/>
    <w:rsid w:val="000A73DD"/>
    <w:rsid w:val="000A75BC"/>
    <w:rsid w:val="000A79AB"/>
    <w:rsid w:val="000A7AAD"/>
    <w:rsid w:val="000A7BC4"/>
    <w:rsid w:val="000A7DBC"/>
    <w:rsid w:val="000A7E9A"/>
    <w:rsid w:val="000A7FCF"/>
    <w:rsid w:val="000B010B"/>
    <w:rsid w:val="000B01A2"/>
    <w:rsid w:val="000B04FF"/>
    <w:rsid w:val="000B05FF"/>
    <w:rsid w:val="000B07BA"/>
    <w:rsid w:val="000B08E1"/>
    <w:rsid w:val="000B0949"/>
    <w:rsid w:val="000B0AE7"/>
    <w:rsid w:val="000B0B61"/>
    <w:rsid w:val="000B0EFB"/>
    <w:rsid w:val="000B1099"/>
    <w:rsid w:val="000B1556"/>
    <w:rsid w:val="000B1A89"/>
    <w:rsid w:val="000B1AFF"/>
    <w:rsid w:val="000B1B7E"/>
    <w:rsid w:val="000B1E2D"/>
    <w:rsid w:val="000B2028"/>
    <w:rsid w:val="000B202D"/>
    <w:rsid w:val="000B202F"/>
    <w:rsid w:val="000B218A"/>
    <w:rsid w:val="000B21CD"/>
    <w:rsid w:val="000B221D"/>
    <w:rsid w:val="000B23E9"/>
    <w:rsid w:val="000B2628"/>
    <w:rsid w:val="000B2698"/>
    <w:rsid w:val="000B2774"/>
    <w:rsid w:val="000B27D7"/>
    <w:rsid w:val="000B2942"/>
    <w:rsid w:val="000B29D3"/>
    <w:rsid w:val="000B2A2E"/>
    <w:rsid w:val="000B2C7D"/>
    <w:rsid w:val="000B2D15"/>
    <w:rsid w:val="000B30E6"/>
    <w:rsid w:val="000B3239"/>
    <w:rsid w:val="000B3282"/>
    <w:rsid w:val="000B3324"/>
    <w:rsid w:val="000B33EF"/>
    <w:rsid w:val="000B3557"/>
    <w:rsid w:val="000B367E"/>
    <w:rsid w:val="000B3723"/>
    <w:rsid w:val="000B3842"/>
    <w:rsid w:val="000B3891"/>
    <w:rsid w:val="000B3929"/>
    <w:rsid w:val="000B3983"/>
    <w:rsid w:val="000B3B38"/>
    <w:rsid w:val="000B3B75"/>
    <w:rsid w:val="000B3C5F"/>
    <w:rsid w:val="000B3D14"/>
    <w:rsid w:val="000B3FA8"/>
    <w:rsid w:val="000B3FAF"/>
    <w:rsid w:val="000B40D2"/>
    <w:rsid w:val="000B4438"/>
    <w:rsid w:val="000B461F"/>
    <w:rsid w:val="000B4808"/>
    <w:rsid w:val="000B481E"/>
    <w:rsid w:val="000B48BF"/>
    <w:rsid w:val="000B48D7"/>
    <w:rsid w:val="000B4ABA"/>
    <w:rsid w:val="000B4B5E"/>
    <w:rsid w:val="000B4F47"/>
    <w:rsid w:val="000B50DF"/>
    <w:rsid w:val="000B53A3"/>
    <w:rsid w:val="000B53B4"/>
    <w:rsid w:val="000B53EA"/>
    <w:rsid w:val="000B55FF"/>
    <w:rsid w:val="000B57EE"/>
    <w:rsid w:val="000B58A9"/>
    <w:rsid w:val="000B5A4F"/>
    <w:rsid w:val="000B5A80"/>
    <w:rsid w:val="000B5D00"/>
    <w:rsid w:val="000B5E9E"/>
    <w:rsid w:val="000B5EDD"/>
    <w:rsid w:val="000B5F79"/>
    <w:rsid w:val="000B5FF2"/>
    <w:rsid w:val="000B6161"/>
    <w:rsid w:val="000B64E3"/>
    <w:rsid w:val="000B64EF"/>
    <w:rsid w:val="000B66DB"/>
    <w:rsid w:val="000B67C5"/>
    <w:rsid w:val="000B68E2"/>
    <w:rsid w:val="000B6BA5"/>
    <w:rsid w:val="000B72AF"/>
    <w:rsid w:val="000B7320"/>
    <w:rsid w:val="000B743F"/>
    <w:rsid w:val="000B752C"/>
    <w:rsid w:val="000B7688"/>
    <w:rsid w:val="000B77FB"/>
    <w:rsid w:val="000B7802"/>
    <w:rsid w:val="000B7C8F"/>
    <w:rsid w:val="000B7D1D"/>
    <w:rsid w:val="000B7F1B"/>
    <w:rsid w:val="000C01C7"/>
    <w:rsid w:val="000C054F"/>
    <w:rsid w:val="000C05E0"/>
    <w:rsid w:val="000C0615"/>
    <w:rsid w:val="000C0703"/>
    <w:rsid w:val="000C07C5"/>
    <w:rsid w:val="000C0993"/>
    <w:rsid w:val="000C09AF"/>
    <w:rsid w:val="000C0BBF"/>
    <w:rsid w:val="000C12E9"/>
    <w:rsid w:val="000C13EF"/>
    <w:rsid w:val="000C15D9"/>
    <w:rsid w:val="000C160C"/>
    <w:rsid w:val="000C17E2"/>
    <w:rsid w:val="000C17EE"/>
    <w:rsid w:val="000C181F"/>
    <w:rsid w:val="000C18B6"/>
    <w:rsid w:val="000C193B"/>
    <w:rsid w:val="000C19D6"/>
    <w:rsid w:val="000C1A09"/>
    <w:rsid w:val="000C1F53"/>
    <w:rsid w:val="000C227B"/>
    <w:rsid w:val="000C2391"/>
    <w:rsid w:val="000C26C2"/>
    <w:rsid w:val="000C29FD"/>
    <w:rsid w:val="000C2AB8"/>
    <w:rsid w:val="000C2B25"/>
    <w:rsid w:val="000C2B99"/>
    <w:rsid w:val="000C2CF1"/>
    <w:rsid w:val="000C2E74"/>
    <w:rsid w:val="000C3018"/>
    <w:rsid w:val="000C30BE"/>
    <w:rsid w:val="000C365C"/>
    <w:rsid w:val="000C398C"/>
    <w:rsid w:val="000C3B8B"/>
    <w:rsid w:val="000C3C48"/>
    <w:rsid w:val="000C3F4A"/>
    <w:rsid w:val="000C40EA"/>
    <w:rsid w:val="000C4442"/>
    <w:rsid w:val="000C447E"/>
    <w:rsid w:val="000C491F"/>
    <w:rsid w:val="000C4954"/>
    <w:rsid w:val="000C4E80"/>
    <w:rsid w:val="000C5107"/>
    <w:rsid w:val="000C5158"/>
    <w:rsid w:val="000C51C7"/>
    <w:rsid w:val="000C5478"/>
    <w:rsid w:val="000C550A"/>
    <w:rsid w:val="000C55EB"/>
    <w:rsid w:val="000C561C"/>
    <w:rsid w:val="000C583C"/>
    <w:rsid w:val="000C59AC"/>
    <w:rsid w:val="000C5A73"/>
    <w:rsid w:val="000C5AA3"/>
    <w:rsid w:val="000C5B11"/>
    <w:rsid w:val="000C5DCB"/>
    <w:rsid w:val="000C5E23"/>
    <w:rsid w:val="000C61D7"/>
    <w:rsid w:val="000C639F"/>
    <w:rsid w:val="000C65AA"/>
    <w:rsid w:val="000C65D0"/>
    <w:rsid w:val="000C66C1"/>
    <w:rsid w:val="000C681A"/>
    <w:rsid w:val="000C68BA"/>
    <w:rsid w:val="000C68C0"/>
    <w:rsid w:val="000C6A47"/>
    <w:rsid w:val="000C6BE0"/>
    <w:rsid w:val="000C6D2A"/>
    <w:rsid w:val="000C6DF7"/>
    <w:rsid w:val="000C6FA2"/>
    <w:rsid w:val="000C6FC6"/>
    <w:rsid w:val="000C7107"/>
    <w:rsid w:val="000C7165"/>
    <w:rsid w:val="000C7598"/>
    <w:rsid w:val="000C75C0"/>
    <w:rsid w:val="000C7811"/>
    <w:rsid w:val="000C7A72"/>
    <w:rsid w:val="000C7AE4"/>
    <w:rsid w:val="000C7CD4"/>
    <w:rsid w:val="000D037A"/>
    <w:rsid w:val="000D039D"/>
    <w:rsid w:val="000D03CD"/>
    <w:rsid w:val="000D042D"/>
    <w:rsid w:val="000D0573"/>
    <w:rsid w:val="000D0732"/>
    <w:rsid w:val="000D07DE"/>
    <w:rsid w:val="000D0939"/>
    <w:rsid w:val="000D09C8"/>
    <w:rsid w:val="000D0C25"/>
    <w:rsid w:val="000D0CE4"/>
    <w:rsid w:val="000D0F79"/>
    <w:rsid w:val="000D11F8"/>
    <w:rsid w:val="000D12AC"/>
    <w:rsid w:val="000D1354"/>
    <w:rsid w:val="000D1559"/>
    <w:rsid w:val="000D1643"/>
    <w:rsid w:val="000D16A4"/>
    <w:rsid w:val="000D16A5"/>
    <w:rsid w:val="000D17FF"/>
    <w:rsid w:val="000D184C"/>
    <w:rsid w:val="000D1A58"/>
    <w:rsid w:val="000D1AA5"/>
    <w:rsid w:val="000D1BD2"/>
    <w:rsid w:val="000D1D13"/>
    <w:rsid w:val="000D23DC"/>
    <w:rsid w:val="000D2648"/>
    <w:rsid w:val="000D26F1"/>
    <w:rsid w:val="000D281B"/>
    <w:rsid w:val="000D2867"/>
    <w:rsid w:val="000D29B6"/>
    <w:rsid w:val="000D2B06"/>
    <w:rsid w:val="000D2D48"/>
    <w:rsid w:val="000D33CC"/>
    <w:rsid w:val="000D33F3"/>
    <w:rsid w:val="000D3768"/>
    <w:rsid w:val="000D3C6E"/>
    <w:rsid w:val="000D3DA2"/>
    <w:rsid w:val="000D408E"/>
    <w:rsid w:val="000D4568"/>
    <w:rsid w:val="000D4580"/>
    <w:rsid w:val="000D4A20"/>
    <w:rsid w:val="000D4A59"/>
    <w:rsid w:val="000D4D8D"/>
    <w:rsid w:val="000D4D91"/>
    <w:rsid w:val="000D4DBB"/>
    <w:rsid w:val="000D4FDF"/>
    <w:rsid w:val="000D5020"/>
    <w:rsid w:val="000D50AC"/>
    <w:rsid w:val="000D51B8"/>
    <w:rsid w:val="000D5374"/>
    <w:rsid w:val="000D5612"/>
    <w:rsid w:val="000D5CD0"/>
    <w:rsid w:val="000D5DEB"/>
    <w:rsid w:val="000D5FFF"/>
    <w:rsid w:val="000D61C6"/>
    <w:rsid w:val="000D6411"/>
    <w:rsid w:val="000D65F7"/>
    <w:rsid w:val="000D66B7"/>
    <w:rsid w:val="000D673A"/>
    <w:rsid w:val="000D6BAA"/>
    <w:rsid w:val="000D6DAF"/>
    <w:rsid w:val="000D6E64"/>
    <w:rsid w:val="000D700A"/>
    <w:rsid w:val="000D714B"/>
    <w:rsid w:val="000D71DD"/>
    <w:rsid w:val="000D757E"/>
    <w:rsid w:val="000D7717"/>
    <w:rsid w:val="000D7887"/>
    <w:rsid w:val="000D7ABD"/>
    <w:rsid w:val="000D7B41"/>
    <w:rsid w:val="000D7BF0"/>
    <w:rsid w:val="000D7C54"/>
    <w:rsid w:val="000D7E88"/>
    <w:rsid w:val="000E00AA"/>
    <w:rsid w:val="000E0142"/>
    <w:rsid w:val="000E0210"/>
    <w:rsid w:val="000E0252"/>
    <w:rsid w:val="000E027D"/>
    <w:rsid w:val="000E02AB"/>
    <w:rsid w:val="000E04C6"/>
    <w:rsid w:val="000E0564"/>
    <w:rsid w:val="000E057F"/>
    <w:rsid w:val="000E0603"/>
    <w:rsid w:val="000E060D"/>
    <w:rsid w:val="000E07A7"/>
    <w:rsid w:val="000E0825"/>
    <w:rsid w:val="000E093C"/>
    <w:rsid w:val="000E0B35"/>
    <w:rsid w:val="000E0E64"/>
    <w:rsid w:val="000E111F"/>
    <w:rsid w:val="000E14A6"/>
    <w:rsid w:val="000E14AC"/>
    <w:rsid w:val="000E1682"/>
    <w:rsid w:val="000E18FD"/>
    <w:rsid w:val="000E1937"/>
    <w:rsid w:val="000E1E35"/>
    <w:rsid w:val="000E1FA3"/>
    <w:rsid w:val="000E1FF1"/>
    <w:rsid w:val="000E2088"/>
    <w:rsid w:val="000E2298"/>
    <w:rsid w:val="000E22B3"/>
    <w:rsid w:val="000E23A6"/>
    <w:rsid w:val="000E23BE"/>
    <w:rsid w:val="000E2521"/>
    <w:rsid w:val="000E267C"/>
    <w:rsid w:val="000E274E"/>
    <w:rsid w:val="000E29E4"/>
    <w:rsid w:val="000E316A"/>
    <w:rsid w:val="000E333C"/>
    <w:rsid w:val="000E3569"/>
    <w:rsid w:val="000E3675"/>
    <w:rsid w:val="000E396B"/>
    <w:rsid w:val="000E3A8F"/>
    <w:rsid w:val="000E3D9D"/>
    <w:rsid w:val="000E4049"/>
    <w:rsid w:val="000E414D"/>
    <w:rsid w:val="000E4176"/>
    <w:rsid w:val="000E41A2"/>
    <w:rsid w:val="000E42A1"/>
    <w:rsid w:val="000E44C3"/>
    <w:rsid w:val="000E473D"/>
    <w:rsid w:val="000E4799"/>
    <w:rsid w:val="000E47D6"/>
    <w:rsid w:val="000E48D7"/>
    <w:rsid w:val="000E498C"/>
    <w:rsid w:val="000E4AE7"/>
    <w:rsid w:val="000E4BBA"/>
    <w:rsid w:val="000E4BF6"/>
    <w:rsid w:val="000E4CEB"/>
    <w:rsid w:val="000E4D8F"/>
    <w:rsid w:val="000E4EE3"/>
    <w:rsid w:val="000E4FB5"/>
    <w:rsid w:val="000E50BC"/>
    <w:rsid w:val="000E527F"/>
    <w:rsid w:val="000E548C"/>
    <w:rsid w:val="000E5559"/>
    <w:rsid w:val="000E5687"/>
    <w:rsid w:val="000E56EF"/>
    <w:rsid w:val="000E5763"/>
    <w:rsid w:val="000E5914"/>
    <w:rsid w:val="000E594E"/>
    <w:rsid w:val="000E5A2A"/>
    <w:rsid w:val="000E5C57"/>
    <w:rsid w:val="000E5CE0"/>
    <w:rsid w:val="000E5E96"/>
    <w:rsid w:val="000E5EE2"/>
    <w:rsid w:val="000E5F03"/>
    <w:rsid w:val="000E61B3"/>
    <w:rsid w:val="000E6354"/>
    <w:rsid w:val="000E6408"/>
    <w:rsid w:val="000E64A8"/>
    <w:rsid w:val="000E6530"/>
    <w:rsid w:val="000E65D0"/>
    <w:rsid w:val="000E65E2"/>
    <w:rsid w:val="000E67D3"/>
    <w:rsid w:val="000E691B"/>
    <w:rsid w:val="000E6AA5"/>
    <w:rsid w:val="000E6B88"/>
    <w:rsid w:val="000E6CC1"/>
    <w:rsid w:val="000E6E0A"/>
    <w:rsid w:val="000E6E83"/>
    <w:rsid w:val="000E720B"/>
    <w:rsid w:val="000E72F3"/>
    <w:rsid w:val="000E76D0"/>
    <w:rsid w:val="000E7757"/>
    <w:rsid w:val="000E777A"/>
    <w:rsid w:val="000E7902"/>
    <w:rsid w:val="000E7A9E"/>
    <w:rsid w:val="000E7DDD"/>
    <w:rsid w:val="000E7F2B"/>
    <w:rsid w:val="000E7F56"/>
    <w:rsid w:val="000F0178"/>
    <w:rsid w:val="000F0696"/>
    <w:rsid w:val="000F069D"/>
    <w:rsid w:val="000F097F"/>
    <w:rsid w:val="000F0CC4"/>
    <w:rsid w:val="000F0F60"/>
    <w:rsid w:val="000F0F63"/>
    <w:rsid w:val="000F10F8"/>
    <w:rsid w:val="000F13A9"/>
    <w:rsid w:val="000F13C4"/>
    <w:rsid w:val="000F1570"/>
    <w:rsid w:val="000F1850"/>
    <w:rsid w:val="000F1C72"/>
    <w:rsid w:val="000F1CDA"/>
    <w:rsid w:val="000F1F3D"/>
    <w:rsid w:val="000F1F94"/>
    <w:rsid w:val="000F216B"/>
    <w:rsid w:val="000F21FF"/>
    <w:rsid w:val="000F22B5"/>
    <w:rsid w:val="000F2759"/>
    <w:rsid w:val="000F2763"/>
    <w:rsid w:val="000F2775"/>
    <w:rsid w:val="000F294D"/>
    <w:rsid w:val="000F295E"/>
    <w:rsid w:val="000F2CF9"/>
    <w:rsid w:val="000F2D2B"/>
    <w:rsid w:val="000F2D76"/>
    <w:rsid w:val="000F3094"/>
    <w:rsid w:val="000F309A"/>
    <w:rsid w:val="000F3223"/>
    <w:rsid w:val="000F32BE"/>
    <w:rsid w:val="000F3321"/>
    <w:rsid w:val="000F3621"/>
    <w:rsid w:val="000F380C"/>
    <w:rsid w:val="000F3A26"/>
    <w:rsid w:val="000F3D25"/>
    <w:rsid w:val="000F3E5D"/>
    <w:rsid w:val="000F3E6F"/>
    <w:rsid w:val="000F3E76"/>
    <w:rsid w:val="000F4283"/>
    <w:rsid w:val="000F43AD"/>
    <w:rsid w:val="000F488D"/>
    <w:rsid w:val="000F4E0C"/>
    <w:rsid w:val="000F4E83"/>
    <w:rsid w:val="000F4EE6"/>
    <w:rsid w:val="000F53D2"/>
    <w:rsid w:val="000F5577"/>
    <w:rsid w:val="000F55A0"/>
    <w:rsid w:val="000F5942"/>
    <w:rsid w:val="000F5BE5"/>
    <w:rsid w:val="000F5E7D"/>
    <w:rsid w:val="000F625B"/>
    <w:rsid w:val="000F639B"/>
    <w:rsid w:val="000F663E"/>
    <w:rsid w:val="000F66CE"/>
    <w:rsid w:val="000F67A8"/>
    <w:rsid w:val="000F68F1"/>
    <w:rsid w:val="000F6A08"/>
    <w:rsid w:val="000F6A78"/>
    <w:rsid w:val="000F6E75"/>
    <w:rsid w:val="000F72ED"/>
    <w:rsid w:val="000F73B7"/>
    <w:rsid w:val="000F7646"/>
    <w:rsid w:val="000F7672"/>
    <w:rsid w:val="000F777A"/>
    <w:rsid w:val="000F7A8C"/>
    <w:rsid w:val="000F7C84"/>
    <w:rsid w:val="000F7C87"/>
    <w:rsid w:val="000F7F37"/>
    <w:rsid w:val="0010004B"/>
    <w:rsid w:val="001001CC"/>
    <w:rsid w:val="00100295"/>
    <w:rsid w:val="001002D3"/>
    <w:rsid w:val="001004FA"/>
    <w:rsid w:val="00100568"/>
    <w:rsid w:val="0010096D"/>
    <w:rsid w:val="00100B57"/>
    <w:rsid w:val="00101136"/>
    <w:rsid w:val="001011CC"/>
    <w:rsid w:val="001015C2"/>
    <w:rsid w:val="00101604"/>
    <w:rsid w:val="00101F07"/>
    <w:rsid w:val="001023E8"/>
    <w:rsid w:val="0010258E"/>
    <w:rsid w:val="001027A9"/>
    <w:rsid w:val="001028B8"/>
    <w:rsid w:val="00102BAF"/>
    <w:rsid w:val="00102CE0"/>
    <w:rsid w:val="00102E5C"/>
    <w:rsid w:val="00102F0D"/>
    <w:rsid w:val="00102F63"/>
    <w:rsid w:val="00103056"/>
    <w:rsid w:val="001032B5"/>
    <w:rsid w:val="001032E0"/>
    <w:rsid w:val="00103493"/>
    <w:rsid w:val="001037A2"/>
    <w:rsid w:val="001039C2"/>
    <w:rsid w:val="00103FDD"/>
    <w:rsid w:val="0010401F"/>
    <w:rsid w:val="001040AD"/>
    <w:rsid w:val="001042FE"/>
    <w:rsid w:val="00104327"/>
    <w:rsid w:val="00104652"/>
    <w:rsid w:val="001047BD"/>
    <w:rsid w:val="0010480D"/>
    <w:rsid w:val="00104865"/>
    <w:rsid w:val="00104878"/>
    <w:rsid w:val="00104AB3"/>
    <w:rsid w:val="00104C90"/>
    <w:rsid w:val="00104CD5"/>
    <w:rsid w:val="00104FA0"/>
    <w:rsid w:val="00105088"/>
    <w:rsid w:val="001052CC"/>
    <w:rsid w:val="0010539C"/>
    <w:rsid w:val="001053ED"/>
    <w:rsid w:val="00105545"/>
    <w:rsid w:val="001055E9"/>
    <w:rsid w:val="00105705"/>
    <w:rsid w:val="00105753"/>
    <w:rsid w:val="00105803"/>
    <w:rsid w:val="00105BE4"/>
    <w:rsid w:val="00105D9A"/>
    <w:rsid w:val="00106359"/>
    <w:rsid w:val="0010669C"/>
    <w:rsid w:val="001066E1"/>
    <w:rsid w:val="00106732"/>
    <w:rsid w:val="00106865"/>
    <w:rsid w:val="001069D0"/>
    <w:rsid w:val="001069F9"/>
    <w:rsid w:val="00106AD9"/>
    <w:rsid w:val="00106D83"/>
    <w:rsid w:val="00106EEE"/>
    <w:rsid w:val="00106F82"/>
    <w:rsid w:val="001070C1"/>
    <w:rsid w:val="00107771"/>
    <w:rsid w:val="00107847"/>
    <w:rsid w:val="001078A8"/>
    <w:rsid w:val="00107938"/>
    <w:rsid w:val="00107CC4"/>
    <w:rsid w:val="00107CD7"/>
    <w:rsid w:val="00107D3F"/>
    <w:rsid w:val="00107F8E"/>
    <w:rsid w:val="0010A6B1"/>
    <w:rsid w:val="0011002F"/>
    <w:rsid w:val="00110626"/>
    <w:rsid w:val="001106A8"/>
    <w:rsid w:val="0011091D"/>
    <w:rsid w:val="00110CE1"/>
    <w:rsid w:val="00110D7D"/>
    <w:rsid w:val="00110EC9"/>
    <w:rsid w:val="00110F9B"/>
    <w:rsid w:val="00111271"/>
    <w:rsid w:val="00111564"/>
    <w:rsid w:val="001115CB"/>
    <w:rsid w:val="00111615"/>
    <w:rsid w:val="001116B7"/>
    <w:rsid w:val="0011178C"/>
    <w:rsid w:val="00111BE7"/>
    <w:rsid w:val="00111BE9"/>
    <w:rsid w:val="00111C34"/>
    <w:rsid w:val="00111D8A"/>
    <w:rsid w:val="00111DC4"/>
    <w:rsid w:val="00111E7B"/>
    <w:rsid w:val="00112089"/>
    <w:rsid w:val="001120F9"/>
    <w:rsid w:val="001121C8"/>
    <w:rsid w:val="00112276"/>
    <w:rsid w:val="0011239F"/>
    <w:rsid w:val="00112451"/>
    <w:rsid w:val="001126A0"/>
    <w:rsid w:val="001126D0"/>
    <w:rsid w:val="001126D8"/>
    <w:rsid w:val="00112792"/>
    <w:rsid w:val="00112895"/>
    <w:rsid w:val="00112936"/>
    <w:rsid w:val="00112CF0"/>
    <w:rsid w:val="00112D54"/>
    <w:rsid w:val="00112E45"/>
    <w:rsid w:val="0011300E"/>
    <w:rsid w:val="001130A5"/>
    <w:rsid w:val="0011310F"/>
    <w:rsid w:val="00113189"/>
    <w:rsid w:val="001132C4"/>
    <w:rsid w:val="00113360"/>
    <w:rsid w:val="0011351B"/>
    <w:rsid w:val="001137D5"/>
    <w:rsid w:val="0011389F"/>
    <w:rsid w:val="001139D5"/>
    <w:rsid w:val="00113B1F"/>
    <w:rsid w:val="00113BFD"/>
    <w:rsid w:val="00113C64"/>
    <w:rsid w:val="00113D7C"/>
    <w:rsid w:val="00113DCB"/>
    <w:rsid w:val="00113E8D"/>
    <w:rsid w:val="0011421A"/>
    <w:rsid w:val="001144B8"/>
    <w:rsid w:val="00114829"/>
    <w:rsid w:val="001149EE"/>
    <w:rsid w:val="00114AE9"/>
    <w:rsid w:val="00114B20"/>
    <w:rsid w:val="00114B48"/>
    <w:rsid w:val="00114B5E"/>
    <w:rsid w:val="00114BCD"/>
    <w:rsid w:val="00114CC0"/>
    <w:rsid w:val="00114DF6"/>
    <w:rsid w:val="00114E22"/>
    <w:rsid w:val="00114F0C"/>
    <w:rsid w:val="00114FB9"/>
    <w:rsid w:val="00115050"/>
    <w:rsid w:val="001150A0"/>
    <w:rsid w:val="00115140"/>
    <w:rsid w:val="001153E9"/>
    <w:rsid w:val="0011542D"/>
    <w:rsid w:val="00115590"/>
    <w:rsid w:val="00115A48"/>
    <w:rsid w:val="00115CF4"/>
    <w:rsid w:val="00115E08"/>
    <w:rsid w:val="00115F19"/>
    <w:rsid w:val="001160CE"/>
    <w:rsid w:val="001160E3"/>
    <w:rsid w:val="001164F3"/>
    <w:rsid w:val="00116751"/>
    <w:rsid w:val="00116C21"/>
    <w:rsid w:val="00116C44"/>
    <w:rsid w:val="00117067"/>
    <w:rsid w:val="001170BC"/>
    <w:rsid w:val="0011716E"/>
    <w:rsid w:val="00117845"/>
    <w:rsid w:val="00117965"/>
    <w:rsid w:val="00117C2E"/>
    <w:rsid w:val="00117E1B"/>
    <w:rsid w:val="00117F7C"/>
    <w:rsid w:val="00120062"/>
    <w:rsid w:val="00120357"/>
    <w:rsid w:val="00120453"/>
    <w:rsid w:val="001204DC"/>
    <w:rsid w:val="00120854"/>
    <w:rsid w:val="0012093F"/>
    <w:rsid w:val="00120C8F"/>
    <w:rsid w:val="00120E09"/>
    <w:rsid w:val="00120EA5"/>
    <w:rsid w:val="0012105C"/>
    <w:rsid w:val="001211AB"/>
    <w:rsid w:val="00121282"/>
    <w:rsid w:val="001213ED"/>
    <w:rsid w:val="001217DD"/>
    <w:rsid w:val="00121872"/>
    <w:rsid w:val="001218B8"/>
    <w:rsid w:val="00121ABA"/>
    <w:rsid w:val="00122019"/>
    <w:rsid w:val="001223D1"/>
    <w:rsid w:val="001225AE"/>
    <w:rsid w:val="001226B8"/>
    <w:rsid w:val="0012276B"/>
    <w:rsid w:val="00122A83"/>
    <w:rsid w:val="00122CDC"/>
    <w:rsid w:val="00122D00"/>
    <w:rsid w:val="00123454"/>
    <w:rsid w:val="001234AC"/>
    <w:rsid w:val="00123564"/>
    <w:rsid w:val="001238A4"/>
    <w:rsid w:val="00123D8C"/>
    <w:rsid w:val="0012441E"/>
    <w:rsid w:val="00124498"/>
    <w:rsid w:val="00124543"/>
    <w:rsid w:val="0012483C"/>
    <w:rsid w:val="00124C43"/>
    <w:rsid w:val="00124ED1"/>
    <w:rsid w:val="00125018"/>
    <w:rsid w:val="001250CC"/>
    <w:rsid w:val="0012519E"/>
    <w:rsid w:val="00125353"/>
    <w:rsid w:val="001255DE"/>
    <w:rsid w:val="0012563F"/>
    <w:rsid w:val="00125794"/>
    <w:rsid w:val="001258E4"/>
    <w:rsid w:val="00125E92"/>
    <w:rsid w:val="001262CD"/>
    <w:rsid w:val="0012633E"/>
    <w:rsid w:val="00126706"/>
    <w:rsid w:val="0012675D"/>
    <w:rsid w:val="00126788"/>
    <w:rsid w:val="001267F7"/>
    <w:rsid w:val="00126A0B"/>
    <w:rsid w:val="00126A30"/>
    <w:rsid w:val="00126A8F"/>
    <w:rsid w:val="00126D66"/>
    <w:rsid w:val="00126DC2"/>
    <w:rsid w:val="00126E39"/>
    <w:rsid w:val="0012708B"/>
    <w:rsid w:val="00127228"/>
    <w:rsid w:val="00127241"/>
    <w:rsid w:val="001273E0"/>
    <w:rsid w:val="001275AE"/>
    <w:rsid w:val="001275E4"/>
    <w:rsid w:val="00127B3C"/>
    <w:rsid w:val="00127C15"/>
    <w:rsid w:val="00127D58"/>
    <w:rsid w:val="0013021E"/>
    <w:rsid w:val="0013051F"/>
    <w:rsid w:val="0013059B"/>
    <w:rsid w:val="001307A1"/>
    <w:rsid w:val="00130A8D"/>
    <w:rsid w:val="00130BDA"/>
    <w:rsid w:val="00130C4A"/>
    <w:rsid w:val="00130C56"/>
    <w:rsid w:val="00130E1B"/>
    <w:rsid w:val="00131036"/>
    <w:rsid w:val="0013125B"/>
    <w:rsid w:val="00131563"/>
    <w:rsid w:val="00131742"/>
    <w:rsid w:val="001319A8"/>
    <w:rsid w:val="00131CCA"/>
    <w:rsid w:val="00132345"/>
    <w:rsid w:val="00132426"/>
    <w:rsid w:val="00132493"/>
    <w:rsid w:val="001329A8"/>
    <w:rsid w:val="00132D70"/>
    <w:rsid w:val="00132DFA"/>
    <w:rsid w:val="001333F2"/>
    <w:rsid w:val="00133531"/>
    <w:rsid w:val="001336E1"/>
    <w:rsid w:val="00133943"/>
    <w:rsid w:val="00133BD5"/>
    <w:rsid w:val="00133CC3"/>
    <w:rsid w:val="00133DC5"/>
    <w:rsid w:val="00133FD9"/>
    <w:rsid w:val="00134044"/>
    <w:rsid w:val="0013448B"/>
    <w:rsid w:val="00134712"/>
    <w:rsid w:val="00134772"/>
    <w:rsid w:val="001347B2"/>
    <w:rsid w:val="00134808"/>
    <w:rsid w:val="00134A2B"/>
    <w:rsid w:val="00134C76"/>
    <w:rsid w:val="00134D84"/>
    <w:rsid w:val="00134E68"/>
    <w:rsid w:val="001350AC"/>
    <w:rsid w:val="001350B3"/>
    <w:rsid w:val="00135275"/>
    <w:rsid w:val="00135711"/>
    <w:rsid w:val="00135831"/>
    <w:rsid w:val="001359F7"/>
    <w:rsid w:val="00135C4C"/>
    <w:rsid w:val="00135EA8"/>
    <w:rsid w:val="00135FDF"/>
    <w:rsid w:val="00136098"/>
    <w:rsid w:val="00136497"/>
    <w:rsid w:val="0013668E"/>
    <w:rsid w:val="00136760"/>
    <w:rsid w:val="001367B0"/>
    <w:rsid w:val="00136890"/>
    <w:rsid w:val="00136BDC"/>
    <w:rsid w:val="00136E15"/>
    <w:rsid w:val="00137061"/>
    <w:rsid w:val="001371F5"/>
    <w:rsid w:val="001372A2"/>
    <w:rsid w:val="0013740C"/>
    <w:rsid w:val="00137713"/>
    <w:rsid w:val="001377B1"/>
    <w:rsid w:val="00137878"/>
    <w:rsid w:val="00137AD8"/>
    <w:rsid w:val="00137BDC"/>
    <w:rsid w:val="00140007"/>
    <w:rsid w:val="001400DA"/>
    <w:rsid w:val="0014031F"/>
    <w:rsid w:val="00140341"/>
    <w:rsid w:val="00140373"/>
    <w:rsid w:val="001404F6"/>
    <w:rsid w:val="001405BA"/>
    <w:rsid w:val="0014077B"/>
    <w:rsid w:val="00140B11"/>
    <w:rsid w:val="00140CC2"/>
    <w:rsid w:val="00140E33"/>
    <w:rsid w:val="00140F04"/>
    <w:rsid w:val="00140FBA"/>
    <w:rsid w:val="00140FD0"/>
    <w:rsid w:val="0014110D"/>
    <w:rsid w:val="0014147C"/>
    <w:rsid w:val="001415DE"/>
    <w:rsid w:val="00141BD1"/>
    <w:rsid w:val="00141CB6"/>
    <w:rsid w:val="00141FBC"/>
    <w:rsid w:val="001421EB"/>
    <w:rsid w:val="00142228"/>
    <w:rsid w:val="0014242C"/>
    <w:rsid w:val="00142788"/>
    <w:rsid w:val="00142868"/>
    <w:rsid w:val="001429F0"/>
    <w:rsid w:val="00142B2F"/>
    <w:rsid w:val="00142B67"/>
    <w:rsid w:val="00142C4D"/>
    <w:rsid w:val="00142CFE"/>
    <w:rsid w:val="00142D09"/>
    <w:rsid w:val="00142D4A"/>
    <w:rsid w:val="00142D57"/>
    <w:rsid w:val="00142D5E"/>
    <w:rsid w:val="00143030"/>
    <w:rsid w:val="00143202"/>
    <w:rsid w:val="0014349C"/>
    <w:rsid w:val="0014358B"/>
    <w:rsid w:val="001437A6"/>
    <w:rsid w:val="00143975"/>
    <w:rsid w:val="00143D84"/>
    <w:rsid w:val="00144351"/>
    <w:rsid w:val="001447F4"/>
    <w:rsid w:val="001447F9"/>
    <w:rsid w:val="00144A1B"/>
    <w:rsid w:val="00144BBE"/>
    <w:rsid w:val="00144F31"/>
    <w:rsid w:val="001454FD"/>
    <w:rsid w:val="00145CC0"/>
    <w:rsid w:val="00145F48"/>
    <w:rsid w:val="00145FA3"/>
    <w:rsid w:val="00146213"/>
    <w:rsid w:val="00146297"/>
    <w:rsid w:val="00146729"/>
    <w:rsid w:val="0014680D"/>
    <w:rsid w:val="001468FA"/>
    <w:rsid w:val="00146C74"/>
    <w:rsid w:val="00147115"/>
    <w:rsid w:val="00147323"/>
    <w:rsid w:val="001474D5"/>
    <w:rsid w:val="0014751A"/>
    <w:rsid w:val="001475A0"/>
    <w:rsid w:val="001476B2"/>
    <w:rsid w:val="001477CE"/>
    <w:rsid w:val="00147895"/>
    <w:rsid w:val="00147E55"/>
    <w:rsid w:val="00147EA9"/>
    <w:rsid w:val="001506C6"/>
    <w:rsid w:val="0015071E"/>
    <w:rsid w:val="00150E5A"/>
    <w:rsid w:val="0015102A"/>
    <w:rsid w:val="001515AB"/>
    <w:rsid w:val="00151662"/>
    <w:rsid w:val="0015184C"/>
    <w:rsid w:val="001518A1"/>
    <w:rsid w:val="00151B58"/>
    <w:rsid w:val="00151F50"/>
    <w:rsid w:val="00151F64"/>
    <w:rsid w:val="0015252A"/>
    <w:rsid w:val="00152611"/>
    <w:rsid w:val="00152664"/>
    <w:rsid w:val="00152CFE"/>
    <w:rsid w:val="00152D33"/>
    <w:rsid w:val="00152D7E"/>
    <w:rsid w:val="001530B2"/>
    <w:rsid w:val="0015310E"/>
    <w:rsid w:val="0015321A"/>
    <w:rsid w:val="0015346A"/>
    <w:rsid w:val="00153539"/>
    <w:rsid w:val="0015363A"/>
    <w:rsid w:val="00153751"/>
    <w:rsid w:val="001537AD"/>
    <w:rsid w:val="001538B7"/>
    <w:rsid w:val="0015397B"/>
    <w:rsid w:val="00153980"/>
    <w:rsid w:val="001539A9"/>
    <w:rsid w:val="00153A9B"/>
    <w:rsid w:val="00153E55"/>
    <w:rsid w:val="00153E62"/>
    <w:rsid w:val="001541B8"/>
    <w:rsid w:val="001542C5"/>
    <w:rsid w:val="001545D7"/>
    <w:rsid w:val="00154680"/>
    <w:rsid w:val="001547C1"/>
    <w:rsid w:val="001547EC"/>
    <w:rsid w:val="00154C12"/>
    <w:rsid w:val="00154DC4"/>
    <w:rsid w:val="00154DE2"/>
    <w:rsid w:val="00154DEE"/>
    <w:rsid w:val="00155392"/>
    <w:rsid w:val="001556DE"/>
    <w:rsid w:val="001557CD"/>
    <w:rsid w:val="00155A51"/>
    <w:rsid w:val="00155AB9"/>
    <w:rsid w:val="00155C6D"/>
    <w:rsid w:val="00155F1E"/>
    <w:rsid w:val="00156069"/>
    <w:rsid w:val="001560F8"/>
    <w:rsid w:val="001563BC"/>
    <w:rsid w:val="0015642E"/>
    <w:rsid w:val="00156688"/>
    <w:rsid w:val="00156A91"/>
    <w:rsid w:val="00156BA9"/>
    <w:rsid w:val="00157078"/>
    <w:rsid w:val="001572BE"/>
    <w:rsid w:val="0015730F"/>
    <w:rsid w:val="001574F9"/>
    <w:rsid w:val="001575A9"/>
    <w:rsid w:val="001576A3"/>
    <w:rsid w:val="00157AD3"/>
    <w:rsid w:val="00157C73"/>
    <w:rsid w:val="00160319"/>
    <w:rsid w:val="00160387"/>
    <w:rsid w:val="0016054D"/>
    <w:rsid w:val="0016059C"/>
    <w:rsid w:val="0016059E"/>
    <w:rsid w:val="0016079A"/>
    <w:rsid w:val="00160B96"/>
    <w:rsid w:val="00160C44"/>
    <w:rsid w:val="00160CA5"/>
    <w:rsid w:val="00160D4F"/>
    <w:rsid w:val="00160DEE"/>
    <w:rsid w:val="00160E3E"/>
    <w:rsid w:val="00160E4A"/>
    <w:rsid w:val="00160FD6"/>
    <w:rsid w:val="00161037"/>
    <w:rsid w:val="00161467"/>
    <w:rsid w:val="0016193B"/>
    <w:rsid w:val="00161A0E"/>
    <w:rsid w:val="00161C29"/>
    <w:rsid w:val="00161E13"/>
    <w:rsid w:val="00161EFB"/>
    <w:rsid w:val="00161F0E"/>
    <w:rsid w:val="00161FC3"/>
    <w:rsid w:val="00162560"/>
    <w:rsid w:val="00162779"/>
    <w:rsid w:val="00162840"/>
    <w:rsid w:val="001629B3"/>
    <w:rsid w:val="001629E8"/>
    <w:rsid w:val="00162A6B"/>
    <w:rsid w:val="00162A71"/>
    <w:rsid w:val="00162AE1"/>
    <w:rsid w:val="00162C41"/>
    <w:rsid w:val="00163041"/>
    <w:rsid w:val="00163086"/>
    <w:rsid w:val="001633EA"/>
    <w:rsid w:val="0016358C"/>
    <w:rsid w:val="00163610"/>
    <w:rsid w:val="001637B3"/>
    <w:rsid w:val="00163A88"/>
    <w:rsid w:val="00163BCE"/>
    <w:rsid w:val="00163E7E"/>
    <w:rsid w:val="00163EB1"/>
    <w:rsid w:val="00163FD0"/>
    <w:rsid w:val="0016464E"/>
    <w:rsid w:val="00164927"/>
    <w:rsid w:val="00164AA9"/>
    <w:rsid w:val="00164CED"/>
    <w:rsid w:val="00164E15"/>
    <w:rsid w:val="00164E47"/>
    <w:rsid w:val="00164E5A"/>
    <w:rsid w:val="00165115"/>
    <w:rsid w:val="00165268"/>
    <w:rsid w:val="00165383"/>
    <w:rsid w:val="00165424"/>
    <w:rsid w:val="001654B7"/>
    <w:rsid w:val="001656A7"/>
    <w:rsid w:val="001656B6"/>
    <w:rsid w:val="001657BB"/>
    <w:rsid w:val="001657BD"/>
    <w:rsid w:val="00165998"/>
    <w:rsid w:val="00165A24"/>
    <w:rsid w:val="00165BD4"/>
    <w:rsid w:val="00165E65"/>
    <w:rsid w:val="0016635D"/>
    <w:rsid w:val="00166381"/>
    <w:rsid w:val="00166446"/>
    <w:rsid w:val="0016657A"/>
    <w:rsid w:val="0016685E"/>
    <w:rsid w:val="00166887"/>
    <w:rsid w:val="001669EE"/>
    <w:rsid w:val="00166B56"/>
    <w:rsid w:val="00166D26"/>
    <w:rsid w:val="00166E06"/>
    <w:rsid w:val="00166EFF"/>
    <w:rsid w:val="00167156"/>
    <w:rsid w:val="00167187"/>
    <w:rsid w:val="00167239"/>
    <w:rsid w:val="0016723A"/>
    <w:rsid w:val="0016730A"/>
    <w:rsid w:val="001673DE"/>
    <w:rsid w:val="00167436"/>
    <w:rsid w:val="0016744C"/>
    <w:rsid w:val="00167505"/>
    <w:rsid w:val="00167648"/>
    <w:rsid w:val="001679D9"/>
    <w:rsid w:val="00167E3A"/>
    <w:rsid w:val="00167EF4"/>
    <w:rsid w:val="00167F5C"/>
    <w:rsid w:val="00170699"/>
    <w:rsid w:val="0017072B"/>
    <w:rsid w:val="00170934"/>
    <w:rsid w:val="001709FA"/>
    <w:rsid w:val="0017106A"/>
    <w:rsid w:val="0017110C"/>
    <w:rsid w:val="00171166"/>
    <w:rsid w:val="001712A5"/>
    <w:rsid w:val="0017135D"/>
    <w:rsid w:val="001713CB"/>
    <w:rsid w:val="001715C2"/>
    <w:rsid w:val="00171771"/>
    <w:rsid w:val="00171860"/>
    <w:rsid w:val="001718D2"/>
    <w:rsid w:val="001718DB"/>
    <w:rsid w:val="00171A05"/>
    <w:rsid w:val="00171A7E"/>
    <w:rsid w:val="00171AC0"/>
    <w:rsid w:val="00171B8F"/>
    <w:rsid w:val="00171D96"/>
    <w:rsid w:val="00172120"/>
    <w:rsid w:val="0017223C"/>
    <w:rsid w:val="00172373"/>
    <w:rsid w:val="0017244D"/>
    <w:rsid w:val="00172697"/>
    <w:rsid w:val="001726B9"/>
    <w:rsid w:val="00172729"/>
    <w:rsid w:val="00172855"/>
    <w:rsid w:val="00172A0D"/>
    <w:rsid w:val="00172AEA"/>
    <w:rsid w:val="00172B8C"/>
    <w:rsid w:val="00172C9C"/>
    <w:rsid w:val="00172E03"/>
    <w:rsid w:val="00172E34"/>
    <w:rsid w:val="00172EF5"/>
    <w:rsid w:val="00172F3A"/>
    <w:rsid w:val="00172F40"/>
    <w:rsid w:val="00172F61"/>
    <w:rsid w:val="001730FD"/>
    <w:rsid w:val="00173130"/>
    <w:rsid w:val="0017324C"/>
    <w:rsid w:val="00173285"/>
    <w:rsid w:val="0017374E"/>
    <w:rsid w:val="00173786"/>
    <w:rsid w:val="00173798"/>
    <w:rsid w:val="00173BE6"/>
    <w:rsid w:val="00173D70"/>
    <w:rsid w:val="00173E72"/>
    <w:rsid w:val="00173F15"/>
    <w:rsid w:val="001740AD"/>
    <w:rsid w:val="00174150"/>
    <w:rsid w:val="001745E3"/>
    <w:rsid w:val="001747EE"/>
    <w:rsid w:val="00174A6E"/>
    <w:rsid w:val="00174BA0"/>
    <w:rsid w:val="00174EC9"/>
    <w:rsid w:val="00175284"/>
    <w:rsid w:val="001754C9"/>
    <w:rsid w:val="001754D6"/>
    <w:rsid w:val="001757CD"/>
    <w:rsid w:val="0017580D"/>
    <w:rsid w:val="00175889"/>
    <w:rsid w:val="00175991"/>
    <w:rsid w:val="00175BF8"/>
    <w:rsid w:val="001760D1"/>
    <w:rsid w:val="00176100"/>
    <w:rsid w:val="0017613B"/>
    <w:rsid w:val="001761DC"/>
    <w:rsid w:val="0017645B"/>
    <w:rsid w:val="00176A0F"/>
    <w:rsid w:val="00176A85"/>
    <w:rsid w:val="00176E04"/>
    <w:rsid w:val="00177284"/>
    <w:rsid w:val="00177363"/>
    <w:rsid w:val="00177465"/>
    <w:rsid w:val="00177804"/>
    <w:rsid w:val="00177AC5"/>
    <w:rsid w:val="00177B1F"/>
    <w:rsid w:val="00177C93"/>
    <w:rsid w:val="00177D6E"/>
    <w:rsid w:val="00177EE0"/>
    <w:rsid w:val="00177F21"/>
    <w:rsid w:val="00177F72"/>
    <w:rsid w:val="00177F97"/>
    <w:rsid w:val="00177FEE"/>
    <w:rsid w:val="00180009"/>
    <w:rsid w:val="0018009D"/>
    <w:rsid w:val="00180399"/>
    <w:rsid w:val="00180613"/>
    <w:rsid w:val="001807C0"/>
    <w:rsid w:val="00181101"/>
    <w:rsid w:val="00181107"/>
    <w:rsid w:val="001811DE"/>
    <w:rsid w:val="00181389"/>
    <w:rsid w:val="0018153B"/>
    <w:rsid w:val="001815EF"/>
    <w:rsid w:val="00181726"/>
    <w:rsid w:val="001817BF"/>
    <w:rsid w:val="0018182B"/>
    <w:rsid w:val="00181CB7"/>
    <w:rsid w:val="00181CDA"/>
    <w:rsid w:val="00181EF3"/>
    <w:rsid w:val="00182249"/>
    <w:rsid w:val="00182320"/>
    <w:rsid w:val="001824D9"/>
    <w:rsid w:val="001825CC"/>
    <w:rsid w:val="001825DB"/>
    <w:rsid w:val="00182736"/>
    <w:rsid w:val="001828C6"/>
    <w:rsid w:val="00182999"/>
    <w:rsid w:val="0018358F"/>
    <w:rsid w:val="00183611"/>
    <w:rsid w:val="00183665"/>
    <w:rsid w:val="0018398D"/>
    <w:rsid w:val="00183A2B"/>
    <w:rsid w:val="00183A44"/>
    <w:rsid w:val="00183B1F"/>
    <w:rsid w:val="00183CAD"/>
    <w:rsid w:val="00183CB6"/>
    <w:rsid w:val="00183D25"/>
    <w:rsid w:val="00183D49"/>
    <w:rsid w:val="00183E6A"/>
    <w:rsid w:val="00183F99"/>
    <w:rsid w:val="00183FED"/>
    <w:rsid w:val="00184030"/>
    <w:rsid w:val="001840E0"/>
    <w:rsid w:val="0018425B"/>
    <w:rsid w:val="00184A4E"/>
    <w:rsid w:val="00184A50"/>
    <w:rsid w:val="00184AB5"/>
    <w:rsid w:val="00184B7F"/>
    <w:rsid w:val="00184C8B"/>
    <w:rsid w:val="00184CEC"/>
    <w:rsid w:val="00184DB6"/>
    <w:rsid w:val="00184E0F"/>
    <w:rsid w:val="00184FA9"/>
    <w:rsid w:val="0018502B"/>
    <w:rsid w:val="0018509C"/>
    <w:rsid w:val="00185142"/>
    <w:rsid w:val="001851A6"/>
    <w:rsid w:val="00185375"/>
    <w:rsid w:val="00185781"/>
    <w:rsid w:val="00185A4F"/>
    <w:rsid w:val="00185C1B"/>
    <w:rsid w:val="00185C75"/>
    <w:rsid w:val="00186089"/>
    <w:rsid w:val="001860EE"/>
    <w:rsid w:val="0018618C"/>
    <w:rsid w:val="00186571"/>
    <w:rsid w:val="00186696"/>
    <w:rsid w:val="00186A2D"/>
    <w:rsid w:val="0018703F"/>
    <w:rsid w:val="00187145"/>
    <w:rsid w:val="001871AF"/>
    <w:rsid w:val="00187300"/>
    <w:rsid w:val="00187342"/>
    <w:rsid w:val="001873E4"/>
    <w:rsid w:val="0018756E"/>
    <w:rsid w:val="0018757A"/>
    <w:rsid w:val="00187693"/>
    <w:rsid w:val="00187857"/>
    <w:rsid w:val="00187BCA"/>
    <w:rsid w:val="00187D58"/>
    <w:rsid w:val="00190366"/>
    <w:rsid w:val="00190686"/>
    <w:rsid w:val="0019073C"/>
    <w:rsid w:val="00190779"/>
    <w:rsid w:val="001907C6"/>
    <w:rsid w:val="00190B60"/>
    <w:rsid w:val="00190B8E"/>
    <w:rsid w:val="00190CBC"/>
    <w:rsid w:val="00190FCF"/>
    <w:rsid w:val="00190FE2"/>
    <w:rsid w:val="001911AF"/>
    <w:rsid w:val="001913CF"/>
    <w:rsid w:val="0019149C"/>
    <w:rsid w:val="001915C4"/>
    <w:rsid w:val="001916C8"/>
    <w:rsid w:val="001916D0"/>
    <w:rsid w:val="0019185F"/>
    <w:rsid w:val="00191941"/>
    <w:rsid w:val="001919AC"/>
    <w:rsid w:val="00191A05"/>
    <w:rsid w:val="00191ED1"/>
    <w:rsid w:val="001920D0"/>
    <w:rsid w:val="00192120"/>
    <w:rsid w:val="00192288"/>
    <w:rsid w:val="00192357"/>
    <w:rsid w:val="001923CC"/>
    <w:rsid w:val="001924C6"/>
    <w:rsid w:val="00192853"/>
    <w:rsid w:val="00192997"/>
    <w:rsid w:val="00192DB8"/>
    <w:rsid w:val="00192F40"/>
    <w:rsid w:val="0019302A"/>
    <w:rsid w:val="00193160"/>
    <w:rsid w:val="0019368B"/>
    <w:rsid w:val="001936BA"/>
    <w:rsid w:val="001937FC"/>
    <w:rsid w:val="001938BC"/>
    <w:rsid w:val="00193A9B"/>
    <w:rsid w:val="00193C7D"/>
    <w:rsid w:val="00193D24"/>
    <w:rsid w:val="00193D30"/>
    <w:rsid w:val="0019406A"/>
    <w:rsid w:val="00194130"/>
    <w:rsid w:val="001943D5"/>
    <w:rsid w:val="00194615"/>
    <w:rsid w:val="00194725"/>
    <w:rsid w:val="0019478E"/>
    <w:rsid w:val="00194B17"/>
    <w:rsid w:val="00194C99"/>
    <w:rsid w:val="00194FCC"/>
    <w:rsid w:val="00194FE4"/>
    <w:rsid w:val="001950BB"/>
    <w:rsid w:val="001951EF"/>
    <w:rsid w:val="0019580C"/>
    <w:rsid w:val="0019586B"/>
    <w:rsid w:val="00195A28"/>
    <w:rsid w:val="00195C8D"/>
    <w:rsid w:val="00195CF0"/>
    <w:rsid w:val="00195E02"/>
    <w:rsid w:val="00196023"/>
    <w:rsid w:val="00196126"/>
    <w:rsid w:val="0019636D"/>
    <w:rsid w:val="001965E1"/>
    <w:rsid w:val="001966B2"/>
    <w:rsid w:val="00196B1B"/>
    <w:rsid w:val="00196BA4"/>
    <w:rsid w:val="00196D19"/>
    <w:rsid w:val="00196ECD"/>
    <w:rsid w:val="00196EEF"/>
    <w:rsid w:val="00196F21"/>
    <w:rsid w:val="0019702B"/>
    <w:rsid w:val="001977CF"/>
    <w:rsid w:val="00197A41"/>
    <w:rsid w:val="001A0018"/>
    <w:rsid w:val="001A0031"/>
    <w:rsid w:val="001A0194"/>
    <w:rsid w:val="001A04F0"/>
    <w:rsid w:val="001A061B"/>
    <w:rsid w:val="001A0654"/>
    <w:rsid w:val="001A07D2"/>
    <w:rsid w:val="001A082E"/>
    <w:rsid w:val="001A09A6"/>
    <w:rsid w:val="001A0C57"/>
    <w:rsid w:val="001A0C64"/>
    <w:rsid w:val="001A0EBA"/>
    <w:rsid w:val="001A0F53"/>
    <w:rsid w:val="001A12AB"/>
    <w:rsid w:val="001A12F2"/>
    <w:rsid w:val="001A14D2"/>
    <w:rsid w:val="001A1762"/>
    <w:rsid w:val="001A1911"/>
    <w:rsid w:val="001A1F52"/>
    <w:rsid w:val="001A1F9E"/>
    <w:rsid w:val="001A20DA"/>
    <w:rsid w:val="001A2203"/>
    <w:rsid w:val="001A25B6"/>
    <w:rsid w:val="001A26F5"/>
    <w:rsid w:val="001A27DB"/>
    <w:rsid w:val="001A29BF"/>
    <w:rsid w:val="001A2C5D"/>
    <w:rsid w:val="001A2D34"/>
    <w:rsid w:val="001A3428"/>
    <w:rsid w:val="001A3537"/>
    <w:rsid w:val="001A3652"/>
    <w:rsid w:val="001A36AC"/>
    <w:rsid w:val="001A37D4"/>
    <w:rsid w:val="001A3871"/>
    <w:rsid w:val="001A396B"/>
    <w:rsid w:val="001A3A69"/>
    <w:rsid w:val="001A3AEF"/>
    <w:rsid w:val="001A3CCE"/>
    <w:rsid w:val="001A3EE6"/>
    <w:rsid w:val="001A415E"/>
    <w:rsid w:val="001A44A0"/>
    <w:rsid w:val="001A483D"/>
    <w:rsid w:val="001A5031"/>
    <w:rsid w:val="001A54CF"/>
    <w:rsid w:val="001A54EF"/>
    <w:rsid w:val="001A5538"/>
    <w:rsid w:val="001A573B"/>
    <w:rsid w:val="001A5924"/>
    <w:rsid w:val="001A5A47"/>
    <w:rsid w:val="001A6115"/>
    <w:rsid w:val="001A61A0"/>
    <w:rsid w:val="001A6563"/>
    <w:rsid w:val="001A66D2"/>
    <w:rsid w:val="001A6794"/>
    <w:rsid w:val="001A6963"/>
    <w:rsid w:val="001A6DE0"/>
    <w:rsid w:val="001A6EAC"/>
    <w:rsid w:val="001A7024"/>
    <w:rsid w:val="001A72C6"/>
    <w:rsid w:val="001A7303"/>
    <w:rsid w:val="001A7480"/>
    <w:rsid w:val="001A74C5"/>
    <w:rsid w:val="001A77A1"/>
    <w:rsid w:val="001A7C45"/>
    <w:rsid w:val="001A7D00"/>
    <w:rsid w:val="001B0012"/>
    <w:rsid w:val="001B0110"/>
    <w:rsid w:val="001B01B2"/>
    <w:rsid w:val="001B041C"/>
    <w:rsid w:val="001B08EB"/>
    <w:rsid w:val="001B0990"/>
    <w:rsid w:val="001B0AD5"/>
    <w:rsid w:val="001B10CF"/>
    <w:rsid w:val="001B1351"/>
    <w:rsid w:val="001B16E1"/>
    <w:rsid w:val="001B1786"/>
    <w:rsid w:val="001B191F"/>
    <w:rsid w:val="001B1A93"/>
    <w:rsid w:val="001B1C0F"/>
    <w:rsid w:val="001B1C75"/>
    <w:rsid w:val="001B1DEE"/>
    <w:rsid w:val="001B2131"/>
    <w:rsid w:val="001B244A"/>
    <w:rsid w:val="001B261E"/>
    <w:rsid w:val="001B263D"/>
    <w:rsid w:val="001B273B"/>
    <w:rsid w:val="001B277B"/>
    <w:rsid w:val="001B29B0"/>
    <w:rsid w:val="001B2A88"/>
    <w:rsid w:val="001B2CB8"/>
    <w:rsid w:val="001B2E27"/>
    <w:rsid w:val="001B2E73"/>
    <w:rsid w:val="001B3048"/>
    <w:rsid w:val="001B30DD"/>
    <w:rsid w:val="001B3133"/>
    <w:rsid w:val="001B3188"/>
    <w:rsid w:val="001B3210"/>
    <w:rsid w:val="001B37DA"/>
    <w:rsid w:val="001B3879"/>
    <w:rsid w:val="001B398B"/>
    <w:rsid w:val="001B3C88"/>
    <w:rsid w:val="001B40A8"/>
    <w:rsid w:val="001B413A"/>
    <w:rsid w:val="001B45E2"/>
    <w:rsid w:val="001B46D0"/>
    <w:rsid w:val="001B4735"/>
    <w:rsid w:val="001B4770"/>
    <w:rsid w:val="001B4C43"/>
    <w:rsid w:val="001B4D05"/>
    <w:rsid w:val="001B4D74"/>
    <w:rsid w:val="001B4E32"/>
    <w:rsid w:val="001B4F62"/>
    <w:rsid w:val="001B5189"/>
    <w:rsid w:val="001B51B7"/>
    <w:rsid w:val="001B5697"/>
    <w:rsid w:val="001B58A6"/>
    <w:rsid w:val="001B59C9"/>
    <w:rsid w:val="001B5BC5"/>
    <w:rsid w:val="001B5D12"/>
    <w:rsid w:val="001B5D72"/>
    <w:rsid w:val="001B5DAD"/>
    <w:rsid w:val="001B6078"/>
    <w:rsid w:val="001B60FA"/>
    <w:rsid w:val="001B61AA"/>
    <w:rsid w:val="001B629A"/>
    <w:rsid w:val="001B6312"/>
    <w:rsid w:val="001B64F0"/>
    <w:rsid w:val="001B67DB"/>
    <w:rsid w:val="001B696E"/>
    <w:rsid w:val="001B69E2"/>
    <w:rsid w:val="001B6A56"/>
    <w:rsid w:val="001B6B4E"/>
    <w:rsid w:val="001B6EC8"/>
    <w:rsid w:val="001B7148"/>
    <w:rsid w:val="001B72E3"/>
    <w:rsid w:val="001B7391"/>
    <w:rsid w:val="001B73F4"/>
    <w:rsid w:val="001B7421"/>
    <w:rsid w:val="001B7572"/>
    <w:rsid w:val="001B75E5"/>
    <w:rsid w:val="001B763E"/>
    <w:rsid w:val="001B7963"/>
    <w:rsid w:val="001B7995"/>
    <w:rsid w:val="001B79BD"/>
    <w:rsid w:val="001B7C65"/>
    <w:rsid w:val="001B7CBD"/>
    <w:rsid w:val="001B7D33"/>
    <w:rsid w:val="001B7F0F"/>
    <w:rsid w:val="001B7FB0"/>
    <w:rsid w:val="001C00C2"/>
    <w:rsid w:val="001C00FB"/>
    <w:rsid w:val="001C018B"/>
    <w:rsid w:val="001C0288"/>
    <w:rsid w:val="001C03A7"/>
    <w:rsid w:val="001C04F3"/>
    <w:rsid w:val="001C04F6"/>
    <w:rsid w:val="001C051D"/>
    <w:rsid w:val="001C0793"/>
    <w:rsid w:val="001C080F"/>
    <w:rsid w:val="001C08AD"/>
    <w:rsid w:val="001C08C5"/>
    <w:rsid w:val="001C0A64"/>
    <w:rsid w:val="001C0B8F"/>
    <w:rsid w:val="001C10E2"/>
    <w:rsid w:val="001C1680"/>
    <w:rsid w:val="001C189F"/>
    <w:rsid w:val="001C1984"/>
    <w:rsid w:val="001C1A1F"/>
    <w:rsid w:val="001C1A51"/>
    <w:rsid w:val="001C1AF3"/>
    <w:rsid w:val="001C1E55"/>
    <w:rsid w:val="001C1EA1"/>
    <w:rsid w:val="001C1EA7"/>
    <w:rsid w:val="001C1EE9"/>
    <w:rsid w:val="001C24F7"/>
    <w:rsid w:val="001C2708"/>
    <w:rsid w:val="001C2854"/>
    <w:rsid w:val="001C2964"/>
    <w:rsid w:val="001C29DA"/>
    <w:rsid w:val="001C2AF9"/>
    <w:rsid w:val="001C2CB8"/>
    <w:rsid w:val="001C2DA5"/>
    <w:rsid w:val="001C2F51"/>
    <w:rsid w:val="001C310A"/>
    <w:rsid w:val="001C3AD9"/>
    <w:rsid w:val="001C3B56"/>
    <w:rsid w:val="001C3D17"/>
    <w:rsid w:val="001C3D67"/>
    <w:rsid w:val="001C3DD8"/>
    <w:rsid w:val="001C3E2A"/>
    <w:rsid w:val="001C3EA5"/>
    <w:rsid w:val="001C3F5D"/>
    <w:rsid w:val="001C416B"/>
    <w:rsid w:val="001C41F0"/>
    <w:rsid w:val="001C4294"/>
    <w:rsid w:val="001C429F"/>
    <w:rsid w:val="001C433F"/>
    <w:rsid w:val="001C4441"/>
    <w:rsid w:val="001C44A7"/>
    <w:rsid w:val="001C465A"/>
    <w:rsid w:val="001C469B"/>
    <w:rsid w:val="001C4847"/>
    <w:rsid w:val="001C4901"/>
    <w:rsid w:val="001C4B3F"/>
    <w:rsid w:val="001C4CFA"/>
    <w:rsid w:val="001C4D58"/>
    <w:rsid w:val="001C4D7C"/>
    <w:rsid w:val="001C5066"/>
    <w:rsid w:val="001C51A8"/>
    <w:rsid w:val="001C530C"/>
    <w:rsid w:val="001C53C4"/>
    <w:rsid w:val="001C5659"/>
    <w:rsid w:val="001C57E8"/>
    <w:rsid w:val="001C5863"/>
    <w:rsid w:val="001C5A65"/>
    <w:rsid w:val="001C5F81"/>
    <w:rsid w:val="001C5FC7"/>
    <w:rsid w:val="001C5FD0"/>
    <w:rsid w:val="001C6169"/>
    <w:rsid w:val="001C6433"/>
    <w:rsid w:val="001C68B5"/>
    <w:rsid w:val="001C6959"/>
    <w:rsid w:val="001C69F4"/>
    <w:rsid w:val="001C6A30"/>
    <w:rsid w:val="001C6A71"/>
    <w:rsid w:val="001C6C92"/>
    <w:rsid w:val="001C7064"/>
    <w:rsid w:val="001C70AF"/>
    <w:rsid w:val="001C7301"/>
    <w:rsid w:val="001C73B6"/>
    <w:rsid w:val="001C756E"/>
    <w:rsid w:val="001C7619"/>
    <w:rsid w:val="001C7836"/>
    <w:rsid w:val="001C7F6A"/>
    <w:rsid w:val="001C7F70"/>
    <w:rsid w:val="001D04F6"/>
    <w:rsid w:val="001D0695"/>
    <w:rsid w:val="001D0996"/>
    <w:rsid w:val="001D0A6D"/>
    <w:rsid w:val="001D0C24"/>
    <w:rsid w:val="001D0DE0"/>
    <w:rsid w:val="001D0E32"/>
    <w:rsid w:val="001D0E60"/>
    <w:rsid w:val="001D132D"/>
    <w:rsid w:val="001D139F"/>
    <w:rsid w:val="001D13A1"/>
    <w:rsid w:val="001D1411"/>
    <w:rsid w:val="001D1457"/>
    <w:rsid w:val="001D17BC"/>
    <w:rsid w:val="001D1866"/>
    <w:rsid w:val="001D1B2D"/>
    <w:rsid w:val="001D1FCC"/>
    <w:rsid w:val="001D2315"/>
    <w:rsid w:val="001D2475"/>
    <w:rsid w:val="001D254A"/>
    <w:rsid w:val="001D256C"/>
    <w:rsid w:val="001D25B2"/>
    <w:rsid w:val="001D264D"/>
    <w:rsid w:val="001D2661"/>
    <w:rsid w:val="001D26F2"/>
    <w:rsid w:val="001D28D2"/>
    <w:rsid w:val="001D2924"/>
    <w:rsid w:val="001D2A1A"/>
    <w:rsid w:val="001D2FF7"/>
    <w:rsid w:val="001D301B"/>
    <w:rsid w:val="001D3461"/>
    <w:rsid w:val="001D349D"/>
    <w:rsid w:val="001D34AF"/>
    <w:rsid w:val="001D3669"/>
    <w:rsid w:val="001D3812"/>
    <w:rsid w:val="001D3943"/>
    <w:rsid w:val="001D3B05"/>
    <w:rsid w:val="001D3BD0"/>
    <w:rsid w:val="001D3C9B"/>
    <w:rsid w:val="001D3F96"/>
    <w:rsid w:val="001D422D"/>
    <w:rsid w:val="001D450E"/>
    <w:rsid w:val="001D46F4"/>
    <w:rsid w:val="001D4780"/>
    <w:rsid w:val="001D47F8"/>
    <w:rsid w:val="001D49B5"/>
    <w:rsid w:val="001D4AD6"/>
    <w:rsid w:val="001D4AE0"/>
    <w:rsid w:val="001D4AF5"/>
    <w:rsid w:val="001D4B69"/>
    <w:rsid w:val="001D4D63"/>
    <w:rsid w:val="001D4EF3"/>
    <w:rsid w:val="001D5031"/>
    <w:rsid w:val="001D5077"/>
    <w:rsid w:val="001D50BD"/>
    <w:rsid w:val="001D5183"/>
    <w:rsid w:val="001D53B1"/>
    <w:rsid w:val="001D587E"/>
    <w:rsid w:val="001D58FD"/>
    <w:rsid w:val="001D5BFB"/>
    <w:rsid w:val="001D5D95"/>
    <w:rsid w:val="001D5E7D"/>
    <w:rsid w:val="001D601A"/>
    <w:rsid w:val="001D61DF"/>
    <w:rsid w:val="001D6291"/>
    <w:rsid w:val="001D638B"/>
    <w:rsid w:val="001D64A9"/>
    <w:rsid w:val="001D6697"/>
    <w:rsid w:val="001D6716"/>
    <w:rsid w:val="001D67E1"/>
    <w:rsid w:val="001D6C4A"/>
    <w:rsid w:val="001D6C96"/>
    <w:rsid w:val="001D6DBE"/>
    <w:rsid w:val="001D6DFA"/>
    <w:rsid w:val="001D6EDE"/>
    <w:rsid w:val="001D6F1C"/>
    <w:rsid w:val="001D70E4"/>
    <w:rsid w:val="001D74B1"/>
    <w:rsid w:val="001D75C1"/>
    <w:rsid w:val="001D7625"/>
    <w:rsid w:val="001D773B"/>
    <w:rsid w:val="001D7DC8"/>
    <w:rsid w:val="001D7E01"/>
    <w:rsid w:val="001D7E8A"/>
    <w:rsid w:val="001D7FC1"/>
    <w:rsid w:val="001E015C"/>
    <w:rsid w:val="001E01A7"/>
    <w:rsid w:val="001E01C7"/>
    <w:rsid w:val="001E041B"/>
    <w:rsid w:val="001E0647"/>
    <w:rsid w:val="001E0837"/>
    <w:rsid w:val="001E0868"/>
    <w:rsid w:val="001E0A0D"/>
    <w:rsid w:val="001E0A56"/>
    <w:rsid w:val="001E0B5D"/>
    <w:rsid w:val="001E0F39"/>
    <w:rsid w:val="001E15E8"/>
    <w:rsid w:val="001E1916"/>
    <w:rsid w:val="001E1A40"/>
    <w:rsid w:val="001E1B56"/>
    <w:rsid w:val="001E20F6"/>
    <w:rsid w:val="001E2260"/>
    <w:rsid w:val="001E291D"/>
    <w:rsid w:val="001E29A2"/>
    <w:rsid w:val="001E2ADB"/>
    <w:rsid w:val="001E2CAA"/>
    <w:rsid w:val="001E2EDD"/>
    <w:rsid w:val="001E33ED"/>
    <w:rsid w:val="001E340E"/>
    <w:rsid w:val="001E3546"/>
    <w:rsid w:val="001E3605"/>
    <w:rsid w:val="001E36DD"/>
    <w:rsid w:val="001E397C"/>
    <w:rsid w:val="001E39BD"/>
    <w:rsid w:val="001E3BF4"/>
    <w:rsid w:val="001E3C58"/>
    <w:rsid w:val="001E3DF6"/>
    <w:rsid w:val="001E3EF0"/>
    <w:rsid w:val="001E4043"/>
    <w:rsid w:val="001E4147"/>
    <w:rsid w:val="001E41A6"/>
    <w:rsid w:val="001E4353"/>
    <w:rsid w:val="001E4967"/>
    <w:rsid w:val="001E49FA"/>
    <w:rsid w:val="001E4A33"/>
    <w:rsid w:val="001E4EA7"/>
    <w:rsid w:val="001E4EE2"/>
    <w:rsid w:val="001E4F54"/>
    <w:rsid w:val="001E528E"/>
    <w:rsid w:val="001E583A"/>
    <w:rsid w:val="001E5A38"/>
    <w:rsid w:val="001E5AF0"/>
    <w:rsid w:val="001E5E9A"/>
    <w:rsid w:val="001E5F11"/>
    <w:rsid w:val="001E6004"/>
    <w:rsid w:val="001E6148"/>
    <w:rsid w:val="001E6180"/>
    <w:rsid w:val="001E6215"/>
    <w:rsid w:val="001E62C1"/>
    <w:rsid w:val="001E6683"/>
    <w:rsid w:val="001E674B"/>
    <w:rsid w:val="001E676E"/>
    <w:rsid w:val="001E682A"/>
    <w:rsid w:val="001E68FC"/>
    <w:rsid w:val="001E6A1A"/>
    <w:rsid w:val="001E6D04"/>
    <w:rsid w:val="001E6D42"/>
    <w:rsid w:val="001E6EFF"/>
    <w:rsid w:val="001E6F92"/>
    <w:rsid w:val="001E70B1"/>
    <w:rsid w:val="001E713A"/>
    <w:rsid w:val="001E724D"/>
    <w:rsid w:val="001E737D"/>
    <w:rsid w:val="001E7456"/>
    <w:rsid w:val="001E775A"/>
    <w:rsid w:val="001E7805"/>
    <w:rsid w:val="001E7823"/>
    <w:rsid w:val="001E7D52"/>
    <w:rsid w:val="001E7E4A"/>
    <w:rsid w:val="001E7EB8"/>
    <w:rsid w:val="001F0092"/>
    <w:rsid w:val="001F00E8"/>
    <w:rsid w:val="001F0275"/>
    <w:rsid w:val="001F02C2"/>
    <w:rsid w:val="001F0965"/>
    <w:rsid w:val="001F0984"/>
    <w:rsid w:val="001F0CA0"/>
    <w:rsid w:val="001F114E"/>
    <w:rsid w:val="001F12EC"/>
    <w:rsid w:val="001F13BD"/>
    <w:rsid w:val="001F1427"/>
    <w:rsid w:val="001F15E8"/>
    <w:rsid w:val="001F18D3"/>
    <w:rsid w:val="001F19B5"/>
    <w:rsid w:val="001F1F84"/>
    <w:rsid w:val="001F231F"/>
    <w:rsid w:val="001F26C7"/>
    <w:rsid w:val="001F2748"/>
    <w:rsid w:val="001F28AE"/>
    <w:rsid w:val="001F299A"/>
    <w:rsid w:val="001F2D99"/>
    <w:rsid w:val="001F327C"/>
    <w:rsid w:val="001F3714"/>
    <w:rsid w:val="001F37C7"/>
    <w:rsid w:val="001F39A3"/>
    <w:rsid w:val="001F3F1B"/>
    <w:rsid w:val="001F3F66"/>
    <w:rsid w:val="001F40A0"/>
    <w:rsid w:val="001F40B9"/>
    <w:rsid w:val="001F40BC"/>
    <w:rsid w:val="001F43E7"/>
    <w:rsid w:val="001F46EB"/>
    <w:rsid w:val="001F4B4D"/>
    <w:rsid w:val="001F4CA7"/>
    <w:rsid w:val="001F4ED8"/>
    <w:rsid w:val="001F4FB3"/>
    <w:rsid w:val="001F4FE5"/>
    <w:rsid w:val="001F5248"/>
    <w:rsid w:val="001F567B"/>
    <w:rsid w:val="001F5766"/>
    <w:rsid w:val="001F59EA"/>
    <w:rsid w:val="001F5A95"/>
    <w:rsid w:val="001F5FCE"/>
    <w:rsid w:val="001F6017"/>
    <w:rsid w:val="001F62CF"/>
    <w:rsid w:val="001F637F"/>
    <w:rsid w:val="001F6524"/>
    <w:rsid w:val="001F6592"/>
    <w:rsid w:val="001F678B"/>
    <w:rsid w:val="001F68C7"/>
    <w:rsid w:val="001F6952"/>
    <w:rsid w:val="001F6A5A"/>
    <w:rsid w:val="001F6C51"/>
    <w:rsid w:val="001F6E61"/>
    <w:rsid w:val="001F6F1B"/>
    <w:rsid w:val="001F751A"/>
    <w:rsid w:val="001F76FD"/>
    <w:rsid w:val="001F7B23"/>
    <w:rsid w:val="001F7B32"/>
    <w:rsid w:val="001F7C7F"/>
    <w:rsid w:val="001F7CDF"/>
    <w:rsid w:val="001F7D47"/>
    <w:rsid w:val="001F7F1B"/>
    <w:rsid w:val="002001E8"/>
    <w:rsid w:val="00200288"/>
    <w:rsid w:val="0020029A"/>
    <w:rsid w:val="002002F7"/>
    <w:rsid w:val="002003BB"/>
    <w:rsid w:val="0020042F"/>
    <w:rsid w:val="002006BB"/>
    <w:rsid w:val="002007EB"/>
    <w:rsid w:val="00200A4A"/>
    <w:rsid w:val="00200C9F"/>
    <w:rsid w:val="00200CE4"/>
    <w:rsid w:val="00200D83"/>
    <w:rsid w:val="002010E8"/>
    <w:rsid w:val="002011D6"/>
    <w:rsid w:val="002012F3"/>
    <w:rsid w:val="0020133C"/>
    <w:rsid w:val="002014C1"/>
    <w:rsid w:val="002015B2"/>
    <w:rsid w:val="002017BE"/>
    <w:rsid w:val="002017FD"/>
    <w:rsid w:val="00201B3A"/>
    <w:rsid w:val="00201F63"/>
    <w:rsid w:val="00202053"/>
    <w:rsid w:val="00202088"/>
    <w:rsid w:val="002020A6"/>
    <w:rsid w:val="00202114"/>
    <w:rsid w:val="00202158"/>
    <w:rsid w:val="00202283"/>
    <w:rsid w:val="00202487"/>
    <w:rsid w:val="002026B9"/>
    <w:rsid w:val="00202D56"/>
    <w:rsid w:val="00202E3E"/>
    <w:rsid w:val="00202F2D"/>
    <w:rsid w:val="00203013"/>
    <w:rsid w:val="00203199"/>
    <w:rsid w:val="0020335C"/>
    <w:rsid w:val="0020376B"/>
    <w:rsid w:val="00203792"/>
    <w:rsid w:val="00203825"/>
    <w:rsid w:val="0020393E"/>
    <w:rsid w:val="00203A01"/>
    <w:rsid w:val="00203FA1"/>
    <w:rsid w:val="00204026"/>
    <w:rsid w:val="0020424A"/>
    <w:rsid w:val="00204330"/>
    <w:rsid w:val="00204431"/>
    <w:rsid w:val="002044E9"/>
    <w:rsid w:val="002046E9"/>
    <w:rsid w:val="002048A7"/>
    <w:rsid w:val="00204BC2"/>
    <w:rsid w:val="00204CC3"/>
    <w:rsid w:val="002051F9"/>
    <w:rsid w:val="0020524C"/>
    <w:rsid w:val="00205497"/>
    <w:rsid w:val="002055A9"/>
    <w:rsid w:val="00205627"/>
    <w:rsid w:val="00205B1B"/>
    <w:rsid w:val="00205D23"/>
    <w:rsid w:val="00205DBE"/>
    <w:rsid w:val="00205EDD"/>
    <w:rsid w:val="0020602C"/>
    <w:rsid w:val="00206154"/>
    <w:rsid w:val="002061E6"/>
    <w:rsid w:val="00206242"/>
    <w:rsid w:val="0020639A"/>
    <w:rsid w:val="002064EA"/>
    <w:rsid w:val="002066C5"/>
    <w:rsid w:val="002067B3"/>
    <w:rsid w:val="00206969"/>
    <w:rsid w:val="00206B8F"/>
    <w:rsid w:val="00206FC5"/>
    <w:rsid w:val="00207237"/>
    <w:rsid w:val="0020724D"/>
    <w:rsid w:val="00207446"/>
    <w:rsid w:val="00207638"/>
    <w:rsid w:val="0020787B"/>
    <w:rsid w:val="0020792C"/>
    <w:rsid w:val="00207957"/>
    <w:rsid w:val="00207976"/>
    <w:rsid w:val="00207A9B"/>
    <w:rsid w:val="00207CF9"/>
    <w:rsid w:val="00207D11"/>
    <w:rsid w:val="00207DA6"/>
    <w:rsid w:val="00207F44"/>
    <w:rsid w:val="00207FD2"/>
    <w:rsid w:val="00207FF7"/>
    <w:rsid w:val="0021021B"/>
    <w:rsid w:val="00210285"/>
    <w:rsid w:val="00210296"/>
    <w:rsid w:val="0021032E"/>
    <w:rsid w:val="00210A93"/>
    <w:rsid w:val="00210BCD"/>
    <w:rsid w:val="00210C9C"/>
    <w:rsid w:val="00210D53"/>
    <w:rsid w:val="00210F15"/>
    <w:rsid w:val="0021107A"/>
    <w:rsid w:val="00211207"/>
    <w:rsid w:val="002113BC"/>
    <w:rsid w:val="002113CD"/>
    <w:rsid w:val="00211B3D"/>
    <w:rsid w:val="00211DD2"/>
    <w:rsid w:val="00211F93"/>
    <w:rsid w:val="002120C8"/>
    <w:rsid w:val="00212143"/>
    <w:rsid w:val="00212455"/>
    <w:rsid w:val="0021259D"/>
    <w:rsid w:val="002125D0"/>
    <w:rsid w:val="00212948"/>
    <w:rsid w:val="0021330B"/>
    <w:rsid w:val="00213361"/>
    <w:rsid w:val="0021373C"/>
    <w:rsid w:val="00213741"/>
    <w:rsid w:val="00213756"/>
    <w:rsid w:val="002137A2"/>
    <w:rsid w:val="00213E76"/>
    <w:rsid w:val="00213EBD"/>
    <w:rsid w:val="00213EF9"/>
    <w:rsid w:val="0021465E"/>
    <w:rsid w:val="002146CD"/>
    <w:rsid w:val="002149B0"/>
    <w:rsid w:val="002149FD"/>
    <w:rsid w:val="00214A9C"/>
    <w:rsid w:val="00214ED0"/>
    <w:rsid w:val="00214F4F"/>
    <w:rsid w:val="0021529B"/>
    <w:rsid w:val="002152DF"/>
    <w:rsid w:val="00215426"/>
    <w:rsid w:val="00215453"/>
    <w:rsid w:val="00215501"/>
    <w:rsid w:val="00215905"/>
    <w:rsid w:val="002159AA"/>
    <w:rsid w:val="00215A97"/>
    <w:rsid w:val="00215FCE"/>
    <w:rsid w:val="0021632E"/>
    <w:rsid w:val="00216479"/>
    <w:rsid w:val="002164B7"/>
    <w:rsid w:val="002166B6"/>
    <w:rsid w:val="002166F0"/>
    <w:rsid w:val="002169FE"/>
    <w:rsid w:val="00216ACD"/>
    <w:rsid w:val="00216B7B"/>
    <w:rsid w:val="00216F7E"/>
    <w:rsid w:val="002170AB"/>
    <w:rsid w:val="00217132"/>
    <w:rsid w:val="00217291"/>
    <w:rsid w:val="002172E6"/>
    <w:rsid w:val="00217358"/>
    <w:rsid w:val="002175CD"/>
    <w:rsid w:val="00217618"/>
    <w:rsid w:val="00217839"/>
    <w:rsid w:val="00217896"/>
    <w:rsid w:val="00217A2B"/>
    <w:rsid w:val="00217B16"/>
    <w:rsid w:val="00217C50"/>
    <w:rsid w:val="00217DBE"/>
    <w:rsid w:val="00217E46"/>
    <w:rsid w:val="00217E83"/>
    <w:rsid w:val="00217E9D"/>
    <w:rsid w:val="00220312"/>
    <w:rsid w:val="0022061D"/>
    <w:rsid w:val="0022062F"/>
    <w:rsid w:val="0022071E"/>
    <w:rsid w:val="00220754"/>
    <w:rsid w:val="002209D9"/>
    <w:rsid w:val="00220CE3"/>
    <w:rsid w:val="0022141E"/>
    <w:rsid w:val="00221426"/>
    <w:rsid w:val="00221534"/>
    <w:rsid w:val="00221619"/>
    <w:rsid w:val="0022184A"/>
    <w:rsid w:val="0022196A"/>
    <w:rsid w:val="00221E2A"/>
    <w:rsid w:val="00221F05"/>
    <w:rsid w:val="00221F21"/>
    <w:rsid w:val="00221F2D"/>
    <w:rsid w:val="00221F6B"/>
    <w:rsid w:val="00221FB7"/>
    <w:rsid w:val="002220CA"/>
    <w:rsid w:val="0022216C"/>
    <w:rsid w:val="002223FE"/>
    <w:rsid w:val="00222525"/>
    <w:rsid w:val="002225BD"/>
    <w:rsid w:val="0022278B"/>
    <w:rsid w:val="002227BB"/>
    <w:rsid w:val="00222BDF"/>
    <w:rsid w:val="00222C72"/>
    <w:rsid w:val="00222E6F"/>
    <w:rsid w:val="002231E1"/>
    <w:rsid w:val="00223270"/>
    <w:rsid w:val="002233D7"/>
    <w:rsid w:val="00223529"/>
    <w:rsid w:val="0022377F"/>
    <w:rsid w:val="002238BB"/>
    <w:rsid w:val="00223BB5"/>
    <w:rsid w:val="00223F94"/>
    <w:rsid w:val="00224022"/>
    <w:rsid w:val="00224196"/>
    <w:rsid w:val="002242D8"/>
    <w:rsid w:val="00224538"/>
    <w:rsid w:val="00224543"/>
    <w:rsid w:val="00224738"/>
    <w:rsid w:val="00224C88"/>
    <w:rsid w:val="00224DDC"/>
    <w:rsid w:val="00224EE9"/>
    <w:rsid w:val="00225055"/>
    <w:rsid w:val="00225314"/>
    <w:rsid w:val="002253D9"/>
    <w:rsid w:val="00225678"/>
    <w:rsid w:val="00225989"/>
    <w:rsid w:val="002259EB"/>
    <w:rsid w:val="00225A3B"/>
    <w:rsid w:val="00225B05"/>
    <w:rsid w:val="00225DFA"/>
    <w:rsid w:val="00226114"/>
    <w:rsid w:val="00226389"/>
    <w:rsid w:val="00226468"/>
    <w:rsid w:val="00226579"/>
    <w:rsid w:val="002266A8"/>
    <w:rsid w:val="00226928"/>
    <w:rsid w:val="00226942"/>
    <w:rsid w:val="002269DC"/>
    <w:rsid w:val="00226FB2"/>
    <w:rsid w:val="00227141"/>
    <w:rsid w:val="00227252"/>
    <w:rsid w:val="00227444"/>
    <w:rsid w:val="002276A6"/>
    <w:rsid w:val="00227787"/>
    <w:rsid w:val="002279DC"/>
    <w:rsid w:val="00227A54"/>
    <w:rsid w:val="00227B9D"/>
    <w:rsid w:val="00227C49"/>
    <w:rsid w:val="002300D9"/>
    <w:rsid w:val="0023017A"/>
    <w:rsid w:val="0023023B"/>
    <w:rsid w:val="002304D1"/>
    <w:rsid w:val="002306F5"/>
    <w:rsid w:val="0023076B"/>
    <w:rsid w:val="0023081D"/>
    <w:rsid w:val="002308B5"/>
    <w:rsid w:val="00230A3E"/>
    <w:rsid w:val="00230A9C"/>
    <w:rsid w:val="00230B9E"/>
    <w:rsid w:val="00230BD0"/>
    <w:rsid w:val="00230E8B"/>
    <w:rsid w:val="00231338"/>
    <w:rsid w:val="002313B1"/>
    <w:rsid w:val="002313F1"/>
    <w:rsid w:val="0023151A"/>
    <w:rsid w:val="00231813"/>
    <w:rsid w:val="00231A83"/>
    <w:rsid w:val="00231A93"/>
    <w:rsid w:val="00231C3A"/>
    <w:rsid w:val="00231E09"/>
    <w:rsid w:val="00231FD5"/>
    <w:rsid w:val="0023205D"/>
    <w:rsid w:val="00232528"/>
    <w:rsid w:val="00232747"/>
    <w:rsid w:val="002329D2"/>
    <w:rsid w:val="00232ACA"/>
    <w:rsid w:val="00232B0F"/>
    <w:rsid w:val="00232B2B"/>
    <w:rsid w:val="00233049"/>
    <w:rsid w:val="0023329C"/>
    <w:rsid w:val="002333A8"/>
    <w:rsid w:val="002333AB"/>
    <w:rsid w:val="002337CE"/>
    <w:rsid w:val="00233848"/>
    <w:rsid w:val="002338D8"/>
    <w:rsid w:val="00233A3C"/>
    <w:rsid w:val="00233B1C"/>
    <w:rsid w:val="00233C46"/>
    <w:rsid w:val="00234118"/>
    <w:rsid w:val="0023413A"/>
    <w:rsid w:val="002348EE"/>
    <w:rsid w:val="00234953"/>
    <w:rsid w:val="00234B16"/>
    <w:rsid w:val="00234BB6"/>
    <w:rsid w:val="00234E74"/>
    <w:rsid w:val="00235008"/>
    <w:rsid w:val="002350BF"/>
    <w:rsid w:val="0023515A"/>
    <w:rsid w:val="002355B6"/>
    <w:rsid w:val="002355E4"/>
    <w:rsid w:val="00235796"/>
    <w:rsid w:val="00235922"/>
    <w:rsid w:val="002359D1"/>
    <w:rsid w:val="00235A1B"/>
    <w:rsid w:val="00235D94"/>
    <w:rsid w:val="00235DFB"/>
    <w:rsid w:val="00235FCB"/>
    <w:rsid w:val="0023611C"/>
    <w:rsid w:val="002363DA"/>
    <w:rsid w:val="002365BC"/>
    <w:rsid w:val="002366C7"/>
    <w:rsid w:val="00236CE1"/>
    <w:rsid w:val="00236DC0"/>
    <w:rsid w:val="00236E80"/>
    <w:rsid w:val="00236FD9"/>
    <w:rsid w:val="00237147"/>
    <w:rsid w:val="00237278"/>
    <w:rsid w:val="002373A2"/>
    <w:rsid w:val="00237445"/>
    <w:rsid w:val="002374DC"/>
    <w:rsid w:val="002375D7"/>
    <w:rsid w:val="0023761A"/>
    <w:rsid w:val="002376DE"/>
    <w:rsid w:val="00237741"/>
    <w:rsid w:val="0023781F"/>
    <w:rsid w:val="00237879"/>
    <w:rsid w:val="00237889"/>
    <w:rsid w:val="00237B42"/>
    <w:rsid w:val="00237C87"/>
    <w:rsid w:val="00237CA3"/>
    <w:rsid w:val="002401FB"/>
    <w:rsid w:val="0024040E"/>
    <w:rsid w:val="00240476"/>
    <w:rsid w:val="0024052B"/>
    <w:rsid w:val="00240546"/>
    <w:rsid w:val="002406C1"/>
    <w:rsid w:val="002408E0"/>
    <w:rsid w:val="00240B61"/>
    <w:rsid w:val="00240C45"/>
    <w:rsid w:val="00240EBC"/>
    <w:rsid w:val="00241B14"/>
    <w:rsid w:val="00241B61"/>
    <w:rsid w:val="00241C61"/>
    <w:rsid w:val="00241E3B"/>
    <w:rsid w:val="00241EEB"/>
    <w:rsid w:val="00242090"/>
    <w:rsid w:val="002421B6"/>
    <w:rsid w:val="002421CE"/>
    <w:rsid w:val="002424B8"/>
    <w:rsid w:val="00242517"/>
    <w:rsid w:val="0024260B"/>
    <w:rsid w:val="0024343A"/>
    <w:rsid w:val="00243537"/>
    <w:rsid w:val="00243559"/>
    <w:rsid w:val="002435BD"/>
    <w:rsid w:val="00243713"/>
    <w:rsid w:val="002437CF"/>
    <w:rsid w:val="0024392C"/>
    <w:rsid w:val="00243BF4"/>
    <w:rsid w:val="0024401F"/>
    <w:rsid w:val="002441C6"/>
    <w:rsid w:val="0024433E"/>
    <w:rsid w:val="00244449"/>
    <w:rsid w:val="002444A6"/>
    <w:rsid w:val="002444FA"/>
    <w:rsid w:val="002446C1"/>
    <w:rsid w:val="0024476E"/>
    <w:rsid w:val="002449E6"/>
    <w:rsid w:val="002449FC"/>
    <w:rsid w:val="00244A12"/>
    <w:rsid w:val="00244B1B"/>
    <w:rsid w:val="00244DBA"/>
    <w:rsid w:val="00244F3A"/>
    <w:rsid w:val="0024518D"/>
    <w:rsid w:val="00245356"/>
    <w:rsid w:val="0024539D"/>
    <w:rsid w:val="002453D3"/>
    <w:rsid w:val="00245405"/>
    <w:rsid w:val="0024565E"/>
    <w:rsid w:val="00245666"/>
    <w:rsid w:val="0024569B"/>
    <w:rsid w:val="002457A7"/>
    <w:rsid w:val="00245807"/>
    <w:rsid w:val="002458F1"/>
    <w:rsid w:val="0024591D"/>
    <w:rsid w:val="0024594B"/>
    <w:rsid w:val="00245953"/>
    <w:rsid w:val="00245BEF"/>
    <w:rsid w:val="00245BF4"/>
    <w:rsid w:val="0024613E"/>
    <w:rsid w:val="00246215"/>
    <w:rsid w:val="00246449"/>
    <w:rsid w:val="00246490"/>
    <w:rsid w:val="002465D3"/>
    <w:rsid w:val="0024660F"/>
    <w:rsid w:val="00246B77"/>
    <w:rsid w:val="00246CEE"/>
    <w:rsid w:val="0024702A"/>
    <w:rsid w:val="002476AA"/>
    <w:rsid w:val="00247816"/>
    <w:rsid w:val="00247A13"/>
    <w:rsid w:val="00247A34"/>
    <w:rsid w:val="00247CCC"/>
    <w:rsid w:val="00247D04"/>
    <w:rsid w:val="00247D3F"/>
    <w:rsid w:val="00247E77"/>
    <w:rsid w:val="00247F26"/>
    <w:rsid w:val="00250170"/>
    <w:rsid w:val="00250954"/>
    <w:rsid w:val="00250AE4"/>
    <w:rsid w:val="00250C85"/>
    <w:rsid w:val="00250CF9"/>
    <w:rsid w:val="00250D03"/>
    <w:rsid w:val="00250DFC"/>
    <w:rsid w:val="00250E39"/>
    <w:rsid w:val="00250E8F"/>
    <w:rsid w:val="00250E98"/>
    <w:rsid w:val="002510C6"/>
    <w:rsid w:val="002511C8"/>
    <w:rsid w:val="002512A6"/>
    <w:rsid w:val="00251425"/>
    <w:rsid w:val="0025152A"/>
    <w:rsid w:val="00251593"/>
    <w:rsid w:val="002515A7"/>
    <w:rsid w:val="002515B9"/>
    <w:rsid w:val="00251665"/>
    <w:rsid w:val="002516B6"/>
    <w:rsid w:val="00251A00"/>
    <w:rsid w:val="00251A6E"/>
    <w:rsid w:val="00251BB9"/>
    <w:rsid w:val="00251E4C"/>
    <w:rsid w:val="00251F7B"/>
    <w:rsid w:val="00251FA6"/>
    <w:rsid w:val="0025203B"/>
    <w:rsid w:val="0025242C"/>
    <w:rsid w:val="002524DA"/>
    <w:rsid w:val="0025253B"/>
    <w:rsid w:val="002525D6"/>
    <w:rsid w:val="0025265B"/>
    <w:rsid w:val="0025276D"/>
    <w:rsid w:val="00252872"/>
    <w:rsid w:val="0025294B"/>
    <w:rsid w:val="00252B0D"/>
    <w:rsid w:val="00252C54"/>
    <w:rsid w:val="00252E4D"/>
    <w:rsid w:val="00253183"/>
    <w:rsid w:val="0025361A"/>
    <w:rsid w:val="00253659"/>
    <w:rsid w:val="00253860"/>
    <w:rsid w:val="0025390E"/>
    <w:rsid w:val="00253BC9"/>
    <w:rsid w:val="00253D04"/>
    <w:rsid w:val="00253EDE"/>
    <w:rsid w:val="00254010"/>
    <w:rsid w:val="002541D7"/>
    <w:rsid w:val="0025426C"/>
    <w:rsid w:val="00254415"/>
    <w:rsid w:val="002544C4"/>
    <w:rsid w:val="00254519"/>
    <w:rsid w:val="00254533"/>
    <w:rsid w:val="0025460E"/>
    <w:rsid w:val="00254654"/>
    <w:rsid w:val="0025479D"/>
    <w:rsid w:val="00254902"/>
    <w:rsid w:val="00254AD9"/>
    <w:rsid w:val="00254AE8"/>
    <w:rsid w:val="00254B63"/>
    <w:rsid w:val="00254D50"/>
    <w:rsid w:val="00254DCD"/>
    <w:rsid w:val="002551B2"/>
    <w:rsid w:val="00255A29"/>
    <w:rsid w:val="00255B20"/>
    <w:rsid w:val="00255B44"/>
    <w:rsid w:val="00255B5A"/>
    <w:rsid w:val="00255C62"/>
    <w:rsid w:val="00255EE1"/>
    <w:rsid w:val="00255EF2"/>
    <w:rsid w:val="0025683D"/>
    <w:rsid w:val="002568A3"/>
    <w:rsid w:val="002568AB"/>
    <w:rsid w:val="002568AE"/>
    <w:rsid w:val="00256A3B"/>
    <w:rsid w:val="00257390"/>
    <w:rsid w:val="00257414"/>
    <w:rsid w:val="00257823"/>
    <w:rsid w:val="00257C7B"/>
    <w:rsid w:val="00260171"/>
    <w:rsid w:val="002602C8"/>
    <w:rsid w:val="0026055D"/>
    <w:rsid w:val="00260A0D"/>
    <w:rsid w:val="00260D23"/>
    <w:rsid w:val="00260E1B"/>
    <w:rsid w:val="00261289"/>
    <w:rsid w:val="00261363"/>
    <w:rsid w:val="002614BE"/>
    <w:rsid w:val="0026185E"/>
    <w:rsid w:val="00261906"/>
    <w:rsid w:val="00261955"/>
    <w:rsid w:val="0026195A"/>
    <w:rsid w:val="00261D36"/>
    <w:rsid w:val="00261D45"/>
    <w:rsid w:val="00261E1A"/>
    <w:rsid w:val="00261F7B"/>
    <w:rsid w:val="00262238"/>
    <w:rsid w:val="002623F6"/>
    <w:rsid w:val="00262542"/>
    <w:rsid w:val="0026279D"/>
    <w:rsid w:val="00262ACF"/>
    <w:rsid w:val="00262C96"/>
    <w:rsid w:val="00262FD1"/>
    <w:rsid w:val="0026362A"/>
    <w:rsid w:val="002636C0"/>
    <w:rsid w:val="0026380A"/>
    <w:rsid w:val="002639A8"/>
    <w:rsid w:val="002639C1"/>
    <w:rsid w:val="002639D4"/>
    <w:rsid w:val="00263B37"/>
    <w:rsid w:val="00263B69"/>
    <w:rsid w:val="00263CE5"/>
    <w:rsid w:val="00263D58"/>
    <w:rsid w:val="00263D5C"/>
    <w:rsid w:val="00263F72"/>
    <w:rsid w:val="00264057"/>
    <w:rsid w:val="0026422A"/>
    <w:rsid w:val="00264359"/>
    <w:rsid w:val="0026439D"/>
    <w:rsid w:val="00264420"/>
    <w:rsid w:val="002644AB"/>
    <w:rsid w:val="0026452C"/>
    <w:rsid w:val="00264657"/>
    <w:rsid w:val="002646A4"/>
    <w:rsid w:val="00264805"/>
    <w:rsid w:val="00264976"/>
    <w:rsid w:val="00264981"/>
    <w:rsid w:val="00264D5F"/>
    <w:rsid w:val="00264D7F"/>
    <w:rsid w:val="00265297"/>
    <w:rsid w:val="0026535C"/>
    <w:rsid w:val="00265614"/>
    <w:rsid w:val="0026575D"/>
    <w:rsid w:val="00265772"/>
    <w:rsid w:val="00265847"/>
    <w:rsid w:val="0026589C"/>
    <w:rsid w:val="00265936"/>
    <w:rsid w:val="00265B80"/>
    <w:rsid w:val="00265EEE"/>
    <w:rsid w:val="00265FFF"/>
    <w:rsid w:val="00266012"/>
    <w:rsid w:val="00266621"/>
    <w:rsid w:val="00266666"/>
    <w:rsid w:val="002666B6"/>
    <w:rsid w:val="00266754"/>
    <w:rsid w:val="0026675A"/>
    <w:rsid w:val="00266B95"/>
    <w:rsid w:val="00266BBC"/>
    <w:rsid w:val="00266C75"/>
    <w:rsid w:val="00266D40"/>
    <w:rsid w:val="00266E6D"/>
    <w:rsid w:val="00267016"/>
    <w:rsid w:val="002670B1"/>
    <w:rsid w:val="00267103"/>
    <w:rsid w:val="002671A2"/>
    <w:rsid w:val="00267496"/>
    <w:rsid w:val="0026764F"/>
    <w:rsid w:val="00267AA5"/>
    <w:rsid w:val="00267D60"/>
    <w:rsid w:val="00267DB3"/>
    <w:rsid w:val="00267FA0"/>
    <w:rsid w:val="002709E3"/>
    <w:rsid w:val="00270CA2"/>
    <w:rsid w:val="00270DAF"/>
    <w:rsid w:val="00270FD9"/>
    <w:rsid w:val="00271053"/>
    <w:rsid w:val="0027109B"/>
    <w:rsid w:val="0027111F"/>
    <w:rsid w:val="0027132E"/>
    <w:rsid w:val="0027174C"/>
    <w:rsid w:val="00271864"/>
    <w:rsid w:val="00271961"/>
    <w:rsid w:val="00271BA8"/>
    <w:rsid w:val="00271E9C"/>
    <w:rsid w:val="00271F0F"/>
    <w:rsid w:val="00272164"/>
    <w:rsid w:val="002722D6"/>
    <w:rsid w:val="0027237B"/>
    <w:rsid w:val="002725CB"/>
    <w:rsid w:val="002726F6"/>
    <w:rsid w:val="002728E3"/>
    <w:rsid w:val="00272994"/>
    <w:rsid w:val="002729B6"/>
    <w:rsid w:val="00272A27"/>
    <w:rsid w:val="00272E47"/>
    <w:rsid w:val="00273019"/>
    <w:rsid w:val="002734F4"/>
    <w:rsid w:val="00273593"/>
    <w:rsid w:val="00273CD7"/>
    <w:rsid w:val="0027408C"/>
    <w:rsid w:val="0027452A"/>
    <w:rsid w:val="00274C26"/>
    <w:rsid w:val="00274CBC"/>
    <w:rsid w:val="002750A6"/>
    <w:rsid w:val="0027542E"/>
    <w:rsid w:val="00275469"/>
    <w:rsid w:val="002755AA"/>
    <w:rsid w:val="002755EC"/>
    <w:rsid w:val="002759FC"/>
    <w:rsid w:val="00275B68"/>
    <w:rsid w:val="00275F69"/>
    <w:rsid w:val="002760E6"/>
    <w:rsid w:val="002761B0"/>
    <w:rsid w:val="00276523"/>
    <w:rsid w:val="00276548"/>
    <w:rsid w:val="00276669"/>
    <w:rsid w:val="002767A5"/>
    <w:rsid w:val="00276A25"/>
    <w:rsid w:val="00276A9E"/>
    <w:rsid w:val="00276C2F"/>
    <w:rsid w:val="00276D9C"/>
    <w:rsid w:val="00276DAF"/>
    <w:rsid w:val="002772B1"/>
    <w:rsid w:val="00277389"/>
    <w:rsid w:val="0027739C"/>
    <w:rsid w:val="002775ED"/>
    <w:rsid w:val="00277600"/>
    <w:rsid w:val="00277611"/>
    <w:rsid w:val="00277AA2"/>
    <w:rsid w:val="00277B1D"/>
    <w:rsid w:val="00277C65"/>
    <w:rsid w:val="00277E4D"/>
    <w:rsid w:val="00277FFC"/>
    <w:rsid w:val="002801CA"/>
    <w:rsid w:val="002802C1"/>
    <w:rsid w:val="00280446"/>
    <w:rsid w:val="0028050F"/>
    <w:rsid w:val="002806FE"/>
    <w:rsid w:val="00280C99"/>
    <w:rsid w:val="00280D25"/>
    <w:rsid w:val="00280E48"/>
    <w:rsid w:val="002810A1"/>
    <w:rsid w:val="002810FE"/>
    <w:rsid w:val="0028110F"/>
    <w:rsid w:val="00281195"/>
    <w:rsid w:val="00281212"/>
    <w:rsid w:val="002812F4"/>
    <w:rsid w:val="00281492"/>
    <w:rsid w:val="002816BA"/>
    <w:rsid w:val="00281963"/>
    <w:rsid w:val="00281987"/>
    <w:rsid w:val="00281AE9"/>
    <w:rsid w:val="00281BD0"/>
    <w:rsid w:val="00281DA8"/>
    <w:rsid w:val="00281F59"/>
    <w:rsid w:val="00281FEE"/>
    <w:rsid w:val="00282055"/>
    <w:rsid w:val="0028217F"/>
    <w:rsid w:val="002822AD"/>
    <w:rsid w:val="002822F6"/>
    <w:rsid w:val="00282338"/>
    <w:rsid w:val="0028237C"/>
    <w:rsid w:val="00282430"/>
    <w:rsid w:val="00282493"/>
    <w:rsid w:val="00282647"/>
    <w:rsid w:val="0028292A"/>
    <w:rsid w:val="0028296C"/>
    <w:rsid w:val="002829FA"/>
    <w:rsid w:val="00282A62"/>
    <w:rsid w:val="00282A64"/>
    <w:rsid w:val="00282B04"/>
    <w:rsid w:val="00283135"/>
    <w:rsid w:val="0028359E"/>
    <w:rsid w:val="002835C3"/>
    <w:rsid w:val="00283A34"/>
    <w:rsid w:val="00283A49"/>
    <w:rsid w:val="00283AF5"/>
    <w:rsid w:val="00283B34"/>
    <w:rsid w:val="00283D69"/>
    <w:rsid w:val="00283F9D"/>
    <w:rsid w:val="00284173"/>
    <w:rsid w:val="0028433F"/>
    <w:rsid w:val="002845EA"/>
    <w:rsid w:val="00284668"/>
    <w:rsid w:val="00284C2A"/>
    <w:rsid w:val="0028537E"/>
    <w:rsid w:val="00285527"/>
    <w:rsid w:val="0028563B"/>
    <w:rsid w:val="0028575B"/>
    <w:rsid w:val="002857C2"/>
    <w:rsid w:val="002858CE"/>
    <w:rsid w:val="00285B42"/>
    <w:rsid w:val="00285CB4"/>
    <w:rsid w:val="0028607C"/>
    <w:rsid w:val="00286127"/>
    <w:rsid w:val="00286184"/>
    <w:rsid w:val="00286274"/>
    <w:rsid w:val="00286635"/>
    <w:rsid w:val="002866A4"/>
    <w:rsid w:val="00286A1E"/>
    <w:rsid w:val="00286A96"/>
    <w:rsid w:val="00286ACA"/>
    <w:rsid w:val="00286B07"/>
    <w:rsid w:val="00286C4A"/>
    <w:rsid w:val="00286E2B"/>
    <w:rsid w:val="00286EBE"/>
    <w:rsid w:val="00287159"/>
    <w:rsid w:val="0028716C"/>
    <w:rsid w:val="0028718D"/>
    <w:rsid w:val="00287347"/>
    <w:rsid w:val="002875B1"/>
    <w:rsid w:val="00287794"/>
    <w:rsid w:val="00287855"/>
    <w:rsid w:val="002878BC"/>
    <w:rsid w:val="00287998"/>
    <w:rsid w:val="00287A7D"/>
    <w:rsid w:val="00287B33"/>
    <w:rsid w:val="00287BC7"/>
    <w:rsid w:val="00287D7C"/>
    <w:rsid w:val="00287E4D"/>
    <w:rsid w:val="0029018A"/>
    <w:rsid w:val="002905B2"/>
    <w:rsid w:val="00290CD4"/>
    <w:rsid w:val="00290ED2"/>
    <w:rsid w:val="00290FDB"/>
    <w:rsid w:val="00290FE7"/>
    <w:rsid w:val="0029104E"/>
    <w:rsid w:val="002910D2"/>
    <w:rsid w:val="0029113D"/>
    <w:rsid w:val="0029149B"/>
    <w:rsid w:val="002919C4"/>
    <w:rsid w:val="00291A3A"/>
    <w:rsid w:val="00291B2F"/>
    <w:rsid w:val="00291B59"/>
    <w:rsid w:val="00291C74"/>
    <w:rsid w:val="00291CD6"/>
    <w:rsid w:val="00291D97"/>
    <w:rsid w:val="00291F7D"/>
    <w:rsid w:val="00291F7E"/>
    <w:rsid w:val="00292246"/>
    <w:rsid w:val="0029262D"/>
    <w:rsid w:val="0029293C"/>
    <w:rsid w:val="00292A3E"/>
    <w:rsid w:val="00292A94"/>
    <w:rsid w:val="00292BAC"/>
    <w:rsid w:val="00292D68"/>
    <w:rsid w:val="00292E84"/>
    <w:rsid w:val="00292EC0"/>
    <w:rsid w:val="002934C6"/>
    <w:rsid w:val="002935B1"/>
    <w:rsid w:val="00293698"/>
    <w:rsid w:val="002938AB"/>
    <w:rsid w:val="00293F51"/>
    <w:rsid w:val="002941CF"/>
    <w:rsid w:val="00294227"/>
    <w:rsid w:val="002942AC"/>
    <w:rsid w:val="00294363"/>
    <w:rsid w:val="002944F6"/>
    <w:rsid w:val="0029465C"/>
    <w:rsid w:val="00294734"/>
    <w:rsid w:val="00294C3B"/>
    <w:rsid w:val="00294D14"/>
    <w:rsid w:val="00294D4D"/>
    <w:rsid w:val="00294E19"/>
    <w:rsid w:val="00294F41"/>
    <w:rsid w:val="00295014"/>
    <w:rsid w:val="0029501A"/>
    <w:rsid w:val="0029542B"/>
    <w:rsid w:val="00295654"/>
    <w:rsid w:val="00295791"/>
    <w:rsid w:val="002958B9"/>
    <w:rsid w:val="00295AE4"/>
    <w:rsid w:val="00295B70"/>
    <w:rsid w:val="0029605D"/>
    <w:rsid w:val="002960E3"/>
    <w:rsid w:val="002961B3"/>
    <w:rsid w:val="0029634D"/>
    <w:rsid w:val="00296356"/>
    <w:rsid w:val="00296400"/>
    <w:rsid w:val="0029641D"/>
    <w:rsid w:val="00296473"/>
    <w:rsid w:val="002964DB"/>
    <w:rsid w:val="002966C8"/>
    <w:rsid w:val="0029681E"/>
    <w:rsid w:val="00296911"/>
    <w:rsid w:val="00296B02"/>
    <w:rsid w:val="00296C07"/>
    <w:rsid w:val="00296C3F"/>
    <w:rsid w:val="00296DB2"/>
    <w:rsid w:val="00296F77"/>
    <w:rsid w:val="00296FB8"/>
    <w:rsid w:val="0029733C"/>
    <w:rsid w:val="002975F8"/>
    <w:rsid w:val="002976F4"/>
    <w:rsid w:val="00297CC9"/>
    <w:rsid w:val="002A0128"/>
    <w:rsid w:val="002A01D6"/>
    <w:rsid w:val="002A02F5"/>
    <w:rsid w:val="002A0815"/>
    <w:rsid w:val="002A0B25"/>
    <w:rsid w:val="002A0B73"/>
    <w:rsid w:val="002A0C4F"/>
    <w:rsid w:val="002A0D11"/>
    <w:rsid w:val="002A0E8A"/>
    <w:rsid w:val="002A17BF"/>
    <w:rsid w:val="002A18CC"/>
    <w:rsid w:val="002A1956"/>
    <w:rsid w:val="002A1AF4"/>
    <w:rsid w:val="002A1C42"/>
    <w:rsid w:val="002A1F1F"/>
    <w:rsid w:val="002A1FE6"/>
    <w:rsid w:val="002A216B"/>
    <w:rsid w:val="002A22D7"/>
    <w:rsid w:val="002A238B"/>
    <w:rsid w:val="002A252D"/>
    <w:rsid w:val="002A267A"/>
    <w:rsid w:val="002A26D7"/>
    <w:rsid w:val="002A2775"/>
    <w:rsid w:val="002A2A08"/>
    <w:rsid w:val="002A2B0E"/>
    <w:rsid w:val="002A2D39"/>
    <w:rsid w:val="002A2D93"/>
    <w:rsid w:val="002A30F6"/>
    <w:rsid w:val="002A3287"/>
    <w:rsid w:val="002A32E9"/>
    <w:rsid w:val="002A3767"/>
    <w:rsid w:val="002A3795"/>
    <w:rsid w:val="002A37FA"/>
    <w:rsid w:val="002A3996"/>
    <w:rsid w:val="002A39C3"/>
    <w:rsid w:val="002A39D0"/>
    <w:rsid w:val="002A3A86"/>
    <w:rsid w:val="002A3B7E"/>
    <w:rsid w:val="002A3E72"/>
    <w:rsid w:val="002A3EC5"/>
    <w:rsid w:val="002A412D"/>
    <w:rsid w:val="002A418D"/>
    <w:rsid w:val="002A4217"/>
    <w:rsid w:val="002A45AA"/>
    <w:rsid w:val="002A4960"/>
    <w:rsid w:val="002A4A97"/>
    <w:rsid w:val="002A4D57"/>
    <w:rsid w:val="002A4D62"/>
    <w:rsid w:val="002A4DE8"/>
    <w:rsid w:val="002A4E42"/>
    <w:rsid w:val="002A50D4"/>
    <w:rsid w:val="002A51D1"/>
    <w:rsid w:val="002A5220"/>
    <w:rsid w:val="002A53A6"/>
    <w:rsid w:val="002A5491"/>
    <w:rsid w:val="002A54DB"/>
    <w:rsid w:val="002A5854"/>
    <w:rsid w:val="002A587A"/>
    <w:rsid w:val="002A59D3"/>
    <w:rsid w:val="002A6307"/>
    <w:rsid w:val="002A6569"/>
    <w:rsid w:val="002A67E9"/>
    <w:rsid w:val="002A684D"/>
    <w:rsid w:val="002A68DE"/>
    <w:rsid w:val="002A6CA3"/>
    <w:rsid w:val="002A6F0B"/>
    <w:rsid w:val="002A6FAC"/>
    <w:rsid w:val="002A6FDE"/>
    <w:rsid w:val="002A7480"/>
    <w:rsid w:val="002A755C"/>
    <w:rsid w:val="002A7731"/>
    <w:rsid w:val="002A77C3"/>
    <w:rsid w:val="002A789E"/>
    <w:rsid w:val="002A7900"/>
    <w:rsid w:val="002A7C97"/>
    <w:rsid w:val="002A7ECD"/>
    <w:rsid w:val="002B0013"/>
    <w:rsid w:val="002B0130"/>
    <w:rsid w:val="002B0342"/>
    <w:rsid w:val="002B0631"/>
    <w:rsid w:val="002B06C1"/>
    <w:rsid w:val="002B07BA"/>
    <w:rsid w:val="002B08D7"/>
    <w:rsid w:val="002B0939"/>
    <w:rsid w:val="002B097F"/>
    <w:rsid w:val="002B0A00"/>
    <w:rsid w:val="002B0AFF"/>
    <w:rsid w:val="002B0CCC"/>
    <w:rsid w:val="002B0CF3"/>
    <w:rsid w:val="002B10B0"/>
    <w:rsid w:val="002B10C4"/>
    <w:rsid w:val="002B114D"/>
    <w:rsid w:val="002B1272"/>
    <w:rsid w:val="002B139C"/>
    <w:rsid w:val="002B13F0"/>
    <w:rsid w:val="002B15D1"/>
    <w:rsid w:val="002B169C"/>
    <w:rsid w:val="002B1E16"/>
    <w:rsid w:val="002B2184"/>
    <w:rsid w:val="002B21CF"/>
    <w:rsid w:val="002B25A2"/>
    <w:rsid w:val="002B26E7"/>
    <w:rsid w:val="002B2718"/>
    <w:rsid w:val="002B288C"/>
    <w:rsid w:val="002B2A4C"/>
    <w:rsid w:val="002B2CF6"/>
    <w:rsid w:val="002B30CF"/>
    <w:rsid w:val="002B30DA"/>
    <w:rsid w:val="002B366A"/>
    <w:rsid w:val="002B3722"/>
    <w:rsid w:val="002B38BF"/>
    <w:rsid w:val="002B39F2"/>
    <w:rsid w:val="002B3C67"/>
    <w:rsid w:val="002B40AC"/>
    <w:rsid w:val="002B4108"/>
    <w:rsid w:val="002B42AD"/>
    <w:rsid w:val="002B42BC"/>
    <w:rsid w:val="002B43CA"/>
    <w:rsid w:val="002B440E"/>
    <w:rsid w:val="002B452F"/>
    <w:rsid w:val="002B4A80"/>
    <w:rsid w:val="002B4B60"/>
    <w:rsid w:val="002B4B9A"/>
    <w:rsid w:val="002B4CD3"/>
    <w:rsid w:val="002B4FE5"/>
    <w:rsid w:val="002B50EF"/>
    <w:rsid w:val="002B53B5"/>
    <w:rsid w:val="002B543E"/>
    <w:rsid w:val="002B5453"/>
    <w:rsid w:val="002B5534"/>
    <w:rsid w:val="002B558F"/>
    <w:rsid w:val="002B579E"/>
    <w:rsid w:val="002B5AE0"/>
    <w:rsid w:val="002B5D1F"/>
    <w:rsid w:val="002B5E1F"/>
    <w:rsid w:val="002B5E3D"/>
    <w:rsid w:val="002B61E2"/>
    <w:rsid w:val="002B6429"/>
    <w:rsid w:val="002B67CC"/>
    <w:rsid w:val="002B6A32"/>
    <w:rsid w:val="002B6B3D"/>
    <w:rsid w:val="002B6BED"/>
    <w:rsid w:val="002B6C24"/>
    <w:rsid w:val="002B6C94"/>
    <w:rsid w:val="002B6E0F"/>
    <w:rsid w:val="002B6EFD"/>
    <w:rsid w:val="002B6F08"/>
    <w:rsid w:val="002B6F33"/>
    <w:rsid w:val="002B7046"/>
    <w:rsid w:val="002B707F"/>
    <w:rsid w:val="002B71E5"/>
    <w:rsid w:val="002B72E1"/>
    <w:rsid w:val="002B79F0"/>
    <w:rsid w:val="002B7BCB"/>
    <w:rsid w:val="002B7F3E"/>
    <w:rsid w:val="002C00BC"/>
    <w:rsid w:val="002C0388"/>
    <w:rsid w:val="002C0601"/>
    <w:rsid w:val="002C06C5"/>
    <w:rsid w:val="002C0979"/>
    <w:rsid w:val="002C09A5"/>
    <w:rsid w:val="002C0AD9"/>
    <w:rsid w:val="002C0B32"/>
    <w:rsid w:val="002C0B6D"/>
    <w:rsid w:val="002C0D4A"/>
    <w:rsid w:val="002C11B1"/>
    <w:rsid w:val="002C1625"/>
    <w:rsid w:val="002C1ABD"/>
    <w:rsid w:val="002C1D5F"/>
    <w:rsid w:val="002C1D9C"/>
    <w:rsid w:val="002C1E48"/>
    <w:rsid w:val="002C1EAF"/>
    <w:rsid w:val="002C1F6F"/>
    <w:rsid w:val="002C20BC"/>
    <w:rsid w:val="002C21A2"/>
    <w:rsid w:val="002C23F6"/>
    <w:rsid w:val="002C2AD5"/>
    <w:rsid w:val="002C2C90"/>
    <w:rsid w:val="002C2FB8"/>
    <w:rsid w:val="002C3105"/>
    <w:rsid w:val="002C366F"/>
    <w:rsid w:val="002C389A"/>
    <w:rsid w:val="002C45AD"/>
    <w:rsid w:val="002C4615"/>
    <w:rsid w:val="002C4796"/>
    <w:rsid w:val="002C4867"/>
    <w:rsid w:val="002C48AC"/>
    <w:rsid w:val="002C4CA9"/>
    <w:rsid w:val="002C4E92"/>
    <w:rsid w:val="002C4F16"/>
    <w:rsid w:val="002C50C6"/>
    <w:rsid w:val="002C521E"/>
    <w:rsid w:val="002C566E"/>
    <w:rsid w:val="002C57F9"/>
    <w:rsid w:val="002C5AD9"/>
    <w:rsid w:val="002C5C41"/>
    <w:rsid w:val="002C5D54"/>
    <w:rsid w:val="002C5E2D"/>
    <w:rsid w:val="002C5E99"/>
    <w:rsid w:val="002C6088"/>
    <w:rsid w:val="002C60AB"/>
    <w:rsid w:val="002C66FE"/>
    <w:rsid w:val="002C69A3"/>
    <w:rsid w:val="002C6D09"/>
    <w:rsid w:val="002C6F22"/>
    <w:rsid w:val="002C7477"/>
    <w:rsid w:val="002C7553"/>
    <w:rsid w:val="002C78F6"/>
    <w:rsid w:val="002C7AEA"/>
    <w:rsid w:val="002C7E87"/>
    <w:rsid w:val="002D0159"/>
    <w:rsid w:val="002D019D"/>
    <w:rsid w:val="002D0270"/>
    <w:rsid w:val="002D0282"/>
    <w:rsid w:val="002D02C4"/>
    <w:rsid w:val="002D0445"/>
    <w:rsid w:val="002D0567"/>
    <w:rsid w:val="002D068E"/>
    <w:rsid w:val="002D0761"/>
    <w:rsid w:val="002D0AE6"/>
    <w:rsid w:val="002D0B46"/>
    <w:rsid w:val="002D0C6E"/>
    <w:rsid w:val="002D0E4F"/>
    <w:rsid w:val="002D1142"/>
    <w:rsid w:val="002D1509"/>
    <w:rsid w:val="002D1528"/>
    <w:rsid w:val="002D15E4"/>
    <w:rsid w:val="002D1699"/>
    <w:rsid w:val="002D1B3D"/>
    <w:rsid w:val="002D1CBD"/>
    <w:rsid w:val="002D2270"/>
    <w:rsid w:val="002D258C"/>
    <w:rsid w:val="002D2871"/>
    <w:rsid w:val="002D29E6"/>
    <w:rsid w:val="002D2B81"/>
    <w:rsid w:val="002D2C82"/>
    <w:rsid w:val="002D2F30"/>
    <w:rsid w:val="002D3049"/>
    <w:rsid w:val="002D31D9"/>
    <w:rsid w:val="002D338D"/>
    <w:rsid w:val="002D35BB"/>
    <w:rsid w:val="002D37A7"/>
    <w:rsid w:val="002D39DF"/>
    <w:rsid w:val="002D3A41"/>
    <w:rsid w:val="002D3B1D"/>
    <w:rsid w:val="002D3C17"/>
    <w:rsid w:val="002D3F34"/>
    <w:rsid w:val="002D3F84"/>
    <w:rsid w:val="002D4420"/>
    <w:rsid w:val="002D4465"/>
    <w:rsid w:val="002D45CB"/>
    <w:rsid w:val="002D4673"/>
    <w:rsid w:val="002D49DA"/>
    <w:rsid w:val="002D51E3"/>
    <w:rsid w:val="002D5310"/>
    <w:rsid w:val="002D542C"/>
    <w:rsid w:val="002D5509"/>
    <w:rsid w:val="002D555F"/>
    <w:rsid w:val="002D580A"/>
    <w:rsid w:val="002D5BFA"/>
    <w:rsid w:val="002D5DA4"/>
    <w:rsid w:val="002D5DE9"/>
    <w:rsid w:val="002D5ED5"/>
    <w:rsid w:val="002D62D4"/>
    <w:rsid w:val="002D638A"/>
    <w:rsid w:val="002D6492"/>
    <w:rsid w:val="002D64E0"/>
    <w:rsid w:val="002D64F0"/>
    <w:rsid w:val="002D65A5"/>
    <w:rsid w:val="002D65E0"/>
    <w:rsid w:val="002D6660"/>
    <w:rsid w:val="002D66D7"/>
    <w:rsid w:val="002D6913"/>
    <w:rsid w:val="002D6990"/>
    <w:rsid w:val="002D6994"/>
    <w:rsid w:val="002D6A5D"/>
    <w:rsid w:val="002D6AF3"/>
    <w:rsid w:val="002D6B60"/>
    <w:rsid w:val="002D6E9C"/>
    <w:rsid w:val="002D73EB"/>
    <w:rsid w:val="002D7427"/>
    <w:rsid w:val="002D75BC"/>
    <w:rsid w:val="002D7673"/>
    <w:rsid w:val="002D79CE"/>
    <w:rsid w:val="002D7AA1"/>
    <w:rsid w:val="002D7BC9"/>
    <w:rsid w:val="002E0007"/>
    <w:rsid w:val="002E0088"/>
    <w:rsid w:val="002E0331"/>
    <w:rsid w:val="002E066E"/>
    <w:rsid w:val="002E0F8A"/>
    <w:rsid w:val="002E103F"/>
    <w:rsid w:val="002E1051"/>
    <w:rsid w:val="002E11B5"/>
    <w:rsid w:val="002E1485"/>
    <w:rsid w:val="002E183F"/>
    <w:rsid w:val="002E184F"/>
    <w:rsid w:val="002E1943"/>
    <w:rsid w:val="002E1A46"/>
    <w:rsid w:val="002E1C30"/>
    <w:rsid w:val="002E1C6F"/>
    <w:rsid w:val="002E1D78"/>
    <w:rsid w:val="002E219E"/>
    <w:rsid w:val="002E238C"/>
    <w:rsid w:val="002E24AC"/>
    <w:rsid w:val="002E2576"/>
    <w:rsid w:val="002E25A8"/>
    <w:rsid w:val="002E2AC4"/>
    <w:rsid w:val="002E2B4D"/>
    <w:rsid w:val="002E2DD3"/>
    <w:rsid w:val="002E34CC"/>
    <w:rsid w:val="002E398D"/>
    <w:rsid w:val="002E3CBC"/>
    <w:rsid w:val="002E3DBA"/>
    <w:rsid w:val="002E3DCA"/>
    <w:rsid w:val="002E3DDD"/>
    <w:rsid w:val="002E3F5E"/>
    <w:rsid w:val="002E4194"/>
    <w:rsid w:val="002E428D"/>
    <w:rsid w:val="002E42C5"/>
    <w:rsid w:val="002E42DF"/>
    <w:rsid w:val="002E4998"/>
    <w:rsid w:val="002E4A1C"/>
    <w:rsid w:val="002E4A65"/>
    <w:rsid w:val="002E4D31"/>
    <w:rsid w:val="002E5045"/>
    <w:rsid w:val="002E536D"/>
    <w:rsid w:val="002E5560"/>
    <w:rsid w:val="002E558D"/>
    <w:rsid w:val="002E5666"/>
    <w:rsid w:val="002E591C"/>
    <w:rsid w:val="002E5D31"/>
    <w:rsid w:val="002E5F96"/>
    <w:rsid w:val="002E637E"/>
    <w:rsid w:val="002E6A45"/>
    <w:rsid w:val="002E6AE3"/>
    <w:rsid w:val="002E6C89"/>
    <w:rsid w:val="002E6D2C"/>
    <w:rsid w:val="002E6E4B"/>
    <w:rsid w:val="002E6F7F"/>
    <w:rsid w:val="002E6FA2"/>
    <w:rsid w:val="002E7005"/>
    <w:rsid w:val="002E70D2"/>
    <w:rsid w:val="002E74ED"/>
    <w:rsid w:val="002E75A7"/>
    <w:rsid w:val="002E75BD"/>
    <w:rsid w:val="002E76B2"/>
    <w:rsid w:val="002E778E"/>
    <w:rsid w:val="002E79D7"/>
    <w:rsid w:val="002E7A79"/>
    <w:rsid w:val="002E7BE5"/>
    <w:rsid w:val="002E7D64"/>
    <w:rsid w:val="002E7DDF"/>
    <w:rsid w:val="002E7E1F"/>
    <w:rsid w:val="002F00A0"/>
    <w:rsid w:val="002F00E8"/>
    <w:rsid w:val="002F01AF"/>
    <w:rsid w:val="002F01E6"/>
    <w:rsid w:val="002F025E"/>
    <w:rsid w:val="002F03F3"/>
    <w:rsid w:val="002F04DE"/>
    <w:rsid w:val="002F0647"/>
    <w:rsid w:val="002F070B"/>
    <w:rsid w:val="002F082C"/>
    <w:rsid w:val="002F09FE"/>
    <w:rsid w:val="002F0A7A"/>
    <w:rsid w:val="002F0B94"/>
    <w:rsid w:val="002F0CB5"/>
    <w:rsid w:val="002F0E0F"/>
    <w:rsid w:val="002F0E34"/>
    <w:rsid w:val="002F0FFB"/>
    <w:rsid w:val="002F10EF"/>
    <w:rsid w:val="002F1235"/>
    <w:rsid w:val="002F1260"/>
    <w:rsid w:val="002F1436"/>
    <w:rsid w:val="002F1557"/>
    <w:rsid w:val="002F16E4"/>
    <w:rsid w:val="002F180B"/>
    <w:rsid w:val="002F186A"/>
    <w:rsid w:val="002F1925"/>
    <w:rsid w:val="002F1BC7"/>
    <w:rsid w:val="002F1CD3"/>
    <w:rsid w:val="002F1FB0"/>
    <w:rsid w:val="002F20DD"/>
    <w:rsid w:val="002F20E7"/>
    <w:rsid w:val="002F213A"/>
    <w:rsid w:val="002F232C"/>
    <w:rsid w:val="002F28AB"/>
    <w:rsid w:val="002F29BB"/>
    <w:rsid w:val="002F2BEA"/>
    <w:rsid w:val="002F2C01"/>
    <w:rsid w:val="002F2CF0"/>
    <w:rsid w:val="002F310A"/>
    <w:rsid w:val="002F313F"/>
    <w:rsid w:val="002F31F0"/>
    <w:rsid w:val="002F334B"/>
    <w:rsid w:val="002F34D2"/>
    <w:rsid w:val="002F362F"/>
    <w:rsid w:val="002F3882"/>
    <w:rsid w:val="002F3909"/>
    <w:rsid w:val="002F3A63"/>
    <w:rsid w:val="002F3AED"/>
    <w:rsid w:val="002F3C62"/>
    <w:rsid w:val="002F3CDE"/>
    <w:rsid w:val="002F3F4A"/>
    <w:rsid w:val="002F4214"/>
    <w:rsid w:val="002F436A"/>
    <w:rsid w:val="002F437A"/>
    <w:rsid w:val="002F44FF"/>
    <w:rsid w:val="002F4688"/>
    <w:rsid w:val="002F46E5"/>
    <w:rsid w:val="002F46FB"/>
    <w:rsid w:val="002F4D1A"/>
    <w:rsid w:val="002F4DA7"/>
    <w:rsid w:val="002F51F5"/>
    <w:rsid w:val="002F5351"/>
    <w:rsid w:val="002F55B0"/>
    <w:rsid w:val="002F56EB"/>
    <w:rsid w:val="002F5723"/>
    <w:rsid w:val="002F593E"/>
    <w:rsid w:val="002F5A43"/>
    <w:rsid w:val="002F5AF7"/>
    <w:rsid w:val="002F5E41"/>
    <w:rsid w:val="002F5EE8"/>
    <w:rsid w:val="002F6012"/>
    <w:rsid w:val="002F6115"/>
    <w:rsid w:val="002F65DB"/>
    <w:rsid w:val="002F65E9"/>
    <w:rsid w:val="002F666B"/>
    <w:rsid w:val="002F6843"/>
    <w:rsid w:val="002F6892"/>
    <w:rsid w:val="002F6AE4"/>
    <w:rsid w:val="002F6B15"/>
    <w:rsid w:val="002F6D54"/>
    <w:rsid w:val="002F6E28"/>
    <w:rsid w:val="002F6FBB"/>
    <w:rsid w:val="002F70B7"/>
    <w:rsid w:val="002F716A"/>
    <w:rsid w:val="002F72F0"/>
    <w:rsid w:val="002F73B4"/>
    <w:rsid w:val="002F73D6"/>
    <w:rsid w:val="002F7469"/>
    <w:rsid w:val="002F76ED"/>
    <w:rsid w:val="002F7735"/>
    <w:rsid w:val="002F77D9"/>
    <w:rsid w:val="002F780F"/>
    <w:rsid w:val="002F78F1"/>
    <w:rsid w:val="002F7959"/>
    <w:rsid w:val="002F7B08"/>
    <w:rsid w:val="002F7D15"/>
    <w:rsid w:val="002F7E68"/>
    <w:rsid w:val="00300520"/>
    <w:rsid w:val="00300815"/>
    <w:rsid w:val="00300D74"/>
    <w:rsid w:val="00300D90"/>
    <w:rsid w:val="00300DB4"/>
    <w:rsid w:val="00300F7C"/>
    <w:rsid w:val="003013A6"/>
    <w:rsid w:val="003013E9"/>
    <w:rsid w:val="003014C0"/>
    <w:rsid w:val="00301639"/>
    <w:rsid w:val="0030169D"/>
    <w:rsid w:val="00301704"/>
    <w:rsid w:val="00301918"/>
    <w:rsid w:val="003019F8"/>
    <w:rsid w:val="00301F37"/>
    <w:rsid w:val="00301FA6"/>
    <w:rsid w:val="003021D5"/>
    <w:rsid w:val="00302334"/>
    <w:rsid w:val="00302727"/>
    <w:rsid w:val="003027B8"/>
    <w:rsid w:val="0030295F"/>
    <w:rsid w:val="00302AC1"/>
    <w:rsid w:val="00302E13"/>
    <w:rsid w:val="00302E5E"/>
    <w:rsid w:val="00302F49"/>
    <w:rsid w:val="003030D8"/>
    <w:rsid w:val="003030E8"/>
    <w:rsid w:val="00303660"/>
    <w:rsid w:val="00303727"/>
    <w:rsid w:val="0030382C"/>
    <w:rsid w:val="00303AA8"/>
    <w:rsid w:val="00303B66"/>
    <w:rsid w:val="00303B96"/>
    <w:rsid w:val="00303BED"/>
    <w:rsid w:val="00303DD6"/>
    <w:rsid w:val="00303E11"/>
    <w:rsid w:val="00303FF6"/>
    <w:rsid w:val="00304123"/>
    <w:rsid w:val="003042D1"/>
    <w:rsid w:val="00304520"/>
    <w:rsid w:val="0030454E"/>
    <w:rsid w:val="0030478E"/>
    <w:rsid w:val="00304AAE"/>
    <w:rsid w:val="00304B61"/>
    <w:rsid w:val="00304F28"/>
    <w:rsid w:val="00304FA5"/>
    <w:rsid w:val="00304FB2"/>
    <w:rsid w:val="0030561C"/>
    <w:rsid w:val="003059BF"/>
    <w:rsid w:val="00305A82"/>
    <w:rsid w:val="00305B02"/>
    <w:rsid w:val="00305B6A"/>
    <w:rsid w:val="00305CA0"/>
    <w:rsid w:val="00305EB2"/>
    <w:rsid w:val="003060C2"/>
    <w:rsid w:val="003063D4"/>
    <w:rsid w:val="003064AD"/>
    <w:rsid w:val="003066B0"/>
    <w:rsid w:val="0030694C"/>
    <w:rsid w:val="00306A1C"/>
    <w:rsid w:val="00306A9F"/>
    <w:rsid w:val="00306B13"/>
    <w:rsid w:val="00306B56"/>
    <w:rsid w:val="00306C96"/>
    <w:rsid w:val="00306D39"/>
    <w:rsid w:val="00306EB6"/>
    <w:rsid w:val="00307077"/>
    <w:rsid w:val="003071A2"/>
    <w:rsid w:val="00307304"/>
    <w:rsid w:val="00307400"/>
    <w:rsid w:val="00307447"/>
    <w:rsid w:val="00307703"/>
    <w:rsid w:val="00307AC4"/>
    <w:rsid w:val="00307B24"/>
    <w:rsid w:val="00307DEF"/>
    <w:rsid w:val="00310314"/>
    <w:rsid w:val="003106E5"/>
    <w:rsid w:val="00310A3D"/>
    <w:rsid w:val="00310C20"/>
    <w:rsid w:val="00310F9B"/>
    <w:rsid w:val="00311195"/>
    <w:rsid w:val="0031139F"/>
    <w:rsid w:val="003115B6"/>
    <w:rsid w:val="00311D33"/>
    <w:rsid w:val="0031233A"/>
    <w:rsid w:val="00312395"/>
    <w:rsid w:val="00312563"/>
    <w:rsid w:val="00312B63"/>
    <w:rsid w:val="00312BFD"/>
    <w:rsid w:val="00312E0A"/>
    <w:rsid w:val="00313033"/>
    <w:rsid w:val="003130F5"/>
    <w:rsid w:val="00313269"/>
    <w:rsid w:val="003132E9"/>
    <w:rsid w:val="00313475"/>
    <w:rsid w:val="00313664"/>
    <w:rsid w:val="00313CA8"/>
    <w:rsid w:val="00313CF4"/>
    <w:rsid w:val="00313D00"/>
    <w:rsid w:val="00313D0E"/>
    <w:rsid w:val="00313E8A"/>
    <w:rsid w:val="0031411C"/>
    <w:rsid w:val="003141DA"/>
    <w:rsid w:val="003143B6"/>
    <w:rsid w:val="003143F4"/>
    <w:rsid w:val="0031445E"/>
    <w:rsid w:val="003144AA"/>
    <w:rsid w:val="00314626"/>
    <w:rsid w:val="00314715"/>
    <w:rsid w:val="00314C68"/>
    <w:rsid w:val="00314F80"/>
    <w:rsid w:val="00314F90"/>
    <w:rsid w:val="0031518D"/>
    <w:rsid w:val="003152B4"/>
    <w:rsid w:val="00315337"/>
    <w:rsid w:val="003154EB"/>
    <w:rsid w:val="003156A5"/>
    <w:rsid w:val="003159A9"/>
    <w:rsid w:val="00315D04"/>
    <w:rsid w:val="00315DCF"/>
    <w:rsid w:val="003164F3"/>
    <w:rsid w:val="003165E4"/>
    <w:rsid w:val="00316672"/>
    <w:rsid w:val="0031684A"/>
    <w:rsid w:val="003168A3"/>
    <w:rsid w:val="0031694D"/>
    <w:rsid w:val="003169C4"/>
    <w:rsid w:val="003169E8"/>
    <w:rsid w:val="00316DFB"/>
    <w:rsid w:val="00316EE6"/>
    <w:rsid w:val="003173D2"/>
    <w:rsid w:val="0031779C"/>
    <w:rsid w:val="00317887"/>
    <w:rsid w:val="0031794C"/>
    <w:rsid w:val="00317974"/>
    <w:rsid w:val="00317C3C"/>
    <w:rsid w:val="00317E5C"/>
    <w:rsid w:val="00317FD3"/>
    <w:rsid w:val="003201B5"/>
    <w:rsid w:val="00320228"/>
    <w:rsid w:val="00320234"/>
    <w:rsid w:val="0032032F"/>
    <w:rsid w:val="00320449"/>
    <w:rsid w:val="003204EC"/>
    <w:rsid w:val="00320691"/>
    <w:rsid w:val="003207F0"/>
    <w:rsid w:val="0032089D"/>
    <w:rsid w:val="00320B46"/>
    <w:rsid w:val="00320BE6"/>
    <w:rsid w:val="00320D4F"/>
    <w:rsid w:val="003211A2"/>
    <w:rsid w:val="00321227"/>
    <w:rsid w:val="00321248"/>
    <w:rsid w:val="003216A6"/>
    <w:rsid w:val="003216B3"/>
    <w:rsid w:val="0032175E"/>
    <w:rsid w:val="00321A5D"/>
    <w:rsid w:val="00321C31"/>
    <w:rsid w:val="00321D0B"/>
    <w:rsid w:val="00321FA9"/>
    <w:rsid w:val="00322225"/>
    <w:rsid w:val="003222EC"/>
    <w:rsid w:val="00322424"/>
    <w:rsid w:val="00322519"/>
    <w:rsid w:val="003225B4"/>
    <w:rsid w:val="003227A5"/>
    <w:rsid w:val="00322994"/>
    <w:rsid w:val="00322A5C"/>
    <w:rsid w:val="00322CA8"/>
    <w:rsid w:val="00322DC5"/>
    <w:rsid w:val="0032307F"/>
    <w:rsid w:val="0032314F"/>
    <w:rsid w:val="003232D1"/>
    <w:rsid w:val="00323340"/>
    <w:rsid w:val="003233D1"/>
    <w:rsid w:val="0032346A"/>
    <w:rsid w:val="00323575"/>
    <w:rsid w:val="00323F4F"/>
    <w:rsid w:val="00324062"/>
    <w:rsid w:val="003243B8"/>
    <w:rsid w:val="00324422"/>
    <w:rsid w:val="0032462B"/>
    <w:rsid w:val="00324671"/>
    <w:rsid w:val="00324691"/>
    <w:rsid w:val="0032482C"/>
    <w:rsid w:val="0032487A"/>
    <w:rsid w:val="00324917"/>
    <w:rsid w:val="00324AC4"/>
    <w:rsid w:val="00324AD9"/>
    <w:rsid w:val="00324CB8"/>
    <w:rsid w:val="0032516E"/>
    <w:rsid w:val="00325423"/>
    <w:rsid w:val="00325834"/>
    <w:rsid w:val="00325F90"/>
    <w:rsid w:val="00326080"/>
    <w:rsid w:val="003260EF"/>
    <w:rsid w:val="0032618A"/>
    <w:rsid w:val="00326224"/>
    <w:rsid w:val="00326355"/>
    <w:rsid w:val="003268F4"/>
    <w:rsid w:val="00326B79"/>
    <w:rsid w:val="00326BC1"/>
    <w:rsid w:val="00326ED6"/>
    <w:rsid w:val="00326EE4"/>
    <w:rsid w:val="003270FB"/>
    <w:rsid w:val="003271A2"/>
    <w:rsid w:val="0032737F"/>
    <w:rsid w:val="00327A16"/>
    <w:rsid w:val="00327B81"/>
    <w:rsid w:val="00327D9F"/>
    <w:rsid w:val="0033010F"/>
    <w:rsid w:val="00330352"/>
    <w:rsid w:val="00330384"/>
    <w:rsid w:val="003304F9"/>
    <w:rsid w:val="00330773"/>
    <w:rsid w:val="00330806"/>
    <w:rsid w:val="00330BF1"/>
    <w:rsid w:val="00330EE4"/>
    <w:rsid w:val="00330F2B"/>
    <w:rsid w:val="0033102E"/>
    <w:rsid w:val="003310BB"/>
    <w:rsid w:val="0033114B"/>
    <w:rsid w:val="003311D7"/>
    <w:rsid w:val="003311F1"/>
    <w:rsid w:val="003312E2"/>
    <w:rsid w:val="00331307"/>
    <w:rsid w:val="003313D7"/>
    <w:rsid w:val="00331401"/>
    <w:rsid w:val="00331540"/>
    <w:rsid w:val="00331559"/>
    <w:rsid w:val="00331564"/>
    <w:rsid w:val="0033185F"/>
    <w:rsid w:val="00331B5F"/>
    <w:rsid w:val="00331ECF"/>
    <w:rsid w:val="003320CB"/>
    <w:rsid w:val="0033228A"/>
    <w:rsid w:val="00332313"/>
    <w:rsid w:val="003325A3"/>
    <w:rsid w:val="00332694"/>
    <w:rsid w:val="003327E3"/>
    <w:rsid w:val="00332B02"/>
    <w:rsid w:val="00332BDA"/>
    <w:rsid w:val="0033304A"/>
    <w:rsid w:val="003331A7"/>
    <w:rsid w:val="00333218"/>
    <w:rsid w:val="00333234"/>
    <w:rsid w:val="0033331C"/>
    <w:rsid w:val="003337FB"/>
    <w:rsid w:val="00333A58"/>
    <w:rsid w:val="00333B37"/>
    <w:rsid w:val="00333BAF"/>
    <w:rsid w:val="00333BBC"/>
    <w:rsid w:val="00333C4F"/>
    <w:rsid w:val="00333CFD"/>
    <w:rsid w:val="00333D43"/>
    <w:rsid w:val="00333EEE"/>
    <w:rsid w:val="00333FE6"/>
    <w:rsid w:val="00334086"/>
    <w:rsid w:val="003348F4"/>
    <w:rsid w:val="00334AAD"/>
    <w:rsid w:val="00334AD4"/>
    <w:rsid w:val="00334E30"/>
    <w:rsid w:val="00334EF1"/>
    <w:rsid w:val="00335107"/>
    <w:rsid w:val="0033551C"/>
    <w:rsid w:val="0033553B"/>
    <w:rsid w:val="003355A7"/>
    <w:rsid w:val="003355C8"/>
    <w:rsid w:val="00335ED0"/>
    <w:rsid w:val="00335ED1"/>
    <w:rsid w:val="0033619A"/>
    <w:rsid w:val="00336253"/>
    <w:rsid w:val="0033637F"/>
    <w:rsid w:val="00336475"/>
    <w:rsid w:val="0033649B"/>
    <w:rsid w:val="003364EE"/>
    <w:rsid w:val="00336532"/>
    <w:rsid w:val="00336566"/>
    <w:rsid w:val="00336886"/>
    <w:rsid w:val="00336A94"/>
    <w:rsid w:val="00336DA0"/>
    <w:rsid w:val="00336F03"/>
    <w:rsid w:val="00337007"/>
    <w:rsid w:val="003370E9"/>
    <w:rsid w:val="0033730D"/>
    <w:rsid w:val="0033745F"/>
    <w:rsid w:val="00337582"/>
    <w:rsid w:val="003377B5"/>
    <w:rsid w:val="00337835"/>
    <w:rsid w:val="00337920"/>
    <w:rsid w:val="00337AF6"/>
    <w:rsid w:val="00337EF8"/>
    <w:rsid w:val="00337F67"/>
    <w:rsid w:val="0034010F"/>
    <w:rsid w:val="00340441"/>
    <w:rsid w:val="00340596"/>
    <w:rsid w:val="00340952"/>
    <w:rsid w:val="00340CD0"/>
    <w:rsid w:val="00340E2B"/>
    <w:rsid w:val="00341226"/>
    <w:rsid w:val="003412DD"/>
    <w:rsid w:val="00341422"/>
    <w:rsid w:val="00341785"/>
    <w:rsid w:val="003417B9"/>
    <w:rsid w:val="0034187F"/>
    <w:rsid w:val="00341957"/>
    <w:rsid w:val="00341C2A"/>
    <w:rsid w:val="00341C9D"/>
    <w:rsid w:val="00341F4A"/>
    <w:rsid w:val="00342617"/>
    <w:rsid w:val="00342839"/>
    <w:rsid w:val="003428E0"/>
    <w:rsid w:val="00342A60"/>
    <w:rsid w:val="00342F2B"/>
    <w:rsid w:val="003430BE"/>
    <w:rsid w:val="003436F1"/>
    <w:rsid w:val="0034379D"/>
    <w:rsid w:val="003439E9"/>
    <w:rsid w:val="00343B2D"/>
    <w:rsid w:val="00343DF6"/>
    <w:rsid w:val="00344193"/>
    <w:rsid w:val="003441CE"/>
    <w:rsid w:val="003442EA"/>
    <w:rsid w:val="0034455A"/>
    <w:rsid w:val="0034476F"/>
    <w:rsid w:val="00344A32"/>
    <w:rsid w:val="00344BFB"/>
    <w:rsid w:val="00344D42"/>
    <w:rsid w:val="00344EC6"/>
    <w:rsid w:val="00344F61"/>
    <w:rsid w:val="00345287"/>
    <w:rsid w:val="003453AB"/>
    <w:rsid w:val="0034559A"/>
    <w:rsid w:val="00345757"/>
    <w:rsid w:val="003457BC"/>
    <w:rsid w:val="00345821"/>
    <w:rsid w:val="00345A18"/>
    <w:rsid w:val="00345A65"/>
    <w:rsid w:val="00345EF3"/>
    <w:rsid w:val="00345F98"/>
    <w:rsid w:val="0034602B"/>
    <w:rsid w:val="0034603B"/>
    <w:rsid w:val="00346087"/>
    <w:rsid w:val="00346091"/>
    <w:rsid w:val="003460B0"/>
    <w:rsid w:val="003460B1"/>
    <w:rsid w:val="00346243"/>
    <w:rsid w:val="0034646D"/>
    <w:rsid w:val="00346AD5"/>
    <w:rsid w:val="00346E6B"/>
    <w:rsid w:val="00346FCA"/>
    <w:rsid w:val="00346FD8"/>
    <w:rsid w:val="0034702C"/>
    <w:rsid w:val="00347057"/>
    <w:rsid w:val="00347173"/>
    <w:rsid w:val="00347232"/>
    <w:rsid w:val="003473B1"/>
    <w:rsid w:val="00347585"/>
    <w:rsid w:val="00347892"/>
    <w:rsid w:val="00347910"/>
    <w:rsid w:val="00347B4E"/>
    <w:rsid w:val="00347BE5"/>
    <w:rsid w:val="00347DA6"/>
    <w:rsid w:val="00347DEF"/>
    <w:rsid w:val="00347E5F"/>
    <w:rsid w:val="00347FD2"/>
    <w:rsid w:val="00350144"/>
    <w:rsid w:val="003501D0"/>
    <w:rsid w:val="0035039B"/>
    <w:rsid w:val="003503CA"/>
    <w:rsid w:val="00350E9A"/>
    <w:rsid w:val="00350F01"/>
    <w:rsid w:val="00350F96"/>
    <w:rsid w:val="0035128F"/>
    <w:rsid w:val="00351668"/>
    <w:rsid w:val="003517A3"/>
    <w:rsid w:val="003517A6"/>
    <w:rsid w:val="00351972"/>
    <w:rsid w:val="0035198E"/>
    <w:rsid w:val="00351C3C"/>
    <w:rsid w:val="00351CF2"/>
    <w:rsid w:val="00351F52"/>
    <w:rsid w:val="00352177"/>
    <w:rsid w:val="00352285"/>
    <w:rsid w:val="003522E0"/>
    <w:rsid w:val="0035235F"/>
    <w:rsid w:val="003524C9"/>
    <w:rsid w:val="00352586"/>
    <w:rsid w:val="0035267F"/>
    <w:rsid w:val="003526CE"/>
    <w:rsid w:val="003529E1"/>
    <w:rsid w:val="00352BD1"/>
    <w:rsid w:val="00352CA0"/>
    <w:rsid w:val="00352E80"/>
    <w:rsid w:val="00353175"/>
    <w:rsid w:val="0035326F"/>
    <w:rsid w:val="003533FB"/>
    <w:rsid w:val="0035351E"/>
    <w:rsid w:val="00353731"/>
    <w:rsid w:val="00353890"/>
    <w:rsid w:val="0035391E"/>
    <w:rsid w:val="0035394E"/>
    <w:rsid w:val="00353979"/>
    <w:rsid w:val="00353CC2"/>
    <w:rsid w:val="00353DB6"/>
    <w:rsid w:val="00353DBC"/>
    <w:rsid w:val="00353E6E"/>
    <w:rsid w:val="00353FD2"/>
    <w:rsid w:val="0035411A"/>
    <w:rsid w:val="00354242"/>
    <w:rsid w:val="0035497A"/>
    <w:rsid w:val="00354A4D"/>
    <w:rsid w:val="00354B4C"/>
    <w:rsid w:val="00354C6A"/>
    <w:rsid w:val="00354E46"/>
    <w:rsid w:val="00355068"/>
    <w:rsid w:val="00355260"/>
    <w:rsid w:val="00355302"/>
    <w:rsid w:val="00355390"/>
    <w:rsid w:val="00355688"/>
    <w:rsid w:val="003557BC"/>
    <w:rsid w:val="0035580D"/>
    <w:rsid w:val="00355885"/>
    <w:rsid w:val="00355961"/>
    <w:rsid w:val="00355B83"/>
    <w:rsid w:val="00355C43"/>
    <w:rsid w:val="00355C7A"/>
    <w:rsid w:val="00355DD7"/>
    <w:rsid w:val="00355F39"/>
    <w:rsid w:val="0035625E"/>
    <w:rsid w:val="00356675"/>
    <w:rsid w:val="0035670E"/>
    <w:rsid w:val="00356B8D"/>
    <w:rsid w:val="00356CB5"/>
    <w:rsid w:val="00356D0A"/>
    <w:rsid w:val="0035710B"/>
    <w:rsid w:val="0035715F"/>
    <w:rsid w:val="00357166"/>
    <w:rsid w:val="003571A9"/>
    <w:rsid w:val="003571BF"/>
    <w:rsid w:val="003576C5"/>
    <w:rsid w:val="003577C5"/>
    <w:rsid w:val="003577CE"/>
    <w:rsid w:val="003578D9"/>
    <w:rsid w:val="003578F6"/>
    <w:rsid w:val="00357BBE"/>
    <w:rsid w:val="00357C54"/>
    <w:rsid w:val="00357C63"/>
    <w:rsid w:val="00357DB3"/>
    <w:rsid w:val="00360051"/>
    <w:rsid w:val="00360147"/>
    <w:rsid w:val="00360171"/>
    <w:rsid w:val="003601D7"/>
    <w:rsid w:val="003603B5"/>
    <w:rsid w:val="00360494"/>
    <w:rsid w:val="00360689"/>
    <w:rsid w:val="003607A6"/>
    <w:rsid w:val="0036090A"/>
    <w:rsid w:val="00360C28"/>
    <w:rsid w:val="00360DB6"/>
    <w:rsid w:val="00360DFC"/>
    <w:rsid w:val="00360E85"/>
    <w:rsid w:val="0036119E"/>
    <w:rsid w:val="003612E1"/>
    <w:rsid w:val="00361357"/>
    <w:rsid w:val="0036152C"/>
    <w:rsid w:val="00361692"/>
    <w:rsid w:val="00361AAD"/>
    <w:rsid w:val="00361B4B"/>
    <w:rsid w:val="00361CA1"/>
    <w:rsid w:val="00362075"/>
    <w:rsid w:val="00362079"/>
    <w:rsid w:val="00362122"/>
    <w:rsid w:val="00362172"/>
    <w:rsid w:val="00362428"/>
    <w:rsid w:val="0036299D"/>
    <w:rsid w:val="003629DC"/>
    <w:rsid w:val="00362B67"/>
    <w:rsid w:val="00362EBA"/>
    <w:rsid w:val="00362FDF"/>
    <w:rsid w:val="00363008"/>
    <w:rsid w:val="0036301B"/>
    <w:rsid w:val="00363332"/>
    <w:rsid w:val="003635B2"/>
    <w:rsid w:val="00363615"/>
    <w:rsid w:val="003636F9"/>
    <w:rsid w:val="003638EB"/>
    <w:rsid w:val="003639FB"/>
    <w:rsid w:val="00363A21"/>
    <w:rsid w:val="00363BF7"/>
    <w:rsid w:val="00363CF0"/>
    <w:rsid w:val="00363D45"/>
    <w:rsid w:val="00363DD6"/>
    <w:rsid w:val="00363E11"/>
    <w:rsid w:val="00363F13"/>
    <w:rsid w:val="0036461F"/>
    <w:rsid w:val="003649A1"/>
    <w:rsid w:val="00364AA0"/>
    <w:rsid w:val="00364D38"/>
    <w:rsid w:val="00364DB3"/>
    <w:rsid w:val="00364FEB"/>
    <w:rsid w:val="0036550A"/>
    <w:rsid w:val="003657FD"/>
    <w:rsid w:val="00365A36"/>
    <w:rsid w:val="003664C2"/>
    <w:rsid w:val="00366665"/>
    <w:rsid w:val="00366788"/>
    <w:rsid w:val="003667CA"/>
    <w:rsid w:val="00366A05"/>
    <w:rsid w:val="00366B28"/>
    <w:rsid w:val="00366C59"/>
    <w:rsid w:val="00366D92"/>
    <w:rsid w:val="00366EF1"/>
    <w:rsid w:val="0036706E"/>
    <w:rsid w:val="003674AA"/>
    <w:rsid w:val="0036761D"/>
    <w:rsid w:val="0036766C"/>
    <w:rsid w:val="00367914"/>
    <w:rsid w:val="00367B8C"/>
    <w:rsid w:val="00367BCB"/>
    <w:rsid w:val="00367FC4"/>
    <w:rsid w:val="003700DA"/>
    <w:rsid w:val="00370168"/>
    <w:rsid w:val="0037016E"/>
    <w:rsid w:val="0037032D"/>
    <w:rsid w:val="003703AF"/>
    <w:rsid w:val="003706D4"/>
    <w:rsid w:val="003709FD"/>
    <w:rsid w:val="00370C98"/>
    <w:rsid w:val="00370DA4"/>
    <w:rsid w:val="00371172"/>
    <w:rsid w:val="003711D6"/>
    <w:rsid w:val="00371246"/>
    <w:rsid w:val="00371742"/>
    <w:rsid w:val="00371792"/>
    <w:rsid w:val="0037196F"/>
    <w:rsid w:val="00371B76"/>
    <w:rsid w:val="00371CD1"/>
    <w:rsid w:val="00371F62"/>
    <w:rsid w:val="003722B6"/>
    <w:rsid w:val="003724CC"/>
    <w:rsid w:val="00372645"/>
    <w:rsid w:val="003727EA"/>
    <w:rsid w:val="0037299F"/>
    <w:rsid w:val="003729A9"/>
    <w:rsid w:val="00372A38"/>
    <w:rsid w:val="00372BF9"/>
    <w:rsid w:val="00372E32"/>
    <w:rsid w:val="00372E42"/>
    <w:rsid w:val="00372F13"/>
    <w:rsid w:val="00372F39"/>
    <w:rsid w:val="003730DB"/>
    <w:rsid w:val="003730DC"/>
    <w:rsid w:val="00373152"/>
    <w:rsid w:val="003734FD"/>
    <w:rsid w:val="0037350C"/>
    <w:rsid w:val="003735B7"/>
    <w:rsid w:val="003736B6"/>
    <w:rsid w:val="00373866"/>
    <w:rsid w:val="0037398F"/>
    <w:rsid w:val="00373A9C"/>
    <w:rsid w:val="00373D8C"/>
    <w:rsid w:val="00373DA9"/>
    <w:rsid w:val="00374251"/>
    <w:rsid w:val="0037430E"/>
    <w:rsid w:val="0037443B"/>
    <w:rsid w:val="0037465B"/>
    <w:rsid w:val="00374688"/>
    <w:rsid w:val="003747FB"/>
    <w:rsid w:val="00374A46"/>
    <w:rsid w:val="00374A6C"/>
    <w:rsid w:val="00374AA6"/>
    <w:rsid w:val="00374B63"/>
    <w:rsid w:val="00374D16"/>
    <w:rsid w:val="00374E67"/>
    <w:rsid w:val="00374EF5"/>
    <w:rsid w:val="00374F41"/>
    <w:rsid w:val="003750B5"/>
    <w:rsid w:val="0037511F"/>
    <w:rsid w:val="0037520F"/>
    <w:rsid w:val="00375797"/>
    <w:rsid w:val="00375915"/>
    <w:rsid w:val="003759D7"/>
    <w:rsid w:val="00375E32"/>
    <w:rsid w:val="00375F6B"/>
    <w:rsid w:val="003763D8"/>
    <w:rsid w:val="003764CD"/>
    <w:rsid w:val="00376626"/>
    <w:rsid w:val="00376861"/>
    <w:rsid w:val="00376D30"/>
    <w:rsid w:val="00376D83"/>
    <w:rsid w:val="00376D9A"/>
    <w:rsid w:val="00376DD9"/>
    <w:rsid w:val="00376EB7"/>
    <w:rsid w:val="003773FC"/>
    <w:rsid w:val="0037744E"/>
    <w:rsid w:val="003774A0"/>
    <w:rsid w:val="003777C5"/>
    <w:rsid w:val="003779CC"/>
    <w:rsid w:val="00377AAD"/>
    <w:rsid w:val="00377B41"/>
    <w:rsid w:val="00377F7F"/>
    <w:rsid w:val="003800C5"/>
    <w:rsid w:val="003805E4"/>
    <w:rsid w:val="003808DE"/>
    <w:rsid w:val="00380B0F"/>
    <w:rsid w:val="00380BBC"/>
    <w:rsid w:val="00380E44"/>
    <w:rsid w:val="00380F3A"/>
    <w:rsid w:val="00380F84"/>
    <w:rsid w:val="0038112F"/>
    <w:rsid w:val="0038134C"/>
    <w:rsid w:val="0038177A"/>
    <w:rsid w:val="00381BD1"/>
    <w:rsid w:val="00381C8C"/>
    <w:rsid w:val="00381CCB"/>
    <w:rsid w:val="00381DCE"/>
    <w:rsid w:val="00381E1F"/>
    <w:rsid w:val="0038209A"/>
    <w:rsid w:val="003822A5"/>
    <w:rsid w:val="00382591"/>
    <w:rsid w:val="003826B4"/>
    <w:rsid w:val="003827AB"/>
    <w:rsid w:val="00382A41"/>
    <w:rsid w:val="00382AE5"/>
    <w:rsid w:val="00382B38"/>
    <w:rsid w:val="00382BB6"/>
    <w:rsid w:val="00382DFB"/>
    <w:rsid w:val="003830EA"/>
    <w:rsid w:val="0038353B"/>
    <w:rsid w:val="00383615"/>
    <w:rsid w:val="0038369D"/>
    <w:rsid w:val="00383C41"/>
    <w:rsid w:val="00383EC9"/>
    <w:rsid w:val="0038409C"/>
    <w:rsid w:val="003844E0"/>
    <w:rsid w:val="0038455C"/>
    <w:rsid w:val="00384779"/>
    <w:rsid w:val="00384AED"/>
    <w:rsid w:val="00384B07"/>
    <w:rsid w:val="00384C58"/>
    <w:rsid w:val="00385010"/>
    <w:rsid w:val="00385036"/>
    <w:rsid w:val="0038549E"/>
    <w:rsid w:val="003855B8"/>
    <w:rsid w:val="00385667"/>
    <w:rsid w:val="0038579E"/>
    <w:rsid w:val="003858B4"/>
    <w:rsid w:val="0038599A"/>
    <w:rsid w:val="00385D2E"/>
    <w:rsid w:val="003864C4"/>
    <w:rsid w:val="003866C9"/>
    <w:rsid w:val="00386809"/>
    <w:rsid w:val="0038685D"/>
    <w:rsid w:val="00386AF1"/>
    <w:rsid w:val="00386B65"/>
    <w:rsid w:val="00386C06"/>
    <w:rsid w:val="00386D17"/>
    <w:rsid w:val="0038732F"/>
    <w:rsid w:val="00387406"/>
    <w:rsid w:val="0038747D"/>
    <w:rsid w:val="0038749B"/>
    <w:rsid w:val="00387522"/>
    <w:rsid w:val="00387962"/>
    <w:rsid w:val="00387995"/>
    <w:rsid w:val="00387B98"/>
    <w:rsid w:val="00387ECE"/>
    <w:rsid w:val="00387FF5"/>
    <w:rsid w:val="003905BD"/>
    <w:rsid w:val="00390E74"/>
    <w:rsid w:val="00390ED6"/>
    <w:rsid w:val="00390ED8"/>
    <w:rsid w:val="00391250"/>
    <w:rsid w:val="00391351"/>
    <w:rsid w:val="0039151D"/>
    <w:rsid w:val="00391538"/>
    <w:rsid w:val="0039162D"/>
    <w:rsid w:val="00391FCD"/>
    <w:rsid w:val="00392277"/>
    <w:rsid w:val="0039260C"/>
    <w:rsid w:val="0039260E"/>
    <w:rsid w:val="00392893"/>
    <w:rsid w:val="003929D2"/>
    <w:rsid w:val="00392A7A"/>
    <w:rsid w:val="00392A90"/>
    <w:rsid w:val="00392BD8"/>
    <w:rsid w:val="00392FF9"/>
    <w:rsid w:val="00393307"/>
    <w:rsid w:val="003933AC"/>
    <w:rsid w:val="0039350E"/>
    <w:rsid w:val="0039352C"/>
    <w:rsid w:val="00393AC0"/>
    <w:rsid w:val="00393BC3"/>
    <w:rsid w:val="00393EE4"/>
    <w:rsid w:val="00393FA5"/>
    <w:rsid w:val="0039421F"/>
    <w:rsid w:val="003942E2"/>
    <w:rsid w:val="00394773"/>
    <w:rsid w:val="003947E3"/>
    <w:rsid w:val="00395020"/>
    <w:rsid w:val="00395272"/>
    <w:rsid w:val="003953D0"/>
    <w:rsid w:val="00395C0F"/>
    <w:rsid w:val="00395DFE"/>
    <w:rsid w:val="00395F15"/>
    <w:rsid w:val="00395FD5"/>
    <w:rsid w:val="00396230"/>
    <w:rsid w:val="003962A9"/>
    <w:rsid w:val="003963D9"/>
    <w:rsid w:val="003966CB"/>
    <w:rsid w:val="00396969"/>
    <w:rsid w:val="00396DDD"/>
    <w:rsid w:val="00396FB4"/>
    <w:rsid w:val="00397125"/>
    <w:rsid w:val="00397157"/>
    <w:rsid w:val="003971A6"/>
    <w:rsid w:val="00397577"/>
    <w:rsid w:val="00397592"/>
    <w:rsid w:val="00397B3F"/>
    <w:rsid w:val="00397C2E"/>
    <w:rsid w:val="00397E16"/>
    <w:rsid w:val="00397F54"/>
    <w:rsid w:val="00397FCF"/>
    <w:rsid w:val="003A0030"/>
    <w:rsid w:val="003A00F6"/>
    <w:rsid w:val="003A036A"/>
    <w:rsid w:val="003A04D1"/>
    <w:rsid w:val="003A07FF"/>
    <w:rsid w:val="003A0819"/>
    <w:rsid w:val="003A08D2"/>
    <w:rsid w:val="003A094C"/>
    <w:rsid w:val="003A0B59"/>
    <w:rsid w:val="003A0E1D"/>
    <w:rsid w:val="003A0E34"/>
    <w:rsid w:val="003A1048"/>
    <w:rsid w:val="003A13BA"/>
    <w:rsid w:val="003A14FD"/>
    <w:rsid w:val="003A1577"/>
    <w:rsid w:val="003A1685"/>
    <w:rsid w:val="003A1A48"/>
    <w:rsid w:val="003A1BE0"/>
    <w:rsid w:val="003A1C00"/>
    <w:rsid w:val="003A1C0C"/>
    <w:rsid w:val="003A1F82"/>
    <w:rsid w:val="003A2197"/>
    <w:rsid w:val="003A2228"/>
    <w:rsid w:val="003A22F2"/>
    <w:rsid w:val="003A250A"/>
    <w:rsid w:val="003A257C"/>
    <w:rsid w:val="003A27BB"/>
    <w:rsid w:val="003A2985"/>
    <w:rsid w:val="003A2A3F"/>
    <w:rsid w:val="003A2E85"/>
    <w:rsid w:val="003A3118"/>
    <w:rsid w:val="003A31DA"/>
    <w:rsid w:val="003A32F2"/>
    <w:rsid w:val="003A3568"/>
    <w:rsid w:val="003A37DF"/>
    <w:rsid w:val="003A389B"/>
    <w:rsid w:val="003A39DA"/>
    <w:rsid w:val="003A3C98"/>
    <w:rsid w:val="003A3E87"/>
    <w:rsid w:val="003A40ED"/>
    <w:rsid w:val="003A4212"/>
    <w:rsid w:val="003A446E"/>
    <w:rsid w:val="003A4715"/>
    <w:rsid w:val="003A48E1"/>
    <w:rsid w:val="003A4B37"/>
    <w:rsid w:val="003A4C37"/>
    <w:rsid w:val="003A4CD8"/>
    <w:rsid w:val="003A53EC"/>
    <w:rsid w:val="003A55D0"/>
    <w:rsid w:val="003A57FA"/>
    <w:rsid w:val="003A58FF"/>
    <w:rsid w:val="003A59E2"/>
    <w:rsid w:val="003A5E02"/>
    <w:rsid w:val="003A5EF0"/>
    <w:rsid w:val="003A6348"/>
    <w:rsid w:val="003A6663"/>
    <w:rsid w:val="003A667A"/>
    <w:rsid w:val="003A6A05"/>
    <w:rsid w:val="003A6B1D"/>
    <w:rsid w:val="003A6D30"/>
    <w:rsid w:val="003A6E47"/>
    <w:rsid w:val="003A6E76"/>
    <w:rsid w:val="003A7078"/>
    <w:rsid w:val="003A71AA"/>
    <w:rsid w:val="003A7254"/>
    <w:rsid w:val="003A73C4"/>
    <w:rsid w:val="003A765F"/>
    <w:rsid w:val="003A7997"/>
    <w:rsid w:val="003A7A39"/>
    <w:rsid w:val="003A7CDD"/>
    <w:rsid w:val="003B06F2"/>
    <w:rsid w:val="003B0B44"/>
    <w:rsid w:val="003B0D4F"/>
    <w:rsid w:val="003B0D96"/>
    <w:rsid w:val="003B1352"/>
    <w:rsid w:val="003B1475"/>
    <w:rsid w:val="003B14C1"/>
    <w:rsid w:val="003B1597"/>
    <w:rsid w:val="003B159B"/>
    <w:rsid w:val="003B16F2"/>
    <w:rsid w:val="003B1765"/>
    <w:rsid w:val="003B1789"/>
    <w:rsid w:val="003B17C5"/>
    <w:rsid w:val="003B1888"/>
    <w:rsid w:val="003B1893"/>
    <w:rsid w:val="003B18F6"/>
    <w:rsid w:val="003B1992"/>
    <w:rsid w:val="003B1AD5"/>
    <w:rsid w:val="003B1C43"/>
    <w:rsid w:val="003B1CFC"/>
    <w:rsid w:val="003B1D9F"/>
    <w:rsid w:val="003B1F35"/>
    <w:rsid w:val="003B20DA"/>
    <w:rsid w:val="003B2442"/>
    <w:rsid w:val="003B2552"/>
    <w:rsid w:val="003B25B3"/>
    <w:rsid w:val="003B26FE"/>
    <w:rsid w:val="003B29F3"/>
    <w:rsid w:val="003B2AE4"/>
    <w:rsid w:val="003B2C28"/>
    <w:rsid w:val="003B2DD0"/>
    <w:rsid w:val="003B2E23"/>
    <w:rsid w:val="003B30A8"/>
    <w:rsid w:val="003B371C"/>
    <w:rsid w:val="003B3738"/>
    <w:rsid w:val="003B37B9"/>
    <w:rsid w:val="003B3916"/>
    <w:rsid w:val="003B3CB0"/>
    <w:rsid w:val="003B3EFA"/>
    <w:rsid w:val="003B4406"/>
    <w:rsid w:val="003B4784"/>
    <w:rsid w:val="003B488C"/>
    <w:rsid w:val="003B4A0A"/>
    <w:rsid w:val="003B4BF1"/>
    <w:rsid w:val="003B4C4B"/>
    <w:rsid w:val="003B528F"/>
    <w:rsid w:val="003B5579"/>
    <w:rsid w:val="003B56E8"/>
    <w:rsid w:val="003B5979"/>
    <w:rsid w:val="003B5CC8"/>
    <w:rsid w:val="003B5F04"/>
    <w:rsid w:val="003B5FDD"/>
    <w:rsid w:val="003B615E"/>
    <w:rsid w:val="003B643A"/>
    <w:rsid w:val="003B650F"/>
    <w:rsid w:val="003B65E9"/>
    <w:rsid w:val="003B6643"/>
    <w:rsid w:val="003B673D"/>
    <w:rsid w:val="003B674A"/>
    <w:rsid w:val="003B6772"/>
    <w:rsid w:val="003B67B1"/>
    <w:rsid w:val="003B6A26"/>
    <w:rsid w:val="003B6A42"/>
    <w:rsid w:val="003B6C60"/>
    <w:rsid w:val="003B6F80"/>
    <w:rsid w:val="003B7001"/>
    <w:rsid w:val="003B71F0"/>
    <w:rsid w:val="003B71F6"/>
    <w:rsid w:val="003B7221"/>
    <w:rsid w:val="003B7225"/>
    <w:rsid w:val="003B75B9"/>
    <w:rsid w:val="003B769A"/>
    <w:rsid w:val="003B780A"/>
    <w:rsid w:val="003B783A"/>
    <w:rsid w:val="003B786F"/>
    <w:rsid w:val="003B7E72"/>
    <w:rsid w:val="003B7EA8"/>
    <w:rsid w:val="003B7F28"/>
    <w:rsid w:val="003B7F6F"/>
    <w:rsid w:val="003C0543"/>
    <w:rsid w:val="003C05A1"/>
    <w:rsid w:val="003C06BB"/>
    <w:rsid w:val="003C0743"/>
    <w:rsid w:val="003C0F56"/>
    <w:rsid w:val="003C10D2"/>
    <w:rsid w:val="003C146A"/>
    <w:rsid w:val="003C165B"/>
    <w:rsid w:val="003C1683"/>
    <w:rsid w:val="003C16FA"/>
    <w:rsid w:val="003C1891"/>
    <w:rsid w:val="003C197D"/>
    <w:rsid w:val="003C1E9C"/>
    <w:rsid w:val="003C1EFA"/>
    <w:rsid w:val="003C1F5E"/>
    <w:rsid w:val="003C212B"/>
    <w:rsid w:val="003C2162"/>
    <w:rsid w:val="003C21B9"/>
    <w:rsid w:val="003C2577"/>
    <w:rsid w:val="003C2874"/>
    <w:rsid w:val="003C29CC"/>
    <w:rsid w:val="003C29DC"/>
    <w:rsid w:val="003C2A76"/>
    <w:rsid w:val="003C2A9B"/>
    <w:rsid w:val="003C2AE1"/>
    <w:rsid w:val="003C2C28"/>
    <w:rsid w:val="003C2C51"/>
    <w:rsid w:val="003C2C68"/>
    <w:rsid w:val="003C2E70"/>
    <w:rsid w:val="003C2F9F"/>
    <w:rsid w:val="003C3169"/>
    <w:rsid w:val="003C32D6"/>
    <w:rsid w:val="003C33A2"/>
    <w:rsid w:val="003C3466"/>
    <w:rsid w:val="003C35B3"/>
    <w:rsid w:val="003C35F7"/>
    <w:rsid w:val="003C386E"/>
    <w:rsid w:val="003C39EB"/>
    <w:rsid w:val="003C3BBA"/>
    <w:rsid w:val="003C3C66"/>
    <w:rsid w:val="003C3D01"/>
    <w:rsid w:val="003C4085"/>
    <w:rsid w:val="003C41D0"/>
    <w:rsid w:val="003C4448"/>
    <w:rsid w:val="003C4483"/>
    <w:rsid w:val="003C4629"/>
    <w:rsid w:val="003C482F"/>
    <w:rsid w:val="003C48D1"/>
    <w:rsid w:val="003C4ABD"/>
    <w:rsid w:val="003C4E91"/>
    <w:rsid w:val="003C5273"/>
    <w:rsid w:val="003C52DB"/>
    <w:rsid w:val="003C5645"/>
    <w:rsid w:val="003C56AD"/>
    <w:rsid w:val="003C5A66"/>
    <w:rsid w:val="003C5DF7"/>
    <w:rsid w:val="003C5F48"/>
    <w:rsid w:val="003C61B3"/>
    <w:rsid w:val="003C6570"/>
    <w:rsid w:val="003C6A3A"/>
    <w:rsid w:val="003C6CB5"/>
    <w:rsid w:val="003C6CFE"/>
    <w:rsid w:val="003C6DDE"/>
    <w:rsid w:val="003C6FDD"/>
    <w:rsid w:val="003C7028"/>
    <w:rsid w:val="003C708A"/>
    <w:rsid w:val="003C7420"/>
    <w:rsid w:val="003C77A8"/>
    <w:rsid w:val="003C7886"/>
    <w:rsid w:val="003C7CAF"/>
    <w:rsid w:val="003C7DF3"/>
    <w:rsid w:val="003C7FE9"/>
    <w:rsid w:val="003D00E4"/>
    <w:rsid w:val="003D0517"/>
    <w:rsid w:val="003D0752"/>
    <w:rsid w:val="003D0767"/>
    <w:rsid w:val="003D0774"/>
    <w:rsid w:val="003D0A0C"/>
    <w:rsid w:val="003D0BA3"/>
    <w:rsid w:val="003D0BDF"/>
    <w:rsid w:val="003D0E1D"/>
    <w:rsid w:val="003D0E5E"/>
    <w:rsid w:val="003D0F9E"/>
    <w:rsid w:val="003D10B0"/>
    <w:rsid w:val="003D110A"/>
    <w:rsid w:val="003D113F"/>
    <w:rsid w:val="003D12D7"/>
    <w:rsid w:val="003D1312"/>
    <w:rsid w:val="003D149A"/>
    <w:rsid w:val="003D168C"/>
    <w:rsid w:val="003D19B5"/>
    <w:rsid w:val="003D1E6F"/>
    <w:rsid w:val="003D22CB"/>
    <w:rsid w:val="003D254D"/>
    <w:rsid w:val="003D28EC"/>
    <w:rsid w:val="003D2A5E"/>
    <w:rsid w:val="003D2B38"/>
    <w:rsid w:val="003D2C76"/>
    <w:rsid w:val="003D2DC8"/>
    <w:rsid w:val="003D2F71"/>
    <w:rsid w:val="003D3129"/>
    <w:rsid w:val="003D35F0"/>
    <w:rsid w:val="003D376B"/>
    <w:rsid w:val="003D37B5"/>
    <w:rsid w:val="003D3912"/>
    <w:rsid w:val="003D3941"/>
    <w:rsid w:val="003D3B16"/>
    <w:rsid w:val="003D3B76"/>
    <w:rsid w:val="003D3C36"/>
    <w:rsid w:val="003D3D4D"/>
    <w:rsid w:val="003D3D91"/>
    <w:rsid w:val="003D3F8F"/>
    <w:rsid w:val="003D46F1"/>
    <w:rsid w:val="003D4708"/>
    <w:rsid w:val="003D4718"/>
    <w:rsid w:val="003D4761"/>
    <w:rsid w:val="003D477A"/>
    <w:rsid w:val="003D4957"/>
    <w:rsid w:val="003D4EB7"/>
    <w:rsid w:val="003D4F6A"/>
    <w:rsid w:val="003D5237"/>
    <w:rsid w:val="003D539C"/>
    <w:rsid w:val="003D587C"/>
    <w:rsid w:val="003D5A25"/>
    <w:rsid w:val="003D5B45"/>
    <w:rsid w:val="003D5B80"/>
    <w:rsid w:val="003D5C7A"/>
    <w:rsid w:val="003D61DF"/>
    <w:rsid w:val="003D63FA"/>
    <w:rsid w:val="003D6595"/>
    <w:rsid w:val="003D6BCB"/>
    <w:rsid w:val="003D6D2A"/>
    <w:rsid w:val="003D6D8A"/>
    <w:rsid w:val="003D6DBC"/>
    <w:rsid w:val="003D7028"/>
    <w:rsid w:val="003D721A"/>
    <w:rsid w:val="003D72B6"/>
    <w:rsid w:val="003D7399"/>
    <w:rsid w:val="003D73DB"/>
    <w:rsid w:val="003D7616"/>
    <w:rsid w:val="003D7946"/>
    <w:rsid w:val="003D7A09"/>
    <w:rsid w:val="003D7A68"/>
    <w:rsid w:val="003D7BF6"/>
    <w:rsid w:val="003D7E48"/>
    <w:rsid w:val="003D7E8B"/>
    <w:rsid w:val="003D7F1C"/>
    <w:rsid w:val="003E03D4"/>
    <w:rsid w:val="003E0430"/>
    <w:rsid w:val="003E05E1"/>
    <w:rsid w:val="003E0BA1"/>
    <w:rsid w:val="003E0BA4"/>
    <w:rsid w:val="003E0C22"/>
    <w:rsid w:val="003E0F77"/>
    <w:rsid w:val="003E0FF7"/>
    <w:rsid w:val="003E1370"/>
    <w:rsid w:val="003E13FA"/>
    <w:rsid w:val="003E150E"/>
    <w:rsid w:val="003E15B3"/>
    <w:rsid w:val="003E1AB1"/>
    <w:rsid w:val="003E1F20"/>
    <w:rsid w:val="003E2100"/>
    <w:rsid w:val="003E2163"/>
    <w:rsid w:val="003E2354"/>
    <w:rsid w:val="003E24ED"/>
    <w:rsid w:val="003E2668"/>
    <w:rsid w:val="003E2669"/>
    <w:rsid w:val="003E27CA"/>
    <w:rsid w:val="003E2955"/>
    <w:rsid w:val="003E29E0"/>
    <w:rsid w:val="003E2B32"/>
    <w:rsid w:val="003E2E46"/>
    <w:rsid w:val="003E3275"/>
    <w:rsid w:val="003E33D9"/>
    <w:rsid w:val="003E35CE"/>
    <w:rsid w:val="003E396D"/>
    <w:rsid w:val="003E3C6A"/>
    <w:rsid w:val="003E404D"/>
    <w:rsid w:val="003E4468"/>
    <w:rsid w:val="003E44BF"/>
    <w:rsid w:val="003E46DC"/>
    <w:rsid w:val="003E46E7"/>
    <w:rsid w:val="003E471F"/>
    <w:rsid w:val="003E48EE"/>
    <w:rsid w:val="003E4A73"/>
    <w:rsid w:val="003E4BAE"/>
    <w:rsid w:val="003E4E72"/>
    <w:rsid w:val="003E504B"/>
    <w:rsid w:val="003E5364"/>
    <w:rsid w:val="003E5424"/>
    <w:rsid w:val="003E55BF"/>
    <w:rsid w:val="003E5726"/>
    <w:rsid w:val="003E580F"/>
    <w:rsid w:val="003E5871"/>
    <w:rsid w:val="003E5874"/>
    <w:rsid w:val="003E592E"/>
    <w:rsid w:val="003E5945"/>
    <w:rsid w:val="003E5B2F"/>
    <w:rsid w:val="003E5BE9"/>
    <w:rsid w:val="003E5C1E"/>
    <w:rsid w:val="003E5CD4"/>
    <w:rsid w:val="003E5CD9"/>
    <w:rsid w:val="003E5E47"/>
    <w:rsid w:val="003E60A2"/>
    <w:rsid w:val="003E63ED"/>
    <w:rsid w:val="003E64AF"/>
    <w:rsid w:val="003E65F0"/>
    <w:rsid w:val="003E6615"/>
    <w:rsid w:val="003E664B"/>
    <w:rsid w:val="003E6751"/>
    <w:rsid w:val="003E67CA"/>
    <w:rsid w:val="003E7011"/>
    <w:rsid w:val="003E70A8"/>
    <w:rsid w:val="003E7345"/>
    <w:rsid w:val="003E7451"/>
    <w:rsid w:val="003E7649"/>
    <w:rsid w:val="003E789D"/>
    <w:rsid w:val="003E79F9"/>
    <w:rsid w:val="003E7A54"/>
    <w:rsid w:val="003E7B53"/>
    <w:rsid w:val="003E7C2B"/>
    <w:rsid w:val="003E7CD9"/>
    <w:rsid w:val="003F0017"/>
    <w:rsid w:val="003F0082"/>
    <w:rsid w:val="003F0100"/>
    <w:rsid w:val="003F0306"/>
    <w:rsid w:val="003F0349"/>
    <w:rsid w:val="003F078B"/>
    <w:rsid w:val="003F079F"/>
    <w:rsid w:val="003F0842"/>
    <w:rsid w:val="003F0C5C"/>
    <w:rsid w:val="003F0E83"/>
    <w:rsid w:val="003F0F17"/>
    <w:rsid w:val="003F0F36"/>
    <w:rsid w:val="003F0FBB"/>
    <w:rsid w:val="003F0FE5"/>
    <w:rsid w:val="003F12E9"/>
    <w:rsid w:val="003F1334"/>
    <w:rsid w:val="003F17B7"/>
    <w:rsid w:val="003F17FE"/>
    <w:rsid w:val="003F1929"/>
    <w:rsid w:val="003F1AF3"/>
    <w:rsid w:val="003F1DFE"/>
    <w:rsid w:val="003F214A"/>
    <w:rsid w:val="003F23D7"/>
    <w:rsid w:val="003F23DF"/>
    <w:rsid w:val="003F2444"/>
    <w:rsid w:val="003F2570"/>
    <w:rsid w:val="003F25E4"/>
    <w:rsid w:val="003F2856"/>
    <w:rsid w:val="003F28DD"/>
    <w:rsid w:val="003F2A3B"/>
    <w:rsid w:val="003F2AC6"/>
    <w:rsid w:val="003F2F21"/>
    <w:rsid w:val="003F2F2A"/>
    <w:rsid w:val="003F300D"/>
    <w:rsid w:val="003F325F"/>
    <w:rsid w:val="003F326F"/>
    <w:rsid w:val="003F3279"/>
    <w:rsid w:val="003F3333"/>
    <w:rsid w:val="003F337C"/>
    <w:rsid w:val="003F3553"/>
    <w:rsid w:val="003F3782"/>
    <w:rsid w:val="003F37B0"/>
    <w:rsid w:val="003F39F1"/>
    <w:rsid w:val="003F3AB6"/>
    <w:rsid w:val="003F3B55"/>
    <w:rsid w:val="003F3F48"/>
    <w:rsid w:val="003F4116"/>
    <w:rsid w:val="003F41BD"/>
    <w:rsid w:val="003F43EA"/>
    <w:rsid w:val="003F440D"/>
    <w:rsid w:val="003F44BD"/>
    <w:rsid w:val="003F4565"/>
    <w:rsid w:val="003F45FF"/>
    <w:rsid w:val="003F46B6"/>
    <w:rsid w:val="003F47FD"/>
    <w:rsid w:val="003F4846"/>
    <w:rsid w:val="003F49F8"/>
    <w:rsid w:val="003F4A56"/>
    <w:rsid w:val="003F4D6A"/>
    <w:rsid w:val="003F4E59"/>
    <w:rsid w:val="003F4ED8"/>
    <w:rsid w:val="003F523B"/>
    <w:rsid w:val="003F5288"/>
    <w:rsid w:val="003F52A8"/>
    <w:rsid w:val="003F5429"/>
    <w:rsid w:val="003F5459"/>
    <w:rsid w:val="003F59F4"/>
    <w:rsid w:val="003F5A11"/>
    <w:rsid w:val="003F5A98"/>
    <w:rsid w:val="003F5AAF"/>
    <w:rsid w:val="003F5AC0"/>
    <w:rsid w:val="003F5BDC"/>
    <w:rsid w:val="003F5F22"/>
    <w:rsid w:val="003F610F"/>
    <w:rsid w:val="003F6215"/>
    <w:rsid w:val="003F6240"/>
    <w:rsid w:val="003F62F1"/>
    <w:rsid w:val="003F66AF"/>
    <w:rsid w:val="003F66B6"/>
    <w:rsid w:val="003F68F2"/>
    <w:rsid w:val="003F69CC"/>
    <w:rsid w:val="003F6A6B"/>
    <w:rsid w:val="003F6C3A"/>
    <w:rsid w:val="003F6DC4"/>
    <w:rsid w:val="003F70E5"/>
    <w:rsid w:val="003F715C"/>
    <w:rsid w:val="003F724B"/>
    <w:rsid w:val="003F7588"/>
    <w:rsid w:val="003F788C"/>
    <w:rsid w:val="003F795D"/>
    <w:rsid w:val="003F79B3"/>
    <w:rsid w:val="003F79E6"/>
    <w:rsid w:val="003F7A7B"/>
    <w:rsid w:val="0040046D"/>
    <w:rsid w:val="00400577"/>
    <w:rsid w:val="0040084D"/>
    <w:rsid w:val="00400AEF"/>
    <w:rsid w:val="00400E73"/>
    <w:rsid w:val="00400EAC"/>
    <w:rsid w:val="00400EBD"/>
    <w:rsid w:val="00400F05"/>
    <w:rsid w:val="00400F37"/>
    <w:rsid w:val="004010DE"/>
    <w:rsid w:val="00401138"/>
    <w:rsid w:val="0040121C"/>
    <w:rsid w:val="00401339"/>
    <w:rsid w:val="0040145C"/>
    <w:rsid w:val="0040146A"/>
    <w:rsid w:val="00401563"/>
    <w:rsid w:val="00401575"/>
    <w:rsid w:val="0040184A"/>
    <w:rsid w:val="004018BB"/>
    <w:rsid w:val="00401965"/>
    <w:rsid w:val="004019F6"/>
    <w:rsid w:val="00402049"/>
    <w:rsid w:val="004024D2"/>
    <w:rsid w:val="004026C4"/>
    <w:rsid w:val="004029C3"/>
    <w:rsid w:val="00402CA7"/>
    <w:rsid w:val="00402FF8"/>
    <w:rsid w:val="004031C8"/>
    <w:rsid w:val="004034F7"/>
    <w:rsid w:val="00403520"/>
    <w:rsid w:val="004037E0"/>
    <w:rsid w:val="004038DC"/>
    <w:rsid w:val="00403A39"/>
    <w:rsid w:val="00403A9F"/>
    <w:rsid w:val="00403B45"/>
    <w:rsid w:val="00403EAA"/>
    <w:rsid w:val="00403F34"/>
    <w:rsid w:val="00403F54"/>
    <w:rsid w:val="00403F60"/>
    <w:rsid w:val="00404399"/>
    <w:rsid w:val="0040442D"/>
    <w:rsid w:val="004046D3"/>
    <w:rsid w:val="00404852"/>
    <w:rsid w:val="0040498B"/>
    <w:rsid w:val="00404D46"/>
    <w:rsid w:val="00404DCD"/>
    <w:rsid w:val="00404E57"/>
    <w:rsid w:val="00405103"/>
    <w:rsid w:val="00405161"/>
    <w:rsid w:val="0040519D"/>
    <w:rsid w:val="0040554D"/>
    <w:rsid w:val="00405624"/>
    <w:rsid w:val="00405736"/>
    <w:rsid w:val="004057A1"/>
    <w:rsid w:val="00405B6D"/>
    <w:rsid w:val="00405D56"/>
    <w:rsid w:val="00405E62"/>
    <w:rsid w:val="0040615D"/>
    <w:rsid w:val="00406313"/>
    <w:rsid w:val="004064DD"/>
    <w:rsid w:val="004066B0"/>
    <w:rsid w:val="00406A14"/>
    <w:rsid w:val="00406C33"/>
    <w:rsid w:val="00406CE0"/>
    <w:rsid w:val="00406CF4"/>
    <w:rsid w:val="00406E4C"/>
    <w:rsid w:val="00406F9F"/>
    <w:rsid w:val="00406FFF"/>
    <w:rsid w:val="004074F5"/>
    <w:rsid w:val="004074F9"/>
    <w:rsid w:val="004076A7"/>
    <w:rsid w:val="004077BD"/>
    <w:rsid w:val="004077D6"/>
    <w:rsid w:val="00407B70"/>
    <w:rsid w:val="00407C7A"/>
    <w:rsid w:val="00407E24"/>
    <w:rsid w:val="004100AC"/>
    <w:rsid w:val="004103D1"/>
    <w:rsid w:val="004105A1"/>
    <w:rsid w:val="0041079F"/>
    <w:rsid w:val="00410D2D"/>
    <w:rsid w:val="00410E9D"/>
    <w:rsid w:val="00411108"/>
    <w:rsid w:val="00411123"/>
    <w:rsid w:val="00411146"/>
    <w:rsid w:val="00411252"/>
    <w:rsid w:val="00411346"/>
    <w:rsid w:val="0041141A"/>
    <w:rsid w:val="00411437"/>
    <w:rsid w:val="004115B3"/>
    <w:rsid w:val="00411794"/>
    <w:rsid w:val="004119CC"/>
    <w:rsid w:val="00411C54"/>
    <w:rsid w:val="00411C6A"/>
    <w:rsid w:val="00412025"/>
    <w:rsid w:val="0041207B"/>
    <w:rsid w:val="004121E7"/>
    <w:rsid w:val="0041270F"/>
    <w:rsid w:val="004128D0"/>
    <w:rsid w:val="00412CCA"/>
    <w:rsid w:val="00412E79"/>
    <w:rsid w:val="004131A3"/>
    <w:rsid w:val="004132BC"/>
    <w:rsid w:val="0041339A"/>
    <w:rsid w:val="004134F1"/>
    <w:rsid w:val="00413507"/>
    <w:rsid w:val="004136FF"/>
    <w:rsid w:val="004138FF"/>
    <w:rsid w:val="00413991"/>
    <w:rsid w:val="004139E5"/>
    <w:rsid w:val="00413AFD"/>
    <w:rsid w:val="00413BB3"/>
    <w:rsid w:val="00413C2C"/>
    <w:rsid w:val="00413F3C"/>
    <w:rsid w:val="00413F81"/>
    <w:rsid w:val="00413F91"/>
    <w:rsid w:val="00413FE0"/>
    <w:rsid w:val="00414120"/>
    <w:rsid w:val="00414249"/>
    <w:rsid w:val="004143D6"/>
    <w:rsid w:val="00414502"/>
    <w:rsid w:val="004145FB"/>
    <w:rsid w:val="00414606"/>
    <w:rsid w:val="004147B6"/>
    <w:rsid w:val="00414AEF"/>
    <w:rsid w:val="00414B34"/>
    <w:rsid w:val="00414CD9"/>
    <w:rsid w:val="00414E51"/>
    <w:rsid w:val="00414F9B"/>
    <w:rsid w:val="00414FA9"/>
    <w:rsid w:val="00415195"/>
    <w:rsid w:val="004154DA"/>
    <w:rsid w:val="0041553D"/>
    <w:rsid w:val="00415B06"/>
    <w:rsid w:val="00415CC3"/>
    <w:rsid w:val="00415F11"/>
    <w:rsid w:val="0041606A"/>
    <w:rsid w:val="00416209"/>
    <w:rsid w:val="0041651A"/>
    <w:rsid w:val="004165BE"/>
    <w:rsid w:val="004165D1"/>
    <w:rsid w:val="00416611"/>
    <w:rsid w:val="00416DBD"/>
    <w:rsid w:val="00416E6C"/>
    <w:rsid w:val="00417197"/>
    <w:rsid w:val="004171B9"/>
    <w:rsid w:val="0041734A"/>
    <w:rsid w:val="004173C5"/>
    <w:rsid w:val="00417578"/>
    <w:rsid w:val="004178E4"/>
    <w:rsid w:val="00417A04"/>
    <w:rsid w:val="00417AC8"/>
    <w:rsid w:val="00417B1F"/>
    <w:rsid w:val="00417D27"/>
    <w:rsid w:val="00417D37"/>
    <w:rsid w:val="0042000C"/>
    <w:rsid w:val="004201EB"/>
    <w:rsid w:val="004203D6"/>
    <w:rsid w:val="0042040C"/>
    <w:rsid w:val="00420515"/>
    <w:rsid w:val="004205F0"/>
    <w:rsid w:val="00420621"/>
    <w:rsid w:val="0042063A"/>
    <w:rsid w:val="0042088D"/>
    <w:rsid w:val="00420B16"/>
    <w:rsid w:val="00420CDD"/>
    <w:rsid w:val="00420DC5"/>
    <w:rsid w:val="00420E2F"/>
    <w:rsid w:val="00420E70"/>
    <w:rsid w:val="00420F04"/>
    <w:rsid w:val="00420F2B"/>
    <w:rsid w:val="004211B4"/>
    <w:rsid w:val="00421212"/>
    <w:rsid w:val="0042141B"/>
    <w:rsid w:val="0042165A"/>
    <w:rsid w:val="0042169D"/>
    <w:rsid w:val="004217EE"/>
    <w:rsid w:val="00421803"/>
    <w:rsid w:val="00421850"/>
    <w:rsid w:val="00421CE8"/>
    <w:rsid w:val="00421F54"/>
    <w:rsid w:val="00421F87"/>
    <w:rsid w:val="00422095"/>
    <w:rsid w:val="004221E2"/>
    <w:rsid w:val="00422401"/>
    <w:rsid w:val="00422703"/>
    <w:rsid w:val="00422829"/>
    <w:rsid w:val="004229D2"/>
    <w:rsid w:val="00422B8A"/>
    <w:rsid w:val="00422BEE"/>
    <w:rsid w:val="00422DD0"/>
    <w:rsid w:val="00422F56"/>
    <w:rsid w:val="00422F5C"/>
    <w:rsid w:val="00422FDA"/>
    <w:rsid w:val="00423089"/>
    <w:rsid w:val="00423099"/>
    <w:rsid w:val="0042393A"/>
    <w:rsid w:val="00423B68"/>
    <w:rsid w:val="00423B7C"/>
    <w:rsid w:val="00423BF1"/>
    <w:rsid w:val="00423CCE"/>
    <w:rsid w:val="00423E1D"/>
    <w:rsid w:val="00423E23"/>
    <w:rsid w:val="00423E27"/>
    <w:rsid w:val="004240C8"/>
    <w:rsid w:val="00424A00"/>
    <w:rsid w:val="00424B5F"/>
    <w:rsid w:val="00424CF3"/>
    <w:rsid w:val="00424E2E"/>
    <w:rsid w:val="00424E55"/>
    <w:rsid w:val="00424E79"/>
    <w:rsid w:val="00424EA4"/>
    <w:rsid w:val="004251C7"/>
    <w:rsid w:val="0042520D"/>
    <w:rsid w:val="004254EF"/>
    <w:rsid w:val="0042575E"/>
    <w:rsid w:val="00425762"/>
    <w:rsid w:val="00425839"/>
    <w:rsid w:val="00425901"/>
    <w:rsid w:val="00425914"/>
    <w:rsid w:val="00425A0D"/>
    <w:rsid w:val="00425A1E"/>
    <w:rsid w:val="00425E8D"/>
    <w:rsid w:val="00425EC3"/>
    <w:rsid w:val="00425F00"/>
    <w:rsid w:val="00425F75"/>
    <w:rsid w:val="004260DB"/>
    <w:rsid w:val="004265D9"/>
    <w:rsid w:val="0042661C"/>
    <w:rsid w:val="00426979"/>
    <w:rsid w:val="00426C07"/>
    <w:rsid w:val="00426CE6"/>
    <w:rsid w:val="00426F78"/>
    <w:rsid w:val="0042701B"/>
    <w:rsid w:val="004272D8"/>
    <w:rsid w:val="004274B3"/>
    <w:rsid w:val="004274C8"/>
    <w:rsid w:val="0042778F"/>
    <w:rsid w:val="00427A7B"/>
    <w:rsid w:val="00427DDD"/>
    <w:rsid w:val="004300DC"/>
    <w:rsid w:val="004305BF"/>
    <w:rsid w:val="0043068D"/>
    <w:rsid w:val="004306A6"/>
    <w:rsid w:val="00430B9E"/>
    <w:rsid w:val="00430CD4"/>
    <w:rsid w:val="00430F03"/>
    <w:rsid w:val="00430F34"/>
    <w:rsid w:val="00431239"/>
    <w:rsid w:val="004317E4"/>
    <w:rsid w:val="004319D2"/>
    <w:rsid w:val="00431A5A"/>
    <w:rsid w:val="00431D30"/>
    <w:rsid w:val="00431E3A"/>
    <w:rsid w:val="00431E6A"/>
    <w:rsid w:val="00431E80"/>
    <w:rsid w:val="00432376"/>
    <w:rsid w:val="0043241F"/>
    <w:rsid w:val="0043242F"/>
    <w:rsid w:val="004329A5"/>
    <w:rsid w:val="00432D1D"/>
    <w:rsid w:val="00432DA8"/>
    <w:rsid w:val="00432E37"/>
    <w:rsid w:val="00432EC1"/>
    <w:rsid w:val="00433094"/>
    <w:rsid w:val="00433228"/>
    <w:rsid w:val="004332AA"/>
    <w:rsid w:val="00433425"/>
    <w:rsid w:val="00433525"/>
    <w:rsid w:val="00433539"/>
    <w:rsid w:val="004336CB"/>
    <w:rsid w:val="0043380B"/>
    <w:rsid w:val="004339E4"/>
    <w:rsid w:val="00433B1A"/>
    <w:rsid w:val="00434053"/>
    <w:rsid w:val="0043409D"/>
    <w:rsid w:val="004340FF"/>
    <w:rsid w:val="00434205"/>
    <w:rsid w:val="0043421C"/>
    <w:rsid w:val="004342B2"/>
    <w:rsid w:val="004342B5"/>
    <w:rsid w:val="0043432E"/>
    <w:rsid w:val="004343D3"/>
    <w:rsid w:val="00434412"/>
    <w:rsid w:val="00434426"/>
    <w:rsid w:val="00434507"/>
    <w:rsid w:val="0043459A"/>
    <w:rsid w:val="004348CB"/>
    <w:rsid w:val="00434C44"/>
    <w:rsid w:val="00434D91"/>
    <w:rsid w:val="00434E2C"/>
    <w:rsid w:val="00434F4B"/>
    <w:rsid w:val="00434FB3"/>
    <w:rsid w:val="00434FF3"/>
    <w:rsid w:val="004350CB"/>
    <w:rsid w:val="004351D7"/>
    <w:rsid w:val="0043522C"/>
    <w:rsid w:val="00435373"/>
    <w:rsid w:val="004355D0"/>
    <w:rsid w:val="004356C7"/>
    <w:rsid w:val="004358B4"/>
    <w:rsid w:val="004358ED"/>
    <w:rsid w:val="004359D7"/>
    <w:rsid w:val="00435C24"/>
    <w:rsid w:val="0043600A"/>
    <w:rsid w:val="004360A6"/>
    <w:rsid w:val="00436101"/>
    <w:rsid w:val="00436492"/>
    <w:rsid w:val="004368EE"/>
    <w:rsid w:val="00436F7F"/>
    <w:rsid w:val="004370AC"/>
    <w:rsid w:val="0043717C"/>
    <w:rsid w:val="00437184"/>
    <w:rsid w:val="0043738D"/>
    <w:rsid w:val="004376ED"/>
    <w:rsid w:val="0043782D"/>
    <w:rsid w:val="0043792B"/>
    <w:rsid w:val="004379F8"/>
    <w:rsid w:val="00437AF2"/>
    <w:rsid w:val="004400CE"/>
    <w:rsid w:val="0044024D"/>
    <w:rsid w:val="004402F1"/>
    <w:rsid w:val="0044045A"/>
    <w:rsid w:val="00440A31"/>
    <w:rsid w:val="00440BB9"/>
    <w:rsid w:val="00440C08"/>
    <w:rsid w:val="00440CEE"/>
    <w:rsid w:val="00440D0C"/>
    <w:rsid w:val="00440D47"/>
    <w:rsid w:val="00440F06"/>
    <w:rsid w:val="00440F9C"/>
    <w:rsid w:val="004411C1"/>
    <w:rsid w:val="00441223"/>
    <w:rsid w:val="00441495"/>
    <w:rsid w:val="004414AC"/>
    <w:rsid w:val="0044179D"/>
    <w:rsid w:val="00441D53"/>
    <w:rsid w:val="00441E3C"/>
    <w:rsid w:val="004421DA"/>
    <w:rsid w:val="004423A4"/>
    <w:rsid w:val="004427E5"/>
    <w:rsid w:val="00442802"/>
    <w:rsid w:val="00442A3B"/>
    <w:rsid w:val="00442AA0"/>
    <w:rsid w:val="00442CFD"/>
    <w:rsid w:val="00442D20"/>
    <w:rsid w:val="00442F16"/>
    <w:rsid w:val="0044303F"/>
    <w:rsid w:val="00443126"/>
    <w:rsid w:val="0044320C"/>
    <w:rsid w:val="00443418"/>
    <w:rsid w:val="00443443"/>
    <w:rsid w:val="00443947"/>
    <w:rsid w:val="00443C58"/>
    <w:rsid w:val="00443EC1"/>
    <w:rsid w:val="0044419B"/>
    <w:rsid w:val="0044422A"/>
    <w:rsid w:val="004443B0"/>
    <w:rsid w:val="0044450B"/>
    <w:rsid w:val="00444511"/>
    <w:rsid w:val="00444597"/>
    <w:rsid w:val="0044466C"/>
    <w:rsid w:val="00444858"/>
    <w:rsid w:val="00444A75"/>
    <w:rsid w:val="00444C81"/>
    <w:rsid w:val="00444D08"/>
    <w:rsid w:val="0044502B"/>
    <w:rsid w:val="00445190"/>
    <w:rsid w:val="00445497"/>
    <w:rsid w:val="0044558A"/>
    <w:rsid w:val="00445610"/>
    <w:rsid w:val="004459A0"/>
    <w:rsid w:val="00445B63"/>
    <w:rsid w:val="00445BD1"/>
    <w:rsid w:val="00445BD4"/>
    <w:rsid w:val="00445BF2"/>
    <w:rsid w:val="00445BF9"/>
    <w:rsid w:val="00445C9D"/>
    <w:rsid w:val="0044640D"/>
    <w:rsid w:val="004464DF"/>
    <w:rsid w:val="00446528"/>
    <w:rsid w:val="0044672A"/>
    <w:rsid w:val="00446819"/>
    <w:rsid w:val="00446A00"/>
    <w:rsid w:val="00446AC1"/>
    <w:rsid w:val="00446AF3"/>
    <w:rsid w:val="00446B74"/>
    <w:rsid w:val="00446CAE"/>
    <w:rsid w:val="00446F00"/>
    <w:rsid w:val="00446FC0"/>
    <w:rsid w:val="00447054"/>
    <w:rsid w:val="004471A9"/>
    <w:rsid w:val="004479E9"/>
    <w:rsid w:val="00447A99"/>
    <w:rsid w:val="00447C82"/>
    <w:rsid w:val="00447DA0"/>
    <w:rsid w:val="004500D4"/>
    <w:rsid w:val="0045039B"/>
    <w:rsid w:val="00450676"/>
    <w:rsid w:val="00450752"/>
    <w:rsid w:val="00450928"/>
    <w:rsid w:val="004509C3"/>
    <w:rsid w:val="00450ABA"/>
    <w:rsid w:val="00450D20"/>
    <w:rsid w:val="00450E0C"/>
    <w:rsid w:val="00450FB6"/>
    <w:rsid w:val="004510AF"/>
    <w:rsid w:val="00451285"/>
    <w:rsid w:val="0045139C"/>
    <w:rsid w:val="004516BD"/>
    <w:rsid w:val="00452006"/>
    <w:rsid w:val="004520D4"/>
    <w:rsid w:val="0045217D"/>
    <w:rsid w:val="004524E0"/>
    <w:rsid w:val="004524E3"/>
    <w:rsid w:val="00452710"/>
    <w:rsid w:val="004527E0"/>
    <w:rsid w:val="00452959"/>
    <w:rsid w:val="00452C0F"/>
    <w:rsid w:val="00452D57"/>
    <w:rsid w:val="00452E1B"/>
    <w:rsid w:val="00452FC9"/>
    <w:rsid w:val="004530FE"/>
    <w:rsid w:val="00453174"/>
    <w:rsid w:val="00453264"/>
    <w:rsid w:val="0045339C"/>
    <w:rsid w:val="004533E2"/>
    <w:rsid w:val="00453533"/>
    <w:rsid w:val="004536A1"/>
    <w:rsid w:val="004536A3"/>
    <w:rsid w:val="004536EF"/>
    <w:rsid w:val="00453767"/>
    <w:rsid w:val="004539C9"/>
    <w:rsid w:val="00453A4C"/>
    <w:rsid w:val="004540A8"/>
    <w:rsid w:val="004544D1"/>
    <w:rsid w:val="00454535"/>
    <w:rsid w:val="004547A6"/>
    <w:rsid w:val="004548A4"/>
    <w:rsid w:val="00454C2D"/>
    <w:rsid w:val="00454C79"/>
    <w:rsid w:val="00455042"/>
    <w:rsid w:val="00455222"/>
    <w:rsid w:val="00455486"/>
    <w:rsid w:val="0045582A"/>
    <w:rsid w:val="004558D9"/>
    <w:rsid w:val="00455BC6"/>
    <w:rsid w:val="004560A9"/>
    <w:rsid w:val="004565D8"/>
    <w:rsid w:val="004565DF"/>
    <w:rsid w:val="004565E4"/>
    <w:rsid w:val="0045697F"/>
    <w:rsid w:val="00456A3E"/>
    <w:rsid w:val="00456AA2"/>
    <w:rsid w:val="00456BE6"/>
    <w:rsid w:val="00456F42"/>
    <w:rsid w:val="0045708B"/>
    <w:rsid w:val="00457306"/>
    <w:rsid w:val="00457632"/>
    <w:rsid w:val="00457750"/>
    <w:rsid w:val="0045776A"/>
    <w:rsid w:val="00457C17"/>
    <w:rsid w:val="00457CAA"/>
    <w:rsid w:val="00457DF0"/>
    <w:rsid w:val="00457E32"/>
    <w:rsid w:val="00457F91"/>
    <w:rsid w:val="0046002F"/>
    <w:rsid w:val="004600FF"/>
    <w:rsid w:val="00460368"/>
    <w:rsid w:val="00460471"/>
    <w:rsid w:val="004604E8"/>
    <w:rsid w:val="004606B3"/>
    <w:rsid w:val="00460905"/>
    <w:rsid w:val="004609B9"/>
    <w:rsid w:val="00460B90"/>
    <w:rsid w:val="0046103B"/>
    <w:rsid w:val="00461280"/>
    <w:rsid w:val="004612BC"/>
    <w:rsid w:val="004612F2"/>
    <w:rsid w:val="004614BF"/>
    <w:rsid w:val="00461819"/>
    <w:rsid w:val="00461C70"/>
    <w:rsid w:val="00461CCB"/>
    <w:rsid w:val="00461D70"/>
    <w:rsid w:val="00462086"/>
    <w:rsid w:val="0046225D"/>
    <w:rsid w:val="0046293A"/>
    <w:rsid w:val="004629A0"/>
    <w:rsid w:val="00462B54"/>
    <w:rsid w:val="00462B73"/>
    <w:rsid w:val="00463064"/>
    <w:rsid w:val="00463113"/>
    <w:rsid w:val="00463317"/>
    <w:rsid w:val="004634F7"/>
    <w:rsid w:val="004636D3"/>
    <w:rsid w:val="0046375D"/>
    <w:rsid w:val="004637F6"/>
    <w:rsid w:val="00463946"/>
    <w:rsid w:val="00463AE1"/>
    <w:rsid w:val="00463B79"/>
    <w:rsid w:val="00463BAA"/>
    <w:rsid w:val="00463C15"/>
    <w:rsid w:val="00463D58"/>
    <w:rsid w:val="00463F07"/>
    <w:rsid w:val="00463F2F"/>
    <w:rsid w:val="0046406A"/>
    <w:rsid w:val="0046429A"/>
    <w:rsid w:val="004643A1"/>
    <w:rsid w:val="0046457A"/>
    <w:rsid w:val="00464623"/>
    <w:rsid w:val="00464886"/>
    <w:rsid w:val="004648B0"/>
    <w:rsid w:val="00464D8C"/>
    <w:rsid w:val="00464DF5"/>
    <w:rsid w:val="00464E32"/>
    <w:rsid w:val="00464FB5"/>
    <w:rsid w:val="00465349"/>
    <w:rsid w:val="0046536F"/>
    <w:rsid w:val="004656A2"/>
    <w:rsid w:val="00465A9C"/>
    <w:rsid w:val="00465D13"/>
    <w:rsid w:val="00465D40"/>
    <w:rsid w:val="00465EC8"/>
    <w:rsid w:val="00465F34"/>
    <w:rsid w:val="004660A1"/>
    <w:rsid w:val="00466167"/>
    <w:rsid w:val="00466217"/>
    <w:rsid w:val="00466275"/>
    <w:rsid w:val="004662B7"/>
    <w:rsid w:val="004663CA"/>
    <w:rsid w:val="00466516"/>
    <w:rsid w:val="00466A4C"/>
    <w:rsid w:val="00466B7A"/>
    <w:rsid w:val="00466E2E"/>
    <w:rsid w:val="00466F56"/>
    <w:rsid w:val="00466FEC"/>
    <w:rsid w:val="004671FA"/>
    <w:rsid w:val="004673F2"/>
    <w:rsid w:val="004674F7"/>
    <w:rsid w:val="00467527"/>
    <w:rsid w:val="0046768B"/>
    <w:rsid w:val="0046778A"/>
    <w:rsid w:val="004677E4"/>
    <w:rsid w:val="00467A0B"/>
    <w:rsid w:val="00467C50"/>
    <w:rsid w:val="00467C68"/>
    <w:rsid w:val="004701F5"/>
    <w:rsid w:val="0047037B"/>
    <w:rsid w:val="004703F6"/>
    <w:rsid w:val="00470645"/>
    <w:rsid w:val="0047098A"/>
    <w:rsid w:val="0047105B"/>
    <w:rsid w:val="0047106E"/>
    <w:rsid w:val="004712F8"/>
    <w:rsid w:val="004717D8"/>
    <w:rsid w:val="0047181F"/>
    <w:rsid w:val="004718A9"/>
    <w:rsid w:val="00471E4F"/>
    <w:rsid w:val="00472074"/>
    <w:rsid w:val="00472148"/>
    <w:rsid w:val="0047214C"/>
    <w:rsid w:val="00472301"/>
    <w:rsid w:val="00472461"/>
    <w:rsid w:val="0047265B"/>
    <w:rsid w:val="0047274D"/>
    <w:rsid w:val="004728E4"/>
    <w:rsid w:val="00472C37"/>
    <w:rsid w:val="00472DD5"/>
    <w:rsid w:val="00472EB5"/>
    <w:rsid w:val="00472EFA"/>
    <w:rsid w:val="00473107"/>
    <w:rsid w:val="00473178"/>
    <w:rsid w:val="004734E8"/>
    <w:rsid w:val="0047394F"/>
    <w:rsid w:val="00473A88"/>
    <w:rsid w:val="00473B28"/>
    <w:rsid w:val="00473E2A"/>
    <w:rsid w:val="00473E36"/>
    <w:rsid w:val="00474350"/>
    <w:rsid w:val="004745E6"/>
    <w:rsid w:val="00474678"/>
    <w:rsid w:val="0047487B"/>
    <w:rsid w:val="004750DB"/>
    <w:rsid w:val="00475273"/>
    <w:rsid w:val="004753C1"/>
    <w:rsid w:val="004753E9"/>
    <w:rsid w:val="00475425"/>
    <w:rsid w:val="00475604"/>
    <w:rsid w:val="0047595F"/>
    <w:rsid w:val="0047596F"/>
    <w:rsid w:val="00475B20"/>
    <w:rsid w:val="00475C70"/>
    <w:rsid w:val="00475F34"/>
    <w:rsid w:val="00476096"/>
    <w:rsid w:val="004760E6"/>
    <w:rsid w:val="00476104"/>
    <w:rsid w:val="004762E7"/>
    <w:rsid w:val="0047640B"/>
    <w:rsid w:val="004764BD"/>
    <w:rsid w:val="00476589"/>
    <w:rsid w:val="00476C6A"/>
    <w:rsid w:val="00476EB5"/>
    <w:rsid w:val="00476F14"/>
    <w:rsid w:val="00477019"/>
    <w:rsid w:val="0047714C"/>
    <w:rsid w:val="0047729D"/>
    <w:rsid w:val="004772A4"/>
    <w:rsid w:val="00477378"/>
    <w:rsid w:val="004777A9"/>
    <w:rsid w:val="004778E4"/>
    <w:rsid w:val="00477BB5"/>
    <w:rsid w:val="00477CBC"/>
    <w:rsid w:val="00477EB7"/>
    <w:rsid w:val="00480012"/>
    <w:rsid w:val="00480045"/>
    <w:rsid w:val="0048007C"/>
    <w:rsid w:val="00480094"/>
    <w:rsid w:val="00480111"/>
    <w:rsid w:val="00480151"/>
    <w:rsid w:val="004801FC"/>
    <w:rsid w:val="0048026F"/>
    <w:rsid w:val="00480650"/>
    <w:rsid w:val="004807C5"/>
    <w:rsid w:val="004809B8"/>
    <w:rsid w:val="00481334"/>
    <w:rsid w:val="00481996"/>
    <w:rsid w:val="00481CAA"/>
    <w:rsid w:val="00481DEE"/>
    <w:rsid w:val="00481F09"/>
    <w:rsid w:val="004820B1"/>
    <w:rsid w:val="004820C3"/>
    <w:rsid w:val="004821B9"/>
    <w:rsid w:val="00482272"/>
    <w:rsid w:val="0048234C"/>
    <w:rsid w:val="00482559"/>
    <w:rsid w:val="00482586"/>
    <w:rsid w:val="00482822"/>
    <w:rsid w:val="00482D07"/>
    <w:rsid w:val="00482DCC"/>
    <w:rsid w:val="00482DFC"/>
    <w:rsid w:val="004832FF"/>
    <w:rsid w:val="00483428"/>
    <w:rsid w:val="0048343F"/>
    <w:rsid w:val="00483596"/>
    <w:rsid w:val="004837CE"/>
    <w:rsid w:val="004837D3"/>
    <w:rsid w:val="00483806"/>
    <w:rsid w:val="00483885"/>
    <w:rsid w:val="00483B45"/>
    <w:rsid w:val="00483C86"/>
    <w:rsid w:val="00483D9E"/>
    <w:rsid w:val="00483E8E"/>
    <w:rsid w:val="00483ECE"/>
    <w:rsid w:val="0048404D"/>
    <w:rsid w:val="00484134"/>
    <w:rsid w:val="00484281"/>
    <w:rsid w:val="004843AB"/>
    <w:rsid w:val="00484529"/>
    <w:rsid w:val="00484978"/>
    <w:rsid w:val="004849A9"/>
    <w:rsid w:val="00484A74"/>
    <w:rsid w:val="00484C73"/>
    <w:rsid w:val="00484CDF"/>
    <w:rsid w:val="00484DA3"/>
    <w:rsid w:val="00484FF2"/>
    <w:rsid w:val="004851BA"/>
    <w:rsid w:val="004852F3"/>
    <w:rsid w:val="004854E2"/>
    <w:rsid w:val="00485503"/>
    <w:rsid w:val="00485956"/>
    <w:rsid w:val="00485C40"/>
    <w:rsid w:val="00485CE5"/>
    <w:rsid w:val="00485DCB"/>
    <w:rsid w:val="00485DEC"/>
    <w:rsid w:val="00485DEE"/>
    <w:rsid w:val="00485E0A"/>
    <w:rsid w:val="00485E19"/>
    <w:rsid w:val="00485E63"/>
    <w:rsid w:val="00485FFB"/>
    <w:rsid w:val="00486126"/>
    <w:rsid w:val="004863E8"/>
    <w:rsid w:val="004865FF"/>
    <w:rsid w:val="0048660C"/>
    <w:rsid w:val="004867A8"/>
    <w:rsid w:val="00486811"/>
    <w:rsid w:val="00486834"/>
    <w:rsid w:val="00486AA0"/>
    <w:rsid w:val="00486CD5"/>
    <w:rsid w:val="00486EA9"/>
    <w:rsid w:val="00486FEB"/>
    <w:rsid w:val="004870F3"/>
    <w:rsid w:val="004872E1"/>
    <w:rsid w:val="00487474"/>
    <w:rsid w:val="00487580"/>
    <w:rsid w:val="004875F1"/>
    <w:rsid w:val="004875FA"/>
    <w:rsid w:val="00487F23"/>
    <w:rsid w:val="00490016"/>
    <w:rsid w:val="0049006E"/>
    <w:rsid w:val="00490129"/>
    <w:rsid w:val="004901F4"/>
    <w:rsid w:val="00490270"/>
    <w:rsid w:val="00490335"/>
    <w:rsid w:val="004903B6"/>
    <w:rsid w:val="00490615"/>
    <w:rsid w:val="0049081F"/>
    <w:rsid w:val="00490935"/>
    <w:rsid w:val="00490D2B"/>
    <w:rsid w:val="00490D42"/>
    <w:rsid w:val="00490FA8"/>
    <w:rsid w:val="00490FC3"/>
    <w:rsid w:val="00491037"/>
    <w:rsid w:val="00491294"/>
    <w:rsid w:val="004912F9"/>
    <w:rsid w:val="00491381"/>
    <w:rsid w:val="00491390"/>
    <w:rsid w:val="0049165F"/>
    <w:rsid w:val="0049176E"/>
    <w:rsid w:val="0049194F"/>
    <w:rsid w:val="00491A33"/>
    <w:rsid w:val="00491D4F"/>
    <w:rsid w:val="00491D88"/>
    <w:rsid w:val="00491DDD"/>
    <w:rsid w:val="00491FC5"/>
    <w:rsid w:val="00492677"/>
    <w:rsid w:val="00492694"/>
    <w:rsid w:val="00492812"/>
    <w:rsid w:val="0049287E"/>
    <w:rsid w:val="00492919"/>
    <w:rsid w:val="00492BDF"/>
    <w:rsid w:val="00492D6D"/>
    <w:rsid w:val="00492E55"/>
    <w:rsid w:val="00492E99"/>
    <w:rsid w:val="00492ED4"/>
    <w:rsid w:val="00492F4C"/>
    <w:rsid w:val="00492FEC"/>
    <w:rsid w:val="0049330D"/>
    <w:rsid w:val="00493417"/>
    <w:rsid w:val="00493674"/>
    <w:rsid w:val="00493BEF"/>
    <w:rsid w:val="00493DCC"/>
    <w:rsid w:val="00493EE3"/>
    <w:rsid w:val="0049427C"/>
    <w:rsid w:val="004945F6"/>
    <w:rsid w:val="00494700"/>
    <w:rsid w:val="0049470E"/>
    <w:rsid w:val="004947FF"/>
    <w:rsid w:val="00494B76"/>
    <w:rsid w:val="00494C7D"/>
    <w:rsid w:val="00494CD3"/>
    <w:rsid w:val="00494CDF"/>
    <w:rsid w:val="0049515E"/>
    <w:rsid w:val="00495168"/>
    <w:rsid w:val="004953D8"/>
    <w:rsid w:val="00495554"/>
    <w:rsid w:val="00495601"/>
    <w:rsid w:val="004956B3"/>
    <w:rsid w:val="0049585F"/>
    <w:rsid w:val="00495A42"/>
    <w:rsid w:val="00495B3D"/>
    <w:rsid w:val="00495BEB"/>
    <w:rsid w:val="00495CC8"/>
    <w:rsid w:val="00496012"/>
    <w:rsid w:val="0049605C"/>
    <w:rsid w:val="00496599"/>
    <w:rsid w:val="004965C2"/>
    <w:rsid w:val="004965F7"/>
    <w:rsid w:val="00496689"/>
    <w:rsid w:val="00496702"/>
    <w:rsid w:val="00496B92"/>
    <w:rsid w:val="00496CD7"/>
    <w:rsid w:val="00497031"/>
    <w:rsid w:val="004970B0"/>
    <w:rsid w:val="0049710C"/>
    <w:rsid w:val="00497138"/>
    <w:rsid w:val="00497162"/>
    <w:rsid w:val="0049731B"/>
    <w:rsid w:val="0049753F"/>
    <w:rsid w:val="004976F2"/>
    <w:rsid w:val="004979E0"/>
    <w:rsid w:val="004A0028"/>
    <w:rsid w:val="004A00F6"/>
    <w:rsid w:val="004A0181"/>
    <w:rsid w:val="004A0316"/>
    <w:rsid w:val="004A03B9"/>
    <w:rsid w:val="004A0453"/>
    <w:rsid w:val="004A066F"/>
    <w:rsid w:val="004A0795"/>
    <w:rsid w:val="004A080B"/>
    <w:rsid w:val="004A09DB"/>
    <w:rsid w:val="004A0D71"/>
    <w:rsid w:val="004A0EA7"/>
    <w:rsid w:val="004A0EE6"/>
    <w:rsid w:val="004A0EED"/>
    <w:rsid w:val="004A0FEA"/>
    <w:rsid w:val="004A1283"/>
    <w:rsid w:val="004A1438"/>
    <w:rsid w:val="004A17D1"/>
    <w:rsid w:val="004A1956"/>
    <w:rsid w:val="004A1A21"/>
    <w:rsid w:val="004A1BBB"/>
    <w:rsid w:val="004A1C67"/>
    <w:rsid w:val="004A23A0"/>
    <w:rsid w:val="004A23DF"/>
    <w:rsid w:val="004A25FF"/>
    <w:rsid w:val="004A284E"/>
    <w:rsid w:val="004A2901"/>
    <w:rsid w:val="004A2974"/>
    <w:rsid w:val="004A2988"/>
    <w:rsid w:val="004A2BEC"/>
    <w:rsid w:val="004A2CE3"/>
    <w:rsid w:val="004A2FD7"/>
    <w:rsid w:val="004A3015"/>
    <w:rsid w:val="004A3101"/>
    <w:rsid w:val="004A3385"/>
    <w:rsid w:val="004A3568"/>
    <w:rsid w:val="004A3595"/>
    <w:rsid w:val="004A35DF"/>
    <w:rsid w:val="004A3651"/>
    <w:rsid w:val="004A36EE"/>
    <w:rsid w:val="004A3806"/>
    <w:rsid w:val="004A39E3"/>
    <w:rsid w:val="004A3ADA"/>
    <w:rsid w:val="004A3B49"/>
    <w:rsid w:val="004A3C79"/>
    <w:rsid w:val="004A4049"/>
    <w:rsid w:val="004A430D"/>
    <w:rsid w:val="004A4557"/>
    <w:rsid w:val="004A472B"/>
    <w:rsid w:val="004A4788"/>
    <w:rsid w:val="004A4880"/>
    <w:rsid w:val="004A48A3"/>
    <w:rsid w:val="004A4965"/>
    <w:rsid w:val="004A49F5"/>
    <w:rsid w:val="004A4C46"/>
    <w:rsid w:val="004A4F7C"/>
    <w:rsid w:val="004A4FB3"/>
    <w:rsid w:val="004A501E"/>
    <w:rsid w:val="004A50B8"/>
    <w:rsid w:val="004A559F"/>
    <w:rsid w:val="004A5655"/>
    <w:rsid w:val="004A58D4"/>
    <w:rsid w:val="004A5A7C"/>
    <w:rsid w:val="004A5A9D"/>
    <w:rsid w:val="004A5D85"/>
    <w:rsid w:val="004A5DE5"/>
    <w:rsid w:val="004A62D3"/>
    <w:rsid w:val="004A635D"/>
    <w:rsid w:val="004A6640"/>
    <w:rsid w:val="004A66F4"/>
    <w:rsid w:val="004A689B"/>
    <w:rsid w:val="004A6AE3"/>
    <w:rsid w:val="004A6CD8"/>
    <w:rsid w:val="004A6DC8"/>
    <w:rsid w:val="004A6FD9"/>
    <w:rsid w:val="004A6FFC"/>
    <w:rsid w:val="004A7048"/>
    <w:rsid w:val="004A7096"/>
    <w:rsid w:val="004A719A"/>
    <w:rsid w:val="004A71F4"/>
    <w:rsid w:val="004A740A"/>
    <w:rsid w:val="004A74FE"/>
    <w:rsid w:val="004A7699"/>
    <w:rsid w:val="004A7768"/>
    <w:rsid w:val="004A7AB6"/>
    <w:rsid w:val="004A7B76"/>
    <w:rsid w:val="004A7BE4"/>
    <w:rsid w:val="004A7F92"/>
    <w:rsid w:val="004B0289"/>
    <w:rsid w:val="004B03D1"/>
    <w:rsid w:val="004B04EF"/>
    <w:rsid w:val="004B0546"/>
    <w:rsid w:val="004B0594"/>
    <w:rsid w:val="004B05A9"/>
    <w:rsid w:val="004B0696"/>
    <w:rsid w:val="004B06F3"/>
    <w:rsid w:val="004B08EF"/>
    <w:rsid w:val="004B0961"/>
    <w:rsid w:val="004B09D6"/>
    <w:rsid w:val="004B0A0A"/>
    <w:rsid w:val="004B0DE8"/>
    <w:rsid w:val="004B0FEA"/>
    <w:rsid w:val="004B115D"/>
    <w:rsid w:val="004B1319"/>
    <w:rsid w:val="004B16A9"/>
    <w:rsid w:val="004B1A86"/>
    <w:rsid w:val="004B1C4B"/>
    <w:rsid w:val="004B1D52"/>
    <w:rsid w:val="004B204A"/>
    <w:rsid w:val="004B209D"/>
    <w:rsid w:val="004B2165"/>
    <w:rsid w:val="004B21D2"/>
    <w:rsid w:val="004B22B9"/>
    <w:rsid w:val="004B233A"/>
    <w:rsid w:val="004B2358"/>
    <w:rsid w:val="004B23DA"/>
    <w:rsid w:val="004B25B2"/>
    <w:rsid w:val="004B26FE"/>
    <w:rsid w:val="004B27F1"/>
    <w:rsid w:val="004B2D0E"/>
    <w:rsid w:val="004B2DF7"/>
    <w:rsid w:val="004B2E36"/>
    <w:rsid w:val="004B3036"/>
    <w:rsid w:val="004B3084"/>
    <w:rsid w:val="004B316D"/>
    <w:rsid w:val="004B318C"/>
    <w:rsid w:val="004B343D"/>
    <w:rsid w:val="004B3468"/>
    <w:rsid w:val="004B3808"/>
    <w:rsid w:val="004B388D"/>
    <w:rsid w:val="004B390B"/>
    <w:rsid w:val="004B3A1D"/>
    <w:rsid w:val="004B3A9B"/>
    <w:rsid w:val="004B3B64"/>
    <w:rsid w:val="004B3B71"/>
    <w:rsid w:val="004B3E3C"/>
    <w:rsid w:val="004B3EBD"/>
    <w:rsid w:val="004B4122"/>
    <w:rsid w:val="004B413E"/>
    <w:rsid w:val="004B4442"/>
    <w:rsid w:val="004B44C0"/>
    <w:rsid w:val="004B4576"/>
    <w:rsid w:val="004B4593"/>
    <w:rsid w:val="004B45E7"/>
    <w:rsid w:val="004B4B2F"/>
    <w:rsid w:val="004B4C3E"/>
    <w:rsid w:val="004B4E17"/>
    <w:rsid w:val="004B540D"/>
    <w:rsid w:val="004B541E"/>
    <w:rsid w:val="004B54C8"/>
    <w:rsid w:val="004B55FD"/>
    <w:rsid w:val="004B56A2"/>
    <w:rsid w:val="004B5782"/>
    <w:rsid w:val="004B58F3"/>
    <w:rsid w:val="004B5E39"/>
    <w:rsid w:val="004B5EB9"/>
    <w:rsid w:val="004B60CB"/>
    <w:rsid w:val="004B628E"/>
    <w:rsid w:val="004B6774"/>
    <w:rsid w:val="004B6893"/>
    <w:rsid w:val="004B69B7"/>
    <w:rsid w:val="004B6C55"/>
    <w:rsid w:val="004B6DFA"/>
    <w:rsid w:val="004B6EA0"/>
    <w:rsid w:val="004B795C"/>
    <w:rsid w:val="004B7A6C"/>
    <w:rsid w:val="004B7B64"/>
    <w:rsid w:val="004B7D35"/>
    <w:rsid w:val="004B7EFD"/>
    <w:rsid w:val="004B7F41"/>
    <w:rsid w:val="004C0370"/>
    <w:rsid w:val="004C0462"/>
    <w:rsid w:val="004C04A0"/>
    <w:rsid w:val="004C04E7"/>
    <w:rsid w:val="004C0519"/>
    <w:rsid w:val="004C054B"/>
    <w:rsid w:val="004C0715"/>
    <w:rsid w:val="004C07AE"/>
    <w:rsid w:val="004C0830"/>
    <w:rsid w:val="004C08C0"/>
    <w:rsid w:val="004C092B"/>
    <w:rsid w:val="004C0AC3"/>
    <w:rsid w:val="004C0AD0"/>
    <w:rsid w:val="004C0EB1"/>
    <w:rsid w:val="004C1011"/>
    <w:rsid w:val="004C10DD"/>
    <w:rsid w:val="004C1431"/>
    <w:rsid w:val="004C1466"/>
    <w:rsid w:val="004C162C"/>
    <w:rsid w:val="004C16B4"/>
    <w:rsid w:val="004C1763"/>
    <w:rsid w:val="004C19A7"/>
    <w:rsid w:val="004C1A98"/>
    <w:rsid w:val="004C1CB5"/>
    <w:rsid w:val="004C1D1C"/>
    <w:rsid w:val="004C2121"/>
    <w:rsid w:val="004C236E"/>
    <w:rsid w:val="004C273C"/>
    <w:rsid w:val="004C2B91"/>
    <w:rsid w:val="004C2C5B"/>
    <w:rsid w:val="004C2CC1"/>
    <w:rsid w:val="004C2E2D"/>
    <w:rsid w:val="004C2E4E"/>
    <w:rsid w:val="004C2EEF"/>
    <w:rsid w:val="004C3116"/>
    <w:rsid w:val="004C3474"/>
    <w:rsid w:val="004C3496"/>
    <w:rsid w:val="004C3507"/>
    <w:rsid w:val="004C39D2"/>
    <w:rsid w:val="004C3C31"/>
    <w:rsid w:val="004C3E7C"/>
    <w:rsid w:val="004C407A"/>
    <w:rsid w:val="004C4279"/>
    <w:rsid w:val="004C43B0"/>
    <w:rsid w:val="004C4591"/>
    <w:rsid w:val="004C4897"/>
    <w:rsid w:val="004C4A32"/>
    <w:rsid w:val="004C5161"/>
    <w:rsid w:val="004C5176"/>
    <w:rsid w:val="004C524D"/>
    <w:rsid w:val="004C56E4"/>
    <w:rsid w:val="004C57B8"/>
    <w:rsid w:val="004C5855"/>
    <w:rsid w:val="004C5905"/>
    <w:rsid w:val="004C5BCB"/>
    <w:rsid w:val="004C5CA6"/>
    <w:rsid w:val="004C5CAE"/>
    <w:rsid w:val="004C5DE1"/>
    <w:rsid w:val="004C5F67"/>
    <w:rsid w:val="004C6090"/>
    <w:rsid w:val="004C621D"/>
    <w:rsid w:val="004C6452"/>
    <w:rsid w:val="004C649E"/>
    <w:rsid w:val="004C6590"/>
    <w:rsid w:val="004C6847"/>
    <w:rsid w:val="004C6B8C"/>
    <w:rsid w:val="004C6FE7"/>
    <w:rsid w:val="004C72A5"/>
    <w:rsid w:val="004C7328"/>
    <w:rsid w:val="004C78BA"/>
    <w:rsid w:val="004C7F61"/>
    <w:rsid w:val="004D0023"/>
    <w:rsid w:val="004D0069"/>
    <w:rsid w:val="004D006F"/>
    <w:rsid w:val="004D029F"/>
    <w:rsid w:val="004D02ED"/>
    <w:rsid w:val="004D03FE"/>
    <w:rsid w:val="004D04A6"/>
    <w:rsid w:val="004D06EB"/>
    <w:rsid w:val="004D06ED"/>
    <w:rsid w:val="004D0745"/>
    <w:rsid w:val="004D0956"/>
    <w:rsid w:val="004D0AD3"/>
    <w:rsid w:val="004D0B1E"/>
    <w:rsid w:val="004D0C0F"/>
    <w:rsid w:val="004D0C2D"/>
    <w:rsid w:val="004D0F23"/>
    <w:rsid w:val="004D10BC"/>
    <w:rsid w:val="004D1182"/>
    <w:rsid w:val="004D136F"/>
    <w:rsid w:val="004D166B"/>
    <w:rsid w:val="004D1903"/>
    <w:rsid w:val="004D194A"/>
    <w:rsid w:val="004D19AC"/>
    <w:rsid w:val="004D1AF6"/>
    <w:rsid w:val="004D1B6D"/>
    <w:rsid w:val="004D1B6E"/>
    <w:rsid w:val="004D1C03"/>
    <w:rsid w:val="004D1D44"/>
    <w:rsid w:val="004D1D94"/>
    <w:rsid w:val="004D1EE3"/>
    <w:rsid w:val="004D1F89"/>
    <w:rsid w:val="004D1F8F"/>
    <w:rsid w:val="004D2035"/>
    <w:rsid w:val="004D2290"/>
    <w:rsid w:val="004D235E"/>
    <w:rsid w:val="004D269F"/>
    <w:rsid w:val="004D2AF4"/>
    <w:rsid w:val="004D2B0B"/>
    <w:rsid w:val="004D2C7A"/>
    <w:rsid w:val="004D2D4C"/>
    <w:rsid w:val="004D2D51"/>
    <w:rsid w:val="004D306D"/>
    <w:rsid w:val="004D30C4"/>
    <w:rsid w:val="004D35D4"/>
    <w:rsid w:val="004D3785"/>
    <w:rsid w:val="004D397D"/>
    <w:rsid w:val="004D3A1F"/>
    <w:rsid w:val="004D3D8D"/>
    <w:rsid w:val="004D3ECA"/>
    <w:rsid w:val="004D417B"/>
    <w:rsid w:val="004D43E2"/>
    <w:rsid w:val="004D442D"/>
    <w:rsid w:val="004D4451"/>
    <w:rsid w:val="004D48D3"/>
    <w:rsid w:val="004D491B"/>
    <w:rsid w:val="004D493A"/>
    <w:rsid w:val="004D4B56"/>
    <w:rsid w:val="004D4F2D"/>
    <w:rsid w:val="004D4FB3"/>
    <w:rsid w:val="004D5057"/>
    <w:rsid w:val="004D51B0"/>
    <w:rsid w:val="004D5555"/>
    <w:rsid w:val="004D5A48"/>
    <w:rsid w:val="004D5AB0"/>
    <w:rsid w:val="004D5AB4"/>
    <w:rsid w:val="004D5C03"/>
    <w:rsid w:val="004D5CB6"/>
    <w:rsid w:val="004D5F92"/>
    <w:rsid w:val="004D6221"/>
    <w:rsid w:val="004D654A"/>
    <w:rsid w:val="004D6815"/>
    <w:rsid w:val="004D6964"/>
    <w:rsid w:val="004D6A8C"/>
    <w:rsid w:val="004D6FF8"/>
    <w:rsid w:val="004D71A1"/>
    <w:rsid w:val="004D7246"/>
    <w:rsid w:val="004D729F"/>
    <w:rsid w:val="004D735E"/>
    <w:rsid w:val="004D73FE"/>
    <w:rsid w:val="004D7506"/>
    <w:rsid w:val="004D76E0"/>
    <w:rsid w:val="004D7941"/>
    <w:rsid w:val="004E0038"/>
    <w:rsid w:val="004E0182"/>
    <w:rsid w:val="004E023D"/>
    <w:rsid w:val="004E0370"/>
    <w:rsid w:val="004E04BB"/>
    <w:rsid w:val="004E0596"/>
    <w:rsid w:val="004E07DC"/>
    <w:rsid w:val="004E07F7"/>
    <w:rsid w:val="004E0A01"/>
    <w:rsid w:val="004E0AB4"/>
    <w:rsid w:val="004E0BEC"/>
    <w:rsid w:val="004E0F89"/>
    <w:rsid w:val="004E1314"/>
    <w:rsid w:val="004E1489"/>
    <w:rsid w:val="004E14D6"/>
    <w:rsid w:val="004E17D4"/>
    <w:rsid w:val="004E1A4E"/>
    <w:rsid w:val="004E1D59"/>
    <w:rsid w:val="004E2073"/>
    <w:rsid w:val="004E2245"/>
    <w:rsid w:val="004E2392"/>
    <w:rsid w:val="004E245D"/>
    <w:rsid w:val="004E252F"/>
    <w:rsid w:val="004E28C2"/>
    <w:rsid w:val="004E2AB7"/>
    <w:rsid w:val="004E2BBE"/>
    <w:rsid w:val="004E2C2F"/>
    <w:rsid w:val="004E2E52"/>
    <w:rsid w:val="004E2EC9"/>
    <w:rsid w:val="004E31FA"/>
    <w:rsid w:val="004E33A2"/>
    <w:rsid w:val="004E34D4"/>
    <w:rsid w:val="004E35A6"/>
    <w:rsid w:val="004E3DC4"/>
    <w:rsid w:val="004E472E"/>
    <w:rsid w:val="004E5080"/>
    <w:rsid w:val="004E50DE"/>
    <w:rsid w:val="004E50E6"/>
    <w:rsid w:val="004E5163"/>
    <w:rsid w:val="004E54EC"/>
    <w:rsid w:val="004E59DD"/>
    <w:rsid w:val="004E5A5F"/>
    <w:rsid w:val="004E5B9D"/>
    <w:rsid w:val="004E5D43"/>
    <w:rsid w:val="004E5DDA"/>
    <w:rsid w:val="004E6282"/>
    <w:rsid w:val="004E672B"/>
    <w:rsid w:val="004E6801"/>
    <w:rsid w:val="004E69C2"/>
    <w:rsid w:val="004E6C1E"/>
    <w:rsid w:val="004E6C97"/>
    <w:rsid w:val="004E6DD0"/>
    <w:rsid w:val="004E6E34"/>
    <w:rsid w:val="004E6FE6"/>
    <w:rsid w:val="004E728D"/>
    <w:rsid w:val="004E72CA"/>
    <w:rsid w:val="004E72CF"/>
    <w:rsid w:val="004E7427"/>
    <w:rsid w:val="004E769A"/>
    <w:rsid w:val="004E76F9"/>
    <w:rsid w:val="004E7925"/>
    <w:rsid w:val="004E7A9F"/>
    <w:rsid w:val="004E7E1D"/>
    <w:rsid w:val="004E7EEF"/>
    <w:rsid w:val="004E7F20"/>
    <w:rsid w:val="004E7F6E"/>
    <w:rsid w:val="004F0180"/>
    <w:rsid w:val="004F0249"/>
    <w:rsid w:val="004F0325"/>
    <w:rsid w:val="004F05E9"/>
    <w:rsid w:val="004F0757"/>
    <w:rsid w:val="004F0AA7"/>
    <w:rsid w:val="004F0B06"/>
    <w:rsid w:val="004F0B69"/>
    <w:rsid w:val="004F0E99"/>
    <w:rsid w:val="004F0F2E"/>
    <w:rsid w:val="004F1015"/>
    <w:rsid w:val="004F129E"/>
    <w:rsid w:val="004F138C"/>
    <w:rsid w:val="004F139E"/>
    <w:rsid w:val="004F13BD"/>
    <w:rsid w:val="004F156F"/>
    <w:rsid w:val="004F15C7"/>
    <w:rsid w:val="004F1680"/>
    <w:rsid w:val="004F175A"/>
    <w:rsid w:val="004F17CB"/>
    <w:rsid w:val="004F19B6"/>
    <w:rsid w:val="004F1A55"/>
    <w:rsid w:val="004F1F7D"/>
    <w:rsid w:val="004F23F9"/>
    <w:rsid w:val="004F2400"/>
    <w:rsid w:val="004F2401"/>
    <w:rsid w:val="004F2539"/>
    <w:rsid w:val="004F26D3"/>
    <w:rsid w:val="004F28BF"/>
    <w:rsid w:val="004F2975"/>
    <w:rsid w:val="004F29AF"/>
    <w:rsid w:val="004F2A88"/>
    <w:rsid w:val="004F2BC6"/>
    <w:rsid w:val="004F2EB1"/>
    <w:rsid w:val="004F2EF6"/>
    <w:rsid w:val="004F2FF8"/>
    <w:rsid w:val="004F321E"/>
    <w:rsid w:val="004F3359"/>
    <w:rsid w:val="004F349B"/>
    <w:rsid w:val="004F3627"/>
    <w:rsid w:val="004F3701"/>
    <w:rsid w:val="004F39EF"/>
    <w:rsid w:val="004F3D38"/>
    <w:rsid w:val="004F4006"/>
    <w:rsid w:val="004F4076"/>
    <w:rsid w:val="004F40BA"/>
    <w:rsid w:val="004F4394"/>
    <w:rsid w:val="004F43F8"/>
    <w:rsid w:val="004F4637"/>
    <w:rsid w:val="004F4838"/>
    <w:rsid w:val="004F488B"/>
    <w:rsid w:val="004F4F50"/>
    <w:rsid w:val="004F52E9"/>
    <w:rsid w:val="004F536C"/>
    <w:rsid w:val="004F5409"/>
    <w:rsid w:val="004F5410"/>
    <w:rsid w:val="004F57D0"/>
    <w:rsid w:val="004F5829"/>
    <w:rsid w:val="004F5A99"/>
    <w:rsid w:val="004F63A0"/>
    <w:rsid w:val="004F64D7"/>
    <w:rsid w:val="004F68B1"/>
    <w:rsid w:val="004F6904"/>
    <w:rsid w:val="004F6D4E"/>
    <w:rsid w:val="004F6E6B"/>
    <w:rsid w:val="004F701F"/>
    <w:rsid w:val="004F70CD"/>
    <w:rsid w:val="004F71E1"/>
    <w:rsid w:val="004F74B3"/>
    <w:rsid w:val="004F76BF"/>
    <w:rsid w:val="004F7736"/>
    <w:rsid w:val="004F782F"/>
    <w:rsid w:val="004F7B3B"/>
    <w:rsid w:val="004F7B6A"/>
    <w:rsid w:val="004F7D91"/>
    <w:rsid w:val="004F7DFE"/>
    <w:rsid w:val="004F7F5E"/>
    <w:rsid w:val="004F7F7B"/>
    <w:rsid w:val="00500010"/>
    <w:rsid w:val="005001A8"/>
    <w:rsid w:val="00500284"/>
    <w:rsid w:val="005004B4"/>
    <w:rsid w:val="005007DA"/>
    <w:rsid w:val="00500867"/>
    <w:rsid w:val="0050094F"/>
    <w:rsid w:val="00500ACD"/>
    <w:rsid w:val="00500CD8"/>
    <w:rsid w:val="00500F15"/>
    <w:rsid w:val="0050106C"/>
    <w:rsid w:val="005010CE"/>
    <w:rsid w:val="0050114E"/>
    <w:rsid w:val="00501503"/>
    <w:rsid w:val="00501798"/>
    <w:rsid w:val="00501805"/>
    <w:rsid w:val="00501A06"/>
    <w:rsid w:val="00501AC3"/>
    <w:rsid w:val="00501D27"/>
    <w:rsid w:val="00501E54"/>
    <w:rsid w:val="00501E7D"/>
    <w:rsid w:val="00502037"/>
    <w:rsid w:val="00502094"/>
    <w:rsid w:val="00502338"/>
    <w:rsid w:val="00502461"/>
    <w:rsid w:val="005025CC"/>
    <w:rsid w:val="005025E8"/>
    <w:rsid w:val="0050260A"/>
    <w:rsid w:val="00502A67"/>
    <w:rsid w:val="00502B8D"/>
    <w:rsid w:val="00502D20"/>
    <w:rsid w:val="00503045"/>
    <w:rsid w:val="00503088"/>
    <w:rsid w:val="00503261"/>
    <w:rsid w:val="0050328F"/>
    <w:rsid w:val="005032BA"/>
    <w:rsid w:val="00503602"/>
    <w:rsid w:val="005037F9"/>
    <w:rsid w:val="0050391D"/>
    <w:rsid w:val="00503D09"/>
    <w:rsid w:val="00503E72"/>
    <w:rsid w:val="00503F7C"/>
    <w:rsid w:val="00503FE5"/>
    <w:rsid w:val="00504044"/>
    <w:rsid w:val="00504061"/>
    <w:rsid w:val="00504096"/>
    <w:rsid w:val="005040F8"/>
    <w:rsid w:val="00504259"/>
    <w:rsid w:val="005042F8"/>
    <w:rsid w:val="005048BC"/>
    <w:rsid w:val="005049B5"/>
    <w:rsid w:val="00504A44"/>
    <w:rsid w:val="00504C74"/>
    <w:rsid w:val="00504E34"/>
    <w:rsid w:val="0050500F"/>
    <w:rsid w:val="00505048"/>
    <w:rsid w:val="00505089"/>
    <w:rsid w:val="00505276"/>
    <w:rsid w:val="0050534E"/>
    <w:rsid w:val="00505635"/>
    <w:rsid w:val="005056D7"/>
    <w:rsid w:val="00505917"/>
    <w:rsid w:val="00505A54"/>
    <w:rsid w:val="00505BAE"/>
    <w:rsid w:val="00505D1F"/>
    <w:rsid w:val="00505ECB"/>
    <w:rsid w:val="0050601E"/>
    <w:rsid w:val="00506053"/>
    <w:rsid w:val="005061D7"/>
    <w:rsid w:val="005063B9"/>
    <w:rsid w:val="00506522"/>
    <w:rsid w:val="00506712"/>
    <w:rsid w:val="005067B0"/>
    <w:rsid w:val="00506881"/>
    <w:rsid w:val="0050688A"/>
    <w:rsid w:val="00506956"/>
    <w:rsid w:val="00506979"/>
    <w:rsid w:val="00506BD6"/>
    <w:rsid w:val="00506CE4"/>
    <w:rsid w:val="00506E4F"/>
    <w:rsid w:val="00506F2F"/>
    <w:rsid w:val="00507029"/>
    <w:rsid w:val="00507042"/>
    <w:rsid w:val="00507080"/>
    <w:rsid w:val="005071C4"/>
    <w:rsid w:val="0050722C"/>
    <w:rsid w:val="00507760"/>
    <w:rsid w:val="00507951"/>
    <w:rsid w:val="00507B4C"/>
    <w:rsid w:val="00507CC8"/>
    <w:rsid w:val="005100BA"/>
    <w:rsid w:val="00510371"/>
    <w:rsid w:val="005104D1"/>
    <w:rsid w:val="0051067F"/>
    <w:rsid w:val="00510734"/>
    <w:rsid w:val="005107D2"/>
    <w:rsid w:val="00510884"/>
    <w:rsid w:val="00510A66"/>
    <w:rsid w:val="00510C18"/>
    <w:rsid w:val="00510C34"/>
    <w:rsid w:val="00510CA1"/>
    <w:rsid w:val="00510CDC"/>
    <w:rsid w:val="00510D9C"/>
    <w:rsid w:val="00510E12"/>
    <w:rsid w:val="0051142F"/>
    <w:rsid w:val="005114CC"/>
    <w:rsid w:val="0051158A"/>
    <w:rsid w:val="0051180C"/>
    <w:rsid w:val="00511839"/>
    <w:rsid w:val="00512433"/>
    <w:rsid w:val="005124C9"/>
    <w:rsid w:val="0051267D"/>
    <w:rsid w:val="00512919"/>
    <w:rsid w:val="00512B86"/>
    <w:rsid w:val="00512E78"/>
    <w:rsid w:val="00512F4A"/>
    <w:rsid w:val="00512F9D"/>
    <w:rsid w:val="00512FB3"/>
    <w:rsid w:val="00512FF1"/>
    <w:rsid w:val="005133A6"/>
    <w:rsid w:val="005134C3"/>
    <w:rsid w:val="005134C5"/>
    <w:rsid w:val="005135C6"/>
    <w:rsid w:val="005135DC"/>
    <w:rsid w:val="00513888"/>
    <w:rsid w:val="00513B40"/>
    <w:rsid w:val="00513BDD"/>
    <w:rsid w:val="00514110"/>
    <w:rsid w:val="00514337"/>
    <w:rsid w:val="00514354"/>
    <w:rsid w:val="0051488A"/>
    <w:rsid w:val="005148D9"/>
    <w:rsid w:val="00514CA5"/>
    <w:rsid w:val="00514CAD"/>
    <w:rsid w:val="00514DD7"/>
    <w:rsid w:val="00514F08"/>
    <w:rsid w:val="005150DD"/>
    <w:rsid w:val="00515380"/>
    <w:rsid w:val="005153EA"/>
    <w:rsid w:val="0051552A"/>
    <w:rsid w:val="0051579B"/>
    <w:rsid w:val="00515885"/>
    <w:rsid w:val="0051598E"/>
    <w:rsid w:val="00515AE9"/>
    <w:rsid w:val="00515C15"/>
    <w:rsid w:val="00515E6F"/>
    <w:rsid w:val="00515F4F"/>
    <w:rsid w:val="005160E4"/>
    <w:rsid w:val="0051620B"/>
    <w:rsid w:val="0051620F"/>
    <w:rsid w:val="00516320"/>
    <w:rsid w:val="00516462"/>
    <w:rsid w:val="005165FA"/>
    <w:rsid w:val="005169D7"/>
    <w:rsid w:val="00516A49"/>
    <w:rsid w:val="00516B20"/>
    <w:rsid w:val="00516D68"/>
    <w:rsid w:val="0051726E"/>
    <w:rsid w:val="00517339"/>
    <w:rsid w:val="005173B0"/>
    <w:rsid w:val="0051745C"/>
    <w:rsid w:val="00517472"/>
    <w:rsid w:val="005176C4"/>
    <w:rsid w:val="005176CA"/>
    <w:rsid w:val="00517729"/>
    <w:rsid w:val="005177E7"/>
    <w:rsid w:val="00517875"/>
    <w:rsid w:val="005178A7"/>
    <w:rsid w:val="005178AB"/>
    <w:rsid w:val="00520211"/>
    <w:rsid w:val="00520469"/>
    <w:rsid w:val="005207F0"/>
    <w:rsid w:val="00520ADA"/>
    <w:rsid w:val="00520B67"/>
    <w:rsid w:val="00521013"/>
    <w:rsid w:val="005211B2"/>
    <w:rsid w:val="00521273"/>
    <w:rsid w:val="005213AC"/>
    <w:rsid w:val="00521478"/>
    <w:rsid w:val="0052151D"/>
    <w:rsid w:val="00521598"/>
    <w:rsid w:val="00521691"/>
    <w:rsid w:val="00521ADE"/>
    <w:rsid w:val="00521F85"/>
    <w:rsid w:val="0052216F"/>
    <w:rsid w:val="00522213"/>
    <w:rsid w:val="00522228"/>
    <w:rsid w:val="005222F9"/>
    <w:rsid w:val="00522382"/>
    <w:rsid w:val="00522539"/>
    <w:rsid w:val="0052257D"/>
    <w:rsid w:val="0052278C"/>
    <w:rsid w:val="00522A1D"/>
    <w:rsid w:val="00522AA5"/>
    <w:rsid w:val="00522B55"/>
    <w:rsid w:val="00522D2D"/>
    <w:rsid w:val="0052321A"/>
    <w:rsid w:val="00523553"/>
    <w:rsid w:val="005235DB"/>
    <w:rsid w:val="0052365F"/>
    <w:rsid w:val="00523679"/>
    <w:rsid w:val="00523706"/>
    <w:rsid w:val="005238B5"/>
    <w:rsid w:val="00523C7C"/>
    <w:rsid w:val="00523CB8"/>
    <w:rsid w:val="00523D09"/>
    <w:rsid w:val="00523D92"/>
    <w:rsid w:val="00523EDD"/>
    <w:rsid w:val="0052406F"/>
    <w:rsid w:val="0052428E"/>
    <w:rsid w:val="005245A7"/>
    <w:rsid w:val="00524770"/>
    <w:rsid w:val="00524860"/>
    <w:rsid w:val="005248FE"/>
    <w:rsid w:val="00524A64"/>
    <w:rsid w:val="00524A7F"/>
    <w:rsid w:val="00524C5B"/>
    <w:rsid w:val="00524CE1"/>
    <w:rsid w:val="00524D6A"/>
    <w:rsid w:val="005250CB"/>
    <w:rsid w:val="00525210"/>
    <w:rsid w:val="005252AE"/>
    <w:rsid w:val="00525409"/>
    <w:rsid w:val="00525499"/>
    <w:rsid w:val="00525953"/>
    <w:rsid w:val="00525B60"/>
    <w:rsid w:val="00525C00"/>
    <w:rsid w:val="00525D70"/>
    <w:rsid w:val="00525EB6"/>
    <w:rsid w:val="0052632D"/>
    <w:rsid w:val="005263DC"/>
    <w:rsid w:val="005263E3"/>
    <w:rsid w:val="005264F7"/>
    <w:rsid w:val="00526798"/>
    <w:rsid w:val="0052683F"/>
    <w:rsid w:val="00526862"/>
    <w:rsid w:val="00526B81"/>
    <w:rsid w:val="00526BCF"/>
    <w:rsid w:val="00526DD2"/>
    <w:rsid w:val="0052718F"/>
    <w:rsid w:val="005273BC"/>
    <w:rsid w:val="005273E4"/>
    <w:rsid w:val="00527414"/>
    <w:rsid w:val="00527511"/>
    <w:rsid w:val="00527626"/>
    <w:rsid w:val="005277F0"/>
    <w:rsid w:val="005279F7"/>
    <w:rsid w:val="00527BF8"/>
    <w:rsid w:val="00527D74"/>
    <w:rsid w:val="00527E96"/>
    <w:rsid w:val="00527F53"/>
    <w:rsid w:val="005302EF"/>
    <w:rsid w:val="0053030B"/>
    <w:rsid w:val="0053045A"/>
    <w:rsid w:val="005304C8"/>
    <w:rsid w:val="005304D9"/>
    <w:rsid w:val="00530510"/>
    <w:rsid w:val="005306ED"/>
    <w:rsid w:val="0053082A"/>
    <w:rsid w:val="0053089B"/>
    <w:rsid w:val="00530A74"/>
    <w:rsid w:val="00530C8A"/>
    <w:rsid w:val="00530DE9"/>
    <w:rsid w:val="00530F70"/>
    <w:rsid w:val="00530FC3"/>
    <w:rsid w:val="00531076"/>
    <w:rsid w:val="005310BB"/>
    <w:rsid w:val="005312A6"/>
    <w:rsid w:val="005314F7"/>
    <w:rsid w:val="00531A4B"/>
    <w:rsid w:val="00531AA1"/>
    <w:rsid w:val="00531B33"/>
    <w:rsid w:val="00531DAC"/>
    <w:rsid w:val="00531E0E"/>
    <w:rsid w:val="00532604"/>
    <w:rsid w:val="005329DF"/>
    <w:rsid w:val="00532FA7"/>
    <w:rsid w:val="00533207"/>
    <w:rsid w:val="00533354"/>
    <w:rsid w:val="00533372"/>
    <w:rsid w:val="00533545"/>
    <w:rsid w:val="00533670"/>
    <w:rsid w:val="00533726"/>
    <w:rsid w:val="00533751"/>
    <w:rsid w:val="005337CE"/>
    <w:rsid w:val="005339C8"/>
    <w:rsid w:val="00533D68"/>
    <w:rsid w:val="00533FF9"/>
    <w:rsid w:val="00534067"/>
    <w:rsid w:val="00534243"/>
    <w:rsid w:val="005346B8"/>
    <w:rsid w:val="005349FB"/>
    <w:rsid w:val="00534A97"/>
    <w:rsid w:val="00534ADD"/>
    <w:rsid w:val="00534F04"/>
    <w:rsid w:val="005351EF"/>
    <w:rsid w:val="00535435"/>
    <w:rsid w:val="005355CF"/>
    <w:rsid w:val="00535AA2"/>
    <w:rsid w:val="00535B30"/>
    <w:rsid w:val="00535D56"/>
    <w:rsid w:val="00536014"/>
    <w:rsid w:val="00536418"/>
    <w:rsid w:val="00536817"/>
    <w:rsid w:val="00536A6E"/>
    <w:rsid w:val="005370E9"/>
    <w:rsid w:val="00537102"/>
    <w:rsid w:val="005371C9"/>
    <w:rsid w:val="00537313"/>
    <w:rsid w:val="005375CD"/>
    <w:rsid w:val="0053769F"/>
    <w:rsid w:val="005377C8"/>
    <w:rsid w:val="00537A77"/>
    <w:rsid w:val="00537CB1"/>
    <w:rsid w:val="00537E03"/>
    <w:rsid w:val="00537FAB"/>
    <w:rsid w:val="00540160"/>
    <w:rsid w:val="00540169"/>
    <w:rsid w:val="00540362"/>
    <w:rsid w:val="005403EF"/>
    <w:rsid w:val="005406FE"/>
    <w:rsid w:val="00540D9D"/>
    <w:rsid w:val="00540DD3"/>
    <w:rsid w:val="00540E28"/>
    <w:rsid w:val="00540ED6"/>
    <w:rsid w:val="00540F43"/>
    <w:rsid w:val="00540F7A"/>
    <w:rsid w:val="00541193"/>
    <w:rsid w:val="005411DE"/>
    <w:rsid w:val="00541821"/>
    <w:rsid w:val="00541828"/>
    <w:rsid w:val="00541906"/>
    <w:rsid w:val="00541A14"/>
    <w:rsid w:val="00541CC0"/>
    <w:rsid w:val="00541DFF"/>
    <w:rsid w:val="00541E0E"/>
    <w:rsid w:val="00541E2C"/>
    <w:rsid w:val="00541F89"/>
    <w:rsid w:val="005420E7"/>
    <w:rsid w:val="005420ED"/>
    <w:rsid w:val="005423E3"/>
    <w:rsid w:val="00542412"/>
    <w:rsid w:val="0054278A"/>
    <w:rsid w:val="005430C5"/>
    <w:rsid w:val="0054315C"/>
    <w:rsid w:val="005431A9"/>
    <w:rsid w:val="00543269"/>
    <w:rsid w:val="00543322"/>
    <w:rsid w:val="00543404"/>
    <w:rsid w:val="005435AF"/>
    <w:rsid w:val="00543616"/>
    <w:rsid w:val="0054378A"/>
    <w:rsid w:val="00543972"/>
    <w:rsid w:val="00543A25"/>
    <w:rsid w:val="00543E62"/>
    <w:rsid w:val="00543F9B"/>
    <w:rsid w:val="00543F9C"/>
    <w:rsid w:val="00543FA9"/>
    <w:rsid w:val="005440AF"/>
    <w:rsid w:val="0054419E"/>
    <w:rsid w:val="005442C1"/>
    <w:rsid w:val="0054438F"/>
    <w:rsid w:val="005443BE"/>
    <w:rsid w:val="005443D1"/>
    <w:rsid w:val="00544587"/>
    <w:rsid w:val="005446E8"/>
    <w:rsid w:val="0054471D"/>
    <w:rsid w:val="0054491E"/>
    <w:rsid w:val="00544A24"/>
    <w:rsid w:val="00544B0E"/>
    <w:rsid w:val="00544C28"/>
    <w:rsid w:val="00545883"/>
    <w:rsid w:val="0054597D"/>
    <w:rsid w:val="00545992"/>
    <w:rsid w:val="00545993"/>
    <w:rsid w:val="00545BE5"/>
    <w:rsid w:val="00545C79"/>
    <w:rsid w:val="00545CF7"/>
    <w:rsid w:val="005460FF"/>
    <w:rsid w:val="00546104"/>
    <w:rsid w:val="005461FF"/>
    <w:rsid w:val="005462A1"/>
    <w:rsid w:val="005462EF"/>
    <w:rsid w:val="00546486"/>
    <w:rsid w:val="005466AE"/>
    <w:rsid w:val="00546780"/>
    <w:rsid w:val="00546872"/>
    <w:rsid w:val="00546A92"/>
    <w:rsid w:val="00546C64"/>
    <w:rsid w:val="00546CB3"/>
    <w:rsid w:val="00546D21"/>
    <w:rsid w:val="00546D39"/>
    <w:rsid w:val="00546ECF"/>
    <w:rsid w:val="0054716B"/>
    <w:rsid w:val="00547290"/>
    <w:rsid w:val="00547393"/>
    <w:rsid w:val="005475B4"/>
    <w:rsid w:val="00547856"/>
    <w:rsid w:val="00547C57"/>
    <w:rsid w:val="00547CB8"/>
    <w:rsid w:val="00547CB9"/>
    <w:rsid w:val="00547CEA"/>
    <w:rsid w:val="00547DAE"/>
    <w:rsid w:val="00547F97"/>
    <w:rsid w:val="0055015D"/>
    <w:rsid w:val="0055028D"/>
    <w:rsid w:val="005504B8"/>
    <w:rsid w:val="005508D5"/>
    <w:rsid w:val="005509E0"/>
    <w:rsid w:val="00550D30"/>
    <w:rsid w:val="00550D62"/>
    <w:rsid w:val="00550E84"/>
    <w:rsid w:val="005510DF"/>
    <w:rsid w:val="005511B0"/>
    <w:rsid w:val="00551228"/>
    <w:rsid w:val="00551271"/>
    <w:rsid w:val="0055128C"/>
    <w:rsid w:val="00551368"/>
    <w:rsid w:val="005514F5"/>
    <w:rsid w:val="0055152A"/>
    <w:rsid w:val="005515CD"/>
    <w:rsid w:val="005515EE"/>
    <w:rsid w:val="005517A4"/>
    <w:rsid w:val="00551864"/>
    <w:rsid w:val="00551A27"/>
    <w:rsid w:val="00551BB0"/>
    <w:rsid w:val="00551E8B"/>
    <w:rsid w:val="00552095"/>
    <w:rsid w:val="005525EF"/>
    <w:rsid w:val="0055260A"/>
    <w:rsid w:val="00552657"/>
    <w:rsid w:val="00552662"/>
    <w:rsid w:val="00552945"/>
    <w:rsid w:val="00552981"/>
    <w:rsid w:val="00552A4B"/>
    <w:rsid w:val="00552AC4"/>
    <w:rsid w:val="00552BD7"/>
    <w:rsid w:val="00552DD1"/>
    <w:rsid w:val="00552ED9"/>
    <w:rsid w:val="00552F82"/>
    <w:rsid w:val="00553150"/>
    <w:rsid w:val="005532E2"/>
    <w:rsid w:val="005533C8"/>
    <w:rsid w:val="00553480"/>
    <w:rsid w:val="0055353E"/>
    <w:rsid w:val="00553868"/>
    <w:rsid w:val="00553899"/>
    <w:rsid w:val="00553B66"/>
    <w:rsid w:val="00553C0B"/>
    <w:rsid w:val="00553D02"/>
    <w:rsid w:val="00553ED0"/>
    <w:rsid w:val="00554005"/>
    <w:rsid w:val="00554118"/>
    <w:rsid w:val="005542D1"/>
    <w:rsid w:val="00554384"/>
    <w:rsid w:val="005543D9"/>
    <w:rsid w:val="0055443A"/>
    <w:rsid w:val="00554AF2"/>
    <w:rsid w:val="00554F5E"/>
    <w:rsid w:val="00555122"/>
    <w:rsid w:val="0055521D"/>
    <w:rsid w:val="005553DF"/>
    <w:rsid w:val="005553F8"/>
    <w:rsid w:val="00555479"/>
    <w:rsid w:val="00555488"/>
    <w:rsid w:val="0055548D"/>
    <w:rsid w:val="00555731"/>
    <w:rsid w:val="005557E0"/>
    <w:rsid w:val="00555ADC"/>
    <w:rsid w:val="00555EC2"/>
    <w:rsid w:val="00555F9A"/>
    <w:rsid w:val="005560A6"/>
    <w:rsid w:val="00556160"/>
    <w:rsid w:val="005563B3"/>
    <w:rsid w:val="0055677F"/>
    <w:rsid w:val="005568C6"/>
    <w:rsid w:val="00556CA3"/>
    <w:rsid w:val="00556F49"/>
    <w:rsid w:val="0055747E"/>
    <w:rsid w:val="00557495"/>
    <w:rsid w:val="005575C0"/>
    <w:rsid w:val="005577B0"/>
    <w:rsid w:val="00557F98"/>
    <w:rsid w:val="0056004E"/>
    <w:rsid w:val="005600B0"/>
    <w:rsid w:val="0056027C"/>
    <w:rsid w:val="0056031A"/>
    <w:rsid w:val="005603C8"/>
    <w:rsid w:val="00560563"/>
    <w:rsid w:val="0056064B"/>
    <w:rsid w:val="00560657"/>
    <w:rsid w:val="00560787"/>
    <w:rsid w:val="00560823"/>
    <w:rsid w:val="005608E4"/>
    <w:rsid w:val="00560C25"/>
    <w:rsid w:val="00560E4E"/>
    <w:rsid w:val="00560EA8"/>
    <w:rsid w:val="00560FAE"/>
    <w:rsid w:val="005610E2"/>
    <w:rsid w:val="005610EE"/>
    <w:rsid w:val="00561330"/>
    <w:rsid w:val="005613D4"/>
    <w:rsid w:val="0056143A"/>
    <w:rsid w:val="00561653"/>
    <w:rsid w:val="005616FE"/>
    <w:rsid w:val="00561735"/>
    <w:rsid w:val="00561888"/>
    <w:rsid w:val="00561916"/>
    <w:rsid w:val="0056192E"/>
    <w:rsid w:val="00561A98"/>
    <w:rsid w:val="00561E95"/>
    <w:rsid w:val="00561F15"/>
    <w:rsid w:val="00562084"/>
    <w:rsid w:val="00562628"/>
    <w:rsid w:val="00562729"/>
    <w:rsid w:val="00562787"/>
    <w:rsid w:val="005628BC"/>
    <w:rsid w:val="005629BA"/>
    <w:rsid w:val="005629F9"/>
    <w:rsid w:val="005629FF"/>
    <w:rsid w:val="00562A3E"/>
    <w:rsid w:val="00562C5B"/>
    <w:rsid w:val="00562CD8"/>
    <w:rsid w:val="00562D49"/>
    <w:rsid w:val="00562D7D"/>
    <w:rsid w:val="00562D91"/>
    <w:rsid w:val="005630DD"/>
    <w:rsid w:val="00563185"/>
    <w:rsid w:val="005631C3"/>
    <w:rsid w:val="005632E7"/>
    <w:rsid w:val="005633F6"/>
    <w:rsid w:val="00563618"/>
    <w:rsid w:val="00563726"/>
    <w:rsid w:val="005639D1"/>
    <w:rsid w:val="00563AE7"/>
    <w:rsid w:val="00563D29"/>
    <w:rsid w:val="00563D57"/>
    <w:rsid w:val="00563F1D"/>
    <w:rsid w:val="005640A4"/>
    <w:rsid w:val="005640E1"/>
    <w:rsid w:val="0056416A"/>
    <w:rsid w:val="005642B1"/>
    <w:rsid w:val="005642D0"/>
    <w:rsid w:val="00564319"/>
    <w:rsid w:val="00564446"/>
    <w:rsid w:val="00564887"/>
    <w:rsid w:val="005649B7"/>
    <w:rsid w:val="00564D71"/>
    <w:rsid w:val="00564DC0"/>
    <w:rsid w:val="00565256"/>
    <w:rsid w:val="00565285"/>
    <w:rsid w:val="0056528C"/>
    <w:rsid w:val="0056597A"/>
    <w:rsid w:val="00565995"/>
    <w:rsid w:val="00565D6B"/>
    <w:rsid w:val="00565EB6"/>
    <w:rsid w:val="00565EED"/>
    <w:rsid w:val="00565FA3"/>
    <w:rsid w:val="00565FF4"/>
    <w:rsid w:val="005660BD"/>
    <w:rsid w:val="00566477"/>
    <w:rsid w:val="0056657E"/>
    <w:rsid w:val="005666CE"/>
    <w:rsid w:val="005669DA"/>
    <w:rsid w:val="00566D42"/>
    <w:rsid w:val="00566E79"/>
    <w:rsid w:val="00566F9C"/>
    <w:rsid w:val="00567014"/>
    <w:rsid w:val="00567113"/>
    <w:rsid w:val="00567199"/>
    <w:rsid w:val="0056742A"/>
    <w:rsid w:val="00567494"/>
    <w:rsid w:val="005674FD"/>
    <w:rsid w:val="005675B2"/>
    <w:rsid w:val="005677D6"/>
    <w:rsid w:val="005677F6"/>
    <w:rsid w:val="005678F5"/>
    <w:rsid w:val="00567B01"/>
    <w:rsid w:val="00567C09"/>
    <w:rsid w:val="00567D16"/>
    <w:rsid w:val="00567D8F"/>
    <w:rsid w:val="00567DD6"/>
    <w:rsid w:val="00567DE5"/>
    <w:rsid w:val="00567F9D"/>
    <w:rsid w:val="005701F6"/>
    <w:rsid w:val="00570212"/>
    <w:rsid w:val="005702F7"/>
    <w:rsid w:val="005707C8"/>
    <w:rsid w:val="0057084D"/>
    <w:rsid w:val="00570986"/>
    <w:rsid w:val="00570AAA"/>
    <w:rsid w:val="00570C10"/>
    <w:rsid w:val="00570E9A"/>
    <w:rsid w:val="00570EED"/>
    <w:rsid w:val="00570F2B"/>
    <w:rsid w:val="00570FEC"/>
    <w:rsid w:val="0057104A"/>
    <w:rsid w:val="00571081"/>
    <w:rsid w:val="00571276"/>
    <w:rsid w:val="005713BB"/>
    <w:rsid w:val="00571511"/>
    <w:rsid w:val="0057151B"/>
    <w:rsid w:val="005715F9"/>
    <w:rsid w:val="005716FC"/>
    <w:rsid w:val="00571745"/>
    <w:rsid w:val="005718F9"/>
    <w:rsid w:val="00571A18"/>
    <w:rsid w:val="00571BB0"/>
    <w:rsid w:val="00571F0E"/>
    <w:rsid w:val="0057203D"/>
    <w:rsid w:val="00572060"/>
    <w:rsid w:val="005720BA"/>
    <w:rsid w:val="00572390"/>
    <w:rsid w:val="0057267D"/>
    <w:rsid w:val="00572C07"/>
    <w:rsid w:val="00572DA0"/>
    <w:rsid w:val="00572E14"/>
    <w:rsid w:val="00573087"/>
    <w:rsid w:val="00573277"/>
    <w:rsid w:val="00573397"/>
    <w:rsid w:val="0057345F"/>
    <w:rsid w:val="00573590"/>
    <w:rsid w:val="005736E9"/>
    <w:rsid w:val="00573957"/>
    <w:rsid w:val="00573EAA"/>
    <w:rsid w:val="00574205"/>
    <w:rsid w:val="005744BC"/>
    <w:rsid w:val="005744F4"/>
    <w:rsid w:val="005745C5"/>
    <w:rsid w:val="0057471E"/>
    <w:rsid w:val="00574752"/>
    <w:rsid w:val="0057482B"/>
    <w:rsid w:val="00574A87"/>
    <w:rsid w:val="00574B23"/>
    <w:rsid w:val="00574B2B"/>
    <w:rsid w:val="00574F65"/>
    <w:rsid w:val="0057552B"/>
    <w:rsid w:val="005759F3"/>
    <w:rsid w:val="00575DEF"/>
    <w:rsid w:val="00575F41"/>
    <w:rsid w:val="0057605D"/>
    <w:rsid w:val="00576118"/>
    <w:rsid w:val="005764F0"/>
    <w:rsid w:val="00576554"/>
    <w:rsid w:val="005767A9"/>
    <w:rsid w:val="0057707A"/>
    <w:rsid w:val="00577285"/>
    <w:rsid w:val="00577316"/>
    <w:rsid w:val="00577366"/>
    <w:rsid w:val="005775A3"/>
    <w:rsid w:val="005775B0"/>
    <w:rsid w:val="005776CD"/>
    <w:rsid w:val="00577726"/>
    <w:rsid w:val="00577751"/>
    <w:rsid w:val="005777B2"/>
    <w:rsid w:val="00577C8B"/>
    <w:rsid w:val="00577DA6"/>
    <w:rsid w:val="00577DBF"/>
    <w:rsid w:val="00577F4E"/>
    <w:rsid w:val="00580268"/>
    <w:rsid w:val="0058032D"/>
    <w:rsid w:val="0058049A"/>
    <w:rsid w:val="005804CC"/>
    <w:rsid w:val="005805E4"/>
    <w:rsid w:val="00580EA1"/>
    <w:rsid w:val="005810CE"/>
    <w:rsid w:val="00581105"/>
    <w:rsid w:val="00581210"/>
    <w:rsid w:val="005812D3"/>
    <w:rsid w:val="00581993"/>
    <w:rsid w:val="00581A68"/>
    <w:rsid w:val="005820E2"/>
    <w:rsid w:val="0058212E"/>
    <w:rsid w:val="0058238D"/>
    <w:rsid w:val="00582396"/>
    <w:rsid w:val="00582472"/>
    <w:rsid w:val="00582479"/>
    <w:rsid w:val="00582550"/>
    <w:rsid w:val="00582882"/>
    <w:rsid w:val="00582995"/>
    <w:rsid w:val="00582A1E"/>
    <w:rsid w:val="00582A39"/>
    <w:rsid w:val="00582D46"/>
    <w:rsid w:val="00582DA3"/>
    <w:rsid w:val="00582E74"/>
    <w:rsid w:val="00582EB1"/>
    <w:rsid w:val="00583026"/>
    <w:rsid w:val="005831D9"/>
    <w:rsid w:val="00583360"/>
    <w:rsid w:val="00583384"/>
    <w:rsid w:val="005833EE"/>
    <w:rsid w:val="005833F4"/>
    <w:rsid w:val="00583425"/>
    <w:rsid w:val="0058351E"/>
    <w:rsid w:val="005837AE"/>
    <w:rsid w:val="0058395C"/>
    <w:rsid w:val="00583A33"/>
    <w:rsid w:val="00583B04"/>
    <w:rsid w:val="00583D38"/>
    <w:rsid w:val="00584061"/>
    <w:rsid w:val="0058414E"/>
    <w:rsid w:val="00584492"/>
    <w:rsid w:val="00584597"/>
    <w:rsid w:val="00584744"/>
    <w:rsid w:val="00584934"/>
    <w:rsid w:val="0058495C"/>
    <w:rsid w:val="005849A4"/>
    <w:rsid w:val="00584B35"/>
    <w:rsid w:val="005850DF"/>
    <w:rsid w:val="005850FA"/>
    <w:rsid w:val="005853D8"/>
    <w:rsid w:val="0058563E"/>
    <w:rsid w:val="005857A4"/>
    <w:rsid w:val="005857C6"/>
    <w:rsid w:val="00585A64"/>
    <w:rsid w:val="00585ED8"/>
    <w:rsid w:val="00585EDB"/>
    <w:rsid w:val="00585F42"/>
    <w:rsid w:val="0058606F"/>
    <w:rsid w:val="0058607F"/>
    <w:rsid w:val="0058626D"/>
    <w:rsid w:val="0058632B"/>
    <w:rsid w:val="005864F9"/>
    <w:rsid w:val="00586564"/>
    <w:rsid w:val="005867D2"/>
    <w:rsid w:val="00586C43"/>
    <w:rsid w:val="00586C5E"/>
    <w:rsid w:val="00586E5A"/>
    <w:rsid w:val="00586F40"/>
    <w:rsid w:val="00586F99"/>
    <w:rsid w:val="00586FED"/>
    <w:rsid w:val="0058773C"/>
    <w:rsid w:val="00587A20"/>
    <w:rsid w:val="00587AE0"/>
    <w:rsid w:val="00587CBD"/>
    <w:rsid w:val="00587DEB"/>
    <w:rsid w:val="00587E53"/>
    <w:rsid w:val="00587EC2"/>
    <w:rsid w:val="005900B9"/>
    <w:rsid w:val="005903E9"/>
    <w:rsid w:val="0059040D"/>
    <w:rsid w:val="005904F7"/>
    <w:rsid w:val="005905A3"/>
    <w:rsid w:val="005909B1"/>
    <w:rsid w:val="00590AC3"/>
    <w:rsid w:val="00590ACA"/>
    <w:rsid w:val="00590AE2"/>
    <w:rsid w:val="00590BDE"/>
    <w:rsid w:val="00590E5F"/>
    <w:rsid w:val="00590E87"/>
    <w:rsid w:val="00591154"/>
    <w:rsid w:val="0059125D"/>
    <w:rsid w:val="005913E9"/>
    <w:rsid w:val="005918DB"/>
    <w:rsid w:val="00591B59"/>
    <w:rsid w:val="00591B77"/>
    <w:rsid w:val="00591D05"/>
    <w:rsid w:val="00591EE0"/>
    <w:rsid w:val="00591F6D"/>
    <w:rsid w:val="005920F4"/>
    <w:rsid w:val="005923B9"/>
    <w:rsid w:val="00592414"/>
    <w:rsid w:val="00592669"/>
    <w:rsid w:val="00592E78"/>
    <w:rsid w:val="0059303B"/>
    <w:rsid w:val="00593264"/>
    <w:rsid w:val="00593283"/>
    <w:rsid w:val="00593391"/>
    <w:rsid w:val="00593607"/>
    <w:rsid w:val="00593660"/>
    <w:rsid w:val="00593799"/>
    <w:rsid w:val="00593829"/>
    <w:rsid w:val="00593EA3"/>
    <w:rsid w:val="00593EC9"/>
    <w:rsid w:val="00593FAC"/>
    <w:rsid w:val="00594181"/>
    <w:rsid w:val="00594431"/>
    <w:rsid w:val="00594493"/>
    <w:rsid w:val="0059451B"/>
    <w:rsid w:val="00594699"/>
    <w:rsid w:val="0059478E"/>
    <w:rsid w:val="00594915"/>
    <w:rsid w:val="005949A1"/>
    <w:rsid w:val="00594AF0"/>
    <w:rsid w:val="00594AF6"/>
    <w:rsid w:val="00594E01"/>
    <w:rsid w:val="00594EBC"/>
    <w:rsid w:val="00595115"/>
    <w:rsid w:val="005951AC"/>
    <w:rsid w:val="00595746"/>
    <w:rsid w:val="0059585B"/>
    <w:rsid w:val="00595877"/>
    <w:rsid w:val="005958B9"/>
    <w:rsid w:val="00595A34"/>
    <w:rsid w:val="00595E26"/>
    <w:rsid w:val="00595E4B"/>
    <w:rsid w:val="005961AD"/>
    <w:rsid w:val="00596239"/>
    <w:rsid w:val="00596280"/>
    <w:rsid w:val="005962A9"/>
    <w:rsid w:val="005963CC"/>
    <w:rsid w:val="00596426"/>
    <w:rsid w:val="00596564"/>
    <w:rsid w:val="005965A4"/>
    <w:rsid w:val="00596995"/>
    <w:rsid w:val="00596ADB"/>
    <w:rsid w:val="00596B5A"/>
    <w:rsid w:val="00596CAD"/>
    <w:rsid w:val="00596E19"/>
    <w:rsid w:val="00596E75"/>
    <w:rsid w:val="00597236"/>
    <w:rsid w:val="00597388"/>
    <w:rsid w:val="005975F7"/>
    <w:rsid w:val="005978C8"/>
    <w:rsid w:val="00597ADD"/>
    <w:rsid w:val="00597CDD"/>
    <w:rsid w:val="00597D4C"/>
    <w:rsid w:val="005A009E"/>
    <w:rsid w:val="005A02FD"/>
    <w:rsid w:val="005A0631"/>
    <w:rsid w:val="005A0750"/>
    <w:rsid w:val="005A0807"/>
    <w:rsid w:val="005A0AEF"/>
    <w:rsid w:val="005A0B9C"/>
    <w:rsid w:val="005A0E3F"/>
    <w:rsid w:val="005A0E74"/>
    <w:rsid w:val="005A0E7B"/>
    <w:rsid w:val="005A1363"/>
    <w:rsid w:val="005A1BA0"/>
    <w:rsid w:val="005A1BB4"/>
    <w:rsid w:val="005A1CEC"/>
    <w:rsid w:val="005A1CED"/>
    <w:rsid w:val="005A1FFD"/>
    <w:rsid w:val="005A23DC"/>
    <w:rsid w:val="005A241E"/>
    <w:rsid w:val="005A28F2"/>
    <w:rsid w:val="005A294C"/>
    <w:rsid w:val="005A296E"/>
    <w:rsid w:val="005A2A4C"/>
    <w:rsid w:val="005A2ADA"/>
    <w:rsid w:val="005A2D92"/>
    <w:rsid w:val="005A30EA"/>
    <w:rsid w:val="005A31AB"/>
    <w:rsid w:val="005A31C7"/>
    <w:rsid w:val="005A3204"/>
    <w:rsid w:val="005A3545"/>
    <w:rsid w:val="005A3553"/>
    <w:rsid w:val="005A362D"/>
    <w:rsid w:val="005A390F"/>
    <w:rsid w:val="005A3944"/>
    <w:rsid w:val="005A3C42"/>
    <w:rsid w:val="005A3DBD"/>
    <w:rsid w:val="005A4250"/>
    <w:rsid w:val="005A438D"/>
    <w:rsid w:val="005A44AC"/>
    <w:rsid w:val="005A46C6"/>
    <w:rsid w:val="005A46EB"/>
    <w:rsid w:val="005A47D5"/>
    <w:rsid w:val="005A4A42"/>
    <w:rsid w:val="005A4BAE"/>
    <w:rsid w:val="005A4E78"/>
    <w:rsid w:val="005A5227"/>
    <w:rsid w:val="005A5EF0"/>
    <w:rsid w:val="005A60CA"/>
    <w:rsid w:val="005A6171"/>
    <w:rsid w:val="005A6364"/>
    <w:rsid w:val="005A6397"/>
    <w:rsid w:val="005A640C"/>
    <w:rsid w:val="005A6437"/>
    <w:rsid w:val="005A65F0"/>
    <w:rsid w:val="005A669A"/>
    <w:rsid w:val="005A690C"/>
    <w:rsid w:val="005A6947"/>
    <w:rsid w:val="005A6CE7"/>
    <w:rsid w:val="005A6F02"/>
    <w:rsid w:val="005A6FED"/>
    <w:rsid w:val="005A70B8"/>
    <w:rsid w:val="005A71A7"/>
    <w:rsid w:val="005A71F2"/>
    <w:rsid w:val="005A742C"/>
    <w:rsid w:val="005A767E"/>
    <w:rsid w:val="005A7876"/>
    <w:rsid w:val="005A7C10"/>
    <w:rsid w:val="005B0453"/>
    <w:rsid w:val="005B0496"/>
    <w:rsid w:val="005B0554"/>
    <w:rsid w:val="005B05CE"/>
    <w:rsid w:val="005B05E1"/>
    <w:rsid w:val="005B0BDB"/>
    <w:rsid w:val="005B0D57"/>
    <w:rsid w:val="005B0F54"/>
    <w:rsid w:val="005B11A5"/>
    <w:rsid w:val="005B11F0"/>
    <w:rsid w:val="005B1371"/>
    <w:rsid w:val="005B1389"/>
    <w:rsid w:val="005B16DB"/>
    <w:rsid w:val="005B17CB"/>
    <w:rsid w:val="005B1ADB"/>
    <w:rsid w:val="005B1B95"/>
    <w:rsid w:val="005B1BC4"/>
    <w:rsid w:val="005B1E66"/>
    <w:rsid w:val="005B20B7"/>
    <w:rsid w:val="005B214D"/>
    <w:rsid w:val="005B2188"/>
    <w:rsid w:val="005B2366"/>
    <w:rsid w:val="005B2477"/>
    <w:rsid w:val="005B2563"/>
    <w:rsid w:val="005B25D3"/>
    <w:rsid w:val="005B271C"/>
    <w:rsid w:val="005B2F71"/>
    <w:rsid w:val="005B31E8"/>
    <w:rsid w:val="005B3253"/>
    <w:rsid w:val="005B334F"/>
    <w:rsid w:val="005B341A"/>
    <w:rsid w:val="005B36B1"/>
    <w:rsid w:val="005B36E8"/>
    <w:rsid w:val="005B3A33"/>
    <w:rsid w:val="005B3B9E"/>
    <w:rsid w:val="005B3C61"/>
    <w:rsid w:val="005B3DF9"/>
    <w:rsid w:val="005B41DC"/>
    <w:rsid w:val="005B41F0"/>
    <w:rsid w:val="005B4203"/>
    <w:rsid w:val="005B44AB"/>
    <w:rsid w:val="005B44E7"/>
    <w:rsid w:val="005B4622"/>
    <w:rsid w:val="005B46BC"/>
    <w:rsid w:val="005B47A1"/>
    <w:rsid w:val="005B481E"/>
    <w:rsid w:val="005B4D87"/>
    <w:rsid w:val="005B4E6E"/>
    <w:rsid w:val="005B4F3E"/>
    <w:rsid w:val="005B50FD"/>
    <w:rsid w:val="005B51D1"/>
    <w:rsid w:val="005B51E9"/>
    <w:rsid w:val="005B52C1"/>
    <w:rsid w:val="005B53D3"/>
    <w:rsid w:val="005B5501"/>
    <w:rsid w:val="005B5581"/>
    <w:rsid w:val="005B5847"/>
    <w:rsid w:val="005B5893"/>
    <w:rsid w:val="005B58E5"/>
    <w:rsid w:val="005B5C00"/>
    <w:rsid w:val="005B5C0E"/>
    <w:rsid w:val="005B5CD4"/>
    <w:rsid w:val="005B5D0F"/>
    <w:rsid w:val="005B5D58"/>
    <w:rsid w:val="005B5ECA"/>
    <w:rsid w:val="005B5EF2"/>
    <w:rsid w:val="005B602C"/>
    <w:rsid w:val="005B6212"/>
    <w:rsid w:val="005B621D"/>
    <w:rsid w:val="005B635C"/>
    <w:rsid w:val="005B672B"/>
    <w:rsid w:val="005B6894"/>
    <w:rsid w:val="005B6A61"/>
    <w:rsid w:val="005B6D4E"/>
    <w:rsid w:val="005B6E0E"/>
    <w:rsid w:val="005B6E10"/>
    <w:rsid w:val="005B704A"/>
    <w:rsid w:val="005B7411"/>
    <w:rsid w:val="005B77D5"/>
    <w:rsid w:val="005B78DD"/>
    <w:rsid w:val="005B78F7"/>
    <w:rsid w:val="005B7C08"/>
    <w:rsid w:val="005B7CEC"/>
    <w:rsid w:val="005B7F25"/>
    <w:rsid w:val="005B7FD3"/>
    <w:rsid w:val="005C0025"/>
    <w:rsid w:val="005C00E5"/>
    <w:rsid w:val="005C01EF"/>
    <w:rsid w:val="005C0229"/>
    <w:rsid w:val="005C02A3"/>
    <w:rsid w:val="005C0417"/>
    <w:rsid w:val="005C04A8"/>
    <w:rsid w:val="005C061B"/>
    <w:rsid w:val="005C079E"/>
    <w:rsid w:val="005C0866"/>
    <w:rsid w:val="005C08FE"/>
    <w:rsid w:val="005C0DA2"/>
    <w:rsid w:val="005C0EB2"/>
    <w:rsid w:val="005C103D"/>
    <w:rsid w:val="005C1308"/>
    <w:rsid w:val="005C139F"/>
    <w:rsid w:val="005C13B2"/>
    <w:rsid w:val="005C1797"/>
    <w:rsid w:val="005C17CC"/>
    <w:rsid w:val="005C18DD"/>
    <w:rsid w:val="005C19C4"/>
    <w:rsid w:val="005C19E1"/>
    <w:rsid w:val="005C19F0"/>
    <w:rsid w:val="005C1A31"/>
    <w:rsid w:val="005C1CDF"/>
    <w:rsid w:val="005C1EB9"/>
    <w:rsid w:val="005C2284"/>
    <w:rsid w:val="005C232F"/>
    <w:rsid w:val="005C242D"/>
    <w:rsid w:val="005C25F8"/>
    <w:rsid w:val="005C27E3"/>
    <w:rsid w:val="005C2807"/>
    <w:rsid w:val="005C284A"/>
    <w:rsid w:val="005C2B5A"/>
    <w:rsid w:val="005C2CE2"/>
    <w:rsid w:val="005C2CE4"/>
    <w:rsid w:val="005C2EAB"/>
    <w:rsid w:val="005C342C"/>
    <w:rsid w:val="005C349B"/>
    <w:rsid w:val="005C37CB"/>
    <w:rsid w:val="005C3A30"/>
    <w:rsid w:val="005C3A7F"/>
    <w:rsid w:val="005C3A96"/>
    <w:rsid w:val="005C3AD5"/>
    <w:rsid w:val="005C3BCB"/>
    <w:rsid w:val="005C3CEA"/>
    <w:rsid w:val="005C3DC5"/>
    <w:rsid w:val="005C3E10"/>
    <w:rsid w:val="005C3EAA"/>
    <w:rsid w:val="005C459C"/>
    <w:rsid w:val="005C45D0"/>
    <w:rsid w:val="005C46AF"/>
    <w:rsid w:val="005C46D4"/>
    <w:rsid w:val="005C4A45"/>
    <w:rsid w:val="005C4D71"/>
    <w:rsid w:val="005C4DF2"/>
    <w:rsid w:val="005C5186"/>
    <w:rsid w:val="005C52B3"/>
    <w:rsid w:val="005C542B"/>
    <w:rsid w:val="005C5480"/>
    <w:rsid w:val="005C5616"/>
    <w:rsid w:val="005C56AB"/>
    <w:rsid w:val="005C5755"/>
    <w:rsid w:val="005C5963"/>
    <w:rsid w:val="005C603C"/>
    <w:rsid w:val="005C60EB"/>
    <w:rsid w:val="005C6154"/>
    <w:rsid w:val="005C619E"/>
    <w:rsid w:val="005C61A1"/>
    <w:rsid w:val="005C624D"/>
    <w:rsid w:val="005C6281"/>
    <w:rsid w:val="005C62AB"/>
    <w:rsid w:val="005C6381"/>
    <w:rsid w:val="005C65CE"/>
    <w:rsid w:val="005C6860"/>
    <w:rsid w:val="005C6979"/>
    <w:rsid w:val="005C6B37"/>
    <w:rsid w:val="005C6BD2"/>
    <w:rsid w:val="005C6C1C"/>
    <w:rsid w:val="005C6DBD"/>
    <w:rsid w:val="005C6DE1"/>
    <w:rsid w:val="005C6EA2"/>
    <w:rsid w:val="005C6FC7"/>
    <w:rsid w:val="005C7026"/>
    <w:rsid w:val="005C7228"/>
    <w:rsid w:val="005C739A"/>
    <w:rsid w:val="005C73F1"/>
    <w:rsid w:val="005C74B0"/>
    <w:rsid w:val="005C74B2"/>
    <w:rsid w:val="005C74B3"/>
    <w:rsid w:val="005C7612"/>
    <w:rsid w:val="005C7964"/>
    <w:rsid w:val="005C7B56"/>
    <w:rsid w:val="005C7E26"/>
    <w:rsid w:val="005D0008"/>
    <w:rsid w:val="005D01CA"/>
    <w:rsid w:val="005D02A1"/>
    <w:rsid w:val="005D03A8"/>
    <w:rsid w:val="005D0925"/>
    <w:rsid w:val="005D0C09"/>
    <w:rsid w:val="005D0DE8"/>
    <w:rsid w:val="005D0FBB"/>
    <w:rsid w:val="005D1401"/>
    <w:rsid w:val="005D1512"/>
    <w:rsid w:val="005D15E0"/>
    <w:rsid w:val="005D1734"/>
    <w:rsid w:val="005D18F8"/>
    <w:rsid w:val="005D19CC"/>
    <w:rsid w:val="005D19F4"/>
    <w:rsid w:val="005D1A9F"/>
    <w:rsid w:val="005D1B82"/>
    <w:rsid w:val="005D1C6A"/>
    <w:rsid w:val="005D1E06"/>
    <w:rsid w:val="005D1F1B"/>
    <w:rsid w:val="005D200E"/>
    <w:rsid w:val="005D2116"/>
    <w:rsid w:val="005D23E7"/>
    <w:rsid w:val="005D24D8"/>
    <w:rsid w:val="005D25BC"/>
    <w:rsid w:val="005D2639"/>
    <w:rsid w:val="005D296B"/>
    <w:rsid w:val="005D2A87"/>
    <w:rsid w:val="005D2B76"/>
    <w:rsid w:val="005D2BB6"/>
    <w:rsid w:val="005D2D22"/>
    <w:rsid w:val="005D2D8A"/>
    <w:rsid w:val="005D2DAB"/>
    <w:rsid w:val="005D2F7E"/>
    <w:rsid w:val="005D3060"/>
    <w:rsid w:val="005D30AB"/>
    <w:rsid w:val="005D30F9"/>
    <w:rsid w:val="005D315E"/>
    <w:rsid w:val="005D3204"/>
    <w:rsid w:val="005D3436"/>
    <w:rsid w:val="005D393E"/>
    <w:rsid w:val="005D3A5E"/>
    <w:rsid w:val="005D3D4D"/>
    <w:rsid w:val="005D412B"/>
    <w:rsid w:val="005D4230"/>
    <w:rsid w:val="005D46E6"/>
    <w:rsid w:val="005D4936"/>
    <w:rsid w:val="005D49AD"/>
    <w:rsid w:val="005D4C3F"/>
    <w:rsid w:val="005D4CAD"/>
    <w:rsid w:val="005D4D93"/>
    <w:rsid w:val="005D4EE7"/>
    <w:rsid w:val="005D4F00"/>
    <w:rsid w:val="005D4FA7"/>
    <w:rsid w:val="005D5099"/>
    <w:rsid w:val="005D50E2"/>
    <w:rsid w:val="005D51E4"/>
    <w:rsid w:val="005D528D"/>
    <w:rsid w:val="005D52FA"/>
    <w:rsid w:val="005D54AE"/>
    <w:rsid w:val="005D573D"/>
    <w:rsid w:val="005D574D"/>
    <w:rsid w:val="005D5814"/>
    <w:rsid w:val="005D5867"/>
    <w:rsid w:val="005D5AC7"/>
    <w:rsid w:val="005D5EDD"/>
    <w:rsid w:val="005D60CB"/>
    <w:rsid w:val="005D610B"/>
    <w:rsid w:val="005D6390"/>
    <w:rsid w:val="005D6455"/>
    <w:rsid w:val="005D64DF"/>
    <w:rsid w:val="005D65AB"/>
    <w:rsid w:val="005D66A9"/>
    <w:rsid w:val="005D682C"/>
    <w:rsid w:val="005D6DE6"/>
    <w:rsid w:val="005D6EDE"/>
    <w:rsid w:val="005D6EF2"/>
    <w:rsid w:val="005D7007"/>
    <w:rsid w:val="005D705B"/>
    <w:rsid w:val="005D734A"/>
    <w:rsid w:val="005D7363"/>
    <w:rsid w:val="005D742C"/>
    <w:rsid w:val="005D7451"/>
    <w:rsid w:val="005D7491"/>
    <w:rsid w:val="005D74E5"/>
    <w:rsid w:val="005D74F8"/>
    <w:rsid w:val="005D75A1"/>
    <w:rsid w:val="005D765A"/>
    <w:rsid w:val="005D782F"/>
    <w:rsid w:val="005D78C7"/>
    <w:rsid w:val="005D797E"/>
    <w:rsid w:val="005D7A37"/>
    <w:rsid w:val="005D7A41"/>
    <w:rsid w:val="005D7A76"/>
    <w:rsid w:val="005D7C0A"/>
    <w:rsid w:val="005D7C43"/>
    <w:rsid w:val="005D7D21"/>
    <w:rsid w:val="005D7D7A"/>
    <w:rsid w:val="005D7D9F"/>
    <w:rsid w:val="005E0052"/>
    <w:rsid w:val="005E0127"/>
    <w:rsid w:val="005E01BD"/>
    <w:rsid w:val="005E052A"/>
    <w:rsid w:val="005E0764"/>
    <w:rsid w:val="005E08A1"/>
    <w:rsid w:val="005E094B"/>
    <w:rsid w:val="005E1963"/>
    <w:rsid w:val="005E1A80"/>
    <w:rsid w:val="005E1C32"/>
    <w:rsid w:val="005E1F0D"/>
    <w:rsid w:val="005E223B"/>
    <w:rsid w:val="005E2257"/>
    <w:rsid w:val="005E266F"/>
    <w:rsid w:val="005E26D8"/>
    <w:rsid w:val="005E278B"/>
    <w:rsid w:val="005E2793"/>
    <w:rsid w:val="005E27CC"/>
    <w:rsid w:val="005E2A80"/>
    <w:rsid w:val="005E2C07"/>
    <w:rsid w:val="005E2FA2"/>
    <w:rsid w:val="005E3600"/>
    <w:rsid w:val="005E39AC"/>
    <w:rsid w:val="005E3A53"/>
    <w:rsid w:val="005E3C43"/>
    <w:rsid w:val="005E3F83"/>
    <w:rsid w:val="005E4042"/>
    <w:rsid w:val="005E406E"/>
    <w:rsid w:val="005E414E"/>
    <w:rsid w:val="005E4220"/>
    <w:rsid w:val="005E438C"/>
    <w:rsid w:val="005E43C3"/>
    <w:rsid w:val="005E4459"/>
    <w:rsid w:val="005E44CA"/>
    <w:rsid w:val="005E47B0"/>
    <w:rsid w:val="005E48E9"/>
    <w:rsid w:val="005E4AC4"/>
    <w:rsid w:val="005E4D26"/>
    <w:rsid w:val="005E5012"/>
    <w:rsid w:val="005E50C1"/>
    <w:rsid w:val="005E516E"/>
    <w:rsid w:val="005E5188"/>
    <w:rsid w:val="005E52D0"/>
    <w:rsid w:val="005E563D"/>
    <w:rsid w:val="005E5657"/>
    <w:rsid w:val="005E5734"/>
    <w:rsid w:val="005E574C"/>
    <w:rsid w:val="005E5991"/>
    <w:rsid w:val="005E59C2"/>
    <w:rsid w:val="005E5A1C"/>
    <w:rsid w:val="005E5A63"/>
    <w:rsid w:val="005E5A8F"/>
    <w:rsid w:val="005E5CCE"/>
    <w:rsid w:val="005E5D67"/>
    <w:rsid w:val="005E5E18"/>
    <w:rsid w:val="005E5FCC"/>
    <w:rsid w:val="005E6062"/>
    <w:rsid w:val="005E60EF"/>
    <w:rsid w:val="005E612D"/>
    <w:rsid w:val="005E6159"/>
    <w:rsid w:val="005E648E"/>
    <w:rsid w:val="005E6704"/>
    <w:rsid w:val="005E6706"/>
    <w:rsid w:val="005E6827"/>
    <w:rsid w:val="005E6E7A"/>
    <w:rsid w:val="005E7000"/>
    <w:rsid w:val="005E7025"/>
    <w:rsid w:val="005E70BF"/>
    <w:rsid w:val="005E724E"/>
    <w:rsid w:val="005E7274"/>
    <w:rsid w:val="005E729D"/>
    <w:rsid w:val="005E73CE"/>
    <w:rsid w:val="005E743E"/>
    <w:rsid w:val="005E74D2"/>
    <w:rsid w:val="005E7585"/>
    <w:rsid w:val="005E7737"/>
    <w:rsid w:val="005E7794"/>
    <w:rsid w:val="005E77FE"/>
    <w:rsid w:val="005E7964"/>
    <w:rsid w:val="005E7A24"/>
    <w:rsid w:val="005E7AB9"/>
    <w:rsid w:val="005E7B33"/>
    <w:rsid w:val="005E7E70"/>
    <w:rsid w:val="005E7EE6"/>
    <w:rsid w:val="005E7FBD"/>
    <w:rsid w:val="005F018E"/>
    <w:rsid w:val="005F01FF"/>
    <w:rsid w:val="005F024E"/>
    <w:rsid w:val="005F07C1"/>
    <w:rsid w:val="005F07DC"/>
    <w:rsid w:val="005F0A2B"/>
    <w:rsid w:val="005F0D18"/>
    <w:rsid w:val="005F0E08"/>
    <w:rsid w:val="005F103C"/>
    <w:rsid w:val="005F121F"/>
    <w:rsid w:val="005F1BD7"/>
    <w:rsid w:val="005F1BE4"/>
    <w:rsid w:val="005F1D15"/>
    <w:rsid w:val="005F1DC5"/>
    <w:rsid w:val="005F1E52"/>
    <w:rsid w:val="005F2039"/>
    <w:rsid w:val="005F206D"/>
    <w:rsid w:val="005F21A1"/>
    <w:rsid w:val="005F21F1"/>
    <w:rsid w:val="005F2456"/>
    <w:rsid w:val="005F2597"/>
    <w:rsid w:val="005F26E4"/>
    <w:rsid w:val="005F2763"/>
    <w:rsid w:val="005F2779"/>
    <w:rsid w:val="005F28DA"/>
    <w:rsid w:val="005F2CBB"/>
    <w:rsid w:val="005F2DF0"/>
    <w:rsid w:val="005F2EF2"/>
    <w:rsid w:val="005F3022"/>
    <w:rsid w:val="005F3082"/>
    <w:rsid w:val="005F30E8"/>
    <w:rsid w:val="005F3290"/>
    <w:rsid w:val="005F338F"/>
    <w:rsid w:val="005F3487"/>
    <w:rsid w:val="005F351F"/>
    <w:rsid w:val="005F3697"/>
    <w:rsid w:val="005F37E9"/>
    <w:rsid w:val="005F384B"/>
    <w:rsid w:val="005F3AAD"/>
    <w:rsid w:val="005F3BEE"/>
    <w:rsid w:val="005F3D32"/>
    <w:rsid w:val="005F3DC0"/>
    <w:rsid w:val="005F3E8A"/>
    <w:rsid w:val="005F3FA5"/>
    <w:rsid w:val="005F3FC7"/>
    <w:rsid w:val="005F4177"/>
    <w:rsid w:val="005F417E"/>
    <w:rsid w:val="005F453C"/>
    <w:rsid w:val="005F4569"/>
    <w:rsid w:val="005F45EA"/>
    <w:rsid w:val="005F47B0"/>
    <w:rsid w:val="005F47E6"/>
    <w:rsid w:val="005F4D43"/>
    <w:rsid w:val="005F5228"/>
    <w:rsid w:val="005F52FD"/>
    <w:rsid w:val="005F55C0"/>
    <w:rsid w:val="005F5626"/>
    <w:rsid w:val="005F5637"/>
    <w:rsid w:val="005F591C"/>
    <w:rsid w:val="005F5AB4"/>
    <w:rsid w:val="005F5E13"/>
    <w:rsid w:val="005F5EE3"/>
    <w:rsid w:val="005F5FD5"/>
    <w:rsid w:val="005F624B"/>
    <w:rsid w:val="005F6407"/>
    <w:rsid w:val="005F64FB"/>
    <w:rsid w:val="005F659A"/>
    <w:rsid w:val="005F68C5"/>
    <w:rsid w:val="005F6A43"/>
    <w:rsid w:val="005F6A92"/>
    <w:rsid w:val="005F6E9C"/>
    <w:rsid w:val="005F707A"/>
    <w:rsid w:val="005F7170"/>
    <w:rsid w:val="005F719B"/>
    <w:rsid w:val="005F72A9"/>
    <w:rsid w:val="005F7687"/>
    <w:rsid w:val="005F77F9"/>
    <w:rsid w:val="005F7A07"/>
    <w:rsid w:val="005F7B36"/>
    <w:rsid w:val="005F7C92"/>
    <w:rsid w:val="0060002F"/>
    <w:rsid w:val="00600182"/>
    <w:rsid w:val="00600529"/>
    <w:rsid w:val="006006A9"/>
    <w:rsid w:val="00600910"/>
    <w:rsid w:val="00600C53"/>
    <w:rsid w:val="00600E11"/>
    <w:rsid w:val="00601523"/>
    <w:rsid w:val="00601596"/>
    <w:rsid w:val="00601D3B"/>
    <w:rsid w:val="00601FBC"/>
    <w:rsid w:val="00602183"/>
    <w:rsid w:val="0060233A"/>
    <w:rsid w:val="0060251E"/>
    <w:rsid w:val="0060254B"/>
    <w:rsid w:val="006025F8"/>
    <w:rsid w:val="00602831"/>
    <w:rsid w:val="006029EE"/>
    <w:rsid w:val="00602DDE"/>
    <w:rsid w:val="00602DF3"/>
    <w:rsid w:val="00602E04"/>
    <w:rsid w:val="00602F7C"/>
    <w:rsid w:val="00602FD7"/>
    <w:rsid w:val="0060334E"/>
    <w:rsid w:val="00603590"/>
    <w:rsid w:val="006035B8"/>
    <w:rsid w:val="00603660"/>
    <w:rsid w:val="00603785"/>
    <w:rsid w:val="00603795"/>
    <w:rsid w:val="006038E2"/>
    <w:rsid w:val="00603982"/>
    <w:rsid w:val="00603C74"/>
    <w:rsid w:val="00603CC4"/>
    <w:rsid w:val="00603DA2"/>
    <w:rsid w:val="00603DEC"/>
    <w:rsid w:val="00604036"/>
    <w:rsid w:val="006040E7"/>
    <w:rsid w:val="00604316"/>
    <w:rsid w:val="0060455F"/>
    <w:rsid w:val="0060463E"/>
    <w:rsid w:val="0060470A"/>
    <w:rsid w:val="0060473D"/>
    <w:rsid w:val="00604B4F"/>
    <w:rsid w:val="00604BA2"/>
    <w:rsid w:val="00604CAA"/>
    <w:rsid w:val="00605249"/>
    <w:rsid w:val="006054C5"/>
    <w:rsid w:val="00605556"/>
    <w:rsid w:val="00605672"/>
    <w:rsid w:val="0060569C"/>
    <w:rsid w:val="00605965"/>
    <w:rsid w:val="00605CC1"/>
    <w:rsid w:val="00605EB7"/>
    <w:rsid w:val="00605F64"/>
    <w:rsid w:val="006061DD"/>
    <w:rsid w:val="00606287"/>
    <w:rsid w:val="00606504"/>
    <w:rsid w:val="0060650D"/>
    <w:rsid w:val="0060657C"/>
    <w:rsid w:val="006066D0"/>
    <w:rsid w:val="006067D5"/>
    <w:rsid w:val="00606847"/>
    <w:rsid w:val="0060697E"/>
    <w:rsid w:val="00606A20"/>
    <w:rsid w:val="00606A3B"/>
    <w:rsid w:val="00606AD3"/>
    <w:rsid w:val="00606B7F"/>
    <w:rsid w:val="00606C56"/>
    <w:rsid w:val="00606C57"/>
    <w:rsid w:val="00606DD0"/>
    <w:rsid w:val="00606FF8"/>
    <w:rsid w:val="00607160"/>
    <w:rsid w:val="006071B5"/>
    <w:rsid w:val="00607285"/>
    <w:rsid w:val="006073BF"/>
    <w:rsid w:val="006074BD"/>
    <w:rsid w:val="00607501"/>
    <w:rsid w:val="00607808"/>
    <w:rsid w:val="00607948"/>
    <w:rsid w:val="006079F6"/>
    <w:rsid w:val="00607CB6"/>
    <w:rsid w:val="0061000F"/>
    <w:rsid w:val="0061011C"/>
    <w:rsid w:val="00610207"/>
    <w:rsid w:val="006103B1"/>
    <w:rsid w:val="00610555"/>
    <w:rsid w:val="006106C9"/>
    <w:rsid w:val="006108EB"/>
    <w:rsid w:val="0061090E"/>
    <w:rsid w:val="00610BA8"/>
    <w:rsid w:val="00610DF5"/>
    <w:rsid w:val="00610EFA"/>
    <w:rsid w:val="00611402"/>
    <w:rsid w:val="006114B1"/>
    <w:rsid w:val="00611615"/>
    <w:rsid w:val="00611737"/>
    <w:rsid w:val="006117C3"/>
    <w:rsid w:val="0061197C"/>
    <w:rsid w:val="00611A1B"/>
    <w:rsid w:val="00611F4D"/>
    <w:rsid w:val="00611F51"/>
    <w:rsid w:val="00611F94"/>
    <w:rsid w:val="00612009"/>
    <w:rsid w:val="0061202E"/>
    <w:rsid w:val="00612275"/>
    <w:rsid w:val="00612285"/>
    <w:rsid w:val="00612368"/>
    <w:rsid w:val="006123EE"/>
    <w:rsid w:val="006128C8"/>
    <w:rsid w:val="00612A43"/>
    <w:rsid w:val="00612ADC"/>
    <w:rsid w:val="00612D3E"/>
    <w:rsid w:val="00612FBE"/>
    <w:rsid w:val="0061311A"/>
    <w:rsid w:val="006131A5"/>
    <w:rsid w:val="00613218"/>
    <w:rsid w:val="00613236"/>
    <w:rsid w:val="006132C9"/>
    <w:rsid w:val="00613367"/>
    <w:rsid w:val="006135FF"/>
    <w:rsid w:val="0061361B"/>
    <w:rsid w:val="00613AA3"/>
    <w:rsid w:val="00613B59"/>
    <w:rsid w:val="00613B90"/>
    <w:rsid w:val="00613CFB"/>
    <w:rsid w:val="00614029"/>
    <w:rsid w:val="006142C4"/>
    <w:rsid w:val="006142E0"/>
    <w:rsid w:val="006142F8"/>
    <w:rsid w:val="006142FF"/>
    <w:rsid w:val="00614A81"/>
    <w:rsid w:val="00614B7E"/>
    <w:rsid w:val="00614DDA"/>
    <w:rsid w:val="00614DE8"/>
    <w:rsid w:val="00614F0B"/>
    <w:rsid w:val="00614FD0"/>
    <w:rsid w:val="00615251"/>
    <w:rsid w:val="006154BF"/>
    <w:rsid w:val="00615633"/>
    <w:rsid w:val="006158C8"/>
    <w:rsid w:val="006158CF"/>
    <w:rsid w:val="00615A7A"/>
    <w:rsid w:val="00615B9C"/>
    <w:rsid w:val="00615CAD"/>
    <w:rsid w:val="00616031"/>
    <w:rsid w:val="0061620A"/>
    <w:rsid w:val="0061624D"/>
    <w:rsid w:val="0061653C"/>
    <w:rsid w:val="00616763"/>
    <w:rsid w:val="0061677F"/>
    <w:rsid w:val="00616973"/>
    <w:rsid w:val="00616B77"/>
    <w:rsid w:val="00616D5C"/>
    <w:rsid w:val="00616E88"/>
    <w:rsid w:val="00616F96"/>
    <w:rsid w:val="006171C5"/>
    <w:rsid w:val="0061725E"/>
    <w:rsid w:val="0061727C"/>
    <w:rsid w:val="00617281"/>
    <w:rsid w:val="006172E1"/>
    <w:rsid w:val="00617467"/>
    <w:rsid w:val="00617604"/>
    <w:rsid w:val="0061798C"/>
    <w:rsid w:val="00617B2D"/>
    <w:rsid w:val="00620208"/>
    <w:rsid w:val="006203FF"/>
    <w:rsid w:val="0062045D"/>
    <w:rsid w:val="00620BB9"/>
    <w:rsid w:val="00620C36"/>
    <w:rsid w:val="00620D03"/>
    <w:rsid w:val="00620D46"/>
    <w:rsid w:val="00620E63"/>
    <w:rsid w:val="00621006"/>
    <w:rsid w:val="006211C3"/>
    <w:rsid w:val="00621454"/>
    <w:rsid w:val="006215FF"/>
    <w:rsid w:val="00621E95"/>
    <w:rsid w:val="0062212F"/>
    <w:rsid w:val="00622289"/>
    <w:rsid w:val="00622669"/>
    <w:rsid w:val="00622706"/>
    <w:rsid w:val="00622819"/>
    <w:rsid w:val="006228E4"/>
    <w:rsid w:val="00622906"/>
    <w:rsid w:val="00622959"/>
    <w:rsid w:val="00622C14"/>
    <w:rsid w:val="00622C36"/>
    <w:rsid w:val="00622CEA"/>
    <w:rsid w:val="00622CEF"/>
    <w:rsid w:val="00622FE1"/>
    <w:rsid w:val="006231CA"/>
    <w:rsid w:val="00623243"/>
    <w:rsid w:val="00623420"/>
    <w:rsid w:val="00623606"/>
    <w:rsid w:val="006236F9"/>
    <w:rsid w:val="006239A5"/>
    <w:rsid w:val="00623ADB"/>
    <w:rsid w:val="00623B7B"/>
    <w:rsid w:val="00623BE1"/>
    <w:rsid w:val="00623DD0"/>
    <w:rsid w:val="00623FDA"/>
    <w:rsid w:val="00624389"/>
    <w:rsid w:val="0062470E"/>
    <w:rsid w:val="00624767"/>
    <w:rsid w:val="006247D3"/>
    <w:rsid w:val="006249E2"/>
    <w:rsid w:val="00624DB5"/>
    <w:rsid w:val="00624DC8"/>
    <w:rsid w:val="00624E99"/>
    <w:rsid w:val="00624F0F"/>
    <w:rsid w:val="0062527F"/>
    <w:rsid w:val="00625324"/>
    <w:rsid w:val="00625496"/>
    <w:rsid w:val="00625811"/>
    <w:rsid w:val="006258D9"/>
    <w:rsid w:val="006258DF"/>
    <w:rsid w:val="00625902"/>
    <w:rsid w:val="00625B69"/>
    <w:rsid w:val="00625B81"/>
    <w:rsid w:val="00625C1E"/>
    <w:rsid w:val="00625CE5"/>
    <w:rsid w:val="00626314"/>
    <w:rsid w:val="00626459"/>
    <w:rsid w:val="0062651B"/>
    <w:rsid w:val="0062661F"/>
    <w:rsid w:val="0062673A"/>
    <w:rsid w:val="00626AEC"/>
    <w:rsid w:val="00626BA2"/>
    <w:rsid w:val="00626C84"/>
    <w:rsid w:val="00626CF9"/>
    <w:rsid w:val="00626D3A"/>
    <w:rsid w:val="00626E1F"/>
    <w:rsid w:val="0062726A"/>
    <w:rsid w:val="006273FC"/>
    <w:rsid w:val="00627757"/>
    <w:rsid w:val="00627767"/>
    <w:rsid w:val="00627C71"/>
    <w:rsid w:val="00627D8B"/>
    <w:rsid w:val="00627DC2"/>
    <w:rsid w:val="00627E3D"/>
    <w:rsid w:val="0063001D"/>
    <w:rsid w:val="006300F5"/>
    <w:rsid w:val="0063013C"/>
    <w:rsid w:val="00630299"/>
    <w:rsid w:val="0063044E"/>
    <w:rsid w:val="00630786"/>
    <w:rsid w:val="006307FD"/>
    <w:rsid w:val="00630A9E"/>
    <w:rsid w:val="00630AB2"/>
    <w:rsid w:val="00630AF0"/>
    <w:rsid w:val="00630F2B"/>
    <w:rsid w:val="00631020"/>
    <w:rsid w:val="006312A2"/>
    <w:rsid w:val="006312A9"/>
    <w:rsid w:val="00631740"/>
    <w:rsid w:val="0063181B"/>
    <w:rsid w:val="00631893"/>
    <w:rsid w:val="00631B52"/>
    <w:rsid w:val="00631D03"/>
    <w:rsid w:val="00631D4A"/>
    <w:rsid w:val="006322A6"/>
    <w:rsid w:val="006322E5"/>
    <w:rsid w:val="006324BD"/>
    <w:rsid w:val="006326F8"/>
    <w:rsid w:val="0063275E"/>
    <w:rsid w:val="006328DB"/>
    <w:rsid w:val="00632942"/>
    <w:rsid w:val="00632C1C"/>
    <w:rsid w:val="00632DC7"/>
    <w:rsid w:val="00632F45"/>
    <w:rsid w:val="006331B1"/>
    <w:rsid w:val="0063321A"/>
    <w:rsid w:val="0063322A"/>
    <w:rsid w:val="00633395"/>
    <w:rsid w:val="00633955"/>
    <w:rsid w:val="00633CB2"/>
    <w:rsid w:val="00634008"/>
    <w:rsid w:val="00634205"/>
    <w:rsid w:val="006344BC"/>
    <w:rsid w:val="00634653"/>
    <w:rsid w:val="0063475B"/>
    <w:rsid w:val="006347F4"/>
    <w:rsid w:val="00634D16"/>
    <w:rsid w:val="00634F44"/>
    <w:rsid w:val="00634F83"/>
    <w:rsid w:val="00635027"/>
    <w:rsid w:val="00635108"/>
    <w:rsid w:val="006354F3"/>
    <w:rsid w:val="006357CD"/>
    <w:rsid w:val="006359D9"/>
    <w:rsid w:val="00635B90"/>
    <w:rsid w:val="00635B94"/>
    <w:rsid w:val="00635DF5"/>
    <w:rsid w:val="00635F98"/>
    <w:rsid w:val="006360DB"/>
    <w:rsid w:val="0063623F"/>
    <w:rsid w:val="0063629B"/>
    <w:rsid w:val="00636490"/>
    <w:rsid w:val="00636504"/>
    <w:rsid w:val="006367EA"/>
    <w:rsid w:val="00636985"/>
    <w:rsid w:val="00636991"/>
    <w:rsid w:val="00636A07"/>
    <w:rsid w:val="006372CA"/>
    <w:rsid w:val="006373ED"/>
    <w:rsid w:val="0063776B"/>
    <w:rsid w:val="00637880"/>
    <w:rsid w:val="00637AEF"/>
    <w:rsid w:val="00637BB8"/>
    <w:rsid w:val="00637D32"/>
    <w:rsid w:val="00637D6D"/>
    <w:rsid w:val="00637E06"/>
    <w:rsid w:val="00640166"/>
    <w:rsid w:val="00640338"/>
    <w:rsid w:val="00640431"/>
    <w:rsid w:val="00640713"/>
    <w:rsid w:val="00640C9A"/>
    <w:rsid w:val="00640D8C"/>
    <w:rsid w:val="00641158"/>
    <w:rsid w:val="006412FD"/>
    <w:rsid w:val="00641317"/>
    <w:rsid w:val="00641360"/>
    <w:rsid w:val="0064137A"/>
    <w:rsid w:val="006413C5"/>
    <w:rsid w:val="006414D5"/>
    <w:rsid w:val="0064168E"/>
    <w:rsid w:val="006416AE"/>
    <w:rsid w:val="006417D7"/>
    <w:rsid w:val="00641839"/>
    <w:rsid w:val="00641B9F"/>
    <w:rsid w:val="00641E6D"/>
    <w:rsid w:val="00641F97"/>
    <w:rsid w:val="00641F9B"/>
    <w:rsid w:val="00641FE4"/>
    <w:rsid w:val="0064203C"/>
    <w:rsid w:val="00642298"/>
    <w:rsid w:val="006422BA"/>
    <w:rsid w:val="006425B1"/>
    <w:rsid w:val="00642837"/>
    <w:rsid w:val="00642C9C"/>
    <w:rsid w:val="00642E86"/>
    <w:rsid w:val="00642EF8"/>
    <w:rsid w:val="00642F01"/>
    <w:rsid w:val="00643091"/>
    <w:rsid w:val="006432D5"/>
    <w:rsid w:val="006433AE"/>
    <w:rsid w:val="006435BC"/>
    <w:rsid w:val="006436AA"/>
    <w:rsid w:val="006436DE"/>
    <w:rsid w:val="006437C0"/>
    <w:rsid w:val="006438F0"/>
    <w:rsid w:val="00643992"/>
    <w:rsid w:val="00643AA5"/>
    <w:rsid w:val="00643ABB"/>
    <w:rsid w:val="00643BAB"/>
    <w:rsid w:val="00643DC4"/>
    <w:rsid w:val="00643E3C"/>
    <w:rsid w:val="00643F29"/>
    <w:rsid w:val="0064466F"/>
    <w:rsid w:val="006447F5"/>
    <w:rsid w:val="00644928"/>
    <w:rsid w:val="0064498A"/>
    <w:rsid w:val="0064498E"/>
    <w:rsid w:val="006449DD"/>
    <w:rsid w:val="00644A7B"/>
    <w:rsid w:val="00644AED"/>
    <w:rsid w:val="00644BF7"/>
    <w:rsid w:val="00644D1C"/>
    <w:rsid w:val="00644EC3"/>
    <w:rsid w:val="00644FCD"/>
    <w:rsid w:val="00645201"/>
    <w:rsid w:val="006452E5"/>
    <w:rsid w:val="006453D8"/>
    <w:rsid w:val="006453F3"/>
    <w:rsid w:val="006454AA"/>
    <w:rsid w:val="00645553"/>
    <w:rsid w:val="0064558D"/>
    <w:rsid w:val="0064578A"/>
    <w:rsid w:val="00645971"/>
    <w:rsid w:val="00645B5A"/>
    <w:rsid w:val="00645E9B"/>
    <w:rsid w:val="0064603E"/>
    <w:rsid w:val="00646303"/>
    <w:rsid w:val="0064634B"/>
    <w:rsid w:val="006464BF"/>
    <w:rsid w:val="006466D7"/>
    <w:rsid w:val="00646718"/>
    <w:rsid w:val="006467F2"/>
    <w:rsid w:val="00646805"/>
    <w:rsid w:val="00646953"/>
    <w:rsid w:val="00646DD3"/>
    <w:rsid w:val="00646F29"/>
    <w:rsid w:val="00646F62"/>
    <w:rsid w:val="00646FEA"/>
    <w:rsid w:val="0064709E"/>
    <w:rsid w:val="006472EE"/>
    <w:rsid w:val="0064741F"/>
    <w:rsid w:val="006475F4"/>
    <w:rsid w:val="00647677"/>
    <w:rsid w:val="006476FA"/>
    <w:rsid w:val="006477EB"/>
    <w:rsid w:val="00647989"/>
    <w:rsid w:val="00647CC3"/>
    <w:rsid w:val="0065003E"/>
    <w:rsid w:val="006502A0"/>
    <w:rsid w:val="006504E4"/>
    <w:rsid w:val="0065059B"/>
    <w:rsid w:val="006506BA"/>
    <w:rsid w:val="0065071A"/>
    <w:rsid w:val="00650918"/>
    <w:rsid w:val="00650A6A"/>
    <w:rsid w:val="00650C1B"/>
    <w:rsid w:val="00650C94"/>
    <w:rsid w:val="006511EC"/>
    <w:rsid w:val="006513CD"/>
    <w:rsid w:val="006518BB"/>
    <w:rsid w:val="00651BDD"/>
    <w:rsid w:val="00651CBB"/>
    <w:rsid w:val="00651D0F"/>
    <w:rsid w:val="00651F35"/>
    <w:rsid w:val="006522AD"/>
    <w:rsid w:val="00652338"/>
    <w:rsid w:val="00652B40"/>
    <w:rsid w:val="00652B71"/>
    <w:rsid w:val="00652E0D"/>
    <w:rsid w:val="00652EFE"/>
    <w:rsid w:val="0065308D"/>
    <w:rsid w:val="00653502"/>
    <w:rsid w:val="006535AA"/>
    <w:rsid w:val="006537DF"/>
    <w:rsid w:val="00653964"/>
    <w:rsid w:val="00653A67"/>
    <w:rsid w:val="00653DA8"/>
    <w:rsid w:val="0065447E"/>
    <w:rsid w:val="00654823"/>
    <w:rsid w:val="00654924"/>
    <w:rsid w:val="00654B45"/>
    <w:rsid w:val="00654F04"/>
    <w:rsid w:val="00655372"/>
    <w:rsid w:val="006556D9"/>
    <w:rsid w:val="00655729"/>
    <w:rsid w:val="00655CB7"/>
    <w:rsid w:val="00655DF3"/>
    <w:rsid w:val="00655E1F"/>
    <w:rsid w:val="006560DA"/>
    <w:rsid w:val="006560FA"/>
    <w:rsid w:val="0065614D"/>
    <w:rsid w:val="006561BD"/>
    <w:rsid w:val="006563A3"/>
    <w:rsid w:val="0065640A"/>
    <w:rsid w:val="006565AD"/>
    <w:rsid w:val="00656734"/>
    <w:rsid w:val="006568AE"/>
    <w:rsid w:val="006569C4"/>
    <w:rsid w:val="006569D4"/>
    <w:rsid w:val="00656C01"/>
    <w:rsid w:val="00656CC9"/>
    <w:rsid w:val="00656E5F"/>
    <w:rsid w:val="00656F8F"/>
    <w:rsid w:val="00657014"/>
    <w:rsid w:val="00657066"/>
    <w:rsid w:val="006570D4"/>
    <w:rsid w:val="0065715C"/>
    <w:rsid w:val="006572F1"/>
    <w:rsid w:val="00657308"/>
    <w:rsid w:val="00657776"/>
    <w:rsid w:val="00657A4A"/>
    <w:rsid w:val="00657A71"/>
    <w:rsid w:val="00657ADE"/>
    <w:rsid w:val="00657FD8"/>
    <w:rsid w:val="0066006F"/>
    <w:rsid w:val="00660193"/>
    <w:rsid w:val="00660224"/>
    <w:rsid w:val="006602C6"/>
    <w:rsid w:val="0066046D"/>
    <w:rsid w:val="00660487"/>
    <w:rsid w:val="0066061F"/>
    <w:rsid w:val="00660B87"/>
    <w:rsid w:val="00661087"/>
    <w:rsid w:val="0066117C"/>
    <w:rsid w:val="00661605"/>
    <w:rsid w:val="006617C6"/>
    <w:rsid w:val="006618B5"/>
    <w:rsid w:val="006619B7"/>
    <w:rsid w:val="00661C1A"/>
    <w:rsid w:val="00661C46"/>
    <w:rsid w:val="00661CD7"/>
    <w:rsid w:val="00662147"/>
    <w:rsid w:val="0066282D"/>
    <w:rsid w:val="00662909"/>
    <w:rsid w:val="00662AA7"/>
    <w:rsid w:val="00662BBD"/>
    <w:rsid w:val="00662D92"/>
    <w:rsid w:val="00662D9E"/>
    <w:rsid w:val="006631CB"/>
    <w:rsid w:val="00663424"/>
    <w:rsid w:val="0066343A"/>
    <w:rsid w:val="006634E8"/>
    <w:rsid w:val="00663578"/>
    <w:rsid w:val="006635D9"/>
    <w:rsid w:val="00663662"/>
    <w:rsid w:val="0066374D"/>
    <w:rsid w:val="0066382D"/>
    <w:rsid w:val="006638D0"/>
    <w:rsid w:val="00663C81"/>
    <w:rsid w:val="00663CF7"/>
    <w:rsid w:val="00663F5D"/>
    <w:rsid w:val="0066402B"/>
    <w:rsid w:val="0066425B"/>
    <w:rsid w:val="00664498"/>
    <w:rsid w:val="006644B0"/>
    <w:rsid w:val="00664589"/>
    <w:rsid w:val="0066462D"/>
    <w:rsid w:val="00664C76"/>
    <w:rsid w:val="00664CF7"/>
    <w:rsid w:val="00664D9C"/>
    <w:rsid w:val="00664FED"/>
    <w:rsid w:val="00665226"/>
    <w:rsid w:val="00665254"/>
    <w:rsid w:val="006652B6"/>
    <w:rsid w:val="006652D3"/>
    <w:rsid w:val="006655C6"/>
    <w:rsid w:val="0066568A"/>
    <w:rsid w:val="00665791"/>
    <w:rsid w:val="00665BE0"/>
    <w:rsid w:val="00665C5D"/>
    <w:rsid w:val="00665E20"/>
    <w:rsid w:val="00665EE9"/>
    <w:rsid w:val="006660CA"/>
    <w:rsid w:val="00666278"/>
    <w:rsid w:val="006667A0"/>
    <w:rsid w:val="00666832"/>
    <w:rsid w:val="00666ADF"/>
    <w:rsid w:val="00666CB7"/>
    <w:rsid w:val="00666D9F"/>
    <w:rsid w:val="00667080"/>
    <w:rsid w:val="0066713A"/>
    <w:rsid w:val="00667524"/>
    <w:rsid w:val="006676F9"/>
    <w:rsid w:val="006676FD"/>
    <w:rsid w:val="00667802"/>
    <w:rsid w:val="00667857"/>
    <w:rsid w:val="00667A12"/>
    <w:rsid w:val="00667CC0"/>
    <w:rsid w:val="00667CF3"/>
    <w:rsid w:val="00667D8A"/>
    <w:rsid w:val="00667F35"/>
    <w:rsid w:val="00667FBF"/>
    <w:rsid w:val="0067008C"/>
    <w:rsid w:val="006700A8"/>
    <w:rsid w:val="006700F8"/>
    <w:rsid w:val="00670530"/>
    <w:rsid w:val="006706A6"/>
    <w:rsid w:val="00670893"/>
    <w:rsid w:val="0067097E"/>
    <w:rsid w:val="006709BD"/>
    <w:rsid w:val="00670AED"/>
    <w:rsid w:val="00670BCD"/>
    <w:rsid w:val="00670F67"/>
    <w:rsid w:val="0067104E"/>
    <w:rsid w:val="0067126A"/>
    <w:rsid w:val="00671427"/>
    <w:rsid w:val="00671471"/>
    <w:rsid w:val="0067155C"/>
    <w:rsid w:val="006715C3"/>
    <w:rsid w:val="0067161C"/>
    <w:rsid w:val="0067162A"/>
    <w:rsid w:val="00671798"/>
    <w:rsid w:val="006718D0"/>
    <w:rsid w:val="006718D3"/>
    <w:rsid w:val="00671D51"/>
    <w:rsid w:val="00671E1A"/>
    <w:rsid w:val="00671E2D"/>
    <w:rsid w:val="006721A4"/>
    <w:rsid w:val="006723C0"/>
    <w:rsid w:val="006723C7"/>
    <w:rsid w:val="0067240A"/>
    <w:rsid w:val="00672533"/>
    <w:rsid w:val="006729F2"/>
    <w:rsid w:val="00672BD4"/>
    <w:rsid w:val="00672DD6"/>
    <w:rsid w:val="006731FC"/>
    <w:rsid w:val="00673210"/>
    <w:rsid w:val="0067369F"/>
    <w:rsid w:val="00673943"/>
    <w:rsid w:val="00673A68"/>
    <w:rsid w:val="00673B61"/>
    <w:rsid w:val="00673D16"/>
    <w:rsid w:val="00673D51"/>
    <w:rsid w:val="00673FAE"/>
    <w:rsid w:val="00674174"/>
    <w:rsid w:val="00674273"/>
    <w:rsid w:val="006744F8"/>
    <w:rsid w:val="0067483E"/>
    <w:rsid w:val="006751AD"/>
    <w:rsid w:val="006751B9"/>
    <w:rsid w:val="0067538F"/>
    <w:rsid w:val="006753BA"/>
    <w:rsid w:val="00675562"/>
    <w:rsid w:val="00675593"/>
    <w:rsid w:val="00675700"/>
    <w:rsid w:val="006758FC"/>
    <w:rsid w:val="006759B0"/>
    <w:rsid w:val="00675A5E"/>
    <w:rsid w:val="00675D48"/>
    <w:rsid w:val="00675E88"/>
    <w:rsid w:val="0067600C"/>
    <w:rsid w:val="00676295"/>
    <w:rsid w:val="006762FF"/>
    <w:rsid w:val="006764F5"/>
    <w:rsid w:val="0067654F"/>
    <w:rsid w:val="006766CB"/>
    <w:rsid w:val="006769C4"/>
    <w:rsid w:val="00676AF3"/>
    <w:rsid w:val="0067738E"/>
    <w:rsid w:val="00677627"/>
    <w:rsid w:val="00677689"/>
    <w:rsid w:val="006776C1"/>
    <w:rsid w:val="00677736"/>
    <w:rsid w:val="00677917"/>
    <w:rsid w:val="006779D5"/>
    <w:rsid w:val="00677B8D"/>
    <w:rsid w:val="00677BC5"/>
    <w:rsid w:val="00677BD5"/>
    <w:rsid w:val="00677E01"/>
    <w:rsid w:val="00677F39"/>
    <w:rsid w:val="00677F9A"/>
    <w:rsid w:val="0068001D"/>
    <w:rsid w:val="0068008E"/>
    <w:rsid w:val="00680194"/>
    <w:rsid w:val="0068019D"/>
    <w:rsid w:val="00680224"/>
    <w:rsid w:val="0068025E"/>
    <w:rsid w:val="00680458"/>
    <w:rsid w:val="006807AB"/>
    <w:rsid w:val="006809AC"/>
    <w:rsid w:val="006809F3"/>
    <w:rsid w:val="00680A83"/>
    <w:rsid w:val="00680C0D"/>
    <w:rsid w:val="00680E21"/>
    <w:rsid w:val="00680ED8"/>
    <w:rsid w:val="006812CF"/>
    <w:rsid w:val="0068132C"/>
    <w:rsid w:val="006813CB"/>
    <w:rsid w:val="006817D0"/>
    <w:rsid w:val="0068198E"/>
    <w:rsid w:val="00681C1F"/>
    <w:rsid w:val="00681D12"/>
    <w:rsid w:val="00681D9D"/>
    <w:rsid w:val="00681DD9"/>
    <w:rsid w:val="00682087"/>
    <w:rsid w:val="00682198"/>
    <w:rsid w:val="006822F7"/>
    <w:rsid w:val="00682414"/>
    <w:rsid w:val="00682717"/>
    <w:rsid w:val="00682736"/>
    <w:rsid w:val="00682CF0"/>
    <w:rsid w:val="00682D61"/>
    <w:rsid w:val="00682E59"/>
    <w:rsid w:val="00682F0D"/>
    <w:rsid w:val="00682F6C"/>
    <w:rsid w:val="00683014"/>
    <w:rsid w:val="00683115"/>
    <w:rsid w:val="00683269"/>
    <w:rsid w:val="006832C4"/>
    <w:rsid w:val="006835A4"/>
    <w:rsid w:val="006837F5"/>
    <w:rsid w:val="006838BB"/>
    <w:rsid w:val="006838E1"/>
    <w:rsid w:val="0068394D"/>
    <w:rsid w:val="0068415E"/>
    <w:rsid w:val="00684174"/>
    <w:rsid w:val="00684307"/>
    <w:rsid w:val="006844E5"/>
    <w:rsid w:val="006847BE"/>
    <w:rsid w:val="00684B23"/>
    <w:rsid w:val="00684E3E"/>
    <w:rsid w:val="00684E44"/>
    <w:rsid w:val="006850A0"/>
    <w:rsid w:val="00685129"/>
    <w:rsid w:val="0068544F"/>
    <w:rsid w:val="006854B7"/>
    <w:rsid w:val="0068553E"/>
    <w:rsid w:val="006855CD"/>
    <w:rsid w:val="00685E2F"/>
    <w:rsid w:val="006860DE"/>
    <w:rsid w:val="0068623D"/>
    <w:rsid w:val="00686253"/>
    <w:rsid w:val="00686266"/>
    <w:rsid w:val="0068660E"/>
    <w:rsid w:val="0068670E"/>
    <w:rsid w:val="00686B59"/>
    <w:rsid w:val="00687117"/>
    <w:rsid w:val="0068738F"/>
    <w:rsid w:val="006873C9"/>
    <w:rsid w:val="006876CB"/>
    <w:rsid w:val="0068783E"/>
    <w:rsid w:val="00687B2D"/>
    <w:rsid w:val="00687C6B"/>
    <w:rsid w:val="00687C70"/>
    <w:rsid w:val="00687CA9"/>
    <w:rsid w:val="00687E08"/>
    <w:rsid w:val="00687E79"/>
    <w:rsid w:val="006902E9"/>
    <w:rsid w:val="006904E1"/>
    <w:rsid w:val="0069056D"/>
    <w:rsid w:val="00690575"/>
    <w:rsid w:val="00690608"/>
    <w:rsid w:val="006906B8"/>
    <w:rsid w:val="00690976"/>
    <w:rsid w:val="00690BB1"/>
    <w:rsid w:val="00690C49"/>
    <w:rsid w:val="00690E40"/>
    <w:rsid w:val="00690E59"/>
    <w:rsid w:val="0069161A"/>
    <w:rsid w:val="00691669"/>
    <w:rsid w:val="00691681"/>
    <w:rsid w:val="00691889"/>
    <w:rsid w:val="006919A4"/>
    <w:rsid w:val="00691CE3"/>
    <w:rsid w:val="00691DA0"/>
    <w:rsid w:val="006922D0"/>
    <w:rsid w:val="00692469"/>
    <w:rsid w:val="00692720"/>
    <w:rsid w:val="006927A2"/>
    <w:rsid w:val="00692918"/>
    <w:rsid w:val="00692953"/>
    <w:rsid w:val="00692C50"/>
    <w:rsid w:val="00692F1C"/>
    <w:rsid w:val="00692FB2"/>
    <w:rsid w:val="0069337B"/>
    <w:rsid w:val="006933E5"/>
    <w:rsid w:val="006934B7"/>
    <w:rsid w:val="0069374A"/>
    <w:rsid w:val="006937E9"/>
    <w:rsid w:val="00693984"/>
    <w:rsid w:val="00693BE0"/>
    <w:rsid w:val="00693C87"/>
    <w:rsid w:val="00693EF2"/>
    <w:rsid w:val="00693EF8"/>
    <w:rsid w:val="0069403D"/>
    <w:rsid w:val="00694116"/>
    <w:rsid w:val="00694134"/>
    <w:rsid w:val="0069421A"/>
    <w:rsid w:val="00694389"/>
    <w:rsid w:val="00694430"/>
    <w:rsid w:val="0069458D"/>
    <w:rsid w:val="00694874"/>
    <w:rsid w:val="00694964"/>
    <w:rsid w:val="00694A17"/>
    <w:rsid w:val="00694A2D"/>
    <w:rsid w:val="00694A8B"/>
    <w:rsid w:val="00694FF2"/>
    <w:rsid w:val="00695454"/>
    <w:rsid w:val="006955C6"/>
    <w:rsid w:val="00695715"/>
    <w:rsid w:val="006959F7"/>
    <w:rsid w:val="00695A91"/>
    <w:rsid w:val="00695B93"/>
    <w:rsid w:val="00695CE2"/>
    <w:rsid w:val="00695DE7"/>
    <w:rsid w:val="00695F0E"/>
    <w:rsid w:val="00695FC5"/>
    <w:rsid w:val="00696236"/>
    <w:rsid w:val="00696476"/>
    <w:rsid w:val="006965AC"/>
    <w:rsid w:val="006969BA"/>
    <w:rsid w:val="006969FB"/>
    <w:rsid w:val="00696A95"/>
    <w:rsid w:val="00696BDA"/>
    <w:rsid w:val="00696F8A"/>
    <w:rsid w:val="00697067"/>
    <w:rsid w:val="006970B5"/>
    <w:rsid w:val="00697632"/>
    <w:rsid w:val="00697701"/>
    <w:rsid w:val="006977D0"/>
    <w:rsid w:val="006978A2"/>
    <w:rsid w:val="00697A48"/>
    <w:rsid w:val="00697A9D"/>
    <w:rsid w:val="00697B11"/>
    <w:rsid w:val="00697CD5"/>
    <w:rsid w:val="00697D97"/>
    <w:rsid w:val="006A02A3"/>
    <w:rsid w:val="006A0402"/>
    <w:rsid w:val="006A04BB"/>
    <w:rsid w:val="006A0501"/>
    <w:rsid w:val="006A0578"/>
    <w:rsid w:val="006A05C7"/>
    <w:rsid w:val="006A06DF"/>
    <w:rsid w:val="006A0866"/>
    <w:rsid w:val="006A093D"/>
    <w:rsid w:val="006A0D98"/>
    <w:rsid w:val="006A140E"/>
    <w:rsid w:val="006A157A"/>
    <w:rsid w:val="006A1617"/>
    <w:rsid w:val="006A19A3"/>
    <w:rsid w:val="006A1A30"/>
    <w:rsid w:val="006A1B88"/>
    <w:rsid w:val="006A1C47"/>
    <w:rsid w:val="006A1C98"/>
    <w:rsid w:val="006A1CE8"/>
    <w:rsid w:val="006A201B"/>
    <w:rsid w:val="006A20A0"/>
    <w:rsid w:val="006A27BE"/>
    <w:rsid w:val="006A28DF"/>
    <w:rsid w:val="006A29FF"/>
    <w:rsid w:val="006A2A6D"/>
    <w:rsid w:val="006A2B1B"/>
    <w:rsid w:val="006A2CB3"/>
    <w:rsid w:val="006A2CC3"/>
    <w:rsid w:val="006A2DEF"/>
    <w:rsid w:val="006A2E89"/>
    <w:rsid w:val="006A33A8"/>
    <w:rsid w:val="006A3676"/>
    <w:rsid w:val="006A37B5"/>
    <w:rsid w:val="006A3921"/>
    <w:rsid w:val="006A3ACD"/>
    <w:rsid w:val="006A3EE0"/>
    <w:rsid w:val="006A3FC9"/>
    <w:rsid w:val="006A4444"/>
    <w:rsid w:val="006A444A"/>
    <w:rsid w:val="006A449F"/>
    <w:rsid w:val="006A46B5"/>
    <w:rsid w:val="006A46CB"/>
    <w:rsid w:val="006A4709"/>
    <w:rsid w:val="006A47F4"/>
    <w:rsid w:val="006A4A1D"/>
    <w:rsid w:val="006A4CCC"/>
    <w:rsid w:val="006A4EAD"/>
    <w:rsid w:val="006A50AB"/>
    <w:rsid w:val="006A5131"/>
    <w:rsid w:val="006A51B1"/>
    <w:rsid w:val="006A54FA"/>
    <w:rsid w:val="006A5739"/>
    <w:rsid w:val="006A57A6"/>
    <w:rsid w:val="006A58F3"/>
    <w:rsid w:val="006A59DD"/>
    <w:rsid w:val="006A59F2"/>
    <w:rsid w:val="006A5B22"/>
    <w:rsid w:val="006A5CAA"/>
    <w:rsid w:val="006A5F19"/>
    <w:rsid w:val="006A5F3F"/>
    <w:rsid w:val="006A5F41"/>
    <w:rsid w:val="006A607B"/>
    <w:rsid w:val="006A6080"/>
    <w:rsid w:val="006A6437"/>
    <w:rsid w:val="006A671C"/>
    <w:rsid w:val="006A6A6A"/>
    <w:rsid w:val="006A6C17"/>
    <w:rsid w:val="006A6C9F"/>
    <w:rsid w:val="006A6E27"/>
    <w:rsid w:val="006A703A"/>
    <w:rsid w:val="006A72B0"/>
    <w:rsid w:val="006A72C5"/>
    <w:rsid w:val="006A742A"/>
    <w:rsid w:val="006A75A9"/>
    <w:rsid w:val="006A76CC"/>
    <w:rsid w:val="006A7A6F"/>
    <w:rsid w:val="006A7AEA"/>
    <w:rsid w:val="006A7B24"/>
    <w:rsid w:val="006B00D8"/>
    <w:rsid w:val="006B0135"/>
    <w:rsid w:val="006B020E"/>
    <w:rsid w:val="006B0234"/>
    <w:rsid w:val="006B024C"/>
    <w:rsid w:val="006B026C"/>
    <w:rsid w:val="006B065E"/>
    <w:rsid w:val="006B07D2"/>
    <w:rsid w:val="006B09F7"/>
    <w:rsid w:val="006B0A1B"/>
    <w:rsid w:val="006B0FDD"/>
    <w:rsid w:val="006B1212"/>
    <w:rsid w:val="006B125E"/>
    <w:rsid w:val="006B1677"/>
    <w:rsid w:val="006B1786"/>
    <w:rsid w:val="006B195E"/>
    <w:rsid w:val="006B2259"/>
    <w:rsid w:val="006B240C"/>
    <w:rsid w:val="006B2481"/>
    <w:rsid w:val="006B2579"/>
    <w:rsid w:val="006B2748"/>
    <w:rsid w:val="006B2BAD"/>
    <w:rsid w:val="006B2C6A"/>
    <w:rsid w:val="006B2F97"/>
    <w:rsid w:val="006B31B7"/>
    <w:rsid w:val="006B31FA"/>
    <w:rsid w:val="006B340E"/>
    <w:rsid w:val="006B35C8"/>
    <w:rsid w:val="006B3613"/>
    <w:rsid w:val="006B363D"/>
    <w:rsid w:val="006B3B9B"/>
    <w:rsid w:val="006B3CF3"/>
    <w:rsid w:val="006B3E4D"/>
    <w:rsid w:val="006B41DC"/>
    <w:rsid w:val="006B44EC"/>
    <w:rsid w:val="006B44F1"/>
    <w:rsid w:val="006B4703"/>
    <w:rsid w:val="006B4882"/>
    <w:rsid w:val="006B498B"/>
    <w:rsid w:val="006B49CD"/>
    <w:rsid w:val="006B4A49"/>
    <w:rsid w:val="006B4A77"/>
    <w:rsid w:val="006B4AE3"/>
    <w:rsid w:val="006B4BF4"/>
    <w:rsid w:val="006B4E9D"/>
    <w:rsid w:val="006B4F48"/>
    <w:rsid w:val="006B503D"/>
    <w:rsid w:val="006B509C"/>
    <w:rsid w:val="006B522B"/>
    <w:rsid w:val="006B53BA"/>
    <w:rsid w:val="006B5524"/>
    <w:rsid w:val="006B57B8"/>
    <w:rsid w:val="006B5B8D"/>
    <w:rsid w:val="006B5D1A"/>
    <w:rsid w:val="006B6186"/>
    <w:rsid w:val="006B61B7"/>
    <w:rsid w:val="006B62E7"/>
    <w:rsid w:val="006B647D"/>
    <w:rsid w:val="006B65E8"/>
    <w:rsid w:val="006B679A"/>
    <w:rsid w:val="006B6917"/>
    <w:rsid w:val="006B697E"/>
    <w:rsid w:val="006B6A43"/>
    <w:rsid w:val="006B6A82"/>
    <w:rsid w:val="006B6C61"/>
    <w:rsid w:val="006B6CAB"/>
    <w:rsid w:val="006B6CB5"/>
    <w:rsid w:val="006B6E91"/>
    <w:rsid w:val="006B6E98"/>
    <w:rsid w:val="006B6F54"/>
    <w:rsid w:val="006B712F"/>
    <w:rsid w:val="006B7223"/>
    <w:rsid w:val="006B73C1"/>
    <w:rsid w:val="006B73CA"/>
    <w:rsid w:val="006B73F8"/>
    <w:rsid w:val="006B74C2"/>
    <w:rsid w:val="006B74EF"/>
    <w:rsid w:val="006B7AA6"/>
    <w:rsid w:val="006B7C7C"/>
    <w:rsid w:val="006C0035"/>
    <w:rsid w:val="006C00DB"/>
    <w:rsid w:val="006C0382"/>
    <w:rsid w:val="006C0513"/>
    <w:rsid w:val="006C0528"/>
    <w:rsid w:val="006C0598"/>
    <w:rsid w:val="006C05B4"/>
    <w:rsid w:val="006C0870"/>
    <w:rsid w:val="006C0D03"/>
    <w:rsid w:val="006C0DDB"/>
    <w:rsid w:val="006C0EC4"/>
    <w:rsid w:val="006C1000"/>
    <w:rsid w:val="006C1497"/>
    <w:rsid w:val="006C1521"/>
    <w:rsid w:val="006C1556"/>
    <w:rsid w:val="006C16DF"/>
    <w:rsid w:val="006C1B4F"/>
    <w:rsid w:val="006C1D21"/>
    <w:rsid w:val="006C2546"/>
    <w:rsid w:val="006C28BE"/>
    <w:rsid w:val="006C2A13"/>
    <w:rsid w:val="006C2B97"/>
    <w:rsid w:val="006C2E00"/>
    <w:rsid w:val="006C2FD8"/>
    <w:rsid w:val="006C2FDB"/>
    <w:rsid w:val="006C3236"/>
    <w:rsid w:val="006C32F8"/>
    <w:rsid w:val="006C37CC"/>
    <w:rsid w:val="006C3BDB"/>
    <w:rsid w:val="006C3E3D"/>
    <w:rsid w:val="006C3FD8"/>
    <w:rsid w:val="006C4118"/>
    <w:rsid w:val="006C425E"/>
    <w:rsid w:val="006C4473"/>
    <w:rsid w:val="006C45B9"/>
    <w:rsid w:val="006C4695"/>
    <w:rsid w:val="006C4B1E"/>
    <w:rsid w:val="006C4C55"/>
    <w:rsid w:val="006C4F20"/>
    <w:rsid w:val="006C50A6"/>
    <w:rsid w:val="006C50BD"/>
    <w:rsid w:val="006C510B"/>
    <w:rsid w:val="006C52B9"/>
    <w:rsid w:val="006C531E"/>
    <w:rsid w:val="006C55FD"/>
    <w:rsid w:val="006C58AF"/>
    <w:rsid w:val="006C60A0"/>
    <w:rsid w:val="006C6142"/>
    <w:rsid w:val="006C64F5"/>
    <w:rsid w:val="006C6516"/>
    <w:rsid w:val="006C6546"/>
    <w:rsid w:val="006C6658"/>
    <w:rsid w:val="006C6953"/>
    <w:rsid w:val="006C6B9C"/>
    <w:rsid w:val="006C6BF6"/>
    <w:rsid w:val="006C746E"/>
    <w:rsid w:val="006C7D1D"/>
    <w:rsid w:val="006C7D8E"/>
    <w:rsid w:val="006C7DB1"/>
    <w:rsid w:val="006D0067"/>
    <w:rsid w:val="006D02BC"/>
    <w:rsid w:val="006D0380"/>
    <w:rsid w:val="006D03A6"/>
    <w:rsid w:val="006D0504"/>
    <w:rsid w:val="006D050A"/>
    <w:rsid w:val="006D0698"/>
    <w:rsid w:val="006D06B2"/>
    <w:rsid w:val="006D0856"/>
    <w:rsid w:val="006D08CF"/>
    <w:rsid w:val="006D0AA1"/>
    <w:rsid w:val="006D0CB0"/>
    <w:rsid w:val="006D0D11"/>
    <w:rsid w:val="006D0F2B"/>
    <w:rsid w:val="006D1009"/>
    <w:rsid w:val="006D12B3"/>
    <w:rsid w:val="006D1392"/>
    <w:rsid w:val="006D1519"/>
    <w:rsid w:val="006D187B"/>
    <w:rsid w:val="006D18E8"/>
    <w:rsid w:val="006D19A9"/>
    <w:rsid w:val="006D1B56"/>
    <w:rsid w:val="006D1BDE"/>
    <w:rsid w:val="006D1C68"/>
    <w:rsid w:val="006D1D19"/>
    <w:rsid w:val="006D1D92"/>
    <w:rsid w:val="006D1DB4"/>
    <w:rsid w:val="006D1DFE"/>
    <w:rsid w:val="006D1F45"/>
    <w:rsid w:val="006D2179"/>
    <w:rsid w:val="006D2524"/>
    <w:rsid w:val="006D259B"/>
    <w:rsid w:val="006D29A9"/>
    <w:rsid w:val="006D2B0B"/>
    <w:rsid w:val="006D2E20"/>
    <w:rsid w:val="006D2E65"/>
    <w:rsid w:val="006D30C1"/>
    <w:rsid w:val="006D32F3"/>
    <w:rsid w:val="006D36C2"/>
    <w:rsid w:val="006D382F"/>
    <w:rsid w:val="006D384A"/>
    <w:rsid w:val="006D39F1"/>
    <w:rsid w:val="006D3A7B"/>
    <w:rsid w:val="006D3BAC"/>
    <w:rsid w:val="006D3FC1"/>
    <w:rsid w:val="006D415E"/>
    <w:rsid w:val="006D43C7"/>
    <w:rsid w:val="006D440E"/>
    <w:rsid w:val="006D44DE"/>
    <w:rsid w:val="006D451C"/>
    <w:rsid w:val="006D47F7"/>
    <w:rsid w:val="006D4A81"/>
    <w:rsid w:val="006D4AF8"/>
    <w:rsid w:val="006D5207"/>
    <w:rsid w:val="006D5284"/>
    <w:rsid w:val="006D5333"/>
    <w:rsid w:val="006D55E6"/>
    <w:rsid w:val="006D57E0"/>
    <w:rsid w:val="006D5BA8"/>
    <w:rsid w:val="006D5E53"/>
    <w:rsid w:val="006D5F0A"/>
    <w:rsid w:val="006D6053"/>
    <w:rsid w:val="006D61EE"/>
    <w:rsid w:val="006D667B"/>
    <w:rsid w:val="006D6A03"/>
    <w:rsid w:val="006D6A4E"/>
    <w:rsid w:val="006D6A91"/>
    <w:rsid w:val="006D6B90"/>
    <w:rsid w:val="006D6EA7"/>
    <w:rsid w:val="006D6F07"/>
    <w:rsid w:val="006D7125"/>
    <w:rsid w:val="006D71F2"/>
    <w:rsid w:val="006D74C7"/>
    <w:rsid w:val="006D7653"/>
    <w:rsid w:val="006D76D4"/>
    <w:rsid w:val="006D7722"/>
    <w:rsid w:val="006D7963"/>
    <w:rsid w:val="006D79D9"/>
    <w:rsid w:val="006D79DA"/>
    <w:rsid w:val="006D7ABB"/>
    <w:rsid w:val="006D7B82"/>
    <w:rsid w:val="006D7BB1"/>
    <w:rsid w:val="006D7C13"/>
    <w:rsid w:val="006E0180"/>
    <w:rsid w:val="006E032A"/>
    <w:rsid w:val="006E06E9"/>
    <w:rsid w:val="006E08B2"/>
    <w:rsid w:val="006E0ECE"/>
    <w:rsid w:val="006E0FAB"/>
    <w:rsid w:val="006E1485"/>
    <w:rsid w:val="006E14E2"/>
    <w:rsid w:val="006E1595"/>
    <w:rsid w:val="006E1656"/>
    <w:rsid w:val="006E1798"/>
    <w:rsid w:val="006E17B5"/>
    <w:rsid w:val="006E182B"/>
    <w:rsid w:val="006E18BE"/>
    <w:rsid w:val="006E1B81"/>
    <w:rsid w:val="006E1E03"/>
    <w:rsid w:val="006E1EDA"/>
    <w:rsid w:val="006E21AB"/>
    <w:rsid w:val="006E21FF"/>
    <w:rsid w:val="006E22C1"/>
    <w:rsid w:val="006E23A0"/>
    <w:rsid w:val="006E280D"/>
    <w:rsid w:val="006E281B"/>
    <w:rsid w:val="006E2999"/>
    <w:rsid w:val="006E2C49"/>
    <w:rsid w:val="006E2C81"/>
    <w:rsid w:val="006E2E2C"/>
    <w:rsid w:val="006E2EE3"/>
    <w:rsid w:val="006E3248"/>
    <w:rsid w:val="006E3451"/>
    <w:rsid w:val="006E35C1"/>
    <w:rsid w:val="006E39B7"/>
    <w:rsid w:val="006E3B71"/>
    <w:rsid w:val="006E3BB5"/>
    <w:rsid w:val="006E3E2D"/>
    <w:rsid w:val="006E3E2F"/>
    <w:rsid w:val="006E3E53"/>
    <w:rsid w:val="006E40D9"/>
    <w:rsid w:val="006E42CE"/>
    <w:rsid w:val="006E433F"/>
    <w:rsid w:val="006E4852"/>
    <w:rsid w:val="006E487E"/>
    <w:rsid w:val="006E4931"/>
    <w:rsid w:val="006E4AA5"/>
    <w:rsid w:val="006E4D62"/>
    <w:rsid w:val="006E4D72"/>
    <w:rsid w:val="006E4FBD"/>
    <w:rsid w:val="006E5078"/>
    <w:rsid w:val="006E531D"/>
    <w:rsid w:val="006E53A4"/>
    <w:rsid w:val="006E53DF"/>
    <w:rsid w:val="006E5443"/>
    <w:rsid w:val="006E5537"/>
    <w:rsid w:val="006E56BC"/>
    <w:rsid w:val="006E575A"/>
    <w:rsid w:val="006E5828"/>
    <w:rsid w:val="006E5854"/>
    <w:rsid w:val="006E58EA"/>
    <w:rsid w:val="006E596E"/>
    <w:rsid w:val="006E5ECC"/>
    <w:rsid w:val="006E60AF"/>
    <w:rsid w:val="006E6183"/>
    <w:rsid w:val="006E618B"/>
    <w:rsid w:val="006E61C4"/>
    <w:rsid w:val="006E64C1"/>
    <w:rsid w:val="006E64DB"/>
    <w:rsid w:val="006E6653"/>
    <w:rsid w:val="006E672A"/>
    <w:rsid w:val="006E6790"/>
    <w:rsid w:val="006E6B5E"/>
    <w:rsid w:val="006E6BA0"/>
    <w:rsid w:val="006E6BC2"/>
    <w:rsid w:val="006E6EB4"/>
    <w:rsid w:val="006E6FCA"/>
    <w:rsid w:val="006E70B8"/>
    <w:rsid w:val="006E71AA"/>
    <w:rsid w:val="006E7496"/>
    <w:rsid w:val="006E76ED"/>
    <w:rsid w:val="006E771A"/>
    <w:rsid w:val="006E77BB"/>
    <w:rsid w:val="006E7C02"/>
    <w:rsid w:val="006E7CD1"/>
    <w:rsid w:val="006E7CFC"/>
    <w:rsid w:val="006E7D67"/>
    <w:rsid w:val="006F01F5"/>
    <w:rsid w:val="006F02FC"/>
    <w:rsid w:val="006F0458"/>
    <w:rsid w:val="006F06A7"/>
    <w:rsid w:val="006F07C3"/>
    <w:rsid w:val="006F0801"/>
    <w:rsid w:val="006F085F"/>
    <w:rsid w:val="006F0E3D"/>
    <w:rsid w:val="006F0F3E"/>
    <w:rsid w:val="006F1055"/>
    <w:rsid w:val="006F121C"/>
    <w:rsid w:val="006F12B8"/>
    <w:rsid w:val="006F130A"/>
    <w:rsid w:val="006F1435"/>
    <w:rsid w:val="006F15F8"/>
    <w:rsid w:val="006F1B9E"/>
    <w:rsid w:val="006F1CBF"/>
    <w:rsid w:val="006F1D2E"/>
    <w:rsid w:val="006F1D64"/>
    <w:rsid w:val="006F1FD5"/>
    <w:rsid w:val="006F24A3"/>
    <w:rsid w:val="006F2548"/>
    <w:rsid w:val="006F25A8"/>
    <w:rsid w:val="006F2ACF"/>
    <w:rsid w:val="006F2CA7"/>
    <w:rsid w:val="006F2DBC"/>
    <w:rsid w:val="006F2E08"/>
    <w:rsid w:val="006F2E50"/>
    <w:rsid w:val="006F319B"/>
    <w:rsid w:val="006F33A0"/>
    <w:rsid w:val="006F3440"/>
    <w:rsid w:val="006F3BF4"/>
    <w:rsid w:val="006F3C88"/>
    <w:rsid w:val="006F3F01"/>
    <w:rsid w:val="006F3FF0"/>
    <w:rsid w:val="006F4056"/>
    <w:rsid w:val="006F407A"/>
    <w:rsid w:val="006F414D"/>
    <w:rsid w:val="006F451A"/>
    <w:rsid w:val="006F45EC"/>
    <w:rsid w:val="006F46F2"/>
    <w:rsid w:val="006F471F"/>
    <w:rsid w:val="006F4912"/>
    <w:rsid w:val="006F4B2E"/>
    <w:rsid w:val="006F4BC8"/>
    <w:rsid w:val="006F51C0"/>
    <w:rsid w:val="006F5329"/>
    <w:rsid w:val="006F5480"/>
    <w:rsid w:val="006F55D5"/>
    <w:rsid w:val="006F5615"/>
    <w:rsid w:val="006F57C6"/>
    <w:rsid w:val="006F57DE"/>
    <w:rsid w:val="006F5B0D"/>
    <w:rsid w:val="006F5D00"/>
    <w:rsid w:val="006F5D5A"/>
    <w:rsid w:val="006F5E6F"/>
    <w:rsid w:val="006F5FEA"/>
    <w:rsid w:val="006F6059"/>
    <w:rsid w:val="006F6177"/>
    <w:rsid w:val="006F6440"/>
    <w:rsid w:val="006F6508"/>
    <w:rsid w:val="006F6639"/>
    <w:rsid w:val="006F6814"/>
    <w:rsid w:val="006F68CA"/>
    <w:rsid w:val="006F6AB6"/>
    <w:rsid w:val="006F6BF0"/>
    <w:rsid w:val="006F6D43"/>
    <w:rsid w:val="006F6F16"/>
    <w:rsid w:val="006F7272"/>
    <w:rsid w:val="006F756B"/>
    <w:rsid w:val="006F7588"/>
    <w:rsid w:val="006F794C"/>
    <w:rsid w:val="006F7A0E"/>
    <w:rsid w:val="006F7E85"/>
    <w:rsid w:val="00700050"/>
    <w:rsid w:val="007001BE"/>
    <w:rsid w:val="00700298"/>
    <w:rsid w:val="007003C0"/>
    <w:rsid w:val="00700540"/>
    <w:rsid w:val="007006CE"/>
    <w:rsid w:val="0070099C"/>
    <w:rsid w:val="007009DC"/>
    <w:rsid w:val="00700BBC"/>
    <w:rsid w:val="00700C70"/>
    <w:rsid w:val="00700CB1"/>
    <w:rsid w:val="00700DCD"/>
    <w:rsid w:val="00700E85"/>
    <w:rsid w:val="00700EFD"/>
    <w:rsid w:val="0070100F"/>
    <w:rsid w:val="00701121"/>
    <w:rsid w:val="00701228"/>
    <w:rsid w:val="00701273"/>
    <w:rsid w:val="0070150E"/>
    <w:rsid w:val="00701691"/>
    <w:rsid w:val="007017A1"/>
    <w:rsid w:val="007017B9"/>
    <w:rsid w:val="00701968"/>
    <w:rsid w:val="007019B3"/>
    <w:rsid w:val="007019B9"/>
    <w:rsid w:val="00701B74"/>
    <w:rsid w:val="00701D8A"/>
    <w:rsid w:val="00701DAA"/>
    <w:rsid w:val="00701E96"/>
    <w:rsid w:val="007021A3"/>
    <w:rsid w:val="00702312"/>
    <w:rsid w:val="00702409"/>
    <w:rsid w:val="007026D1"/>
    <w:rsid w:val="0070293D"/>
    <w:rsid w:val="007029A7"/>
    <w:rsid w:val="00702CA8"/>
    <w:rsid w:val="00702E60"/>
    <w:rsid w:val="00703155"/>
    <w:rsid w:val="007031D6"/>
    <w:rsid w:val="007032FF"/>
    <w:rsid w:val="0070357E"/>
    <w:rsid w:val="00703691"/>
    <w:rsid w:val="00703B8A"/>
    <w:rsid w:val="00703EDD"/>
    <w:rsid w:val="007041A6"/>
    <w:rsid w:val="00704326"/>
    <w:rsid w:val="00704359"/>
    <w:rsid w:val="00704360"/>
    <w:rsid w:val="007049C5"/>
    <w:rsid w:val="00704F72"/>
    <w:rsid w:val="00705161"/>
    <w:rsid w:val="0070522B"/>
    <w:rsid w:val="007052DC"/>
    <w:rsid w:val="00705583"/>
    <w:rsid w:val="007057C0"/>
    <w:rsid w:val="0070588F"/>
    <w:rsid w:val="00705A6C"/>
    <w:rsid w:val="00705DAF"/>
    <w:rsid w:val="00705DB8"/>
    <w:rsid w:val="00705EA9"/>
    <w:rsid w:val="00705F87"/>
    <w:rsid w:val="007060ED"/>
    <w:rsid w:val="007062E2"/>
    <w:rsid w:val="0070652E"/>
    <w:rsid w:val="00706762"/>
    <w:rsid w:val="00706CC8"/>
    <w:rsid w:val="00706FBD"/>
    <w:rsid w:val="00707754"/>
    <w:rsid w:val="007077DD"/>
    <w:rsid w:val="0070786F"/>
    <w:rsid w:val="00707BA0"/>
    <w:rsid w:val="00707CD3"/>
    <w:rsid w:val="00707EFC"/>
    <w:rsid w:val="00710011"/>
    <w:rsid w:val="0071019F"/>
    <w:rsid w:val="0071021B"/>
    <w:rsid w:val="007102BE"/>
    <w:rsid w:val="0071034D"/>
    <w:rsid w:val="00710545"/>
    <w:rsid w:val="007105F9"/>
    <w:rsid w:val="00710890"/>
    <w:rsid w:val="007108F0"/>
    <w:rsid w:val="00710C4E"/>
    <w:rsid w:val="00710CBC"/>
    <w:rsid w:val="00710D5A"/>
    <w:rsid w:val="00710DF3"/>
    <w:rsid w:val="00710EE9"/>
    <w:rsid w:val="00711138"/>
    <w:rsid w:val="00711282"/>
    <w:rsid w:val="007114B0"/>
    <w:rsid w:val="0071156A"/>
    <w:rsid w:val="00711774"/>
    <w:rsid w:val="00711943"/>
    <w:rsid w:val="00711BB5"/>
    <w:rsid w:val="00711CAB"/>
    <w:rsid w:val="00712394"/>
    <w:rsid w:val="0071289E"/>
    <w:rsid w:val="00712D33"/>
    <w:rsid w:val="00712D4A"/>
    <w:rsid w:val="00712E31"/>
    <w:rsid w:val="00712F06"/>
    <w:rsid w:val="00712F63"/>
    <w:rsid w:val="00713004"/>
    <w:rsid w:val="00713073"/>
    <w:rsid w:val="0071315C"/>
    <w:rsid w:val="00713191"/>
    <w:rsid w:val="007131EF"/>
    <w:rsid w:val="00713225"/>
    <w:rsid w:val="0071325B"/>
    <w:rsid w:val="0071340F"/>
    <w:rsid w:val="00713867"/>
    <w:rsid w:val="007138FC"/>
    <w:rsid w:val="00713B62"/>
    <w:rsid w:val="00713C46"/>
    <w:rsid w:val="00713CFB"/>
    <w:rsid w:val="00713D88"/>
    <w:rsid w:val="00713E85"/>
    <w:rsid w:val="00713F6E"/>
    <w:rsid w:val="007140D7"/>
    <w:rsid w:val="00714152"/>
    <w:rsid w:val="007141CE"/>
    <w:rsid w:val="007143FE"/>
    <w:rsid w:val="0071449C"/>
    <w:rsid w:val="007144FD"/>
    <w:rsid w:val="00714527"/>
    <w:rsid w:val="00714546"/>
    <w:rsid w:val="0071479D"/>
    <w:rsid w:val="0071487F"/>
    <w:rsid w:val="00714D1D"/>
    <w:rsid w:val="00714D6F"/>
    <w:rsid w:val="00714D74"/>
    <w:rsid w:val="00714DEE"/>
    <w:rsid w:val="0071504A"/>
    <w:rsid w:val="007152A8"/>
    <w:rsid w:val="00715691"/>
    <w:rsid w:val="00715C18"/>
    <w:rsid w:val="00715ECE"/>
    <w:rsid w:val="007164B6"/>
    <w:rsid w:val="007165BA"/>
    <w:rsid w:val="007168DD"/>
    <w:rsid w:val="007168E1"/>
    <w:rsid w:val="007169AF"/>
    <w:rsid w:val="007169D1"/>
    <w:rsid w:val="007169FE"/>
    <w:rsid w:val="00716A4E"/>
    <w:rsid w:val="00716B2B"/>
    <w:rsid w:val="00716DE9"/>
    <w:rsid w:val="007170A8"/>
    <w:rsid w:val="00717462"/>
    <w:rsid w:val="00717508"/>
    <w:rsid w:val="00717614"/>
    <w:rsid w:val="0071789D"/>
    <w:rsid w:val="0071790C"/>
    <w:rsid w:val="00717961"/>
    <w:rsid w:val="00717A0E"/>
    <w:rsid w:val="00717BD3"/>
    <w:rsid w:val="00717D9A"/>
    <w:rsid w:val="00717FB4"/>
    <w:rsid w:val="0071C4C4"/>
    <w:rsid w:val="0072007F"/>
    <w:rsid w:val="0072011F"/>
    <w:rsid w:val="007201A1"/>
    <w:rsid w:val="007202DE"/>
    <w:rsid w:val="00720539"/>
    <w:rsid w:val="00720686"/>
    <w:rsid w:val="00720729"/>
    <w:rsid w:val="00720941"/>
    <w:rsid w:val="00720997"/>
    <w:rsid w:val="00720B21"/>
    <w:rsid w:val="00720C3D"/>
    <w:rsid w:val="007210E8"/>
    <w:rsid w:val="0072112E"/>
    <w:rsid w:val="007211AB"/>
    <w:rsid w:val="0072121E"/>
    <w:rsid w:val="00721488"/>
    <w:rsid w:val="00721725"/>
    <w:rsid w:val="00721978"/>
    <w:rsid w:val="007219F6"/>
    <w:rsid w:val="00721B15"/>
    <w:rsid w:val="00721D7D"/>
    <w:rsid w:val="00722074"/>
    <w:rsid w:val="0072226E"/>
    <w:rsid w:val="0072228A"/>
    <w:rsid w:val="00722498"/>
    <w:rsid w:val="0072253D"/>
    <w:rsid w:val="00722719"/>
    <w:rsid w:val="00722734"/>
    <w:rsid w:val="00722893"/>
    <w:rsid w:val="00722B30"/>
    <w:rsid w:val="00722B3D"/>
    <w:rsid w:val="00722B41"/>
    <w:rsid w:val="00722BDE"/>
    <w:rsid w:val="00722CF0"/>
    <w:rsid w:val="00722D10"/>
    <w:rsid w:val="00722ECA"/>
    <w:rsid w:val="0072301A"/>
    <w:rsid w:val="007230B1"/>
    <w:rsid w:val="0072313A"/>
    <w:rsid w:val="0072349D"/>
    <w:rsid w:val="007236C3"/>
    <w:rsid w:val="00723813"/>
    <w:rsid w:val="00723ACD"/>
    <w:rsid w:val="00723C4E"/>
    <w:rsid w:val="00723D20"/>
    <w:rsid w:val="00723E97"/>
    <w:rsid w:val="00724184"/>
    <w:rsid w:val="007242CB"/>
    <w:rsid w:val="0072432A"/>
    <w:rsid w:val="00724398"/>
    <w:rsid w:val="00724404"/>
    <w:rsid w:val="0072497D"/>
    <w:rsid w:val="00724A66"/>
    <w:rsid w:val="007250F4"/>
    <w:rsid w:val="0072512A"/>
    <w:rsid w:val="00725168"/>
    <w:rsid w:val="00725284"/>
    <w:rsid w:val="00725348"/>
    <w:rsid w:val="00725377"/>
    <w:rsid w:val="00725587"/>
    <w:rsid w:val="007255EC"/>
    <w:rsid w:val="00725A9B"/>
    <w:rsid w:val="00725AD7"/>
    <w:rsid w:val="00725B39"/>
    <w:rsid w:val="00725C1A"/>
    <w:rsid w:val="00725F4A"/>
    <w:rsid w:val="007263A3"/>
    <w:rsid w:val="0072653D"/>
    <w:rsid w:val="00726769"/>
    <w:rsid w:val="00726AB7"/>
    <w:rsid w:val="00726C02"/>
    <w:rsid w:val="00726EE3"/>
    <w:rsid w:val="00726F32"/>
    <w:rsid w:val="00726FA3"/>
    <w:rsid w:val="00727365"/>
    <w:rsid w:val="00727494"/>
    <w:rsid w:val="00727ADA"/>
    <w:rsid w:val="00727B85"/>
    <w:rsid w:val="00727D07"/>
    <w:rsid w:val="00727F9E"/>
    <w:rsid w:val="00730275"/>
    <w:rsid w:val="00730396"/>
    <w:rsid w:val="0073068A"/>
    <w:rsid w:val="0073080B"/>
    <w:rsid w:val="007308E2"/>
    <w:rsid w:val="007309A0"/>
    <w:rsid w:val="00730A7D"/>
    <w:rsid w:val="00730B54"/>
    <w:rsid w:val="00730D50"/>
    <w:rsid w:val="00730E32"/>
    <w:rsid w:val="00730F2A"/>
    <w:rsid w:val="007312C2"/>
    <w:rsid w:val="007312FA"/>
    <w:rsid w:val="00731349"/>
    <w:rsid w:val="00731361"/>
    <w:rsid w:val="007316D8"/>
    <w:rsid w:val="00731809"/>
    <w:rsid w:val="00731ACF"/>
    <w:rsid w:val="00731B0A"/>
    <w:rsid w:val="00731BA7"/>
    <w:rsid w:val="00731C3D"/>
    <w:rsid w:val="00731CC4"/>
    <w:rsid w:val="00731DFF"/>
    <w:rsid w:val="00731E34"/>
    <w:rsid w:val="00731EE6"/>
    <w:rsid w:val="0073217E"/>
    <w:rsid w:val="00732303"/>
    <w:rsid w:val="007324BB"/>
    <w:rsid w:val="007324EB"/>
    <w:rsid w:val="00732515"/>
    <w:rsid w:val="00732547"/>
    <w:rsid w:val="00732821"/>
    <w:rsid w:val="00732900"/>
    <w:rsid w:val="0073299B"/>
    <w:rsid w:val="007329E3"/>
    <w:rsid w:val="00732A65"/>
    <w:rsid w:val="00732AC5"/>
    <w:rsid w:val="00732E0A"/>
    <w:rsid w:val="00732FFA"/>
    <w:rsid w:val="00733431"/>
    <w:rsid w:val="00733504"/>
    <w:rsid w:val="007338C6"/>
    <w:rsid w:val="00733D2C"/>
    <w:rsid w:val="00733E6D"/>
    <w:rsid w:val="00734019"/>
    <w:rsid w:val="00734397"/>
    <w:rsid w:val="0073442D"/>
    <w:rsid w:val="007347CF"/>
    <w:rsid w:val="00734842"/>
    <w:rsid w:val="007348A7"/>
    <w:rsid w:val="00734E37"/>
    <w:rsid w:val="00734F24"/>
    <w:rsid w:val="00735370"/>
    <w:rsid w:val="0073543A"/>
    <w:rsid w:val="007355A6"/>
    <w:rsid w:val="007356FF"/>
    <w:rsid w:val="00735827"/>
    <w:rsid w:val="007358DE"/>
    <w:rsid w:val="0073593D"/>
    <w:rsid w:val="00735A0B"/>
    <w:rsid w:val="00735A58"/>
    <w:rsid w:val="00735B4C"/>
    <w:rsid w:val="00735D35"/>
    <w:rsid w:val="00735D78"/>
    <w:rsid w:val="00735DDB"/>
    <w:rsid w:val="00735F21"/>
    <w:rsid w:val="00736094"/>
    <w:rsid w:val="007360C3"/>
    <w:rsid w:val="00736155"/>
    <w:rsid w:val="00736177"/>
    <w:rsid w:val="007361B4"/>
    <w:rsid w:val="007361D1"/>
    <w:rsid w:val="007364D0"/>
    <w:rsid w:val="0073669C"/>
    <w:rsid w:val="00736A2E"/>
    <w:rsid w:val="00736B39"/>
    <w:rsid w:val="00736EE1"/>
    <w:rsid w:val="007370BD"/>
    <w:rsid w:val="00737154"/>
    <w:rsid w:val="0073749C"/>
    <w:rsid w:val="00737575"/>
    <w:rsid w:val="00737BB6"/>
    <w:rsid w:val="00737C29"/>
    <w:rsid w:val="00737E86"/>
    <w:rsid w:val="00740287"/>
    <w:rsid w:val="00740393"/>
    <w:rsid w:val="00740571"/>
    <w:rsid w:val="0074073E"/>
    <w:rsid w:val="007407F2"/>
    <w:rsid w:val="00740A71"/>
    <w:rsid w:val="00740BA0"/>
    <w:rsid w:val="00740C2D"/>
    <w:rsid w:val="00740DF5"/>
    <w:rsid w:val="00740FF0"/>
    <w:rsid w:val="007412DD"/>
    <w:rsid w:val="007414EC"/>
    <w:rsid w:val="0074159A"/>
    <w:rsid w:val="007415C5"/>
    <w:rsid w:val="007415D2"/>
    <w:rsid w:val="007416DE"/>
    <w:rsid w:val="007417B2"/>
    <w:rsid w:val="007419BA"/>
    <w:rsid w:val="00741D09"/>
    <w:rsid w:val="00741D8E"/>
    <w:rsid w:val="00741F75"/>
    <w:rsid w:val="00741FBD"/>
    <w:rsid w:val="007420A5"/>
    <w:rsid w:val="007421C5"/>
    <w:rsid w:val="00742500"/>
    <w:rsid w:val="0074250A"/>
    <w:rsid w:val="007425A4"/>
    <w:rsid w:val="0074267E"/>
    <w:rsid w:val="0074286D"/>
    <w:rsid w:val="00742A2E"/>
    <w:rsid w:val="00742A67"/>
    <w:rsid w:val="00742AFA"/>
    <w:rsid w:val="00742DB6"/>
    <w:rsid w:val="00743087"/>
    <w:rsid w:val="0074330C"/>
    <w:rsid w:val="007437BE"/>
    <w:rsid w:val="0074395A"/>
    <w:rsid w:val="00743970"/>
    <w:rsid w:val="00743B4C"/>
    <w:rsid w:val="00743E9E"/>
    <w:rsid w:val="00743F14"/>
    <w:rsid w:val="007442E2"/>
    <w:rsid w:val="0074436A"/>
    <w:rsid w:val="007446D1"/>
    <w:rsid w:val="00744C0A"/>
    <w:rsid w:val="00744D2D"/>
    <w:rsid w:val="00744F3C"/>
    <w:rsid w:val="00744FF3"/>
    <w:rsid w:val="00745474"/>
    <w:rsid w:val="00745514"/>
    <w:rsid w:val="00745896"/>
    <w:rsid w:val="007458BB"/>
    <w:rsid w:val="00745C25"/>
    <w:rsid w:val="00745CF8"/>
    <w:rsid w:val="00745F9D"/>
    <w:rsid w:val="00745FB1"/>
    <w:rsid w:val="00746082"/>
    <w:rsid w:val="0074664F"/>
    <w:rsid w:val="007467A8"/>
    <w:rsid w:val="0074685F"/>
    <w:rsid w:val="00746903"/>
    <w:rsid w:val="007469D2"/>
    <w:rsid w:val="00746A93"/>
    <w:rsid w:val="00747012"/>
    <w:rsid w:val="00747257"/>
    <w:rsid w:val="0074727A"/>
    <w:rsid w:val="00747285"/>
    <w:rsid w:val="00747610"/>
    <w:rsid w:val="00747766"/>
    <w:rsid w:val="007477C5"/>
    <w:rsid w:val="00747848"/>
    <w:rsid w:val="00747938"/>
    <w:rsid w:val="00747B17"/>
    <w:rsid w:val="00747C7D"/>
    <w:rsid w:val="00747F18"/>
    <w:rsid w:val="00747FD0"/>
    <w:rsid w:val="0075004E"/>
    <w:rsid w:val="007500FD"/>
    <w:rsid w:val="00750189"/>
    <w:rsid w:val="007501AE"/>
    <w:rsid w:val="007503F3"/>
    <w:rsid w:val="00750812"/>
    <w:rsid w:val="0075086D"/>
    <w:rsid w:val="00750913"/>
    <w:rsid w:val="00750B61"/>
    <w:rsid w:val="00750C09"/>
    <w:rsid w:val="00750C14"/>
    <w:rsid w:val="00750CDD"/>
    <w:rsid w:val="00750E05"/>
    <w:rsid w:val="00751019"/>
    <w:rsid w:val="00751135"/>
    <w:rsid w:val="0075121D"/>
    <w:rsid w:val="00751222"/>
    <w:rsid w:val="0075130C"/>
    <w:rsid w:val="007513A7"/>
    <w:rsid w:val="00751407"/>
    <w:rsid w:val="00751497"/>
    <w:rsid w:val="0075165E"/>
    <w:rsid w:val="0075170D"/>
    <w:rsid w:val="0075173A"/>
    <w:rsid w:val="007519D3"/>
    <w:rsid w:val="00751C20"/>
    <w:rsid w:val="00751C2C"/>
    <w:rsid w:val="00751D91"/>
    <w:rsid w:val="00751E9B"/>
    <w:rsid w:val="00751F96"/>
    <w:rsid w:val="00752037"/>
    <w:rsid w:val="0075238E"/>
    <w:rsid w:val="00752551"/>
    <w:rsid w:val="0075263D"/>
    <w:rsid w:val="007526E0"/>
    <w:rsid w:val="00752C10"/>
    <w:rsid w:val="00752CA0"/>
    <w:rsid w:val="00752D0A"/>
    <w:rsid w:val="00752F8B"/>
    <w:rsid w:val="00753091"/>
    <w:rsid w:val="0075325D"/>
    <w:rsid w:val="0075343B"/>
    <w:rsid w:val="00753504"/>
    <w:rsid w:val="007536C5"/>
    <w:rsid w:val="007537C0"/>
    <w:rsid w:val="00753812"/>
    <w:rsid w:val="00753B3B"/>
    <w:rsid w:val="00753B7F"/>
    <w:rsid w:val="00753CD3"/>
    <w:rsid w:val="00753D34"/>
    <w:rsid w:val="00753D8A"/>
    <w:rsid w:val="00753F63"/>
    <w:rsid w:val="007540C9"/>
    <w:rsid w:val="0075461F"/>
    <w:rsid w:val="00754633"/>
    <w:rsid w:val="00754763"/>
    <w:rsid w:val="00754ABE"/>
    <w:rsid w:val="0075506F"/>
    <w:rsid w:val="00755535"/>
    <w:rsid w:val="0075557A"/>
    <w:rsid w:val="007556F5"/>
    <w:rsid w:val="007557C1"/>
    <w:rsid w:val="00755C08"/>
    <w:rsid w:val="00755DA2"/>
    <w:rsid w:val="00755F73"/>
    <w:rsid w:val="00756044"/>
    <w:rsid w:val="007561BE"/>
    <w:rsid w:val="007564AB"/>
    <w:rsid w:val="00756775"/>
    <w:rsid w:val="00756A23"/>
    <w:rsid w:val="00756A40"/>
    <w:rsid w:val="00756AC0"/>
    <w:rsid w:val="00756B2C"/>
    <w:rsid w:val="00756FC9"/>
    <w:rsid w:val="00757392"/>
    <w:rsid w:val="00757592"/>
    <w:rsid w:val="007576B5"/>
    <w:rsid w:val="00757839"/>
    <w:rsid w:val="00757859"/>
    <w:rsid w:val="00757903"/>
    <w:rsid w:val="00757927"/>
    <w:rsid w:val="00757972"/>
    <w:rsid w:val="00757A94"/>
    <w:rsid w:val="00757BCE"/>
    <w:rsid w:val="00757E19"/>
    <w:rsid w:val="00757F0D"/>
    <w:rsid w:val="00757F4A"/>
    <w:rsid w:val="00760035"/>
    <w:rsid w:val="00760096"/>
    <w:rsid w:val="007608CC"/>
    <w:rsid w:val="0076092E"/>
    <w:rsid w:val="00760AFC"/>
    <w:rsid w:val="00760B93"/>
    <w:rsid w:val="00760C48"/>
    <w:rsid w:val="00760D86"/>
    <w:rsid w:val="00760ED1"/>
    <w:rsid w:val="00760F86"/>
    <w:rsid w:val="0076101F"/>
    <w:rsid w:val="0076111A"/>
    <w:rsid w:val="00761239"/>
    <w:rsid w:val="007613F9"/>
    <w:rsid w:val="00761444"/>
    <w:rsid w:val="00761490"/>
    <w:rsid w:val="0076163D"/>
    <w:rsid w:val="00761753"/>
    <w:rsid w:val="007617FC"/>
    <w:rsid w:val="00761802"/>
    <w:rsid w:val="007618EC"/>
    <w:rsid w:val="00761930"/>
    <w:rsid w:val="007619FB"/>
    <w:rsid w:val="00761C6C"/>
    <w:rsid w:val="00761DCA"/>
    <w:rsid w:val="0076237E"/>
    <w:rsid w:val="0076245C"/>
    <w:rsid w:val="0076281C"/>
    <w:rsid w:val="00762AFB"/>
    <w:rsid w:val="007633F0"/>
    <w:rsid w:val="00763504"/>
    <w:rsid w:val="00763602"/>
    <w:rsid w:val="0076370C"/>
    <w:rsid w:val="0076387C"/>
    <w:rsid w:val="00763E2C"/>
    <w:rsid w:val="00763F81"/>
    <w:rsid w:val="007642F4"/>
    <w:rsid w:val="007643AF"/>
    <w:rsid w:val="007644A2"/>
    <w:rsid w:val="00764573"/>
    <w:rsid w:val="007647CF"/>
    <w:rsid w:val="00764A31"/>
    <w:rsid w:val="00764A35"/>
    <w:rsid w:val="00764A48"/>
    <w:rsid w:val="00764B17"/>
    <w:rsid w:val="00764B4C"/>
    <w:rsid w:val="00764D03"/>
    <w:rsid w:val="00764D5E"/>
    <w:rsid w:val="00764E1A"/>
    <w:rsid w:val="00764FDB"/>
    <w:rsid w:val="00765390"/>
    <w:rsid w:val="0076559F"/>
    <w:rsid w:val="00765856"/>
    <w:rsid w:val="007658C9"/>
    <w:rsid w:val="00765BA0"/>
    <w:rsid w:val="00765BA8"/>
    <w:rsid w:val="00765F3C"/>
    <w:rsid w:val="00766007"/>
    <w:rsid w:val="0076614E"/>
    <w:rsid w:val="00766215"/>
    <w:rsid w:val="007663EE"/>
    <w:rsid w:val="0076658C"/>
    <w:rsid w:val="00766746"/>
    <w:rsid w:val="007667C5"/>
    <w:rsid w:val="007668F7"/>
    <w:rsid w:val="007669A8"/>
    <w:rsid w:val="00766AFC"/>
    <w:rsid w:val="00766D92"/>
    <w:rsid w:val="00766EB8"/>
    <w:rsid w:val="0076706A"/>
    <w:rsid w:val="00767147"/>
    <w:rsid w:val="00767639"/>
    <w:rsid w:val="0076770B"/>
    <w:rsid w:val="00767791"/>
    <w:rsid w:val="00767941"/>
    <w:rsid w:val="007679B3"/>
    <w:rsid w:val="00767A96"/>
    <w:rsid w:val="00767C61"/>
    <w:rsid w:val="00767D0B"/>
    <w:rsid w:val="00767D1B"/>
    <w:rsid w:val="0077033E"/>
    <w:rsid w:val="00770426"/>
    <w:rsid w:val="0077043B"/>
    <w:rsid w:val="00770493"/>
    <w:rsid w:val="00770656"/>
    <w:rsid w:val="00770A26"/>
    <w:rsid w:val="00770E86"/>
    <w:rsid w:val="00770F73"/>
    <w:rsid w:val="00770FD7"/>
    <w:rsid w:val="0077108C"/>
    <w:rsid w:val="007711E6"/>
    <w:rsid w:val="007712F0"/>
    <w:rsid w:val="00771364"/>
    <w:rsid w:val="007713B8"/>
    <w:rsid w:val="007713C6"/>
    <w:rsid w:val="007713CD"/>
    <w:rsid w:val="007714FC"/>
    <w:rsid w:val="0077150D"/>
    <w:rsid w:val="0077175E"/>
    <w:rsid w:val="007717CB"/>
    <w:rsid w:val="00771854"/>
    <w:rsid w:val="0077194D"/>
    <w:rsid w:val="00771964"/>
    <w:rsid w:val="00771973"/>
    <w:rsid w:val="00771EF2"/>
    <w:rsid w:val="00772166"/>
    <w:rsid w:val="00772198"/>
    <w:rsid w:val="007721C3"/>
    <w:rsid w:val="007722DF"/>
    <w:rsid w:val="0077236E"/>
    <w:rsid w:val="00772795"/>
    <w:rsid w:val="00772954"/>
    <w:rsid w:val="00772BDC"/>
    <w:rsid w:val="00772E2E"/>
    <w:rsid w:val="00773166"/>
    <w:rsid w:val="007732E7"/>
    <w:rsid w:val="00773543"/>
    <w:rsid w:val="0077368D"/>
    <w:rsid w:val="007737D1"/>
    <w:rsid w:val="007739A7"/>
    <w:rsid w:val="00773A91"/>
    <w:rsid w:val="00773A9C"/>
    <w:rsid w:val="00773AEA"/>
    <w:rsid w:val="00773E30"/>
    <w:rsid w:val="00773E52"/>
    <w:rsid w:val="00774147"/>
    <w:rsid w:val="0077434D"/>
    <w:rsid w:val="007744B6"/>
    <w:rsid w:val="007744F7"/>
    <w:rsid w:val="0077468D"/>
    <w:rsid w:val="00774876"/>
    <w:rsid w:val="00774A38"/>
    <w:rsid w:val="00774D18"/>
    <w:rsid w:val="0077506D"/>
    <w:rsid w:val="00775133"/>
    <w:rsid w:val="007751A8"/>
    <w:rsid w:val="00775252"/>
    <w:rsid w:val="0077534D"/>
    <w:rsid w:val="0077544F"/>
    <w:rsid w:val="00775472"/>
    <w:rsid w:val="0077581A"/>
    <w:rsid w:val="00775A33"/>
    <w:rsid w:val="00775E31"/>
    <w:rsid w:val="00775F52"/>
    <w:rsid w:val="0077658E"/>
    <w:rsid w:val="007765B9"/>
    <w:rsid w:val="0077670D"/>
    <w:rsid w:val="00776A94"/>
    <w:rsid w:val="00776AF1"/>
    <w:rsid w:val="00776FBF"/>
    <w:rsid w:val="007771F5"/>
    <w:rsid w:val="00777228"/>
    <w:rsid w:val="00777800"/>
    <w:rsid w:val="00777B0D"/>
    <w:rsid w:val="00777B5C"/>
    <w:rsid w:val="00777D6A"/>
    <w:rsid w:val="00777E6C"/>
    <w:rsid w:val="00777F5E"/>
    <w:rsid w:val="00777FCB"/>
    <w:rsid w:val="007801A1"/>
    <w:rsid w:val="007801D2"/>
    <w:rsid w:val="0078054C"/>
    <w:rsid w:val="007805AE"/>
    <w:rsid w:val="00780766"/>
    <w:rsid w:val="007808FF"/>
    <w:rsid w:val="00780C0D"/>
    <w:rsid w:val="00780C16"/>
    <w:rsid w:val="00780C34"/>
    <w:rsid w:val="00780DCB"/>
    <w:rsid w:val="0078105B"/>
    <w:rsid w:val="00781061"/>
    <w:rsid w:val="00781069"/>
    <w:rsid w:val="00781115"/>
    <w:rsid w:val="00781257"/>
    <w:rsid w:val="007813E5"/>
    <w:rsid w:val="007817A6"/>
    <w:rsid w:val="00781B51"/>
    <w:rsid w:val="0078229A"/>
    <w:rsid w:val="007822C8"/>
    <w:rsid w:val="00782397"/>
    <w:rsid w:val="00782713"/>
    <w:rsid w:val="007827A9"/>
    <w:rsid w:val="007828A5"/>
    <w:rsid w:val="00782A11"/>
    <w:rsid w:val="00782C24"/>
    <w:rsid w:val="007832A2"/>
    <w:rsid w:val="007832E0"/>
    <w:rsid w:val="007832F7"/>
    <w:rsid w:val="00783349"/>
    <w:rsid w:val="007835B6"/>
    <w:rsid w:val="007835BC"/>
    <w:rsid w:val="007835DB"/>
    <w:rsid w:val="007835EA"/>
    <w:rsid w:val="00783632"/>
    <w:rsid w:val="007837DD"/>
    <w:rsid w:val="007839F7"/>
    <w:rsid w:val="00783A95"/>
    <w:rsid w:val="00783AD9"/>
    <w:rsid w:val="00783C7C"/>
    <w:rsid w:val="00783E82"/>
    <w:rsid w:val="0078413F"/>
    <w:rsid w:val="00784292"/>
    <w:rsid w:val="00784495"/>
    <w:rsid w:val="0078459C"/>
    <w:rsid w:val="00784B8E"/>
    <w:rsid w:val="00784DA6"/>
    <w:rsid w:val="00784E36"/>
    <w:rsid w:val="00784E4E"/>
    <w:rsid w:val="0078518B"/>
    <w:rsid w:val="00785192"/>
    <w:rsid w:val="0078533B"/>
    <w:rsid w:val="00785497"/>
    <w:rsid w:val="00785996"/>
    <w:rsid w:val="00785997"/>
    <w:rsid w:val="00785A49"/>
    <w:rsid w:val="00785C3B"/>
    <w:rsid w:val="00785DE1"/>
    <w:rsid w:val="00786070"/>
    <w:rsid w:val="00786083"/>
    <w:rsid w:val="007860AB"/>
    <w:rsid w:val="00786245"/>
    <w:rsid w:val="007863B6"/>
    <w:rsid w:val="00786422"/>
    <w:rsid w:val="0078674C"/>
    <w:rsid w:val="007867E0"/>
    <w:rsid w:val="00786A54"/>
    <w:rsid w:val="00786D1E"/>
    <w:rsid w:val="00786D25"/>
    <w:rsid w:val="00786D50"/>
    <w:rsid w:val="0078707B"/>
    <w:rsid w:val="00787318"/>
    <w:rsid w:val="00787569"/>
    <w:rsid w:val="00787875"/>
    <w:rsid w:val="007879B1"/>
    <w:rsid w:val="00787B88"/>
    <w:rsid w:val="00787D4A"/>
    <w:rsid w:val="00787E66"/>
    <w:rsid w:val="00790150"/>
    <w:rsid w:val="007901EE"/>
    <w:rsid w:val="00790337"/>
    <w:rsid w:val="0079045A"/>
    <w:rsid w:val="0079059D"/>
    <w:rsid w:val="00790872"/>
    <w:rsid w:val="00790AFB"/>
    <w:rsid w:val="00790CDD"/>
    <w:rsid w:val="00790EA2"/>
    <w:rsid w:val="00790EC1"/>
    <w:rsid w:val="00790F46"/>
    <w:rsid w:val="00791453"/>
    <w:rsid w:val="00791468"/>
    <w:rsid w:val="007918CF"/>
    <w:rsid w:val="00791A9A"/>
    <w:rsid w:val="00791EC5"/>
    <w:rsid w:val="007921A3"/>
    <w:rsid w:val="00792464"/>
    <w:rsid w:val="00792903"/>
    <w:rsid w:val="00792A39"/>
    <w:rsid w:val="00792BD1"/>
    <w:rsid w:val="00792E7A"/>
    <w:rsid w:val="00792FC8"/>
    <w:rsid w:val="00793219"/>
    <w:rsid w:val="00793284"/>
    <w:rsid w:val="00793550"/>
    <w:rsid w:val="007937EF"/>
    <w:rsid w:val="00793A1C"/>
    <w:rsid w:val="00793A51"/>
    <w:rsid w:val="00793B6C"/>
    <w:rsid w:val="00793C03"/>
    <w:rsid w:val="00793CD9"/>
    <w:rsid w:val="00793FC0"/>
    <w:rsid w:val="007941CE"/>
    <w:rsid w:val="0079422D"/>
    <w:rsid w:val="0079432A"/>
    <w:rsid w:val="00794759"/>
    <w:rsid w:val="00794856"/>
    <w:rsid w:val="007948FD"/>
    <w:rsid w:val="00794A05"/>
    <w:rsid w:val="00794ABC"/>
    <w:rsid w:val="00794BD3"/>
    <w:rsid w:val="00794BDD"/>
    <w:rsid w:val="00794DC0"/>
    <w:rsid w:val="00795052"/>
    <w:rsid w:val="00795126"/>
    <w:rsid w:val="007952E3"/>
    <w:rsid w:val="0079530C"/>
    <w:rsid w:val="00795694"/>
    <w:rsid w:val="00795779"/>
    <w:rsid w:val="00795900"/>
    <w:rsid w:val="00795D7E"/>
    <w:rsid w:val="007960F8"/>
    <w:rsid w:val="00796334"/>
    <w:rsid w:val="007965B5"/>
    <w:rsid w:val="007966AE"/>
    <w:rsid w:val="00796A58"/>
    <w:rsid w:val="00796A5E"/>
    <w:rsid w:val="00796B77"/>
    <w:rsid w:val="00796BE4"/>
    <w:rsid w:val="00796C49"/>
    <w:rsid w:val="00796EC4"/>
    <w:rsid w:val="00796FC6"/>
    <w:rsid w:val="00797164"/>
    <w:rsid w:val="00797167"/>
    <w:rsid w:val="007972EA"/>
    <w:rsid w:val="00797375"/>
    <w:rsid w:val="0079737D"/>
    <w:rsid w:val="0079740D"/>
    <w:rsid w:val="00797703"/>
    <w:rsid w:val="00797B9C"/>
    <w:rsid w:val="00797FC4"/>
    <w:rsid w:val="007A0116"/>
    <w:rsid w:val="007A05BF"/>
    <w:rsid w:val="007A0900"/>
    <w:rsid w:val="007A1364"/>
    <w:rsid w:val="007A1478"/>
    <w:rsid w:val="007A1531"/>
    <w:rsid w:val="007A1565"/>
    <w:rsid w:val="007A1570"/>
    <w:rsid w:val="007A161E"/>
    <w:rsid w:val="007A17C2"/>
    <w:rsid w:val="007A19D8"/>
    <w:rsid w:val="007A2196"/>
    <w:rsid w:val="007A22AD"/>
    <w:rsid w:val="007A24A0"/>
    <w:rsid w:val="007A257E"/>
    <w:rsid w:val="007A2708"/>
    <w:rsid w:val="007A27C3"/>
    <w:rsid w:val="007A295D"/>
    <w:rsid w:val="007A2A83"/>
    <w:rsid w:val="007A2AF2"/>
    <w:rsid w:val="007A2E20"/>
    <w:rsid w:val="007A2FCA"/>
    <w:rsid w:val="007A337E"/>
    <w:rsid w:val="007A3695"/>
    <w:rsid w:val="007A3720"/>
    <w:rsid w:val="007A3739"/>
    <w:rsid w:val="007A37A8"/>
    <w:rsid w:val="007A382D"/>
    <w:rsid w:val="007A39FD"/>
    <w:rsid w:val="007A3E97"/>
    <w:rsid w:val="007A435C"/>
    <w:rsid w:val="007A4374"/>
    <w:rsid w:val="007A44FF"/>
    <w:rsid w:val="007A46F8"/>
    <w:rsid w:val="007A48C1"/>
    <w:rsid w:val="007A4A97"/>
    <w:rsid w:val="007A4AB2"/>
    <w:rsid w:val="007A4B49"/>
    <w:rsid w:val="007A4C95"/>
    <w:rsid w:val="007A4E7F"/>
    <w:rsid w:val="007A4EDD"/>
    <w:rsid w:val="007A4FD3"/>
    <w:rsid w:val="007A5028"/>
    <w:rsid w:val="007A518A"/>
    <w:rsid w:val="007A5245"/>
    <w:rsid w:val="007A52A7"/>
    <w:rsid w:val="007A58FF"/>
    <w:rsid w:val="007A5B0D"/>
    <w:rsid w:val="007A5E06"/>
    <w:rsid w:val="007A5E22"/>
    <w:rsid w:val="007A5E68"/>
    <w:rsid w:val="007A60B5"/>
    <w:rsid w:val="007A64AA"/>
    <w:rsid w:val="007A657A"/>
    <w:rsid w:val="007A65EF"/>
    <w:rsid w:val="007A681A"/>
    <w:rsid w:val="007A6B67"/>
    <w:rsid w:val="007A6D06"/>
    <w:rsid w:val="007A6EE9"/>
    <w:rsid w:val="007A727F"/>
    <w:rsid w:val="007A737D"/>
    <w:rsid w:val="007A74C4"/>
    <w:rsid w:val="007A7ABC"/>
    <w:rsid w:val="007A7D43"/>
    <w:rsid w:val="007A7DF0"/>
    <w:rsid w:val="007B01B2"/>
    <w:rsid w:val="007B0298"/>
    <w:rsid w:val="007B0586"/>
    <w:rsid w:val="007B0648"/>
    <w:rsid w:val="007B0D6A"/>
    <w:rsid w:val="007B0FF5"/>
    <w:rsid w:val="007B1172"/>
    <w:rsid w:val="007B147A"/>
    <w:rsid w:val="007B17CD"/>
    <w:rsid w:val="007B1BA5"/>
    <w:rsid w:val="007B1BF3"/>
    <w:rsid w:val="007B1BF7"/>
    <w:rsid w:val="007B1DE6"/>
    <w:rsid w:val="007B204A"/>
    <w:rsid w:val="007B22DF"/>
    <w:rsid w:val="007B2462"/>
    <w:rsid w:val="007B25A9"/>
    <w:rsid w:val="007B282D"/>
    <w:rsid w:val="007B29C5"/>
    <w:rsid w:val="007B2A54"/>
    <w:rsid w:val="007B2A72"/>
    <w:rsid w:val="007B2BF7"/>
    <w:rsid w:val="007B2D2C"/>
    <w:rsid w:val="007B2FC2"/>
    <w:rsid w:val="007B33C1"/>
    <w:rsid w:val="007B3507"/>
    <w:rsid w:val="007B3609"/>
    <w:rsid w:val="007B39AB"/>
    <w:rsid w:val="007B3B91"/>
    <w:rsid w:val="007B3C94"/>
    <w:rsid w:val="007B3CEA"/>
    <w:rsid w:val="007B3E8B"/>
    <w:rsid w:val="007B40C6"/>
    <w:rsid w:val="007B4115"/>
    <w:rsid w:val="007B431B"/>
    <w:rsid w:val="007B4396"/>
    <w:rsid w:val="007B4B39"/>
    <w:rsid w:val="007B4C25"/>
    <w:rsid w:val="007B4E48"/>
    <w:rsid w:val="007B4F11"/>
    <w:rsid w:val="007B4F43"/>
    <w:rsid w:val="007B5039"/>
    <w:rsid w:val="007B5157"/>
    <w:rsid w:val="007B51FC"/>
    <w:rsid w:val="007B5254"/>
    <w:rsid w:val="007B52BB"/>
    <w:rsid w:val="007B53F7"/>
    <w:rsid w:val="007B545C"/>
    <w:rsid w:val="007B5489"/>
    <w:rsid w:val="007B5538"/>
    <w:rsid w:val="007B56DF"/>
    <w:rsid w:val="007B5867"/>
    <w:rsid w:val="007B5872"/>
    <w:rsid w:val="007B58CC"/>
    <w:rsid w:val="007B5969"/>
    <w:rsid w:val="007B5B50"/>
    <w:rsid w:val="007B5D8A"/>
    <w:rsid w:val="007B5D8F"/>
    <w:rsid w:val="007B5E83"/>
    <w:rsid w:val="007B5EC5"/>
    <w:rsid w:val="007B61CD"/>
    <w:rsid w:val="007B61E2"/>
    <w:rsid w:val="007B64A8"/>
    <w:rsid w:val="007B6518"/>
    <w:rsid w:val="007B6556"/>
    <w:rsid w:val="007B65A4"/>
    <w:rsid w:val="007B6662"/>
    <w:rsid w:val="007B66C0"/>
    <w:rsid w:val="007B68AD"/>
    <w:rsid w:val="007B6984"/>
    <w:rsid w:val="007B69D1"/>
    <w:rsid w:val="007B69F8"/>
    <w:rsid w:val="007B6A95"/>
    <w:rsid w:val="007B6BC6"/>
    <w:rsid w:val="007B6C8A"/>
    <w:rsid w:val="007B6CB2"/>
    <w:rsid w:val="007B6E40"/>
    <w:rsid w:val="007B6EBE"/>
    <w:rsid w:val="007B6FDB"/>
    <w:rsid w:val="007B7387"/>
    <w:rsid w:val="007B7552"/>
    <w:rsid w:val="007B77B3"/>
    <w:rsid w:val="007B7A0D"/>
    <w:rsid w:val="007B7A54"/>
    <w:rsid w:val="007B7F04"/>
    <w:rsid w:val="007B7F14"/>
    <w:rsid w:val="007C0129"/>
    <w:rsid w:val="007C01E1"/>
    <w:rsid w:val="007C0210"/>
    <w:rsid w:val="007C021A"/>
    <w:rsid w:val="007C0AA2"/>
    <w:rsid w:val="007C0C88"/>
    <w:rsid w:val="007C0E31"/>
    <w:rsid w:val="007C0E88"/>
    <w:rsid w:val="007C0F6C"/>
    <w:rsid w:val="007C0F98"/>
    <w:rsid w:val="007C0FD2"/>
    <w:rsid w:val="007C1023"/>
    <w:rsid w:val="007C1253"/>
    <w:rsid w:val="007C1300"/>
    <w:rsid w:val="007C1387"/>
    <w:rsid w:val="007C1627"/>
    <w:rsid w:val="007C1769"/>
    <w:rsid w:val="007C1A28"/>
    <w:rsid w:val="007C1D2C"/>
    <w:rsid w:val="007C1E3C"/>
    <w:rsid w:val="007C1F91"/>
    <w:rsid w:val="007C20FA"/>
    <w:rsid w:val="007C20FD"/>
    <w:rsid w:val="007C2265"/>
    <w:rsid w:val="007C2275"/>
    <w:rsid w:val="007C24BE"/>
    <w:rsid w:val="007C29A9"/>
    <w:rsid w:val="007C29B7"/>
    <w:rsid w:val="007C2A4F"/>
    <w:rsid w:val="007C2EB9"/>
    <w:rsid w:val="007C30B0"/>
    <w:rsid w:val="007C329A"/>
    <w:rsid w:val="007C396A"/>
    <w:rsid w:val="007C39BC"/>
    <w:rsid w:val="007C3AD9"/>
    <w:rsid w:val="007C3D08"/>
    <w:rsid w:val="007C404B"/>
    <w:rsid w:val="007C421A"/>
    <w:rsid w:val="007C43D6"/>
    <w:rsid w:val="007C4542"/>
    <w:rsid w:val="007C4564"/>
    <w:rsid w:val="007C45C1"/>
    <w:rsid w:val="007C46A5"/>
    <w:rsid w:val="007C46C6"/>
    <w:rsid w:val="007C478A"/>
    <w:rsid w:val="007C49D2"/>
    <w:rsid w:val="007C4A6D"/>
    <w:rsid w:val="007C4BAE"/>
    <w:rsid w:val="007C4C69"/>
    <w:rsid w:val="007C4FB7"/>
    <w:rsid w:val="007C4FC2"/>
    <w:rsid w:val="007C510C"/>
    <w:rsid w:val="007C530C"/>
    <w:rsid w:val="007C55D9"/>
    <w:rsid w:val="007C5700"/>
    <w:rsid w:val="007C57EF"/>
    <w:rsid w:val="007C5A9C"/>
    <w:rsid w:val="007C5B8E"/>
    <w:rsid w:val="007C5BB5"/>
    <w:rsid w:val="007C5E00"/>
    <w:rsid w:val="007C5EDC"/>
    <w:rsid w:val="007C5FCE"/>
    <w:rsid w:val="007C6038"/>
    <w:rsid w:val="007C627A"/>
    <w:rsid w:val="007C6318"/>
    <w:rsid w:val="007C65A9"/>
    <w:rsid w:val="007C65AB"/>
    <w:rsid w:val="007C68A8"/>
    <w:rsid w:val="007C68D6"/>
    <w:rsid w:val="007C6E21"/>
    <w:rsid w:val="007C6F84"/>
    <w:rsid w:val="007C7021"/>
    <w:rsid w:val="007C70EC"/>
    <w:rsid w:val="007C71F0"/>
    <w:rsid w:val="007C731B"/>
    <w:rsid w:val="007C7B17"/>
    <w:rsid w:val="007C7CA9"/>
    <w:rsid w:val="007C7DA4"/>
    <w:rsid w:val="007C7F69"/>
    <w:rsid w:val="007D0165"/>
    <w:rsid w:val="007D01DC"/>
    <w:rsid w:val="007D057F"/>
    <w:rsid w:val="007D067D"/>
    <w:rsid w:val="007D08A2"/>
    <w:rsid w:val="007D0BB8"/>
    <w:rsid w:val="007D12D2"/>
    <w:rsid w:val="007D15F0"/>
    <w:rsid w:val="007D1612"/>
    <w:rsid w:val="007D16D2"/>
    <w:rsid w:val="007D198A"/>
    <w:rsid w:val="007D1AA0"/>
    <w:rsid w:val="007D1CC2"/>
    <w:rsid w:val="007D1D3B"/>
    <w:rsid w:val="007D1F5C"/>
    <w:rsid w:val="007D20CA"/>
    <w:rsid w:val="007D25AF"/>
    <w:rsid w:val="007D26D8"/>
    <w:rsid w:val="007D29DE"/>
    <w:rsid w:val="007D2E67"/>
    <w:rsid w:val="007D2E83"/>
    <w:rsid w:val="007D2F7B"/>
    <w:rsid w:val="007D2F88"/>
    <w:rsid w:val="007D2F9D"/>
    <w:rsid w:val="007D33B1"/>
    <w:rsid w:val="007D346B"/>
    <w:rsid w:val="007D3497"/>
    <w:rsid w:val="007D34BE"/>
    <w:rsid w:val="007D36D1"/>
    <w:rsid w:val="007D36DC"/>
    <w:rsid w:val="007D374D"/>
    <w:rsid w:val="007D37E6"/>
    <w:rsid w:val="007D38AF"/>
    <w:rsid w:val="007D38FE"/>
    <w:rsid w:val="007D3A04"/>
    <w:rsid w:val="007D4014"/>
    <w:rsid w:val="007D4119"/>
    <w:rsid w:val="007D4339"/>
    <w:rsid w:val="007D44EC"/>
    <w:rsid w:val="007D46A0"/>
    <w:rsid w:val="007D484A"/>
    <w:rsid w:val="007D496E"/>
    <w:rsid w:val="007D49FE"/>
    <w:rsid w:val="007D4A30"/>
    <w:rsid w:val="007D4CA0"/>
    <w:rsid w:val="007D4D9C"/>
    <w:rsid w:val="007D4DAD"/>
    <w:rsid w:val="007D4E47"/>
    <w:rsid w:val="007D4F34"/>
    <w:rsid w:val="007D4F52"/>
    <w:rsid w:val="007D4F9B"/>
    <w:rsid w:val="007D5307"/>
    <w:rsid w:val="007D53DD"/>
    <w:rsid w:val="007D53DF"/>
    <w:rsid w:val="007D569E"/>
    <w:rsid w:val="007D58FF"/>
    <w:rsid w:val="007D5901"/>
    <w:rsid w:val="007D5960"/>
    <w:rsid w:val="007D5A7C"/>
    <w:rsid w:val="007D5ABA"/>
    <w:rsid w:val="007D5C36"/>
    <w:rsid w:val="007D5CC0"/>
    <w:rsid w:val="007D5D01"/>
    <w:rsid w:val="007D5D06"/>
    <w:rsid w:val="007D5DBC"/>
    <w:rsid w:val="007D5DE5"/>
    <w:rsid w:val="007D5EA8"/>
    <w:rsid w:val="007D5FC3"/>
    <w:rsid w:val="007D60F2"/>
    <w:rsid w:val="007D62F7"/>
    <w:rsid w:val="007D6569"/>
    <w:rsid w:val="007D656B"/>
    <w:rsid w:val="007D65AA"/>
    <w:rsid w:val="007D673E"/>
    <w:rsid w:val="007D67A5"/>
    <w:rsid w:val="007D6921"/>
    <w:rsid w:val="007D6B2C"/>
    <w:rsid w:val="007D6B63"/>
    <w:rsid w:val="007D6C07"/>
    <w:rsid w:val="007D6E86"/>
    <w:rsid w:val="007D709E"/>
    <w:rsid w:val="007D7390"/>
    <w:rsid w:val="007D7416"/>
    <w:rsid w:val="007D7565"/>
    <w:rsid w:val="007D75C2"/>
    <w:rsid w:val="007D7676"/>
    <w:rsid w:val="007D7A3F"/>
    <w:rsid w:val="007D7C49"/>
    <w:rsid w:val="007D7E2F"/>
    <w:rsid w:val="007E00D9"/>
    <w:rsid w:val="007E04B0"/>
    <w:rsid w:val="007E051D"/>
    <w:rsid w:val="007E0852"/>
    <w:rsid w:val="007E08EC"/>
    <w:rsid w:val="007E0A2B"/>
    <w:rsid w:val="007E0AFF"/>
    <w:rsid w:val="007E0C16"/>
    <w:rsid w:val="007E0F50"/>
    <w:rsid w:val="007E1040"/>
    <w:rsid w:val="007E114E"/>
    <w:rsid w:val="007E132E"/>
    <w:rsid w:val="007E1420"/>
    <w:rsid w:val="007E1516"/>
    <w:rsid w:val="007E162A"/>
    <w:rsid w:val="007E188E"/>
    <w:rsid w:val="007E1917"/>
    <w:rsid w:val="007E1B8F"/>
    <w:rsid w:val="007E1EE5"/>
    <w:rsid w:val="007E2266"/>
    <w:rsid w:val="007E2852"/>
    <w:rsid w:val="007E28EC"/>
    <w:rsid w:val="007E29E4"/>
    <w:rsid w:val="007E2AAB"/>
    <w:rsid w:val="007E2AFF"/>
    <w:rsid w:val="007E2C60"/>
    <w:rsid w:val="007E2D2A"/>
    <w:rsid w:val="007E304A"/>
    <w:rsid w:val="007E3605"/>
    <w:rsid w:val="007E3789"/>
    <w:rsid w:val="007E3A8D"/>
    <w:rsid w:val="007E3BF6"/>
    <w:rsid w:val="007E3C7B"/>
    <w:rsid w:val="007E4164"/>
    <w:rsid w:val="007E4199"/>
    <w:rsid w:val="007E424F"/>
    <w:rsid w:val="007E4345"/>
    <w:rsid w:val="007E45B6"/>
    <w:rsid w:val="007E46E6"/>
    <w:rsid w:val="007E46FE"/>
    <w:rsid w:val="007E46FF"/>
    <w:rsid w:val="007E478A"/>
    <w:rsid w:val="007E4820"/>
    <w:rsid w:val="007E487F"/>
    <w:rsid w:val="007E4928"/>
    <w:rsid w:val="007E4B2D"/>
    <w:rsid w:val="007E4B94"/>
    <w:rsid w:val="007E4D68"/>
    <w:rsid w:val="007E532D"/>
    <w:rsid w:val="007E5495"/>
    <w:rsid w:val="007E571D"/>
    <w:rsid w:val="007E587D"/>
    <w:rsid w:val="007E5C27"/>
    <w:rsid w:val="007E5CB5"/>
    <w:rsid w:val="007E5DCA"/>
    <w:rsid w:val="007E5F73"/>
    <w:rsid w:val="007E6084"/>
    <w:rsid w:val="007E6225"/>
    <w:rsid w:val="007E678A"/>
    <w:rsid w:val="007E680C"/>
    <w:rsid w:val="007E6A93"/>
    <w:rsid w:val="007E6B48"/>
    <w:rsid w:val="007E6B70"/>
    <w:rsid w:val="007E7005"/>
    <w:rsid w:val="007E71E9"/>
    <w:rsid w:val="007E72A9"/>
    <w:rsid w:val="007E7C84"/>
    <w:rsid w:val="007E7EE1"/>
    <w:rsid w:val="007E7EE4"/>
    <w:rsid w:val="007E7FFC"/>
    <w:rsid w:val="007F017B"/>
    <w:rsid w:val="007F0187"/>
    <w:rsid w:val="007F01BE"/>
    <w:rsid w:val="007F03D7"/>
    <w:rsid w:val="007F04DC"/>
    <w:rsid w:val="007F05F5"/>
    <w:rsid w:val="007F068E"/>
    <w:rsid w:val="007F0809"/>
    <w:rsid w:val="007F09E8"/>
    <w:rsid w:val="007F0B26"/>
    <w:rsid w:val="007F0E09"/>
    <w:rsid w:val="007F16C3"/>
    <w:rsid w:val="007F17EE"/>
    <w:rsid w:val="007F18EB"/>
    <w:rsid w:val="007F18F0"/>
    <w:rsid w:val="007F1A78"/>
    <w:rsid w:val="007F1D06"/>
    <w:rsid w:val="007F1E7E"/>
    <w:rsid w:val="007F21D7"/>
    <w:rsid w:val="007F2398"/>
    <w:rsid w:val="007F25BD"/>
    <w:rsid w:val="007F25E6"/>
    <w:rsid w:val="007F268B"/>
    <w:rsid w:val="007F302B"/>
    <w:rsid w:val="007F308B"/>
    <w:rsid w:val="007F3168"/>
    <w:rsid w:val="007F35C1"/>
    <w:rsid w:val="007F3813"/>
    <w:rsid w:val="007F3895"/>
    <w:rsid w:val="007F3909"/>
    <w:rsid w:val="007F3AC2"/>
    <w:rsid w:val="007F3BE9"/>
    <w:rsid w:val="007F3D7E"/>
    <w:rsid w:val="007F413F"/>
    <w:rsid w:val="007F45DA"/>
    <w:rsid w:val="007F4612"/>
    <w:rsid w:val="007F4787"/>
    <w:rsid w:val="007F4986"/>
    <w:rsid w:val="007F49B3"/>
    <w:rsid w:val="007F4A72"/>
    <w:rsid w:val="007F4AD5"/>
    <w:rsid w:val="007F4B69"/>
    <w:rsid w:val="007F4B79"/>
    <w:rsid w:val="007F4BB8"/>
    <w:rsid w:val="007F4ED7"/>
    <w:rsid w:val="007F5512"/>
    <w:rsid w:val="007F5646"/>
    <w:rsid w:val="007F57D6"/>
    <w:rsid w:val="007F5DAC"/>
    <w:rsid w:val="007F5E0D"/>
    <w:rsid w:val="007F6044"/>
    <w:rsid w:val="007F6206"/>
    <w:rsid w:val="007F64B0"/>
    <w:rsid w:val="007F66D9"/>
    <w:rsid w:val="007F676E"/>
    <w:rsid w:val="007F6839"/>
    <w:rsid w:val="007F6BED"/>
    <w:rsid w:val="007F6D54"/>
    <w:rsid w:val="007F70CD"/>
    <w:rsid w:val="007F73D3"/>
    <w:rsid w:val="007F744C"/>
    <w:rsid w:val="007F74AD"/>
    <w:rsid w:val="007F74E9"/>
    <w:rsid w:val="007F7525"/>
    <w:rsid w:val="007F764E"/>
    <w:rsid w:val="007F7761"/>
    <w:rsid w:val="007F7B87"/>
    <w:rsid w:val="007F7BA9"/>
    <w:rsid w:val="007F7C0B"/>
    <w:rsid w:val="0080001E"/>
    <w:rsid w:val="00800127"/>
    <w:rsid w:val="0080048E"/>
    <w:rsid w:val="00800722"/>
    <w:rsid w:val="008008EB"/>
    <w:rsid w:val="00800910"/>
    <w:rsid w:val="0080091F"/>
    <w:rsid w:val="00800A3F"/>
    <w:rsid w:val="00800A5A"/>
    <w:rsid w:val="00800F61"/>
    <w:rsid w:val="008010D7"/>
    <w:rsid w:val="008010F1"/>
    <w:rsid w:val="00801235"/>
    <w:rsid w:val="00801274"/>
    <w:rsid w:val="00801466"/>
    <w:rsid w:val="00801746"/>
    <w:rsid w:val="008017FE"/>
    <w:rsid w:val="00801DDE"/>
    <w:rsid w:val="00802111"/>
    <w:rsid w:val="008021AF"/>
    <w:rsid w:val="0080221E"/>
    <w:rsid w:val="00802568"/>
    <w:rsid w:val="0080260E"/>
    <w:rsid w:val="00802688"/>
    <w:rsid w:val="00802866"/>
    <w:rsid w:val="00802C50"/>
    <w:rsid w:val="008030AA"/>
    <w:rsid w:val="00803443"/>
    <w:rsid w:val="00803489"/>
    <w:rsid w:val="00803921"/>
    <w:rsid w:val="00803A33"/>
    <w:rsid w:val="00803C1D"/>
    <w:rsid w:val="00803D20"/>
    <w:rsid w:val="0080404E"/>
    <w:rsid w:val="00804134"/>
    <w:rsid w:val="0080424E"/>
    <w:rsid w:val="0080439D"/>
    <w:rsid w:val="008044F9"/>
    <w:rsid w:val="0080472C"/>
    <w:rsid w:val="0080475A"/>
    <w:rsid w:val="0080479E"/>
    <w:rsid w:val="00804961"/>
    <w:rsid w:val="00804AF9"/>
    <w:rsid w:val="00804B0E"/>
    <w:rsid w:val="00804D47"/>
    <w:rsid w:val="008050C2"/>
    <w:rsid w:val="00805409"/>
    <w:rsid w:val="00805524"/>
    <w:rsid w:val="00805652"/>
    <w:rsid w:val="008056B3"/>
    <w:rsid w:val="00805A0C"/>
    <w:rsid w:val="00805AC6"/>
    <w:rsid w:val="00805EAB"/>
    <w:rsid w:val="00806198"/>
    <w:rsid w:val="00806238"/>
    <w:rsid w:val="00806397"/>
    <w:rsid w:val="0080651E"/>
    <w:rsid w:val="0080680D"/>
    <w:rsid w:val="00806C6E"/>
    <w:rsid w:val="00807132"/>
    <w:rsid w:val="008072C5"/>
    <w:rsid w:val="008077FB"/>
    <w:rsid w:val="008078E9"/>
    <w:rsid w:val="0080798B"/>
    <w:rsid w:val="00807D4B"/>
    <w:rsid w:val="0081026E"/>
    <w:rsid w:val="0081045A"/>
    <w:rsid w:val="008104E5"/>
    <w:rsid w:val="0081064F"/>
    <w:rsid w:val="00810AE1"/>
    <w:rsid w:val="00810C6E"/>
    <w:rsid w:val="00810CEF"/>
    <w:rsid w:val="00810E52"/>
    <w:rsid w:val="00810EB2"/>
    <w:rsid w:val="008110D5"/>
    <w:rsid w:val="00811130"/>
    <w:rsid w:val="0081113C"/>
    <w:rsid w:val="0081122C"/>
    <w:rsid w:val="00811364"/>
    <w:rsid w:val="0081144C"/>
    <w:rsid w:val="0081148D"/>
    <w:rsid w:val="008117C4"/>
    <w:rsid w:val="00811AC2"/>
    <w:rsid w:val="00811ADA"/>
    <w:rsid w:val="00811DC4"/>
    <w:rsid w:val="00811E6B"/>
    <w:rsid w:val="00811FB1"/>
    <w:rsid w:val="008123E8"/>
    <w:rsid w:val="00812669"/>
    <w:rsid w:val="00812795"/>
    <w:rsid w:val="00812832"/>
    <w:rsid w:val="008129AC"/>
    <w:rsid w:val="00812A2C"/>
    <w:rsid w:val="00812BFA"/>
    <w:rsid w:val="00812C05"/>
    <w:rsid w:val="00812D6B"/>
    <w:rsid w:val="0081309D"/>
    <w:rsid w:val="0081322A"/>
    <w:rsid w:val="00813427"/>
    <w:rsid w:val="00813454"/>
    <w:rsid w:val="00813634"/>
    <w:rsid w:val="0081364B"/>
    <w:rsid w:val="00813C63"/>
    <w:rsid w:val="00813EC6"/>
    <w:rsid w:val="008141A9"/>
    <w:rsid w:val="0081437E"/>
    <w:rsid w:val="0081440A"/>
    <w:rsid w:val="0081456D"/>
    <w:rsid w:val="0081457A"/>
    <w:rsid w:val="0081460B"/>
    <w:rsid w:val="00814A92"/>
    <w:rsid w:val="00814D60"/>
    <w:rsid w:val="008150F8"/>
    <w:rsid w:val="00815127"/>
    <w:rsid w:val="0081520E"/>
    <w:rsid w:val="00815449"/>
    <w:rsid w:val="00815495"/>
    <w:rsid w:val="00815955"/>
    <w:rsid w:val="00815A7E"/>
    <w:rsid w:val="00815B91"/>
    <w:rsid w:val="00815BA4"/>
    <w:rsid w:val="00815C2E"/>
    <w:rsid w:val="00816051"/>
    <w:rsid w:val="008160D3"/>
    <w:rsid w:val="008162AB"/>
    <w:rsid w:val="0081649A"/>
    <w:rsid w:val="00816927"/>
    <w:rsid w:val="00816BB1"/>
    <w:rsid w:val="00817034"/>
    <w:rsid w:val="0081704B"/>
    <w:rsid w:val="008170CF"/>
    <w:rsid w:val="00817502"/>
    <w:rsid w:val="00817859"/>
    <w:rsid w:val="0081798E"/>
    <w:rsid w:val="00817E0D"/>
    <w:rsid w:val="00817E29"/>
    <w:rsid w:val="00817F48"/>
    <w:rsid w:val="0082000F"/>
    <w:rsid w:val="008204ED"/>
    <w:rsid w:val="008205DB"/>
    <w:rsid w:val="008209D8"/>
    <w:rsid w:val="00820D9F"/>
    <w:rsid w:val="00820F44"/>
    <w:rsid w:val="00821018"/>
    <w:rsid w:val="00821067"/>
    <w:rsid w:val="008211EE"/>
    <w:rsid w:val="00821363"/>
    <w:rsid w:val="008215C5"/>
    <w:rsid w:val="0082162B"/>
    <w:rsid w:val="0082182F"/>
    <w:rsid w:val="0082192C"/>
    <w:rsid w:val="0082196C"/>
    <w:rsid w:val="00821A9A"/>
    <w:rsid w:val="00821B40"/>
    <w:rsid w:val="00821BC5"/>
    <w:rsid w:val="0082219C"/>
    <w:rsid w:val="00822295"/>
    <w:rsid w:val="008224A8"/>
    <w:rsid w:val="00822806"/>
    <w:rsid w:val="00822A40"/>
    <w:rsid w:val="00822B09"/>
    <w:rsid w:val="00822D5A"/>
    <w:rsid w:val="00822FC0"/>
    <w:rsid w:val="008230D7"/>
    <w:rsid w:val="008231B7"/>
    <w:rsid w:val="008232A5"/>
    <w:rsid w:val="00823632"/>
    <w:rsid w:val="008237E2"/>
    <w:rsid w:val="0082389E"/>
    <w:rsid w:val="00823932"/>
    <w:rsid w:val="00823ACA"/>
    <w:rsid w:val="00823AE3"/>
    <w:rsid w:val="00823E88"/>
    <w:rsid w:val="00823F3E"/>
    <w:rsid w:val="00824172"/>
    <w:rsid w:val="008242E8"/>
    <w:rsid w:val="00824384"/>
    <w:rsid w:val="0082459A"/>
    <w:rsid w:val="0082483C"/>
    <w:rsid w:val="00824868"/>
    <w:rsid w:val="008248C6"/>
    <w:rsid w:val="008249E0"/>
    <w:rsid w:val="00824B65"/>
    <w:rsid w:val="00824D49"/>
    <w:rsid w:val="008251DC"/>
    <w:rsid w:val="00825315"/>
    <w:rsid w:val="008253D4"/>
    <w:rsid w:val="008253F3"/>
    <w:rsid w:val="008253FE"/>
    <w:rsid w:val="008258A6"/>
    <w:rsid w:val="008259C9"/>
    <w:rsid w:val="00825B16"/>
    <w:rsid w:val="00825D22"/>
    <w:rsid w:val="00825D44"/>
    <w:rsid w:val="00826257"/>
    <w:rsid w:val="008264EC"/>
    <w:rsid w:val="0082699D"/>
    <w:rsid w:val="0082699E"/>
    <w:rsid w:val="00826AC1"/>
    <w:rsid w:val="00826D33"/>
    <w:rsid w:val="00826DB8"/>
    <w:rsid w:val="00827031"/>
    <w:rsid w:val="00827226"/>
    <w:rsid w:val="008272BD"/>
    <w:rsid w:val="008275AE"/>
    <w:rsid w:val="008279E2"/>
    <w:rsid w:val="00827A22"/>
    <w:rsid w:val="00827CD8"/>
    <w:rsid w:val="008301E3"/>
    <w:rsid w:val="008302E6"/>
    <w:rsid w:val="00830404"/>
    <w:rsid w:val="008305A1"/>
    <w:rsid w:val="008305AE"/>
    <w:rsid w:val="008306B0"/>
    <w:rsid w:val="00830C1D"/>
    <w:rsid w:val="00830CEC"/>
    <w:rsid w:val="00830D65"/>
    <w:rsid w:val="00830DF4"/>
    <w:rsid w:val="008311A0"/>
    <w:rsid w:val="00831370"/>
    <w:rsid w:val="00831546"/>
    <w:rsid w:val="00831628"/>
    <w:rsid w:val="008318DC"/>
    <w:rsid w:val="00831A69"/>
    <w:rsid w:val="00831AAE"/>
    <w:rsid w:val="00831B74"/>
    <w:rsid w:val="00831CB6"/>
    <w:rsid w:val="00831D19"/>
    <w:rsid w:val="00832123"/>
    <w:rsid w:val="0083220E"/>
    <w:rsid w:val="008322BE"/>
    <w:rsid w:val="00832389"/>
    <w:rsid w:val="00832459"/>
    <w:rsid w:val="00832C4F"/>
    <w:rsid w:val="008330D5"/>
    <w:rsid w:val="0083317C"/>
    <w:rsid w:val="008332C5"/>
    <w:rsid w:val="0083339A"/>
    <w:rsid w:val="008333AB"/>
    <w:rsid w:val="00833553"/>
    <w:rsid w:val="00833696"/>
    <w:rsid w:val="0083376E"/>
    <w:rsid w:val="00833B9A"/>
    <w:rsid w:val="00833B9F"/>
    <w:rsid w:val="00833C75"/>
    <w:rsid w:val="00833DF0"/>
    <w:rsid w:val="00833F4F"/>
    <w:rsid w:val="00834000"/>
    <w:rsid w:val="00834095"/>
    <w:rsid w:val="008340CA"/>
    <w:rsid w:val="008341F3"/>
    <w:rsid w:val="00834585"/>
    <w:rsid w:val="0083464A"/>
    <w:rsid w:val="00834A17"/>
    <w:rsid w:val="00834DE4"/>
    <w:rsid w:val="00834FE7"/>
    <w:rsid w:val="00835230"/>
    <w:rsid w:val="008352A3"/>
    <w:rsid w:val="008353C8"/>
    <w:rsid w:val="0083552D"/>
    <w:rsid w:val="0083564C"/>
    <w:rsid w:val="00835863"/>
    <w:rsid w:val="0083591B"/>
    <w:rsid w:val="00835962"/>
    <w:rsid w:val="008359D3"/>
    <w:rsid w:val="00835A16"/>
    <w:rsid w:val="00835A90"/>
    <w:rsid w:val="00835B2D"/>
    <w:rsid w:val="00835B34"/>
    <w:rsid w:val="00835CAE"/>
    <w:rsid w:val="0083600B"/>
    <w:rsid w:val="00836937"/>
    <w:rsid w:val="008369D6"/>
    <w:rsid w:val="00836A41"/>
    <w:rsid w:val="00836B0E"/>
    <w:rsid w:val="00836D6B"/>
    <w:rsid w:val="00836F1E"/>
    <w:rsid w:val="0083731A"/>
    <w:rsid w:val="00837622"/>
    <w:rsid w:val="0083767F"/>
    <w:rsid w:val="0083769F"/>
    <w:rsid w:val="008377F0"/>
    <w:rsid w:val="00837C89"/>
    <w:rsid w:val="00837F32"/>
    <w:rsid w:val="00837FF5"/>
    <w:rsid w:val="00840111"/>
    <w:rsid w:val="008401EA"/>
    <w:rsid w:val="00840682"/>
    <w:rsid w:val="008407C5"/>
    <w:rsid w:val="008409CB"/>
    <w:rsid w:val="00840A44"/>
    <w:rsid w:val="00840B87"/>
    <w:rsid w:val="00840C09"/>
    <w:rsid w:val="00840C51"/>
    <w:rsid w:val="00840EFE"/>
    <w:rsid w:val="00841200"/>
    <w:rsid w:val="00841415"/>
    <w:rsid w:val="0084152E"/>
    <w:rsid w:val="00841A61"/>
    <w:rsid w:val="00841AFC"/>
    <w:rsid w:val="00841C68"/>
    <w:rsid w:val="00841D4C"/>
    <w:rsid w:val="00841D90"/>
    <w:rsid w:val="00841F29"/>
    <w:rsid w:val="0084209F"/>
    <w:rsid w:val="00842249"/>
    <w:rsid w:val="00842430"/>
    <w:rsid w:val="00842581"/>
    <w:rsid w:val="008425DC"/>
    <w:rsid w:val="00842841"/>
    <w:rsid w:val="00842EC7"/>
    <w:rsid w:val="00842F8A"/>
    <w:rsid w:val="0084302D"/>
    <w:rsid w:val="008430C9"/>
    <w:rsid w:val="0084334F"/>
    <w:rsid w:val="00843519"/>
    <w:rsid w:val="008438E7"/>
    <w:rsid w:val="00843945"/>
    <w:rsid w:val="00843A76"/>
    <w:rsid w:val="00843C57"/>
    <w:rsid w:val="00843E6F"/>
    <w:rsid w:val="00843FFA"/>
    <w:rsid w:val="00844418"/>
    <w:rsid w:val="00844486"/>
    <w:rsid w:val="00844C6B"/>
    <w:rsid w:val="00844CFD"/>
    <w:rsid w:val="00844E9B"/>
    <w:rsid w:val="00844EEA"/>
    <w:rsid w:val="00844EF0"/>
    <w:rsid w:val="00844F3E"/>
    <w:rsid w:val="00845133"/>
    <w:rsid w:val="008451C3"/>
    <w:rsid w:val="00845211"/>
    <w:rsid w:val="008452D9"/>
    <w:rsid w:val="00845430"/>
    <w:rsid w:val="00845570"/>
    <w:rsid w:val="00846021"/>
    <w:rsid w:val="008460F1"/>
    <w:rsid w:val="0084619D"/>
    <w:rsid w:val="008462B6"/>
    <w:rsid w:val="008462EB"/>
    <w:rsid w:val="008463E1"/>
    <w:rsid w:val="0084653C"/>
    <w:rsid w:val="0084656B"/>
    <w:rsid w:val="008465F3"/>
    <w:rsid w:val="00846616"/>
    <w:rsid w:val="0084663F"/>
    <w:rsid w:val="0084664F"/>
    <w:rsid w:val="008466A0"/>
    <w:rsid w:val="00846873"/>
    <w:rsid w:val="00846A36"/>
    <w:rsid w:val="00846B08"/>
    <w:rsid w:val="00846E4A"/>
    <w:rsid w:val="00846E59"/>
    <w:rsid w:val="0084706E"/>
    <w:rsid w:val="0084748A"/>
    <w:rsid w:val="008475C5"/>
    <w:rsid w:val="0084761C"/>
    <w:rsid w:val="008478A1"/>
    <w:rsid w:val="00847F3A"/>
    <w:rsid w:val="0085002D"/>
    <w:rsid w:val="008505F3"/>
    <w:rsid w:val="008506C1"/>
    <w:rsid w:val="008507ED"/>
    <w:rsid w:val="0085092D"/>
    <w:rsid w:val="00850953"/>
    <w:rsid w:val="008509EC"/>
    <w:rsid w:val="00850A43"/>
    <w:rsid w:val="00850D89"/>
    <w:rsid w:val="00851024"/>
    <w:rsid w:val="00851361"/>
    <w:rsid w:val="0085151B"/>
    <w:rsid w:val="00851614"/>
    <w:rsid w:val="00851783"/>
    <w:rsid w:val="008519EB"/>
    <w:rsid w:val="00851A00"/>
    <w:rsid w:val="00851AF5"/>
    <w:rsid w:val="00851F96"/>
    <w:rsid w:val="00851FB5"/>
    <w:rsid w:val="00852290"/>
    <w:rsid w:val="00852311"/>
    <w:rsid w:val="0085241E"/>
    <w:rsid w:val="008524BA"/>
    <w:rsid w:val="008524C4"/>
    <w:rsid w:val="00852993"/>
    <w:rsid w:val="00852B4E"/>
    <w:rsid w:val="00852EB7"/>
    <w:rsid w:val="00852EE5"/>
    <w:rsid w:val="00852F1F"/>
    <w:rsid w:val="00852FF5"/>
    <w:rsid w:val="00853147"/>
    <w:rsid w:val="00853149"/>
    <w:rsid w:val="008531C9"/>
    <w:rsid w:val="008531DB"/>
    <w:rsid w:val="008533BE"/>
    <w:rsid w:val="00853571"/>
    <w:rsid w:val="00853677"/>
    <w:rsid w:val="008538FB"/>
    <w:rsid w:val="00853AED"/>
    <w:rsid w:val="00853B14"/>
    <w:rsid w:val="00853B91"/>
    <w:rsid w:val="00853BE6"/>
    <w:rsid w:val="00853C3C"/>
    <w:rsid w:val="00853D39"/>
    <w:rsid w:val="00854098"/>
    <w:rsid w:val="008543DE"/>
    <w:rsid w:val="00854C82"/>
    <w:rsid w:val="00854CB9"/>
    <w:rsid w:val="0085564D"/>
    <w:rsid w:val="008557F9"/>
    <w:rsid w:val="008557FD"/>
    <w:rsid w:val="008558A2"/>
    <w:rsid w:val="00855960"/>
    <w:rsid w:val="008559CF"/>
    <w:rsid w:val="00855B87"/>
    <w:rsid w:val="00855CF5"/>
    <w:rsid w:val="00855F71"/>
    <w:rsid w:val="008561E8"/>
    <w:rsid w:val="008561F8"/>
    <w:rsid w:val="008567CD"/>
    <w:rsid w:val="0085687D"/>
    <w:rsid w:val="00856E22"/>
    <w:rsid w:val="00856E73"/>
    <w:rsid w:val="0085705C"/>
    <w:rsid w:val="008571D2"/>
    <w:rsid w:val="0085741C"/>
    <w:rsid w:val="008574B6"/>
    <w:rsid w:val="0085758E"/>
    <w:rsid w:val="0085763B"/>
    <w:rsid w:val="0085764C"/>
    <w:rsid w:val="008577C5"/>
    <w:rsid w:val="008577DF"/>
    <w:rsid w:val="00857927"/>
    <w:rsid w:val="008579AF"/>
    <w:rsid w:val="008579DB"/>
    <w:rsid w:val="00857A44"/>
    <w:rsid w:val="00857A91"/>
    <w:rsid w:val="00857AE1"/>
    <w:rsid w:val="00857EF0"/>
    <w:rsid w:val="00857FE0"/>
    <w:rsid w:val="0086025A"/>
    <w:rsid w:val="008604B9"/>
    <w:rsid w:val="0086050B"/>
    <w:rsid w:val="00860580"/>
    <w:rsid w:val="0086069C"/>
    <w:rsid w:val="008606D6"/>
    <w:rsid w:val="008606E6"/>
    <w:rsid w:val="00860C0C"/>
    <w:rsid w:val="00860DEC"/>
    <w:rsid w:val="00860E2C"/>
    <w:rsid w:val="008611BA"/>
    <w:rsid w:val="008612A0"/>
    <w:rsid w:val="00861591"/>
    <w:rsid w:val="008615EF"/>
    <w:rsid w:val="00861B04"/>
    <w:rsid w:val="00861B57"/>
    <w:rsid w:val="00861C9A"/>
    <w:rsid w:val="00861CB2"/>
    <w:rsid w:val="00861EBB"/>
    <w:rsid w:val="008621B7"/>
    <w:rsid w:val="0086282B"/>
    <w:rsid w:val="00862B94"/>
    <w:rsid w:val="0086328B"/>
    <w:rsid w:val="008634E7"/>
    <w:rsid w:val="00863A2A"/>
    <w:rsid w:val="00863BBC"/>
    <w:rsid w:val="00863CCC"/>
    <w:rsid w:val="00863D56"/>
    <w:rsid w:val="00863DE2"/>
    <w:rsid w:val="00863FF7"/>
    <w:rsid w:val="00864231"/>
    <w:rsid w:val="008642FB"/>
    <w:rsid w:val="008644B7"/>
    <w:rsid w:val="008647DE"/>
    <w:rsid w:val="00864B95"/>
    <w:rsid w:val="00864FD0"/>
    <w:rsid w:val="00865451"/>
    <w:rsid w:val="0086588B"/>
    <w:rsid w:val="008658A8"/>
    <w:rsid w:val="008658AC"/>
    <w:rsid w:val="00865999"/>
    <w:rsid w:val="0086615D"/>
    <w:rsid w:val="008661E5"/>
    <w:rsid w:val="00866336"/>
    <w:rsid w:val="00866492"/>
    <w:rsid w:val="008665C7"/>
    <w:rsid w:val="00866B07"/>
    <w:rsid w:val="00866C09"/>
    <w:rsid w:val="00866C2E"/>
    <w:rsid w:val="00866C70"/>
    <w:rsid w:val="00866D0D"/>
    <w:rsid w:val="00866D12"/>
    <w:rsid w:val="00866DA1"/>
    <w:rsid w:val="00866F55"/>
    <w:rsid w:val="0086701C"/>
    <w:rsid w:val="00867086"/>
    <w:rsid w:val="008670A6"/>
    <w:rsid w:val="008672FB"/>
    <w:rsid w:val="00867332"/>
    <w:rsid w:val="008674FA"/>
    <w:rsid w:val="00867541"/>
    <w:rsid w:val="00867BD7"/>
    <w:rsid w:val="00867CB6"/>
    <w:rsid w:val="00867D08"/>
    <w:rsid w:val="00867D81"/>
    <w:rsid w:val="0087003E"/>
    <w:rsid w:val="00870603"/>
    <w:rsid w:val="00870778"/>
    <w:rsid w:val="00870889"/>
    <w:rsid w:val="00870C86"/>
    <w:rsid w:val="00870CA6"/>
    <w:rsid w:val="00870DE9"/>
    <w:rsid w:val="00870E31"/>
    <w:rsid w:val="00870E8A"/>
    <w:rsid w:val="00870EC7"/>
    <w:rsid w:val="00870F1A"/>
    <w:rsid w:val="0087108A"/>
    <w:rsid w:val="008710AF"/>
    <w:rsid w:val="00871155"/>
    <w:rsid w:val="008711C0"/>
    <w:rsid w:val="00871208"/>
    <w:rsid w:val="00871376"/>
    <w:rsid w:val="0087155B"/>
    <w:rsid w:val="00871789"/>
    <w:rsid w:val="00871A33"/>
    <w:rsid w:val="00871B56"/>
    <w:rsid w:val="00871E34"/>
    <w:rsid w:val="00871E45"/>
    <w:rsid w:val="00871FA8"/>
    <w:rsid w:val="0087207E"/>
    <w:rsid w:val="00872253"/>
    <w:rsid w:val="008723D6"/>
    <w:rsid w:val="00872525"/>
    <w:rsid w:val="008725DE"/>
    <w:rsid w:val="008726A7"/>
    <w:rsid w:val="00872706"/>
    <w:rsid w:val="008729CA"/>
    <w:rsid w:val="00872B95"/>
    <w:rsid w:val="00872C03"/>
    <w:rsid w:val="00872C4F"/>
    <w:rsid w:val="00872E25"/>
    <w:rsid w:val="00872FE0"/>
    <w:rsid w:val="00873297"/>
    <w:rsid w:val="00873395"/>
    <w:rsid w:val="008734A3"/>
    <w:rsid w:val="00873A74"/>
    <w:rsid w:val="00873AE0"/>
    <w:rsid w:val="00873B34"/>
    <w:rsid w:val="00873BED"/>
    <w:rsid w:val="00873E1F"/>
    <w:rsid w:val="00873F9C"/>
    <w:rsid w:val="00873FA0"/>
    <w:rsid w:val="00874045"/>
    <w:rsid w:val="00874303"/>
    <w:rsid w:val="0087439F"/>
    <w:rsid w:val="0087444B"/>
    <w:rsid w:val="00874543"/>
    <w:rsid w:val="00874B31"/>
    <w:rsid w:val="00874C82"/>
    <w:rsid w:val="0087506A"/>
    <w:rsid w:val="00875143"/>
    <w:rsid w:val="008757C0"/>
    <w:rsid w:val="00875856"/>
    <w:rsid w:val="00875B9E"/>
    <w:rsid w:val="0087639B"/>
    <w:rsid w:val="00876736"/>
    <w:rsid w:val="00876853"/>
    <w:rsid w:val="0087689B"/>
    <w:rsid w:val="00876AD4"/>
    <w:rsid w:val="00876B50"/>
    <w:rsid w:val="00876B7D"/>
    <w:rsid w:val="00876BF0"/>
    <w:rsid w:val="00876E23"/>
    <w:rsid w:val="00876F2A"/>
    <w:rsid w:val="00876F6E"/>
    <w:rsid w:val="00877020"/>
    <w:rsid w:val="008771B0"/>
    <w:rsid w:val="008771B9"/>
    <w:rsid w:val="008771DD"/>
    <w:rsid w:val="00877313"/>
    <w:rsid w:val="0087744E"/>
    <w:rsid w:val="00877622"/>
    <w:rsid w:val="0087772C"/>
    <w:rsid w:val="00877950"/>
    <w:rsid w:val="00877B83"/>
    <w:rsid w:val="00877C4C"/>
    <w:rsid w:val="00877DA4"/>
    <w:rsid w:val="00877F0C"/>
    <w:rsid w:val="008800D3"/>
    <w:rsid w:val="008803C4"/>
    <w:rsid w:val="008804B5"/>
    <w:rsid w:val="0088073C"/>
    <w:rsid w:val="00880796"/>
    <w:rsid w:val="008808ED"/>
    <w:rsid w:val="00880957"/>
    <w:rsid w:val="00880A3C"/>
    <w:rsid w:val="00880AEA"/>
    <w:rsid w:val="00880BE9"/>
    <w:rsid w:val="00880C5D"/>
    <w:rsid w:val="00880CB8"/>
    <w:rsid w:val="00880E7C"/>
    <w:rsid w:val="00880F32"/>
    <w:rsid w:val="00880F56"/>
    <w:rsid w:val="00880F74"/>
    <w:rsid w:val="008815DB"/>
    <w:rsid w:val="0088165D"/>
    <w:rsid w:val="008816D8"/>
    <w:rsid w:val="008819ED"/>
    <w:rsid w:val="00881A07"/>
    <w:rsid w:val="00881A7D"/>
    <w:rsid w:val="00881B5B"/>
    <w:rsid w:val="00881DA7"/>
    <w:rsid w:val="0088208F"/>
    <w:rsid w:val="008821EF"/>
    <w:rsid w:val="0088232E"/>
    <w:rsid w:val="00882411"/>
    <w:rsid w:val="0088241A"/>
    <w:rsid w:val="0088247D"/>
    <w:rsid w:val="00882632"/>
    <w:rsid w:val="0088265D"/>
    <w:rsid w:val="00882666"/>
    <w:rsid w:val="00882716"/>
    <w:rsid w:val="00882A60"/>
    <w:rsid w:val="00882B05"/>
    <w:rsid w:val="00882B7A"/>
    <w:rsid w:val="00882BBB"/>
    <w:rsid w:val="00882CEE"/>
    <w:rsid w:val="00882D52"/>
    <w:rsid w:val="00882FB6"/>
    <w:rsid w:val="0088301F"/>
    <w:rsid w:val="00883048"/>
    <w:rsid w:val="0088306E"/>
    <w:rsid w:val="008832D9"/>
    <w:rsid w:val="008836A2"/>
    <w:rsid w:val="008838F8"/>
    <w:rsid w:val="00883EAD"/>
    <w:rsid w:val="00883EEA"/>
    <w:rsid w:val="00884256"/>
    <w:rsid w:val="008844E1"/>
    <w:rsid w:val="008845BC"/>
    <w:rsid w:val="00884937"/>
    <w:rsid w:val="008849B7"/>
    <w:rsid w:val="00884AE3"/>
    <w:rsid w:val="00884C26"/>
    <w:rsid w:val="00885069"/>
    <w:rsid w:val="0088509A"/>
    <w:rsid w:val="008851AC"/>
    <w:rsid w:val="0088560C"/>
    <w:rsid w:val="008856F3"/>
    <w:rsid w:val="00885DBC"/>
    <w:rsid w:val="00885DC6"/>
    <w:rsid w:val="008864EE"/>
    <w:rsid w:val="008865FE"/>
    <w:rsid w:val="00886607"/>
    <w:rsid w:val="00886CDD"/>
    <w:rsid w:val="00886E92"/>
    <w:rsid w:val="0088700B"/>
    <w:rsid w:val="008872AA"/>
    <w:rsid w:val="00887394"/>
    <w:rsid w:val="00887601"/>
    <w:rsid w:val="008879F5"/>
    <w:rsid w:val="00887AD9"/>
    <w:rsid w:val="00887AF1"/>
    <w:rsid w:val="00887BD5"/>
    <w:rsid w:val="00887D5C"/>
    <w:rsid w:val="00887E59"/>
    <w:rsid w:val="00887E6F"/>
    <w:rsid w:val="00887FB8"/>
    <w:rsid w:val="0089002B"/>
    <w:rsid w:val="00890327"/>
    <w:rsid w:val="00890392"/>
    <w:rsid w:val="0089040C"/>
    <w:rsid w:val="0089061C"/>
    <w:rsid w:val="0089064E"/>
    <w:rsid w:val="0089091E"/>
    <w:rsid w:val="00890A19"/>
    <w:rsid w:val="00890BC3"/>
    <w:rsid w:val="00890D08"/>
    <w:rsid w:val="00890EDE"/>
    <w:rsid w:val="00890F46"/>
    <w:rsid w:val="008910E8"/>
    <w:rsid w:val="0089161B"/>
    <w:rsid w:val="008916D0"/>
    <w:rsid w:val="0089170B"/>
    <w:rsid w:val="008918CD"/>
    <w:rsid w:val="00891BF8"/>
    <w:rsid w:val="00891C01"/>
    <w:rsid w:val="0089214D"/>
    <w:rsid w:val="00892271"/>
    <w:rsid w:val="008928D5"/>
    <w:rsid w:val="00892912"/>
    <w:rsid w:val="00892918"/>
    <w:rsid w:val="008929AE"/>
    <w:rsid w:val="00892C4A"/>
    <w:rsid w:val="00892DED"/>
    <w:rsid w:val="0089302B"/>
    <w:rsid w:val="008930C7"/>
    <w:rsid w:val="00893287"/>
    <w:rsid w:val="00893614"/>
    <w:rsid w:val="00893657"/>
    <w:rsid w:val="00893676"/>
    <w:rsid w:val="008936DB"/>
    <w:rsid w:val="008936F9"/>
    <w:rsid w:val="0089391D"/>
    <w:rsid w:val="0089393B"/>
    <w:rsid w:val="00893C0D"/>
    <w:rsid w:val="00893CAA"/>
    <w:rsid w:val="00893D9E"/>
    <w:rsid w:val="00893F92"/>
    <w:rsid w:val="00893F96"/>
    <w:rsid w:val="00894280"/>
    <w:rsid w:val="008942E4"/>
    <w:rsid w:val="00894504"/>
    <w:rsid w:val="00894623"/>
    <w:rsid w:val="00894842"/>
    <w:rsid w:val="00894938"/>
    <w:rsid w:val="00894DE4"/>
    <w:rsid w:val="00894E7F"/>
    <w:rsid w:val="008951CD"/>
    <w:rsid w:val="0089541E"/>
    <w:rsid w:val="008954F4"/>
    <w:rsid w:val="00895526"/>
    <w:rsid w:val="0089574D"/>
    <w:rsid w:val="00895923"/>
    <w:rsid w:val="008959B8"/>
    <w:rsid w:val="00895A51"/>
    <w:rsid w:val="00895AC3"/>
    <w:rsid w:val="00895F40"/>
    <w:rsid w:val="00895FD0"/>
    <w:rsid w:val="008960D9"/>
    <w:rsid w:val="0089616B"/>
    <w:rsid w:val="0089616C"/>
    <w:rsid w:val="00896277"/>
    <w:rsid w:val="00896537"/>
    <w:rsid w:val="008966C4"/>
    <w:rsid w:val="00896821"/>
    <w:rsid w:val="008969CF"/>
    <w:rsid w:val="00896B09"/>
    <w:rsid w:val="00896B4D"/>
    <w:rsid w:val="00896DB7"/>
    <w:rsid w:val="00896E0C"/>
    <w:rsid w:val="00897148"/>
    <w:rsid w:val="0089730F"/>
    <w:rsid w:val="0089739F"/>
    <w:rsid w:val="00897462"/>
    <w:rsid w:val="0089754B"/>
    <w:rsid w:val="0089761B"/>
    <w:rsid w:val="0089771A"/>
    <w:rsid w:val="00897B3E"/>
    <w:rsid w:val="00897B98"/>
    <w:rsid w:val="00897BB8"/>
    <w:rsid w:val="00897C05"/>
    <w:rsid w:val="00897CA6"/>
    <w:rsid w:val="00897E8C"/>
    <w:rsid w:val="00897F94"/>
    <w:rsid w:val="008A001A"/>
    <w:rsid w:val="008A04DC"/>
    <w:rsid w:val="008A05DB"/>
    <w:rsid w:val="008A0658"/>
    <w:rsid w:val="008A09A9"/>
    <w:rsid w:val="008A09D1"/>
    <w:rsid w:val="008A0E22"/>
    <w:rsid w:val="008A1126"/>
    <w:rsid w:val="008A1261"/>
    <w:rsid w:val="008A137C"/>
    <w:rsid w:val="008A13F9"/>
    <w:rsid w:val="008A15C6"/>
    <w:rsid w:val="008A1BB7"/>
    <w:rsid w:val="008A1D09"/>
    <w:rsid w:val="008A1EEC"/>
    <w:rsid w:val="008A1FB2"/>
    <w:rsid w:val="008A20DA"/>
    <w:rsid w:val="008A226E"/>
    <w:rsid w:val="008A2334"/>
    <w:rsid w:val="008A2840"/>
    <w:rsid w:val="008A28EE"/>
    <w:rsid w:val="008A2939"/>
    <w:rsid w:val="008A2AEA"/>
    <w:rsid w:val="008A2CD3"/>
    <w:rsid w:val="008A2FB8"/>
    <w:rsid w:val="008A3192"/>
    <w:rsid w:val="008A33CD"/>
    <w:rsid w:val="008A3580"/>
    <w:rsid w:val="008A35E0"/>
    <w:rsid w:val="008A364A"/>
    <w:rsid w:val="008A365F"/>
    <w:rsid w:val="008A3711"/>
    <w:rsid w:val="008A393A"/>
    <w:rsid w:val="008A39D9"/>
    <w:rsid w:val="008A3A94"/>
    <w:rsid w:val="008A3AC3"/>
    <w:rsid w:val="008A3E7A"/>
    <w:rsid w:val="008A3F0D"/>
    <w:rsid w:val="008A408A"/>
    <w:rsid w:val="008A4234"/>
    <w:rsid w:val="008A4392"/>
    <w:rsid w:val="008A455B"/>
    <w:rsid w:val="008A4595"/>
    <w:rsid w:val="008A45C2"/>
    <w:rsid w:val="008A4658"/>
    <w:rsid w:val="008A46D0"/>
    <w:rsid w:val="008A4A5A"/>
    <w:rsid w:val="008A4A64"/>
    <w:rsid w:val="008A5056"/>
    <w:rsid w:val="008A508D"/>
    <w:rsid w:val="008A5206"/>
    <w:rsid w:val="008A524E"/>
    <w:rsid w:val="008A5281"/>
    <w:rsid w:val="008A5353"/>
    <w:rsid w:val="008A5608"/>
    <w:rsid w:val="008A5782"/>
    <w:rsid w:val="008A5A23"/>
    <w:rsid w:val="008A5B44"/>
    <w:rsid w:val="008A5B65"/>
    <w:rsid w:val="008A5ECF"/>
    <w:rsid w:val="008A6031"/>
    <w:rsid w:val="008A60A2"/>
    <w:rsid w:val="008A637D"/>
    <w:rsid w:val="008A6771"/>
    <w:rsid w:val="008A68C3"/>
    <w:rsid w:val="008A6A9B"/>
    <w:rsid w:val="008A6AFA"/>
    <w:rsid w:val="008A6D0E"/>
    <w:rsid w:val="008A6DF1"/>
    <w:rsid w:val="008A6E18"/>
    <w:rsid w:val="008A6EB1"/>
    <w:rsid w:val="008A6EF4"/>
    <w:rsid w:val="008A7463"/>
    <w:rsid w:val="008A786B"/>
    <w:rsid w:val="008A7C27"/>
    <w:rsid w:val="008B02AB"/>
    <w:rsid w:val="008B0426"/>
    <w:rsid w:val="008B0A8B"/>
    <w:rsid w:val="008B0B12"/>
    <w:rsid w:val="008B0F0B"/>
    <w:rsid w:val="008B0FCA"/>
    <w:rsid w:val="008B1130"/>
    <w:rsid w:val="008B130F"/>
    <w:rsid w:val="008B1579"/>
    <w:rsid w:val="008B180A"/>
    <w:rsid w:val="008B18CC"/>
    <w:rsid w:val="008B18EB"/>
    <w:rsid w:val="008B1A07"/>
    <w:rsid w:val="008B1B73"/>
    <w:rsid w:val="008B1BA0"/>
    <w:rsid w:val="008B1E08"/>
    <w:rsid w:val="008B2058"/>
    <w:rsid w:val="008B20AC"/>
    <w:rsid w:val="008B20B2"/>
    <w:rsid w:val="008B20C2"/>
    <w:rsid w:val="008B2103"/>
    <w:rsid w:val="008B2B26"/>
    <w:rsid w:val="008B2B4E"/>
    <w:rsid w:val="008B2C86"/>
    <w:rsid w:val="008B325E"/>
    <w:rsid w:val="008B3332"/>
    <w:rsid w:val="008B336C"/>
    <w:rsid w:val="008B3456"/>
    <w:rsid w:val="008B3505"/>
    <w:rsid w:val="008B3532"/>
    <w:rsid w:val="008B3809"/>
    <w:rsid w:val="008B394B"/>
    <w:rsid w:val="008B39DF"/>
    <w:rsid w:val="008B39FA"/>
    <w:rsid w:val="008B4139"/>
    <w:rsid w:val="008B46AB"/>
    <w:rsid w:val="008B4720"/>
    <w:rsid w:val="008B4B46"/>
    <w:rsid w:val="008B4DC8"/>
    <w:rsid w:val="008B4E93"/>
    <w:rsid w:val="008B4EF0"/>
    <w:rsid w:val="008B4F4C"/>
    <w:rsid w:val="008B4F65"/>
    <w:rsid w:val="008B5099"/>
    <w:rsid w:val="008B5170"/>
    <w:rsid w:val="008B52ED"/>
    <w:rsid w:val="008B5394"/>
    <w:rsid w:val="008B540D"/>
    <w:rsid w:val="008B55EC"/>
    <w:rsid w:val="008B5623"/>
    <w:rsid w:val="008B5870"/>
    <w:rsid w:val="008B599D"/>
    <w:rsid w:val="008B5B03"/>
    <w:rsid w:val="008B5B1B"/>
    <w:rsid w:val="008B5B52"/>
    <w:rsid w:val="008B5C8F"/>
    <w:rsid w:val="008B5EA3"/>
    <w:rsid w:val="008B5F16"/>
    <w:rsid w:val="008B5FC7"/>
    <w:rsid w:val="008B6089"/>
    <w:rsid w:val="008B6340"/>
    <w:rsid w:val="008B63B6"/>
    <w:rsid w:val="008B63E1"/>
    <w:rsid w:val="008B64C1"/>
    <w:rsid w:val="008B6BD9"/>
    <w:rsid w:val="008B6D7B"/>
    <w:rsid w:val="008B6DEB"/>
    <w:rsid w:val="008B6E58"/>
    <w:rsid w:val="008B6EB7"/>
    <w:rsid w:val="008B6F72"/>
    <w:rsid w:val="008B707E"/>
    <w:rsid w:val="008B7722"/>
    <w:rsid w:val="008B781C"/>
    <w:rsid w:val="008B7A69"/>
    <w:rsid w:val="008B7BEE"/>
    <w:rsid w:val="008B7C6F"/>
    <w:rsid w:val="008B7D66"/>
    <w:rsid w:val="008B7DB9"/>
    <w:rsid w:val="008B7DD9"/>
    <w:rsid w:val="008C01AE"/>
    <w:rsid w:val="008C0240"/>
    <w:rsid w:val="008C0528"/>
    <w:rsid w:val="008C0710"/>
    <w:rsid w:val="008C0738"/>
    <w:rsid w:val="008C0A64"/>
    <w:rsid w:val="008C0BF5"/>
    <w:rsid w:val="008C0C20"/>
    <w:rsid w:val="008C0D8E"/>
    <w:rsid w:val="008C0E5C"/>
    <w:rsid w:val="008C1183"/>
    <w:rsid w:val="008C119E"/>
    <w:rsid w:val="008C11EE"/>
    <w:rsid w:val="008C1273"/>
    <w:rsid w:val="008C1517"/>
    <w:rsid w:val="008C1760"/>
    <w:rsid w:val="008C17D3"/>
    <w:rsid w:val="008C1909"/>
    <w:rsid w:val="008C1B9C"/>
    <w:rsid w:val="008C1CC7"/>
    <w:rsid w:val="008C1E85"/>
    <w:rsid w:val="008C1FA8"/>
    <w:rsid w:val="008C1FE4"/>
    <w:rsid w:val="008C21FE"/>
    <w:rsid w:val="008C23CB"/>
    <w:rsid w:val="008C267C"/>
    <w:rsid w:val="008C27B9"/>
    <w:rsid w:val="008C28B9"/>
    <w:rsid w:val="008C2D5A"/>
    <w:rsid w:val="008C3394"/>
    <w:rsid w:val="008C3540"/>
    <w:rsid w:val="008C3565"/>
    <w:rsid w:val="008C356D"/>
    <w:rsid w:val="008C37EA"/>
    <w:rsid w:val="008C39AB"/>
    <w:rsid w:val="008C3B10"/>
    <w:rsid w:val="008C3BD1"/>
    <w:rsid w:val="008C3C28"/>
    <w:rsid w:val="008C3E36"/>
    <w:rsid w:val="008C3EAA"/>
    <w:rsid w:val="008C3FF2"/>
    <w:rsid w:val="008C4171"/>
    <w:rsid w:val="008C4336"/>
    <w:rsid w:val="008C447F"/>
    <w:rsid w:val="008C46D6"/>
    <w:rsid w:val="008C4700"/>
    <w:rsid w:val="008C4726"/>
    <w:rsid w:val="008C4818"/>
    <w:rsid w:val="008C4AAC"/>
    <w:rsid w:val="008C4C8A"/>
    <w:rsid w:val="008C4E56"/>
    <w:rsid w:val="008C4EBC"/>
    <w:rsid w:val="008C546A"/>
    <w:rsid w:val="008C5486"/>
    <w:rsid w:val="008C54C4"/>
    <w:rsid w:val="008C54E3"/>
    <w:rsid w:val="008C5840"/>
    <w:rsid w:val="008C58B6"/>
    <w:rsid w:val="008C5CE3"/>
    <w:rsid w:val="008C5DCC"/>
    <w:rsid w:val="008C5DF7"/>
    <w:rsid w:val="008C5F81"/>
    <w:rsid w:val="008C5FCF"/>
    <w:rsid w:val="008C6162"/>
    <w:rsid w:val="008C62E4"/>
    <w:rsid w:val="008C6320"/>
    <w:rsid w:val="008C63BD"/>
    <w:rsid w:val="008C675E"/>
    <w:rsid w:val="008C6DF5"/>
    <w:rsid w:val="008C7221"/>
    <w:rsid w:val="008C72B8"/>
    <w:rsid w:val="008C72B9"/>
    <w:rsid w:val="008C7562"/>
    <w:rsid w:val="008C782E"/>
    <w:rsid w:val="008C7DBE"/>
    <w:rsid w:val="008C7DD9"/>
    <w:rsid w:val="008C7E15"/>
    <w:rsid w:val="008D0013"/>
    <w:rsid w:val="008D00BE"/>
    <w:rsid w:val="008D0152"/>
    <w:rsid w:val="008D01E0"/>
    <w:rsid w:val="008D0298"/>
    <w:rsid w:val="008D0379"/>
    <w:rsid w:val="008D03AB"/>
    <w:rsid w:val="008D04C5"/>
    <w:rsid w:val="008D0707"/>
    <w:rsid w:val="008D08FB"/>
    <w:rsid w:val="008D0B0C"/>
    <w:rsid w:val="008D0B79"/>
    <w:rsid w:val="008D0E3C"/>
    <w:rsid w:val="008D0E83"/>
    <w:rsid w:val="008D0EE6"/>
    <w:rsid w:val="008D1038"/>
    <w:rsid w:val="008D1201"/>
    <w:rsid w:val="008D1351"/>
    <w:rsid w:val="008D168D"/>
    <w:rsid w:val="008D1856"/>
    <w:rsid w:val="008D18CE"/>
    <w:rsid w:val="008D1AD3"/>
    <w:rsid w:val="008D1BC1"/>
    <w:rsid w:val="008D1C8D"/>
    <w:rsid w:val="008D1E26"/>
    <w:rsid w:val="008D1E7E"/>
    <w:rsid w:val="008D1ED3"/>
    <w:rsid w:val="008D2265"/>
    <w:rsid w:val="008D22A4"/>
    <w:rsid w:val="008D233F"/>
    <w:rsid w:val="008D240B"/>
    <w:rsid w:val="008D246B"/>
    <w:rsid w:val="008D284D"/>
    <w:rsid w:val="008D2C91"/>
    <w:rsid w:val="008D2EE8"/>
    <w:rsid w:val="008D2FB9"/>
    <w:rsid w:val="008D2FCF"/>
    <w:rsid w:val="008D3257"/>
    <w:rsid w:val="008D345A"/>
    <w:rsid w:val="008D348B"/>
    <w:rsid w:val="008D3775"/>
    <w:rsid w:val="008D37C5"/>
    <w:rsid w:val="008D37EB"/>
    <w:rsid w:val="008D39C6"/>
    <w:rsid w:val="008D39E6"/>
    <w:rsid w:val="008D3A57"/>
    <w:rsid w:val="008D3B64"/>
    <w:rsid w:val="008D3D82"/>
    <w:rsid w:val="008D3E15"/>
    <w:rsid w:val="008D3ED9"/>
    <w:rsid w:val="008D46C0"/>
    <w:rsid w:val="008D4B18"/>
    <w:rsid w:val="008D4C84"/>
    <w:rsid w:val="008D4DB4"/>
    <w:rsid w:val="008D4DB8"/>
    <w:rsid w:val="008D51E5"/>
    <w:rsid w:val="008D5552"/>
    <w:rsid w:val="008D57E1"/>
    <w:rsid w:val="008D5826"/>
    <w:rsid w:val="008D6276"/>
    <w:rsid w:val="008D63C4"/>
    <w:rsid w:val="008D6638"/>
    <w:rsid w:val="008D6845"/>
    <w:rsid w:val="008D69CC"/>
    <w:rsid w:val="008D69E5"/>
    <w:rsid w:val="008D6CB1"/>
    <w:rsid w:val="008D6CCC"/>
    <w:rsid w:val="008D6EE7"/>
    <w:rsid w:val="008D707D"/>
    <w:rsid w:val="008D7450"/>
    <w:rsid w:val="008D7498"/>
    <w:rsid w:val="008D7600"/>
    <w:rsid w:val="008D76AE"/>
    <w:rsid w:val="008D76D5"/>
    <w:rsid w:val="008D7830"/>
    <w:rsid w:val="008D7B68"/>
    <w:rsid w:val="008D7CEF"/>
    <w:rsid w:val="008E0010"/>
    <w:rsid w:val="008E0030"/>
    <w:rsid w:val="008E013E"/>
    <w:rsid w:val="008E0469"/>
    <w:rsid w:val="008E054B"/>
    <w:rsid w:val="008E0694"/>
    <w:rsid w:val="008E08A4"/>
    <w:rsid w:val="008E09D1"/>
    <w:rsid w:val="008E0A6C"/>
    <w:rsid w:val="008E0AA6"/>
    <w:rsid w:val="008E0AC8"/>
    <w:rsid w:val="008E0C2B"/>
    <w:rsid w:val="008E0D28"/>
    <w:rsid w:val="008E0DB0"/>
    <w:rsid w:val="008E0E74"/>
    <w:rsid w:val="008E10F6"/>
    <w:rsid w:val="008E1243"/>
    <w:rsid w:val="008E1250"/>
    <w:rsid w:val="008E1417"/>
    <w:rsid w:val="008E16E8"/>
    <w:rsid w:val="008E16F0"/>
    <w:rsid w:val="008E179D"/>
    <w:rsid w:val="008E184E"/>
    <w:rsid w:val="008E1A92"/>
    <w:rsid w:val="008E1C01"/>
    <w:rsid w:val="008E1D8A"/>
    <w:rsid w:val="008E230F"/>
    <w:rsid w:val="008E23BA"/>
    <w:rsid w:val="008E2530"/>
    <w:rsid w:val="008E27E0"/>
    <w:rsid w:val="008E2BDB"/>
    <w:rsid w:val="008E2BE4"/>
    <w:rsid w:val="008E2D06"/>
    <w:rsid w:val="008E2F59"/>
    <w:rsid w:val="008E3472"/>
    <w:rsid w:val="008E37BE"/>
    <w:rsid w:val="008E3A51"/>
    <w:rsid w:val="008E3A99"/>
    <w:rsid w:val="008E3AFB"/>
    <w:rsid w:val="008E3E2D"/>
    <w:rsid w:val="008E401C"/>
    <w:rsid w:val="008E4032"/>
    <w:rsid w:val="008E4125"/>
    <w:rsid w:val="008E4225"/>
    <w:rsid w:val="008E438A"/>
    <w:rsid w:val="008E43DD"/>
    <w:rsid w:val="008E44B1"/>
    <w:rsid w:val="008E45ED"/>
    <w:rsid w:val="008E4688"/>
    <w:rsid w:val="008E485F"/>
    <w:rsid w:val="008E487D"/>
    <w:rsid w:val="008E48AD"/>
    <w:rsid w:val="008E490A"/>
    <w:rsid w:val="008E494C"/>
    <w:rsid w:val="008E49B8"/>
    <w:rsid w:val="008E4B50"/>
    <w:rsid w:val="008E4CA3"/>
    <w:rsid w:val="008E4D3D"/>
    <w:rsid w:val="008E5333"/>
    <w:rsid w:val="008E542C"/>
    <w:rsid w:val="008E55AC"/>
    <w:rsid w:val="008E5665"/>
    <w:rsid w:val="008E591B"/>
    <w:rsid w:val="008E595B"/>
    <w:rsid w:val="008E59A2"/>
    <w:rsid w:val="008E5AC2"/>
    <w:rsid w:val="008E5B31"/>
    <w:rsid w:val="008E5B47"/>
    <w:rsid w:val="008E5B95"/>
    <w:rsid w:val="008E5BE1"/>
    <w:rsid w:val="008E5CB5"/>
    <w:rsid w:val="008E5DAA"/>
    <w:rsid w:val="008E5E69"/>
    <w:rsid w:val="008E5E94"/>
    <w:rsid w:val="008E5F23"/>
    <w:rsid w:val="008E6084"/>
    <w:rsid w:val="008E61EE"/>
    <w:rsid w:val="008E62AA"/>
    <w:rsid w:val="008E6A55"/>
    <w:rsid w:val="008E6B4E"/>
    <w:rsid w:val="008E6B9B"/>
    <w:rsid w:val="008E6C72"/>
    <w:rsid w:val="008E6C7B"/>
    <w:rsid w:val="008E6F61"/>
    <w:rsid w:val="008E6FCE"/>
    <w:rsid w:val="008E704A"/>
    <w:rsid w:val="008E7113"/>
    <w:rsid w:val="008E74A3"/>
    <w:rsid w:val="008E762B"/>
    <w:rsid w:val="008E76D9"/>
    <w:rsid w:val="008E77B0"/>
    <w:rsid w:val="008E7970"/>
    <w:rsid w:val="008E7B4E"/>
    <w:rsid w:val="008E7B6A"/>
    <w:rsid w:val="008E7BFB"/>
    <w:rsid w:val="008E7C10"/>
    <w:rsid w:val="008E7C34"/>
    <w:rsid w:val="008E7CE1"/>
    <w:rsid w:val="008F0171"/>
    <w:rsid w:val="008F0256"/>
    <w:rsid w:val="008F046A"/>
    <w:rsid w:val="008F0701"/>
    <w:rsid w:val="008F083C"/>
    <w:rsid w:val="008F0A87"/>
    <w:rsid w:val="008F0C36"/>
    <w:rsid w:val="008F0E73"/>
    <w:rsid w:val="008F10A5"/>
    <w:rsid w:val="008F1454"/>
    <w:rsid w:val="008F1730"/>
    <w:rsid w:val="008F17AB"/>
    <w:rsid w:val="008F1B60"/>
    <w:rsid w:val="008F1C7A"/>
    <w:rsid w:val="008F22A6"/>
    <w:rsid w:val="008F22D3"/>
    <w:rsid w:val="008F2537"/>
    <w:rsid w:val="008F2DB9"/>
    <w:rsid w:val="008F32F2"/>
    <w:rsid w:val="008F330C"/>
    <w:rsid w:val="008F330F"/>
    <w:rsid w:val="008F3551"/>
    <w:rsid w:val="008F3610"/>
    <w:rsid w:val="008F36B2"/>
    <w:rsid w:val="008F377B"/>
    <w:rsid w:val="008F37A2"/>
    <w:rsid w:val="008F3A2E"/>
    <w:rsid w:val="008F3AA2"/>
    <w:rsid w:val="008F3DB7"/>
    <w:rsid w:val="008F3DC3"/>
    <w:rsid w:val="008F3DD3"/>
    <w:rsid w:val="008F3EF9"/>
    <w:rsid w:val="008F4034"/>
    <w:rsid w:val="008F409D"/>
    <w:rsid w:val="008F40A1"/>
    <w:rsid w:val="008F449D"/>
    <w:rsid w:val="008F46E5"/>
    <w:rsid w:val="008F4822"/>
    <w:rsid w:val="008F48EF"/>
    <w:rsid w:val="008F4C6A"/>
    <w:rsid w:val="008F4CD0"/>
    <w:rsid w:val="008F4EF8"/>
    <w:rsid w:val="008F5008"/>
    <w:rsid w:val="008F5029"/>
    <w:rsid w:val="008F50E0"/>
    <w:rsid w:val="008F519E"/>
    <w:rsid w:val="008F5246"/>
    <w:rsid w:val="008F53FA"/>
    <w:rsid w:val="008F53FD"/>
    <w:rsid w:val="008F54FF"/>
    <w:rsid w:val="008F56B6"/>
    <w:rsid w:val="008F5851"/>
    <w:rsid w:val="008F5869"/>
    <w:rsid w:val="008F59FA"/>
    <w:rsid w:val="008F5B13"/>
    <w:rsid w:val="008F5BD5"/>
    <w:rsid w:val="008F5BDE"/>
    <w:rsid w:val="008F5C13"/>
    <w:rsid w:val="008F5DD5"/>
    <w:rsid w:val="008F5DDB"/>
    <w:rsid w:val="008F5F4D"/>
    <w:rsid w:val="008F60CD"/>
    <w:rsid w:val="008F60ED"/>
    <w:rsid w:val="008F612A"/>
    <w:rsid w:val="008F61EF"/>
    <w:rsid w:val="008F62E3"/>
    <w:rsid w:val="008F6407"/>
    <w:rsid w:val="008F646E"/>
    <w:rsid w:val="008F6631"/>
    <w:rsid w:val="008F66B5"/>
    <w:rsid w:val="008F68D7"/>
    <w:rsid w:val="008F6C67"/>
    <w:rsid w:val="008F6E10"/>
    <w:rsid w:val="008F70A9"/>
    <w:rsid w:val="008F7112"/>
    <w:rsid w:val="008F725B"/>
    <w:rsid w:val="008F727C"/>
    <w:rsid w:val="008F7419"/>
    <w:rsid w:val="008F75FB"/>
    <w:rsid w:val="008F7985"/>
    <w:rsid w:val="008F7A3B"/>
    <w:rsid w:val="009000A1"/>
    <w:rsid w:val="00900153"/>
    <w:rsid w:val="0090023A"/>
    <w:rsid w:val="00900399"/>
    <w:rsid w:val="009003C0"/>
    <w:rsid w:val="0090048B"/>
    <w:rsid w:val="009004AF"/>
    <w:rsid w:val="00900719"/>
    <w:rsid w:val="00900B51"/>
    <w:rsid w:val="00900BE0"/>
    <w:rsid w:val="00900E58"/>
    <w:rsid w:val="00900E91"/>
    <w:rsid w:val="00901158"/>
    <w:rsid w:val="009011BC"/>
    <w:rsid w:val="00901332"/>
    <w:rsid w:val="009013AB"/>
    <w:rsid w:val="009014BF"/>
    <w:rsid w:val="00902056"/>
    <w:rsid w:val="00902286"/>
    <w:rsid w:val="00902356"/>
    <w:rsid w:val="00902359"/>
    <w:rsid w:val="00902467"/>
    <w:rsid w:val="00902534"/>
    <w:rsid w:val="009025C7"/>
    <w:rsid w:val="0090292C"/>
    <w:rsid w:val="00902951"/>
    <w:rsid w:val="00902CB3"/>
    <w:rsid w:val="00902CCD"/>
    <w:rsid w:val="00902DF5"/>
    <w:rsid w:val="00902FCF"/>
    <w:rsid w:val="0090329B"/>
    <w:rsid w:val="00903490"/>
    <w:rsid w:val="0090389D"/>
    <w:rsid w:val="009038FE"/>
    <w:rsid w:val="00903D46"/>
    <w:rsid w:val="00903F9F"/>
    <w:rsid w:val="0090402F"/>
    <w:rsid w:val="009041AC"/>
    <w:rsid w:val="0090448D"/>
    <w:rsid w:val="009044B8"/>
    <w:rsid w:val="0090485F"/>
    <w:rsid w:val="00904F58"/>
    <w:rsid w:val="00905293"/>
    <w:rsid w:val="00905411"/>
    <w:rsid w:val="009054EE"/>
    <w:rsid w:val="009054FB"/>
    <w:rsid w:val="0090568A"/>
    <w:rsid w:val="00905740"/>
    <w:rsid w:val="009058A5"/>
    <w:rsid w:val="00905A5C"/>
    <w:rsid w:val="00905A91"/>
    <w:rsid w:val="00905AC2"/>
    <w:rsid w:val="00905C2B"/>
    <w:rsid w:val="00905EDF"/>
    <w:rsid w:val="00906107"/>
    <w:rsid w:val="0090635F"/>
    <w:rsid w:val="0090654C"/>
    <w:rsid w:val="009065DE"/>
    <w:rsid w:val="00906970"/>
    <w:rsid w:val="00906C8D"/>
    <w:rsid w:val="00906EE0"/>
    <w:rsid w:val="00906F4A"/>
    <w:rsid w:val="009073E3"/>
    <w:rsid w:val="00907423"/>
    <w:rsid w:val="0090748D"/>
    <w:rsid w:val="00907506"/>
    <w:rsid w:val="00907703"/>
    <w:rsid w:val="00907726"/>
    <w:rsid w:val="00907760"/>
    <w:rsid w:val="009077E4"/>
    <w:rsid w:val="00907930"/>
    <w:rsid w:val="009079D6"/>
    <w:rsid w:val="00907C29"/>
    <w:rsid w:val="00907C54"/>
    <w:rsid w:val="00907DC7"/>
    <w:rsid w:val="0091002B"/>
    <w:rsid w:val="00910032"/>
    <w:rsid w:val="00910044"/>
    <w:rsid w:val="0091008E"/>
    <w:rsid w:val="009100C6"/>
    <w:rsid w:val="009100D4"/>
    <w:rsid w:val="00910105"/>
    <w:rsid w:val="009103F8"/>
    <w:rsid w:val="0091048B"/>
    <w:rsid w:val="009104D5"/>
    <w:rsid w:val="00910502"/>
    <w:rsid w:val="00910564"/>
    <w:rsid w:val="00910766"/>
    <w:rsid w:val="009107BA"/>
    <w:rsid w:val="009107DD"/>
    <w:rsid w:val="00910838"/>
    <w:rsid w:val="00910966"/>
    <w:rsid w:val="00910B32"/>
    <w:rsid w:val="00910C3C"/>
    <w:rsid w:val="00910DA8"/>
    <w:rsid w:val="00910E9D"/>
    <w:rsid w:val="00910EA2"/>
    <w:rsid w:val="00910F9D"/>
    <w:rsid w:val="0091115A"/>
    <w:rsid w:val="00911166"/>
    <w:rsid w:val="0091137D"/>
    <w:rsid w:val="009114A1"/>
    <w:rsid w:val="00911610"/>
    <w:rsid w:val="0091174F"/>
    <w:rsid w:val="0091183E"/>
    <w:rsid w:val="0091195C"/>
    <w:rsid w:val="00911A21"/>
    <w:rsid w:val="00911BC1"/>
    <w:rsid w:val="00911EF6"/>
    <w:rsid w:val="00912190"/>
    <w:rsid w:val="00912452"/>
    <w:rsid w:val="009124D3"/>
    <w:rsid w:val="00912588"/>
    <w:rsid w:val="00912ABF"/>
    <w:rsid w:val="00912D79"/>
    <w:rsid w:val="00912FF8"/>
    <w:rsid w:val="0091303B"/>
    <w:rsid w:val="00913138"/>
    <w:rsid w:val="00913157"/>
    <w:rsid w:val="0091343A"/>
    <w:rsid w:val="00913674"/>
    <w:rsid w:val="00913731"/>
    <w:rsid w:val="00913962"/>
    <w:rsid w:val="00913F31"/>
    <w:rsid w:val="0091411F"/>
    <w:rsid w:val="00914320"/>
    <w:rsid w:val="009143DF"/>
    <w:rsid w:val="0091446D"/>
    <w:rsid w:val="009144F8"/>
    <w:rsid w:val="00914534"/>
    <w:rsid w:val="009145EB"/>
    <w:rsid w:val="00914616"/>
    <w:rsid w:val="00914639"/>
    <w:rsid w:val="009146D1"/>
    <w:rsid w:val="00914950"/>
    <w:rsid w:val="00914990"/>
    <w:rsid w:val="00914BD7"/>
    <w:rsid w:val="00914BDE"/>
    <w:rsid w:val="0091509C"/>
    <w:rsid w:val="00915137"/>
    <w:rsid w:val="00915170"/>
    <w:rsid w:val="00915369"/>
    <w:rsid w:val="009153FF"/>
    <w:rsid w:val="00915471"/>
    <w:rsid w:val="00915512"/>
    <w:rsid w:val="009156E3"/>
    <w:rsid w:val="0091583A"/>
    <w:rsid w:val="00915920"/>
    <w:rsid w:val="009159EF"/>
    <w:rsid w:val="009159F7"/>
    <w:rsid w:val="00915C9B"/>
    <w:rsid w:val="00915E1A"/>
    <w:rsid w:val="009160FB"/>
    <w:rsid w:val="009161A0"/>
    <w:rsid w:val="0091638A"/>
    <w:rsid w:val="009164EA"/>
    <w:rsid w:val="009164FF"/>
    <w:rsid w:val="00916A37"/>
    <w:rsid w:val="00916B81"/>
    <w:rsid w:val="00916BDA"/>
    <w:rsid w:val="00916DC4"/>
    <w:rsid w:val="00916DCC"/>
    <w:rsid w:val="00916FB3"/>
    <w:rsid w:val="009170E5"/>
    <w:rsid w:val="009171E3"/>
    <w:rsid w:val="0091732B"/>
    <w:rsid w:val="009174FD"/>
    <w:rsid w:val="00917835"/>
    <w:rsid w:val="00917D32"/>
    <w:rsid w:val="00917E17"/>
    <w:rsid w:val="00917F62"/>
    <w:rsid w:val="0092006B"/>
    <w:rsid w:val="00920280"/>
    <w:rsid w:val="0092059D"/>
    <w:rsid w:val="00920704"/>
    <w:rsid w:val="009209F8"/>
    <w:rsid w:val="00920A5A"/>
    <w:rsid w:val="00920A6E"/>
    <w:rsid w:val="00920A8F"/>
    <w:rsid w:val="00920B85"/>
    <w:rsid w:val="00920BC0"/>
    <w:rsid w:val="009211D4"/>
    <w:rsid w:val="009215DB"/>
    <w:rsid w:val="009215EE"/>
    <w:rsid w:val="0092161E"/>
    <w:rsid w:val="0092163C"/>
    <w:rsid w:val="0092190F"/>
    <w:rsid w:val="00921917"/>
    <w:rsid w:val="00921AF0"/>
    <w:rsid w:val="00921BD0"/>
    <w:rsid w:val="00921C5F"/>
    <w:rsid w:val="00921CBE"/>
    <w:rsid w:val="00921D0B"/>
    <w:rsid w:val="00921F9E"/>
    <w:rsid w:val="009221CA"/>
    <w:rsid w:val="0092237F"/>
    <w:rsid w:val="009226A9"/>
    <w:rsid w:val="009226EA"/>
    <w:rsid w:val="00922751"/>
    <w:rsid w:val="00922763"/>
    <w:rsid w:val="00922874"/>
    <w:rsid w:val="0092297B"/>
    <w:rsid w:val="009229B1"/>
    <w:rsid w:val="00922AD2"/>
    <w:rsid w:val="00922D1A"/>
    <w:rsid w:val="00922D7A"/>
    <w:rsid w:val="00922F98"/>
    <w:rsid w:val="00922FEC"/>
    <w:rsid w:val="009233CC"/>
    <w:rsid w:val="00923463"/>
    <w:rsid w:val="009236BF"/>
    <w:rsid w:val="009236C4"/>
    <w:rsid w:val="00923916"/>
    <w:rsid w:val="00923A3C"/>
    <w:rsid w:val="00923A76"/>
    <w:rsid w:val="00923C19"/>
    <w:rsid w:val="00923CB9"/>
    <w:rsid w:val="00923DD1"/>
    <w:rsid w:val="00923E1C"/>
    <w:rsid w:val="00923E21"/>
    <w:rsid w:val="00923F3F"/>
    <w:rsid w:val="00923F41"/>
    <w:rsid w:val="00924064"/>
    <w:rsid w:val="0092407F"/>
    <w:rsid w:val="009240D8"/>
    <w:rsid w:val="009242C1"/>
    <w:rsid w:val="0092460D"/>
    <w:rsid w:val="009246C6"/>
    <w:rsid w:val="00924769"/>
    <w:rsid w:val="0092483C"/>
    <w:rsid w:val="00924877"/>
    <w:rsid w:val="00924A6C"/>
    <w:rsid w:val="00924C83"/>
    <w:rsid w:val="00924CF6"/>
    <w:rsid w:val="00924D79"/>
    <w:rsid w:val="00925245"/>
    <w:rsid w:val="00925379"/>
    <w:rsid w:val="009254CA"/>
    <w:rsid w:val="00925531"/>
    <w:rsid w:val="00925636"/>
    <w:rsid w:val="00925A1C"/>
    <w:rsid w:val="00925B63"/>
    <w:rsid w:val="00925B6A"/>
    <w:rsid w:val="00925D30"/>
    <w:rsid w:val="00925F77"/>
    <w:rsid w:val="009262B0"/>
    <w:rsid w:val="0092630F"/>
    <w:rsid w:val="009264E2"/>
    <w:rsid w:val="00926559"/>
    <w:rsid w:val="0092656A"/>
    <w:rsid w:val="00926875"/>
    <w:rsid w:val="00926BCD"/>
    <w:rsid w:val="00926CB3"/>
    <w:rsid w:val="00926E6C"/>
    <w:rsid w:val="00926F58"/>
    <w:rsid w:val="009275D5"/>
    <w:rsid w:val="0092763F"/>
    <w:rsid w:val="00927964"/>
    <w:rsid w:val="0093021F"/>
    <w:rsid w:val="009303C8"/>
    <w:rsid w:val="0093073D"/>
    <w:rsid w:val="0093074C"/>
    <w:rsid w:val="00930768"/>
    <w:rsid w:val="00930822"/>
    <w:rsid w:val="0093087A"/>
    <w:rsid w:val="00930C5D"/>
    <w:rsid w:val="00930C98"/>
    <w:rsid w:val="00930F3D"/>
    <w:rsid w:val="00930FE5"/>
    <w:rsid w:val="009311EF"/>
    <w:rsid w:val="009315B1"/>
    <w:rsid w:val="00931683"/>
    <w:rsid w:val="00931769"/>
    <w:rsid w:val="009317EC"/>
    <w:rsid w:val="00931985"/>
    <w:rsid w:val="00931C2E"/>
    <w:rsid w:val="00931DC7"/>
    <w:rsid w:val="0093242B"/>
    <w:rsid w:val="0093284C"/>
    <w:rsid w:val="009328ED"/>
    <w:rsid w:val="00932A1D"/>
    <w:rsid w:val="00932AC4"/>
    <w:rsid w:val="00932D44"/>
    <w:rsid w:val="0093317D"/>
    <w:rsid w:val="00933212"/>
    <w:rsid w:val="009332DB"/>
    <w:rsid w:val="009334C7"/>
    <w:rsid w:val="00933501"/>
    <w:rsid w:val="009336E1"/>
    <w:rsid w:val="00933B58"/>
    <w:rsid w:val="00933B88"/>
    <w:rsid w:val="00933E0C"/>
    <w:rsid w:val="00933F28"/>
    <w:rsid w:val="00933FEC"/>
    <w:rsid w:val="0093428E"/>
    <w:rsid w:val="009344BA"/>
    <w:rsid w:val="00934638"/>
    <w:rsid w:val="009346E5"/>
    <w:rsid w:val="00934720"/>
    <w:rsid w:val="0093473A"/>
    <w:rsid w:val="0093482D"/>
    <w:rsid w:val="00934C28"/>
    <w:rsid w:val="00934FAD"/>
    <w:rsid w:val="00935017"/>
    <w:rsid w:val="00935079"/>
    <w:rsid w:val="00935226"/>
    <w:rsid w:val="009352E0"/>
    <w:rsid w:val="00935340"/>
    <w:rsid w:val="0093538F"/>
    <w:rsid w:val="0093554F"/>
    <w:rsid w:val="00935623"/>
    <w:rsid w:val="00935903"/>
    <w:rsid w:val="00935AB7"/>
    <w:rsid w:val="00935B7B"/>
    <w:rsid w:val="00935C9F"/>
    <w:rsid w:val="00935DF7"/>
    <w:rsid w:val="00935FA6"/>
    <w:rsid w:val="00935FFD"/>
    <w:rsid w:val="0093601A"/>
    <w:rsid w:val="0093604C"/>
    <w:rsid w:val="009360D7"/>
    <w:rsid w:val="00936132"/>
    <w:rsid w:val="009362C9"/>
    <w:rsid w:val="0093636D"/>
    <w:rsid w:val="00936596"/>
    <w:rsid w:val="00936646"/>
    <w:rsid w:val="0093665E"/>
    <w:rsid w:val="00936B7A"/>
    <w:rsid w:val="00936B8A"/>
    <w:rsid w:val="00936CAA"/>
    <w:rsid w:val="0093710D"/>
    <w:rsid w:val="0093745A"/>
    <w:rsid w:val="009374FD"/>
    <w:rsid w:val="009375AA"/>
    <w:rsid w:val="0093762D"/>
    <w:rsid w:val="00937877"/>
    <w:rsid w:val="009378A8"/>
    <w:rsid w:val="00937A24"/>
    <w:rsid w:val="00937A86"/>
    <w:rsid w:val="009400DE"/>
    <w:rsid w:val="009401CD"/>
    <w:rsid w:val="0094021C"/>
    <w:rsid w:val="0094040E"/>
    <w:rsid w:val="009405F0"/>
    <w:rsid w:val="00940680"/>
    <w:rsid w:val="0094079E"/>
    <w:rsid w:val="00940AA4"/>
    <w:rsid w:val="00940B86"/>
    <w:rsid w:val="00940C09"/>
    <w:rsid w:val="00940C31"/>
    <w:rsid w:val="00940E75"/>
    <w:rsid w:val="009414F1"/>
    <w:rsid w:val="0094159C"/>
    <w:rsid w:val="0094190A"/>
    <w:rsid w:val="00941968"/>
    <w:rsid w:val="00941C0A"/>
    <w:rsid w:val="00941ECD"/>
    <w:rsid w:val="0094223C"/>
    <w:rsid w:val="009422C9"/>
    <w:rsid w:val="00942323"/>
    <w:rsid w:val="00942387"/>
    <w:rsid w:val="00942416"/>
    <w:rsid w:val="0094248A"/>
    <w:rsid w:val="009425CD"/>
    <w:rsid w:val="00942763"/>
    <w:rsid w:val="0094283E"/>
    <w:rsid w:val="0094288B"/>
    <w:rsid w:val="00942BAD"/>
    <w:rsid w:val="00942D2C"/>
    <w:rsid w:val="009434EB"/>
    <w:rsid w:val="009434F9"/>
    <w:rsid w:val="0094370C"/>
    <w:rsid w:val="00943715"/>
    <w:rsid w:val="00943A13"/>
    <w:rsid w:val="00943C24"/>
    <w:rsid w:val="00943DFA"/>
    <w:rsid w:val="00944099"/>
    <w:rsid w:val="009440A6"/>
    <w:rsid w:val="009442D2"/>
    <w:rsid w:val="0094458B"/>
    <w:rsid w:val="009446F4"/>
    <w:rsid w:val="0094487B"/>
    <w:rsid w:val="0094495B"/>
    <w:rsid w:val="00944D70"/>
    <w:rsid w:val="00944DA1"/>
    <w:rsid w:val="00944E8D"/>
    <w:rsid w:val="00944F9F"/>
    <w:rsid w:val="00945015"/>
    <w:rsid w:val="00945129"/>
    <w:rsid w:val="009455D3"/>
    <w:rsid w:val="00945620"/>
    <w:rsid w:val="00945783"/>
    <w:rsid w:val="00945929"/>
    <w:rsid w:val="00945A26"/>
    <w:rsid w:val="00945EFA"/>
    <w:rsid w:val="00945F76"/>
    <w:rsid w:val="0094617E"/>
    <w:rsid w:val="0094626F"/>
    <w:rsid w:val="009462D2"/>
    <w:rsid w:val="00946329"/>
    <w:rsid w:val="00946627"/>
    <w:rsid w:val="00946656"/>
    <w:rsid w:val="009469F4"/>
    <w:rsid w:val="00946B7F"/>
    <w:rsid w:val="00946BA0"/>
    <w:rsid w:val="00946E7A"/>
    <w:rsid w:val="009470C8"/>
    <w:rsid w:val="009473BE"/>
    <w:rsid w:val="00947548"/>
    <w:rsid w:val="009476DB"/>
    <w:rsid w:val="00947702"/>
    <w:rsid w:val="009479BA"/>
    <w:rsid w:val="00947B51"/>
    <w:rsid w:val="00947BA1"/>
    <w:rsid w:val="00947C1F"/>
    <w:rsid w:val="00947E11"/>
    <w:rsid w:val="009501D9"/>
    <w:rsid w:val="009502C8"/>
    <w:rsid w:val="00950319"/>
    <w:rsid w:val="0095068E"/>
    <w:rsid w:val="009509CA"/>
    <w:rsid w:val="00950DB5"/>
    <w:rsid w:val="00950EA7"/>
    <w:rsid w:val="0095122E"/>
    <w:rsid w:val="0095157F"/>
    <w:rsid w:val="009516B9"/>
    <w:rsid w:val="00951B6A"/>
    <w:rsid w:val="00951B87"/>
    <w:rsid w:val="00951DFF"/>
    <w:rsid w:val="00951E21"/>
    <w:rsid w:val="00951F8B"/>
    <w:rsid w:val="0095241D"/>
    <w:rsid w:val="00952475"/>
    <w:rsid w:val="00952477"/>
    <w:rsid w:val="0095257B"/>
    <w:rsid w:val="00952718"/>
    <w:rsid w:val="0095271D"/>
    <w:rsid w:val="009527FE"/>
    <w:rsid w:val="009529AC"/>
    <w:rsid w:val="00952BCE"/>
    <w:rsid w:val="00952BD6"/>
    <w:rsid w:val="00952CFE"/>
    <w:rsid w:val="00952DA7"/>
    <w:rsid w:val="00953058"/>
    <w:rsid w:val="009530DA"/>
    <w:rsid w:val="00953208"/>
    <w:rsid w:val="0095344D"/>
    <w:rsid w:val="009534F9"/>
    <w:rsid w:val="009535A0"/>
    <w:rsid w:val="009535F4"/>
    <w:rsid w:val="009536FE"/>
    <w:rsid w:val="0095399C"/>
    <w:rsid w:val="009539C6"/>
    <w:rsid w:val="00953A5D"/>
    <w:rsid w:val="00953AF6"/>
    <w:rsid w:val="00953BF6"/>
    <w:rsid w:val="00953D4B"/>
    <w:rsid w:val="00953ED6"/>
    <w:rsid w:val="00953F5B"/>
    <w:rsid w:val="00953F83"/>
    <w:rsid w:val="009541E4"/>
    <w:rsid w:val="00954633"/>
    <w:rsid w:val="009546B1"/>
    <w:rsid w:val="0095476C"/>
    <w:rsid w:val="00954B40"/>
    <w:rsid w:val="00954B9E"/>
    <w:rsid w:val="00954F5F"/>
    <w:rsid w:val="0095502F"/>
    <w:rsid w:val="009550C4"/>
    <w:rsid w:val="009556A1"/>
    <w:rsid w:val="009559F9"/>
    <w:rsid w:val="00956113"/>
    <w:rsid w:val="00956202"/>
    <w:rsid w:val="00956220"/>
    <w:rsid w:val="00956269"/>
    <w:rsid w:val="00956369"/>
    <w:rsid w:val="00956392"/>
    <w:rsid w:val="0095641F"/>
    <w:rsid w:val="00956543"/>
    <w:rsid w:val="009566CE"/>
    <w:rsid w:val="009566D3"/>
    <w:rsid w:val="00956ABC"/>
    <w:rsid w:val="00956BAA"/>
    <w:rsid w:val="00956D68"/>
    <w:rsid w:val="00956F2A"/>
    <w:rsid w:val="009570CC"/>
    <w:rsid w:val="00957132"/>
    <w:rsid w:val="0095733D"/>
    <w:rsid w:val="009573FD"/>
    <w:rsid w:val="00957433"/>
    <w:rsid w:val="009577A2"/>
    <w:rsid w:val="00957C07"/>
    <w:rsid w:val="00957C81"/>
    <w:rsid w:val="00957D1F"/>
    <w:rsid w:val="00957D2F"/>
    <w:rsid w:val="00957E37"/>
    <w:rsid w:val="0096000E"/>
    <w:rsid w:val="009601E6"/>
    <w:rsid w:val="0096051D"/>
    <w:rsid w:val="009605D7"/>
    <w:rsid w:val="00960B77"/>
    <w:rsid w:val="00960D10"/>
    <w:rsid w:val="00960E28"/>
    <w:rsid w:val="00961474"/>
    <w:rsid w:val="0096241C"/>
    <w:rsid w:val="009624E6"/>
    <w:rsid w:val="00962508"/>
    <w:rsid w:val="00962637"/>
    <w:rsid w:val="00962757"/>
    <w:rsid w:val="009627BA"/>
    <w:rsid w:val="009629BD"/>
    <w:rsid w:val="00962A72"/>
    <w:rsid w:val="00962A99"/>
    <w:rsid w:val="00962B14"/>
    <w:rsid w:val="00962B37"/>
    <w:rsid w:val="00962D14"/>
    <w:rsid w:val="00962D8B"/>
    <w:rsid w:val="00963225"/>
    <w:rsid w:val="00963331"/>
    <w:rsid w:val="00963508"/>
    <w:rsid w:val="009635BD"/>
    <w:rsid w:val="0096364A"/>
    <w:rsid w:val="00963663"/>
    <w:rsid w:val="0096390D"/>
    <w:rsid w:val="00963EFA"/>
    <w:rsid w:val="0096408C"/>
    <w:rsid w:val="009640CB"/>
    <w:rsid w:val="009641E5"/>
    <w:rsid w:val="00964221"/>
    <w:rsid w:val="00964306"/>
    <w:rsid w:val="009643F8"/>
    <w:rsid w:val="00964568"/>
    <w:rsid w:val="009649F2"/>
    <w:rsid w:val="00964A81"/>
    <w:rsid w:val="00964A85"/>
    <w:rsid w:val="00964D41"/>
    <w:rsid w:val="00964F21"/>
    <w:rsid w:val="009652D5"/>
    <w:rsid w:val="009653DD"/>
    <w:rsid w:val="00965454"/>
    <w:rsid w:val="009657EC"/>
    <w:rsid w:val="0096594A"/>
    <w:rsid w:val="00965A5D"/>
    <w:rsid w:val="00965B30"/>
    <w:rsid w:val="00965CA9"/>
    <w:rsid w:val="00965E2B"/>
    <w:rsid w:val="00965EA3"/>
    <w:rsid w:val="00966015"/>
    <w:rsid w:val="009660AA"/>
    <w:rsid w:val="009661C0"/>
    <w:rsid w:val="009666D2"/>
    <w:rsid w:val="009666FD"/>
    <w:rsid w:val="009667BB"/>
    <w:rsid w:val="0096682D"/>
    <w:rsid w:val="00966842"/>
    <w:rsid w:val="00966910"/>
    <w:rsid w:val="00966970"/>
    <w:rsid w:val="00966992"/>
    <w:rsid w:val="009669E6"/>
    <w:rsid w:val="00966AF6"/>
    <w:rsid w:val="00966BBB"/>
    <w:rsid w:val="00966BE2"/>
    <w:rsid w:val="00966E2C"/>
    <w:rsid w:val="00966F96"/>
    <w:rsid w:val="00966FDF"/>
    <w:rsid w:val="00967097"/>
    <w:rsid w:val="009672B5"/>
    <w:rsid w:val="009673EC"/>
    <w:rsid w:val="0096742C"/>
    <w:rsid w:val="009677F8"/>
    <w:rsid w:val="009679E1"/>
    <w:rsid w:val="00967A65"/>
    <w:rsid w:val="00967C11"/>
    <w:rsid w:val="009700A6"/>
    <w:rsid w:val="00970403"/>
    <w:rsid w:val="00970566"/>
    <w:rsid w:val="00970760"/>
    <w:rsid w:val="009707A3"/>
    <w:rsid w:val="009707AC"/>
    <w:rsid w:val="00970A28"/>
    <w:rsid w:val="00970AEC"/>
    <w:rsid w:val="00970B96"/>
    <w:rsid w:val="00970CE7"/>
    <w:rsid w:val="00971066"/>
    <w:rsid w:val="00971144"/>
    <w:rsid w:val="00971146"/>
    <w:rsid w:val="009712E8"/>
    <w:rsid w:val="00971331"/>
    <w:rsid w:val="00971412"/>
    <w:rsid w:val="0097159D"/>
    <w:rsid w:val="00971867"/>
    <w:rsid w:val="0097189D"/>
    <w:rsid w:val="00971CAD"/>
    <w:rsid w:val="00971CC1"/>
    <w:rsid w:val="00971D36"/>
    <w:rsid w:val="00971E68"/>
    <w:rsid w:val="00972035"/>
    <w:rsid w:val="009720F5"/>
    <w:rsid w:val="00972257"/>
    <w:rsid w:val="009723C7"/>
    <w:rsid w:val="00972403"/>
    <w:rsid w:val="00972516"/>
    <w:rsid w:val="009726C6"/>
    <w:rsid w:val="00972777"/>
    <w:rsid w:val="009727E6"/>
    <w:rsid w:val="009728DA"/>
    <w:rsid w:val="0097290C"/>
    <w:rsid w:val="00972A04"/>
    <w:rsid w:val="00972A56"/>
    <w:rsid w:val="00972A9A"/>
    <w:rsid w:val="00972DFE"/>
    <w:rsid w:val="00972EF3"/>
    <w:rsid w:val="009730E9"/>
    <w:rsid w:val="00973331"/>
    <w:rsid w:val="00973451"/>
    <w:rsid w:val="00973695"/>
    <w:rsid w:val="009737FF"/>
    <w:rsid w:val="00973920"/>
    <w:rsid w:val="00973981"/>
    <w:rsid w:val="00973983"/>
    <w:rsid w:val="00973A8B"/>
    <w:rsid w:val="00973DEF"/>
    <w:rsid w:val="00973E90"/>
    <w:rsid w:val="00973F5A"/>
    <w:rsid w:val="00974180"/>
    <w:rsid w:val="009743E0"/>
    <w:rsid w:val="009746A1"/>
    <w:rsid w:val="009746C1"/>
    <w:rsid w:val="0097477B"/>
    <w:rsid w:val="00974A13"/>
    <w:rsid w:val="00974A54"/>
    <w:rsid w:val="00974DDA"/>
    <w:rsid w:val="00974DE4"/>
    <w:rsid w:val="00975103"/>
    <w:rsid w:val="00975474"/>
    <w:rsid w:val="0097587A"/>
    <w:rsid w:val="00975944"/>
    <w:rsid w:val="00975A76"/>
    <w:rsid w:val="00975D10"/>
    <w:rsid w:val="00975E25"/>
    <w:rsid w:val="009761AC"/>
    <w:rsid w:val="00976450"/>
    <w:rsid w:val="00976459"/>
    <w:rsid w:val="00976615"/>
    <w:rsid w:val="00976932"/>
    <w:rsid w:val="009769D7"/>
    <w:rsid w:val="00976BE0"/>
    <w:rsid w:val="00976D86"/>
    <w:rsid w:val="00976F3B"/>
    <w:rsid w:val="00976F72"/>
    <w:rsid w:val="00977813"/>
    <w:rsid w:val="00977843"/>
    <w:rsid w:val="00977863"/>
    <w:rsid w:val="0097793B"/>
    <w:rsid w:val="00977BBB"/>
    <w:rsid w:val="00977E14"/>
    <w:rsid w:val="00977E28"/>
    <w:rsid w:val="00977E52"/>
    <w:rsid w:val="0098022F"/>
    <w:rsid w:val="00980244"/>
    <w:rsid w:val="009806A2"/>
    <w:rsid w:val="009808C4"/>
    <w:rsid w:val="009809E1"/>
    <w:rsid w:val="00980D97"/>
    <w:rsid w:val="0098152B"/>
    <w:rsid w:val="00981535"/>
    <w:rsid w:val="0098167D"/>
    <w:rsid w:val="00981DE1"/>
    <w:rsid w:val="00982109"/>
    <w:rsid w:val="00982272"/>
    <w:rsid w:val="009824DA"/>
    <w:rsid w:val="009828CD"/>
    <w:rsid w:val="00982B89"/>
    <w:rsid w:val="00982F6D"/>
    <w:rsid w:val="00983033"/>
    <w:rsid w:val="0098308E"/>
    <w:rsid w:val="00983212"/>
    <w:rsid w:val="009832E4"/>
    <w:rsid w:val="00983521"/>
    <w:rsid w:val="00983C55"/>
    <w:rsid w:val="00983CF8"/>
    <w:rsid w:val="00983DA7"/>
    <w:rsid w:val="00983F36"/>
    <w:rsid w:val="00984100"/>
    <w:rsid w:val="009841CD"/>
    <w:rsid w:val="009843B4"/>
    <w:rsid w:val="00984547"/>
    <w:rsid w:val="009845B3"/>
    <w:rsid w:val="0098468D"/>
    <w:rsid w:val="009846E3"/>
    <w:rsid w:val="00984978"/>
    <w:rsid w:val="00984A71"/>
    <w:rsid w:val="00984B47"/>
    <w:rsid w:val="00984D40"/>
    <w:rsid w:val="00984D42"/>
    <w:rsid w:val="00984D9B"/>
    <w:rsid w:val="00985056"/>
    <w:rsid w:val="00985128"/>
    <w:rsid w:val="00985405"/>
    <w:rsid w:val="0098571D"/>
    <w:rsid w:val="009858B5"/>
    <w:rsid w:val="009859BB"/>
    <w:rsid w:val="00985A24"/>
    <w:rsid w:val="00986243"/>
    <w:rsid w:val="0098629A"/>
    <w:rsid w:val="0098666C"/>
    <w:rsid w:val="00986765"/>
    <w:rsid w:val="009867EC"/>
    <w:rsid w:val="00986803"/>
    <w:rsid w:val="00986A5F"/>
    <w:rsid w:val="00986E0D"/>
    <w:rsid w:val="009870B8"/>
    <w:rsid w:val="00987301"/>
    <w:rsid w:val="00987309"/>
    <w:rsid w:val="00987689"/>
    <w:rsid w:val="00987770"/>
    <w:rsid w:val="00987801"/>
    <w:rsid w:val="00987A99"/>
    <w:rsid w:val="00987AE5"/>
    <w:rsid w:val="00987B0F"/>
    <w:rsid w:val="00987D70"/>
    <w:rsid w:val="00987DF6"/>
    <w:rsid w:val="00987E74"/>
    <w:rsid w:val="00987FA6"/>
    <w:rsid w:val="0099013B"/>
    <w:rsid w:val="00990150"/>
    <w:rsid w:val="009902C4"/>
    <w:rsid w:val="0099045F"/>
    <w:rsid w:val="009905D2"/>
    <w:rsid w:val="0099072C"/>
    <w:rsid w:val="009907FE"/>
    <w:rsid w:val="00990956"/>
    <w:rsid w:val="00990992"/>
    <w:rsid w:val="00990B45"/>
    <w:rsid w:val="00990B62"/>
    <w:rsid w:val="00990C2E"/>
    <w:rsid w:val="00990E11"/>
    <w:rsid w:val="00990F8C"/>
    <w:rsid w:val="00991133"/>
    <w:rsid w:val="009911FF"/>
    <w:rsid w:val="009913E2"/>
    <w:rsid w:val="009914C4"/>
    <w:rsid w:val="00991553"/>
    <w:rsid w:val="00991607"/>
    <w:rsid w:val="00991675"/>
    <w:rsid w:val="00991BF6"/>
    <w:rsid w:val="00991C40"/>
    <w:rsid w:val="00991D09"/>
    <w:rsid w:val="00991D34"/>
    <w:rsid w:val="00992008"/>
    <w:rsid w:val="0099203A"/>
    <w:rsid w:val="00992295"/>
    <w:rsid w:val="00992357"/>
    <w:rsid w:val="0099252E"/>
    <w:rsid w:val="009926CD"/>
    <w:rsid w:val="009929A7"/>
    <w:rsid w:val="00992C05"/>
    <w:rsid w:val="009936C9"/>
    <w:rsid w:val="0099374E"/>
    <w:rsid w:val="00993799"/>
    <w:rsid w:val="009939CF"/>
    <w:rsid w:val="00993A1B"/>
    <w:rsid w:val="00994115"/>
    <w:rsid w:val="009942BE"/>
    <w:rsid w:val="009945FC"/>
    <w:rsid w:val="00994B33"/>
    <w:rsid w:val="00994B87"/>
    <w:rsid w:val="00994BEF"/>
    <w:rsid w:val="00994CF8"/>
    <w:rsid w:val="00994D9A"/>
    <w:rsid w:val="00994FA8"/>
    <w:rsid w:val="009950AB"/>
    <w:rsid w:val="0099526F"/>
    <w:rsid w:val="009953F6"/>
    <w:rsid w:val="00995426"/>
    <w:rsid w:val="00995518"/>
    <w:rsid w:val="0099575D"/>
    <w:rsid w:val="009959A7"/>
    <w:rsid w:val="009959CA"/>
    <w:rsid w:val="00995B66"/>
    <w:rsid w:val="00995C5E"/>
    <w:rsid w:val="00995D64"/>
    <w:rsid w:val="00995E38"/>
    <w:rsid w:val="00995F87"/>
    <w:rsid w:val="00996321"/>
    <w:rsid w:val="00996409"/>
    <w:rsid w:val="0099667F"/>
    <w:rsid w:val="00996851"/>
    <w:rsid w:val="00996D00"/>
    <w:rsid w:val="00996D2A"/>
    <w:rsid w:val="00996DCB"/>
    <w:rsid w:val="00996EA5"/>
    <w:rsid w:val="00996ED4"/>
    <w:rsid w:val="00996ED7"/>
    <w:rsid w:val="0099716B"/>
    <w:rsid w:val="00997262"/>
    <w:rsid w:val="009974A0"/>
    <w:rsid w:val="00997549"/>
    <w:rsid w:val="009978A2"/>
    <w:rsid w:val="009978BF"/>
    <w:rsid w:val="00997CD4"/>
    <w:rsid w:val="00997DF7"/>
    <w:rsid w:val="00997E45"/>
    <w:rsid w:val="009A0117"/>
    <w:rsid w:val="009A01B8"/>
    <w:rsid w:val="009A03DC"/>
    <w:rsid w:val="009A0752"/>
    <w:rsid w:val="009A07F5"/>
    <w:rsid w:val="009A07FB"/>
    <w:rsid w:val="009A0AB7"/>
    <w:rsid w:val="009A0DC4"/>
    <w:rsid w:val="009A1085"/>
    <w:rsid w:val="009A1235"/>
    <w:rsid w:val="009A13D1"/>
    <w:rsid w:val="009A1585"/>
    <w:rsid w:val="009A1613"/>
    <w:rsid w:val="009A1A3D"/>
    <w:rsid w:val="009A1D67"/>
    <w:rsid w:val="009A1DA8"/>
    <w:rsid w:val="009A2088"/>
    <w:rsid w:val="009A2289"/>
    <w:rsid w:val="009A2602"/>
    <w:rsid w:val="009A2650"/>
    <w:rsid w:val="009A2F10"/>
    <w:rsid w:val="009A2F2B"/>
    <w:rsid w:val="009A3041"/>
    <w:rsid w:val="009A30AC"/>
    <w:rsid w:val="009A337B"/>
    <w:rsid w:val="009A3541"/>
    <w:rsid w:val="009A358F"/>
    <w:rsid w:val="009A35FB"/>
    <w:rsid w:val="009A3A50"/>
    <w:rsid w:val="009A3B6D"/>
    <w:rsid w:val="009A3CF0"/>
    <w:rsid w:val="009A3F74"/>
    <w:rsid w:val="009A4383"/>
    <w:rsid w:val="009A4430"/>
    <w:rsid w:val="009A45A3"/>
    <w:rsid w:val="009A4625"/>
    <w:rsid w:val="009A4AE9"/>
    <w:rsid w:val="009A4CAC"/>
    <w:rsid w:val="009A4E3D"/>
    <w:rsid w:val="009A4FA9"/>
    <w:rsid w:val="009A52D2"/>
    <w:rsid w:val="009A5398"/>
    <w:rsid w:val="009A5497"/>
    <w:rsid w:val="009A579A"/>
    <w:rsid w:val="009A5D75"/>
    <w:rsid w:val="009A5F1E"/>
    <w:rsid w:val="009A5F7E"/>
    <w:rsid w:val="009A60A5"/>
    <w:rsid w:val="009A60E5"/>
    <w:rsid w:val="009A60E6"/>
    <w:rsid w:val="009A6286"/>
    <w:rsid w:val="009A6459"/>
    <w:rsid w:val="009A668A"/>
    <w:rsid w:val="009A693F"/>
    <w:rsid w:val="009A69FC"/>
    <w:rsid w:val="009A6A8E"/>
    <w:rsid w:val="009A6CF3"/>
    <w:rsid w:val="009A6FBA"/>
    <w:rsid w:val="009A71B9"/>
    <w:rsid w:val="009A74C8"/>
    <w:rsid w:val="009A74CF"/>
    <w:rsid w:val="009A7746"/>
    <w:rsid w:val="009A7AA4"/>
    <w:rsid w:val="009A7C6F"/>
    <w:rsid w:val="009A7E21"/>
    <w:rsid w:val="009B062B"/>
    <w:rsid w:val="009B085A"/>
    <w:rsid w:val="009B0D48"/>
    <w:rsid w:val="009B1124"/>
    <w:rsid w:val="009B1727"/>
    <w:rsid w:val="009B1772"/>
    <w:rsid w:val="009B18A2"/>
    <w:rsid w:val="009B1AA5"/>
    <w:rsid w:val="009B1B57"/>
    <w:rsid w:val="009B1C8F"/>
    <w:rsid w:val="009B1FC0"/>
    <w:rsid w:val="009B2211"/>
    <w:rsid w:val="009B22E3"/>
    <w:rsid w:val="009B262A"/>
    <w:rsid w:val="009B26CB"/>
    <w:rsid w:val="009B26EE"/>
    <w:rsid w:val="009B2926"/>
    <w:rsid w:val="009B2AA7"/>
    <w:rsid w:val="009B2CB1"/>
    <w:rsid w:val="009B2CCF"/>
    <w:rsid w:val="009B2E92"/>
    <w:rsid w:val="009B2EF7"/>
    <w:rsid w:val="009B31BA"/>
    <w:rsid w:val="009B33FC"/>
    <w:rsid w:val="009B34D4"/>
    <w:rsid w:val="009B381D"/>
    <w:rsid w:val="009B390F"/>
    <w:rsid w:val="009B3F24"/>
    <w:rsid w:val="009B3F69"/>
    <w:rsid w:val="009B40BE"/>
    <w:rsid w:val="009B4116"/>
    <w:rsid w:val="009B411C"/>
    <w:rsid w:val="009B4254"/>
    <w:rsid w:val="009B42CF"/>
    <w:rsid w:val="009B4326"/>
    <w:rsid w:val="009B43BF"/>
    <w:rsid w:val="009B4699"/>
    <w:rsid w:val="009B48F5"/>
    <w:rsid w:val="009B4A2D"/>
    <w:rsid w:val="009B4D44"/>
    <w:rsid w:val="009B4F92"/>
    <w:rsid w:val="009B5156"/>
    <w:rsid w:val="009B53CF"/>
    <w:rsid w:val="009B55E9"/>
    <w:rsid w:val="009B5806"/>
    <w:rsid w:val="009B58AF"/>
    <w:rsid w:val="009B58EF"/>
    <w:rsid w:val="009B5C4A"/>
    <w:rsid w:val="009B5D41"/>
    <w:rsid w:val="009B604A"/>
    <w:rsid w:val="009B60B1"/>
    <w:rsid w:val="009B63DC"/>
    <w:rsid w:val="009B6AFD"/>
    <w:rsid w:val="009B6BFA"/>
    <w:rsid w:val="009B6D53"/>
    <w:rsid w:val="009B6D59"/>
    <w:rsid w:val="009C00FB"/>
    <w:rsid w:val="009C028A"/>
    <w:rsid w:val="009C05E8"/>
    <w:rsid w:val="009C069F"/>
    <w:rsid w:val="009C0720"/>
    <w:rsid w:val="009C0A75"/>
    <w:rsid w:val="009C0C12"/>
    <w:rsid w:val="009C0E17"/>
    <w:rsid w:val="009C0EA3"/>
    <w:rsid w:val="009C102D"/>
    <w:rsid w:val="009C108C"/>
    <w:rsid w:val="009C10DF"/>
    <w:rsid w:val="009C12ED"/>
    <w:rsid w:val="009C1315"/>
    <w:rsid w:val="009C13D9"/>
    <w:rsid w:val="009C146E"/>
    <w:rsid w:val="009C14AD"/>
    <w:rsid w:val="009C1569"/>
    <w:rsid w:val="009C15A4"/>
    <w:rsid w:val="009C15FD"/>
    <w:rsid w:val="009C179F"/>
    <w:rsid w:val="009C189C"/>
    <w:rsid w:val="009C1946"/>
    <w:rsid w:val="009C19B7"/>
    <w:rsid w:val="009C1A2B"/>
    <w:rsid w:val="009C1A71"/>
    <w:rsid w:val="009C1E0B"/>
    <w:rsid w:val="009C1E6E"/>
    <w:rsid w:val="009C1FCD"/>
    <w:rsid w:val="009C2126"/>
    <w:rsid w:val="009C2139"/>
    <w:rsid w:val="009C226C"/>
    <w:rsid w:val="009C239D"/>
    <w:rsid w:val="009C262B"/>
    <w:rsid w:val="009C2947"/>
    <w:rsid w:val="009C2AE0"/>
    <w:rsid w:val="009C3174"/>
    <w:rsid w:val="009C325A"/>
    <w:rsid w:val="009C3370"/>
    <w:rsid w:val="009C351C"/>
    <w:rsid w:val="009C357A"/>
    <w:rsid w:val="009C38D7"/>
    <w:rsid w:val="009C3BC2"/>
    <w:rsid w:val="009C3C25"/>
    <w:rsid w:val="009C3D89"/>
    <w:rsid w:val="009C3DEC"/>
    <w:rsid w:val="009C3F18"/>
    <w:rsid w:val="009C410E"/>
    <w:rsid w:val="009C43E6"/>
    <w:rsid w:val="009C46CE"/>
    <w:rsid w:val="009C4877"/>
    <w:rsid w:val="009C4899"/>
    <w:rsid w:val="009C48B9"/>
    <w:rsid w:val="009C4AD2"/>
    <w:rsid w:val="009C4B5A"/>
    <w:rsid w:val="009C4C55"/>
    <w:rsid w:val="009C4E97"/>
    <w:rsid w:val="009C50CB"/>
    <w:rsid w:val="009C560B"/>
    <w:rsid w:val="009C5678"/>
    <w:rsid w:val="009C5856"/>
    <w:rsid w:val="009C5927"/>
    <w:rsid w:val="009C5A60"/>
    <w:rsid w:val="009C5BF5"/>
    <w:rsid w:val="009C5CAA"/>
    <w:rsid w:val="009C606C"/>
    <w:rsid w:val="009C60BB"/>
    <w:rsid w:val="009C6734"/>
    <w:rsid w:val="009C68E1"/>
    <w:rsid w:val="009C6EA4"/>
    <w:rsid w:val="009C7386"/>
    <w:rsid w:val="009C740E"/>
    <w:rsid w:val="009C742A"/>
    <w:rsid w:val="009C7505"/>
    <w:rsid w:val="009C7530"/>
    <w:rsid w:val="009C765B"/>
    <w:rsid w:val="009C76E2"/>
    <w:rsid w:val="009C770F"/>
    <w:rsid w:val="009C77F0"/>
    <w:rsid w:val="009C7E46"/>
    <w:rsid w:val="009D0101"/>
    <w:rsid w:val="009D045F"/>
    <w:rsid w:val="009D0637"/>
    <w:rsid w:val="009D07AD"/>
    <w:rsid w:val="009D0D71"/>
    <w:rsid w:val="009D0F04"/>
    <w:rsid w:val="009D0F2B"/>
    <w:rsid w:val="009D0FBB"/>
    <w:rsid w:val="009D1000"/>
    <w:rsid w:val="009D133B"/>
    <w:rsid w:val="009D13F6"/>
    <w:rsid w:val="009D14D5"/>
    <w:rsid w:val="009D1552"/>
    <w:rsid w:val="009D183E"/>
    <w:rsid w:val="009D19A0"/>
    <w:rsid w:val="009D1A49"/>
    <w:rsid w:val="009D1A69"/>
    <w:rsid w:val="009D1AEE"/>
    <w:rsid w:val="009D1B66"/>
    <w:rsid w:val="009D1F42"/>
    <w:rsid w:val="009D2089"/>
    <w:rsid w:val="009D216E"/>
    <w:rsid w:val="009D22D1"/>
    <w:rsid w:val="009D2561"/>
    <w:rsid w:val="009D2595"/>
    <w:rsid w:val="009D2662"/>
    <w:rsid w:val="009D2676"/>
    <w:rsid w:val="009D2D59"/>
    <w:rsid w:val="009D2F09"/>
    <w:rsid w:val="009D2F0C"/>
    <w:rsid w:val="009D30CC"/>
    <w:rsid w:val="009D33C0"/>
    <w:rsid w:val="009D33FD"/>
    <w:rsid w:val="009D36DF"/>
    <w:rsid w:val="009D3D09"/>
    <w:rsid w:val="009D3DB0"/>
    <w:rsid w:val="009D3EAB"/>
    <w:rsid w:val="009D3EEE"/>
    <w:rsid w:val="009D410E"/>
    <w:rsid w:val="009D438A"/>
    <w:rsid w:val="009D4499"/>
    <w:rsid w:val="009D4559"/>
    <w:rsid w:val="009D47A0"/>
    <w:rsid w:val="009D4989"/>
    <w:rsid w:val="009D4CB5"/>
    <w:rsid w:val="009D4CB8"/>
    <w:rsid w:val="009D4D44"/>
    <w:rsid w:val="009D4DAC"/>
    <w:rsid w:val="009D4DF4"/>
    <w:rsid w:val="009D545A"/>
    <w:rsid w:val="009D555B"/>
    <w:rsid w:val="009D560C"/>
    <w:rsid w:val="009D563F"/>
    <w:rsid w:val="009D5988"/>
    <w:rsid w:val="009D5A13"/>
    <w:rsid w:val="009D5AFD"/>
    <w:rsid w:val="009D5C30"/>
    <w:rsid w:val="009D6123"/>
    <w:rsid w:val="009D63BA"/>
    <w:rsid w:val="009D63C9"/>
    <w:rsid w:val="009D6413"/>
    <w:rsid w:val="009D6847"/>
    <w:rsid w:val="009D68BD"/>
    <w:rsid w:val="009D69BB"/>
    <w:rsid w:val="009D6B9A"/>
    <w:rsid w:val="009D6C26"/>
    <w:rsid w:val="009D6D44"/>
    <w:rsid w:val="009D6F4F"/>
    <w:rsid w:val="009D7036"/>
    <w:rsid w:val="009D7059"/>
    <w:rsid w:val="009D7119"/>
    <w:rsid w:val="009D725A"/>
    <w:rsid w:val="009D747B"/>
    <w:rsid w:val="009D7615"/>
    <w:rsid w:val="009D76E2"/>
    <w:rsid w:val="009D7788"/>
    <w:rsid w:val="009D7900"/>
    <w:rsid w:val="009D79AA"/>
    <w:rsid w:val="009D7AB4"/>
    <w:rsid w:val="009D7B2E"/>
    <w:rsid w:val="009D7B81"/>
    <w:rsid w:val="009D7D6F"/>
    <w:rsid w:val="009D7F6A"/>
    <w:rsid w:val="009D7FB1"/>
    <w:rsid w:val="009E0180"/>
    <w:rsid w:val="009E0185"/>
    <w:rsid w:val="009E028C"/>
    <w:rsid w:val="009E04A2"/>
    <w:rsid w:val="009E04B7"/>
    <w:rsid w:val="009E07AC"/>
    <w:rsid w:val="009E0833"/>
    <w:rsid w:val="009E09F6"/>
    <w:rsid w:val="009E0BD1"/>
    <w:rsid w:val="009E0DCA"/>
    <w:rsid w:val="009E0E21"/>
    <w:rsid w:val="009E0EB3"/>
    <w:rsid w:val="009E0ED8"/>
    <w:rsid w:val="009E113A"/>
    <w:rsid w:val="009E13E1"/>
    <w:rsid w:val="009E1558"/>
    <w:rsid w:val="009E15BA"/>
    <w:rsid w:val="009E16CD"/>
    <w:rsid w:val="009E19CF"/>
    <w:rsid w:val="009E1ACD"/>
    <w:rsid w:val="009E1BFF"/>
    <w:rsid w:val="009E1D70"/>
    <w:rsid w:val="009E1FF9"/>
    <w:rsid w:val="009E2272"/>
    <w:rsid w:val="009E22D4"/>
    <w:rsid w:val="009E22FA"/>
    <w:rsid w:val="009E2B6F"/>
    <w:rsid w:val="009E2C54"/>
    <w:rsid w:val="009E2D7A"/>
    <w:rsid w:val="009E2D9F"/>
    <w:rsid w:val="009E2E2B"/>
    <w:rsid w:val="009E2EB7"/>
    <w:rsid w:val="009E2EBA"/>
    <w:rsid w:val="009E2FA2"/>
    <w:rsid w:val="009E316E"/>
    <w:rsid w:val="009E31F9"/>
    <w:rsid w:val="009E333E"/>
    <w:rsid w:val="009E3457"/>
    <w:rsid w:val="009E35D4"/>
    <w:rsid w:val="009E3612"/>
    <w:rsid w:val="009E36AC"/>
    <w:rsid w:val="009E398B"/>
    <w:rsid w:val="009E3A09"/>
    <w:rsid w:val="009E3A77"/>
    <w:rsid w:val="009E3C4B"/>
    <w:rsid w:val="009E3C7A"/>
    <w:rsid w:val="009E3EAE"/>
    <w:rsid w:val="009E3FE8"/>
    <w:rsid w:val="009E40D5"/>
    <w:rsid w:val="009E4744"/>
    <w:rsid w:val="009E49D8"/>
    <w:rsid w:val="009E4AC9"/>
    <w:rsid w:val="009E4BAC"/>
    <w:rsid w:val="009E4BBB"/>
    <w:rsid w:val="009E4CD4"/>
    <w:rsid w:val="009E4D5D"/>
    <w:rsid w:val="009E4EC9"/>
    <w:rsid w:val="009E4F2B"/>
    <w:rsid w:val="009E4F5A"/>
    <w:rsid w:val="009E4FAF"/>
    <w:rsid w:val="009E5047"/>
    <w:rsid w:val="009E5079"/>
    <w:rsid w:val="009E5166"/>
    <w:rsid w:val="009E5291"/>
    <w:rsid w:val="009E52D3"/>
    <w:rsid w:val="009E535C"/>
    <w:rsid w:val="009E5453"/>
    <w:rsid w:val="009E547D"/>
    <w:rsid w:val="009E5510"/>
    <w:rsid w:val="009E5619"/>
    <w:rsid w:val="009E5621"/>
    <w:rsid w:val="009E5837"/>
    <w:rsid w:val="009E5AAE"/>
    <w:rsid w:val="009E5B14"/>
    <w:rsid w:val="009E5CCD"/>
    <w:rsid w:val="009E5D36"/>
    <w:rsid w:val="009E5D5A"/>
    <w:rsid w:val="009E5E99"/>
    <w:rsid w:val="009E62FA"/>
    <w:rsid w:val="009E633C"/>
    <w:rsid w:val="009E67AA"/>
    <w:rsid w:val="009E68D8"/>
    <w:rsid w:val="009E69F2"/>
    <w:rsid w:val="009E6E84"/>
    <w:rsid w:val="009E6F45"/>
    <w:rsid w:val="009E6FE2"/>
    <w:rsid w:val="009E73B8"/>
    <w:rsid w:val="009E76A5"/>
    <w:rsid w:val="009E7773"/>
    <w:rsid w:val="009E7A85"/>
    <w:rsid w:val="009E7AF0"/>
    <w:rsid w:val="009E7B4F"/>
    <w:rsid w:val="009E7B96"/>
    <w:rsid w:val="009E7BFE"/>
    <w:rsid w:val="009E7E23"/>
    <w:rsid w:val="009E7FC0"/>
    <w:rsid w:val="009F004D"/>
    <w:rsid w:val="009F01D4"/>
    <w:rsid w:val="009F04F2"/>
    <w:rsid w:val="009F05C5"/>
    <w:rsid w:val="009F0855"/>
    <w:rsid w:val="009F0937"/>
    <w:rsid w:val="009F0A99"/>
    <w:rsid w:val="009F0BE9"/>
    <w:rsid w:val="009F0CA1"/>
    <w:rsid w:val="009F1034"/>
    <w:rsid w:val="009F107C"/>
    <w:rsid w:val="009F11B8"/>
    <w:rsid w:val="009F1523"/>
    <w:rsid w:val="009F17BF"/>
    <w:rsid w:val="009F18E7"/>
    <w:rsid w:val="009F19C5"/>
    <w:rsid w:val="009F1A83"/>
    <w:rsid w:val="009F1CF6"/>
    <w:rsid w:val="009F1DF8"/>
    <w:rsid w:val="009F1F07"/>
    <w:rsid w:val="009F2080"/>
    <w:rsid w:val="009F2262"/>
    <w:rsid w:val="009F2312"/>
    <w:rsid w:val="009F273C"/>
    <w:rsid w:val="009F297E"/>
    <w:rsid w:val="009F2A2F"/>
    <w:rsid w:val="009F2A6C"/>
    <w:rsid w:val="009F2ACD"/>
    <w:rsid w:val="009F2E3A"/>
    <w:rsid w:val="009F30AD"/>
    <w:rsid w:val="009F3313"/>
    <w:rsid w:val="009F35B8"/>
    <w:rsid w:val="009F3ADA"/>
    <w:rsid w:val="009F3B50"/>
    <w:rsid w:val="009F3C8B"/>
    <w:rsid w:val="009F3CA4"/>
    <w:rsid w:val="009F3D5F"/>
    <w:rsid w:val="009F3F9A"/>
    <w:rsid w:val="009F4468"/>
    <w:rsid w:val="009F459A"/>
    <w:rsid w:val="009F45AF"/>
    <w:rsid w:val="009F4749"/>
    <w:rsid w:val="009F4A5A"/>
    <w:rsid w:val="009F4ADA"/>
    <w:rsid w:val="009F4CA3"/>
    <w:rsid w:val="009F4D09"/>
    <w:rsid w:val="009F4E8B"/>
    <w:rsid w:val="009F529C"/>
    <w:rsid w:val="009F52E1"/>
    <w:rsid w:val="009F53AD"/>
    <w:rsid w:val="009F54A5"/>
    <w:rsid w:val="009F54E0"/>
    <w:rsid w:val="009F5819"/>
    <w:rsid w:val="009F5AF7"/>
    <w:rsid w:val="009F5C28"/>
    <w:rsid w:val="009F5C74"/>
    <w:rsid w:val="009F5D27"/>
    <w:rsid w:val="009F5D7B"/>
    <w:rsid w:val="009F6191"/>
    <w:rsid w:val="009F62D8"/>
    <w:rsid w:val="009F63D2"/>
    <w:rsid w:val="009F63EE"/>
    <w:rsid w:val="009F64D6"/>
    <w:rsid w:val="009F65DB"/>
    <w:rsid w:val="009F6733"/>
    <w:rsid w:val="009F67B4"/>
    <w:rsid w:val="009F67D5"/>
    <w:rsid w:val="009F686C"/>
    <w:rsid w:val="009F6A0D"/>
    <w:rsid w:val="009F6BE5"/>
    <w:rsid w:val="009F6EBD"/>
    <w:rsid w:val="009F6F04"/>
    <w:rsid w:val="009F70D2"/>
    <w:rsid w:val="009F712D"/>
    <w:rsid w:val="009F7222"/>
    <w:rsid w:val="009F74CF"/>
    <w:rsid w:val="009F77C0"/>
    <w:rsid w:val="009F7844"/>
    <w:rsid w:val="009F78A0"/>
    <w:rsid w:val="009F7B10"/>
    <w:rsid w:val="009F7CDD"/>
    <w:rsid w:val="00A000F7"/>
    <w:rsid w:val="00A00231"/>
    <w:rsid w:val="00A00266"/>
    <w:rsid w:val="00A00304"/>
    <w:rsid w:val="00A00548"/>
    <w:rsid w:val="00A00708"/>
    <w:rsid w:val="00A00919"/>
    <w:rsid w:val="00A00B93"/>
    <w:rsid w:val="00A00BFA"/>
    <w:rsid w:val="00A00D34"/>
    <w:rsid w:val="00A00E64"/>
    <w:rsid w:val="00A00FC3"/>
    <w:rsid w:val="00A01065"/>
    <w:rsid w:val="00A01263"/>
    <w:rsid w:val="00A0167B"/>
    <w:rsid w:val="00A0176D"/>
    <w:rsid w:val="00A01846"/>
    <w:rsid w:val="00A018EA"/>
    <w:rsid w:val="00A019E7"/>
    <w:rsid w:val="00A019F1"/>
    <w:rsid w:val="00A01D50"/>
    <w:rsid w:val="00A01EBB"/>
    <w:rsid w:val="00A02074"/>
    <w:rsid w:val="00A022DD"/>
    <w:rsid w:val="00A024D9"/>
    <w:rsid w:val="00A029E2"/>
    <w:rsid w:val="00A02B6C"/>
    <w:rsid w:val="00A02EF7"/>
    <w:rsid w:val="00A032F5"/>
    <w:rsid w:val="00A03731"/>
    <w:rsid w:val="00A037A8"/>
    <w:rsid w:val="00A038AD"/>
    <w:rsid w:val="00A039A3"/>
    <w:rsid w:val="00A03A95"/>
    <w:rsid w:val="00A03DAB"/>
    <w:rsid w:val="00A03E80"/>
    <w:rsid w:val="00A04022"/>
    <w:rsid w:val="00A0413C"/>
    <w:rsid w:val="00A0417E"/>
    <w:rsid w:val="00A04196"/>
    <w:rsid w:val="00A042F2"/>
    <w:rsid w:val="00A044C4"/>
    <w:rsid w:val="00A048C2"/>
    <w:rsid w:val="00A04AE5"/>
    <w:rsid w:val="00A04BC6"/>
    <w:rsid w:val="00A05248"/>
    <w:rsid w:val="00A05324"/>
    <w:rsid w:val="00A057CB"/>
    <w:rsid w:val="00A05AF3"/>
    <w:rsid w:val="00A05F83"/>
    <w:rsid w:val="00A060F5"/>
    <w:rsid w:val="00A0618D"/>
    <w:rsid w:val="00A0624B"/>
    <w:rsid w:val="00A06668"/>
    <w:rsid w:val="00A06ADD"/>
    <w:rsid w:val="00A06D53"/>
    <w:rsid w:val="00A06DE2"/>
    <w:rsid w:val="00A06E6D"/>
    <w:rsid w:val="00A072C0"/>
    <w:rsid w:val="00A072DA"/>
    <w:rsid w:val="00A07377"/>
    <w:rsid w:val="00A07637"/>
    <w:rsid w:val="00A07653"/>
    <w:rsid w:val="00A07991"/>
    <w:rsid w:val="00A07A10"/>
    <w:rsid w:val="00A07B87"/>
    <w:rsid w:val="00A07CDC"/>
    <w:rsid w:val="00A07CF4"/>
    <w:rsid w:val="00A07FE1"/>
    <w:rsid w:val="00A07FEA"/>
    <w:rsid w:val="00A10325"/>
    <w:rsid w:val="00A103CC"/>
    <w:rsid w:val="00A105A0"/>
    <w:rsid w:val="00A10737"/>
    <w:rsid w:val="00A10BB3"/>
    <w:rsid w:val="00A10CDE"/>
    <w:rsid w:val="00A10E17"/>
    <w:rsid w:val="00A1105D"/>
    <w:rsid w:val="00A11093"/>
    <w:rsid w:val="00A11332"/>
    <w:rsid w:val="00A113A0"/>
    <w:rsid w:val="00A114DA"/>
    <w:rsid w:val="00A11582"/>
    <w:rsid w:val="00A11C91"/>
    <w:rsid w:val="00A11E1C"/>
    <w:rsid w:val="00A11EA0"/>
    <w:rsid w:val="00A11EF5"/>
    <w:rsid w:val="00A11F03"/>
    <w:rsid w:val="00A12465"/>
    <w:rsid w:val="00A12576"/>
    <w:rsid w:val="00A12577"/>
    <w:rsid w:val="00A127B0"/>
    <w:rsid w:val="00A1284E"/>
    <w:rsid w:val="00A12994"/>
    <w:rsid w:val="00A12C3E"/>
    <w:rsid w:val="00A131E3"/>
    <w:rsid w:val="00A13881"/>
    <w:rsid w:val="00A138A5"/>
    <w:rsid w:val="00A13B2E"/>
    <w:rsid w:val="00A13B52"/>
    <w:rsid w:val="00A13CBB"/>
    <w:rsid w:val="00A13CEB"/>
    <w:rsid w:val="00A14026"/>
    <w:rsid w:val="00A1418F"/>
    <w:rsid w:val="00A14314"/>
    <w:rsid w:val="00A1447D"/>
    <w:rsid w:val="00A145CC"/>
    <w:rsid w:val="00A1466D"/>
    <w:rsid w:val="00A14A87"/>
    <w:rsid w:val="00A14B78"/>
    <w:rsid w:val="00A14C43"/>
    <w:rsid w:val="00A14C81"/>
    <w:rsid w:val="00A14D31"/>
    <w:rsid w:val="00A14E34"/>
    <w:rsid w:val="00A151B4"/>
    <w:rsid w:val="00A15243"/>
    <w:rsid w:val="00A152C2"/>
    <w:rsid w:val="00A15829"/>
    <w:rsid w:val="00A1590A"/>
    <w:rsid w:val="00A1595B"/>
    <w:rsid w:val="00A15B64"/>
    <w:rsid w:val="00A15DCB"/>
    <w:rsid w:val="00A1651C"/>
    <w:rsid w:val="00A165E9"/>
    <w:rsid w:val="00A1660D"/>
    <w:rsid w:val="00A1680D"/>
    <w:rsid w:val="00A1691E"/>
    <w:rsid w:val="00A16AC5"/>
    <w:rsid w:val="00A16C26"/>
    <w:rsid w:val="00A16C9F"/>
    <w:rsid w:val="00A16DED"/>
    <w:rsid w:val="00A16E3C"/>
    <w:rsid w:val="00A17147"/>
    <w:rsid w:val="00A17286"/>
    <w:rsid w:val="00A173B5"/>
    <w:rsid w:val="00A1743F"/>
    <w:rsid w:val="00A17785"/>
    <w:rsid w:val="00A179DA"/>
    <w:rsid w:val="00A179DE"/>
    <w:rsid w:val="00A17A60"/>
    <w:rsid w:val="00A17D52"/>
    <w:rsid w:val="00A17D9A"/>
    <w:rsid w:val="00A17DCE"/>
    <w:rsid w:val="00A200AE"/>
    <w:rsid w:val="00A2014C"/>
    <w:rsid w:val="00A204FC"/>
    <w:rsid w:val="00A2064B"/>
    <w:rsid w:val="00A20650"/>
    <w:rsid w:val="00A20852"/>
    <w:rsid w:val="00A20867"/>
    <w:rsid w:val="00A20A37"/>
    <w:rsid w:val="00A20A58"/>
    <w:rsid w:val="00A20A90"/>
    <w:rsid w:val="00A20AB8"/>
    <w:rsid w:val="00A20AC1"/>
    <w:rsid w:val="00A20ACE"/>
    <w:rsid w:val="00A20B1A"/>
    <w:rsid w:val="00A20BB2"/>
    <w:rsid w:val="00A20D18"/>
    <w:rsid w:val="00A2111B"/>
    <w:rsid w:val="00A212FD"/>
    <w:rsid w:val="00A21447"/>
    <w:rsid w:val="00A21B44"/>
    <w:rsid w:val="00A22295"/>
    <w:rsid w:val="00A22506"/>
    <w:rsid w:val="00A22868"/>
    <w:rsid w:val="00A22870"/>
    <w:rsid w:val="00A2298E"/>
    <w:rsid w:val="00A22AD5"/>
    <w:rsid w:val="00A22B1C"/>
    <w:rsid w:val="00A22B48"/>
    <w:rsid w:val="00A22BFB"/>
    <w:rsid w:val="00A22D2B"/>
    <w:rsid w:val="00A23119"/>
    <w:rsid w:val="00A2324C"/>
    <w:rsid w:val="00A2335A"/>
    <w:rsid w:val="00A2354D"/>
    <w:rsid w:val="00A235AC"/>
    <w:rsid w:val="00A2376A"/>
    <w:rsid w:val="00A23AB0"/>
    <w:rsid w:val="00A23D89"/>
    <w:rsid w:val="00A241CD"/>
    <w:rsid w:val="00A241F1"/>
    <w:rsid w:val="00A243A8"/>
    <w:rsid w:val="00A245FA"/>
    <w:rsid w:val="00A24774"/>
    <w:rsid w:val="00A24814"/>
    <w:rsid w:val="00A24A5B"/>
    <w:rsid w:val="00A24A6D"/>
    <w:rsid w:val="00A24C32"/>
    <w:rsid w:val="00A24DD1"/>
    <w:rsid w:val="00A2503B"/>
    <w:rsid w:val="00A25408"/>
    <w:rsid w:val="00A254A5"/>
    <w:rsid w:val="00A254DE"/>
    <w:rsid w:val="00A259AA"/>
    <w:rsid w:val="00A25C51"/>
    <w:rsid w:val="00A25CD6"/>
    <w:rsid w:val="00A25D94"/>
    <w:rsid w:val="00A26457"/>
    <w:rsid w:val="00A26490"/>
    <w:rsid w:val="00A26669"/>
    <w:rsid w:val="00A266C5"/>
    <w:rsid w:val="00A2684E"/>
    <w:rsid w:val="00A26935"/>
    <w:rsid w:val="00A26AD3"/>
    <w:rsid w:val="00A26C42"/>
    <w:rsid w:val="00A26C64"/>
    <w:rsid w:val="00A26D02"/>
    <w:rsid w:val="00A27141"/>
    <w:rsid w:val="00A27250"/>
    <w:rsid w:val="00A2737F"/>
    <w:rsid w:val="00A2742E"/>
    <w:rsid w:val="00A274A5"/>
    <w:rsid w:val="00A27662"/>
    <w:rsid w:val="00A30048"/>
    <w:rsid w:val="00A3008F"/>
    <w:rsid w:val="00A300E1"/>
    <w:rsid w:val="00A30234"/>
    <w:rsid w:val="00A302BB"/>
    <w:rsid w:val="00A3045A"/>
    <w:rsid w:val="00A30663"/>
    <w:rsid w:val="00A306BD"/>
    <w:rsid w:val="00A307E6"/>
    <w:rsid w:val="00A30869"/>
    <w:rsid w:val="00A309C6"/>
    <w:rsid w:val="00A30CAF"/>
    <w:rsid w:val="00A30F02"/>
    <w:rsid w:val="00A312AB"/>
    <w:rsid w:val="00A3130F"/>
    <w:rsid w:val="00A313AA"/>
    <w:rsid w:val="00A31621"/>
    <w:rsid w:val="00A3169E"/>
    <w:rsid w:val="00A317FA"/>
    <w:rsid w:val="00A319DB"/>
    <w:rsid w:val="00A31B1D"/>
    <w:rsid w:val="00A31C81"/>
    <w:rsid w:val="00A31EC1"/>
    <w:rsid w:val="00A320BB"/>
    <w:rsid w:val="00A3247F"/>
    <w:rsid w:val="00A32542"/>
    <w:rsid w:val="00A327E0"/>
    <w:rsid w:val="00A32953"/>
    <w:rsid w:val="00A329F7"/>
    <w:rsid w:val="00A32B2D"/>
    <w:rsid w:val="00A32BB9"/>
    <w:rsid w:val="00A32E4E"/>
    <w:rsid w:val="00A32F6B"/>
    <w:rsid w:val="00A33027"/>
    <w:rsid w:val="00A3338F"/>
    <w:rsid w:val="00A3344D"/>
    <w:rsid w:val="00A33711"/>
    <w:rsid w:val="00A33B19"/>
    <w:rsid w:val="00A33C7F"/>
    <w:rsid w:val="00A33E02"/>
    <w:rsid w:val="00A340DE"/>
    <w:rsid w:val="00A34108"/>
    <w:rsid w:val="00A341FF"/>
    <w:rsid w:val="00A342C2"/>
    <w:rsid w:val="00A344A7"/>
    <w:rsid w:val="00A344E8"/>
    <w:rsid w:val="00A34517"/>
    <w:rsid w:val="00A34547"/>
    <w:rsid w:val="00A34662"/>
    <w:rsid w:val="00A346B4"/>
    <w:rsid w:val="00A34A1A"/>
    <w:rsid w:val="00A34A94"/>
    <w:rsid w:val="00A34DAA"/>
    <w:rsid w:val="00A34EC0"/>
    <w:rsid w:val="00A34EF5"/>
    <w:rsid w:val="00A34FB6"/>
    <w:rsid w:val="00A35311"/>
    <w:rsid w:val="00A35409"/>
    <w:rsid w:val="00A3558F"/>
    <w:rsid w:val="00A35957"/>
    <w:rsid w:val="00A35B7D"/>
    <w:rsid w:val="00A35E46"/>
    <w:rsid w:val="00A36029"/>
    <w:rsid w:val="00A36052"/>
    <w:rsid w:val="00A363B9"/>
    <w:rsid w:val="00A36419"/>
    <w:rsid w:val="00A364A7"/>
    <w:rsid w:val="00A364AD"/>
    <w:rsid w:val="00A36FC0"/>
    <w:rsid w:val="00A371A4"/>
    <w:rsid w:val="00A3729F"/>
    <w:rsid w:val="00A372BE"/>
    <w:rsid w:val="00A373AE"/>
    <w:rsid w:val="00A37773"/>
    <w:rsid w:val="00A37864"/>
    <w:rsid w:val="00A37CC8"/>
    <w:rsid w:val="00A37D91"/>
    <w:rsid w:val="00A40041"/>
    <w:rsid w:val="00A401DB"/>
    <w:rsid w:val="00A40463"/>
    <w:rsid w:val="00A404A2"/>
    <w:rsid w:val="00A40BBF"/>
    <w:rsid w:val="00A40EDB"/>
    <w:rsid w:val="00A41204"/>
    <w:rsid w:val="00A41443"/>
    <w:rsid w:val="00A414E3"/>
    <w:rsid w:val="00A4175F"/>
    <w:rsid w:val="00A41BCB"/>
    <w:rsid w:val="00A41BE6"/>
    <w:rsid w:val="00A41C89"/>
    <w:rsid w:val="00A41CB5"/>
    <w:rsid w:val="00A41CE6"/>
    <w:rsid w:val="00A41DC5"/>
    <w:rsid w:val="00A41F75"/>
    <w:rsid w:val="00A42551"/>
    <w:rsid w:val="00A4257C"/>
    <w:rsid w:val="00A42597"/>
    <w:rsid w:val="00A425C0"/>
    <w:rsid w:val="00A4265D"/>
    <w:rsid w:val="00A42668"/>
    <w:rsid w:val="00A4313C"/>
    <w:rsid w:val="00A4314A"/>
    <w:rsid w:val="00A43382"/>
    <w:rsid w:val="00A433A0"/>
    <w:rsid w:val="00A4365C"/>
    <w:rsid w:val="00A4372B"/>
    <w:rsid w:val="00A43735"/>
    <w:rsid w:val="00A43937"/>
    <w:rsid w:val="00A4396E"/>
    <w:rsid w:val="00A43AE9"/>
    <w:rsid w:val="00A43B7B"/>
    <w:rsid w:val="00A43D51"/>
    <w:rsid w:val="00A43DE7"/>
    <w:rsid w:val="00A44277"/>
    <w:rsid w:val="00A4428D"/>
    <w:rsid w:val="00A44329"/>
    <w:rsid w:val="00A4445D"/>
    <w:rsid w:val="00A44604"/>
    <w:rsid w:val="00A44B18"/>
    <w:rsid w:val="00A44D75"/>
    <w:rsid w:val="00A451DA"/>
    <w:rsid w:val="00A453D5"/>
    <w:rsid w:val="00A45470"/>
    <w:rsid w:val="00A4582C"/>
    <w:rsid w:val="00A4585D"/>
    <w:rsid w:val="00A459D9"/>
    <w:rsid w:val="00A45A15"/>
    <w:rsid w:val="00A45A87"/>
    <w:rsid w:val="00A45C70"/>
    <w:rsid w:val="00A45DF2"/>
    <w:rsid w:val="00A46086"/>
    <w:rsid w:val="00A46435"/>
    <w:rsid w:val="00A46658"/>
    <w:rsid w:val="00A467EB"/>
    <w:rsid w:val="00A46805"/>
    <w:rsid w:val="00A46960"/>
    <w:rsid w:val="00A46D6D"/>
    <w:rsid w:val="00A46D84"/>
    <w:rsid w:val="00A46F0A"/>
    <w:rsid w:val="00A470F1"/>
    <w:rsid w:val="00A47165"/>
    <w:rsid w:val="00A47305"/>
    <w:rsid w:val="00A4745B"/>
    <w:rsid w:val="00A47656"/>
    <w:rsid w:val="00A4775B"/>
    <w:rsid w:val="00A47992"/>
    <w:rsid w:val="00A47BF2"/>
    <w:rsid w:val="00A47E88"/>
    <w:rsid w:val="00A5011F"/>
    <w:rsid w:val="00A50395"/>
    <w:rsid w:val="00A503B0"/>
    <w:rsid w:val="00A504A2"/>
    <w:rsid w:val="00A505DE"/>
    <w:rsid w:val="00A5075B"/>
    <w:rsid w:val="00A508B3"/>
    <w:rsid w:val="00A50957"/>
    <w:rsid w:val="00A50AF0"/>
    <w:rsid w:val="00A50EB0"/>
    <w:rsid w:val="00A50F74"/>
    <w:rsid w:val="00A511F8"/>
    <w:rsid w:val="00A511FB"/>
    <w:rsid w:val="00A51350"/>
    <w:rsid w:val="00A51586"/>
    <w:rsid w:val="00A518FC"/>
    <w:rsid w:val="00A51A8C"/>
    <w:rsid w:val="00A51B34"/>
    <w:rsid w:val="00A51B96"/>
    <w:rsid w:val="00A51D34"/>
    <w:rsid w:val="00A52051"/>
    <w:rsid w:val="00A521A3"/>
    <w:rsid w:val="00A521D8"/>
    <w:rsid w:val="00A5223B"/>
    <w:rsid w:val="00A522FE"/>
    <w:rsid w:val="00A5230E"/>
    <w:rsid w:val="00A52321"/>
    <w:rsid w:val="00A52662"/>
    <w:rsid w:val="00A5290E"/>
    <w:rsid w:val="00A52971"/>
    <w:rsid w:val="00A52A00"/>
    <w:rsid w:val="00A52B5E"/>
    <w:rsid w:val="00A52CA7"/>
    <w:rsid w:val="00A52D21"/>
    <w:rsid w:val="00A52DE7"/>
    <w:rsid w:val="00A52F33"/>
    <w:rsid w:val="00A530EB"/>
    <w:rsid w:val="00A531C6"/>
    <w:rsid w:val="00A5327C"/>
    <w:rsid w:val="00A533A5"/>
    <w:rsid w:val="00A53476"/>
    <w:rsid w:val="00A535C0"/>
    <w:rsid w:val="00A536D2"/>
    <w:rsid w:val="00A53817"/>
    <w:rsid w:val="00A53A26"/>
    <w:rsid w:val="00A53C4C"/>
    <w:rsid w:val="00A53CCD"/>
    <w:rsid w:val="00A53D67"/>
    <w:rsid w:val="00A53DA1"/>
    <w:rsid w:val="00A53F12"/>
    <w:rsid w:val="00A5448B"/>
    <w:rsid w:val="00A5449C"/>
    <w:rsid w:val="00A54A6C"/>
    <w:rsid w:val="00A553DE"/>
    <w:rsid w:val="00A5545A"/>
    <w:rsid w:val="00A555A0"/>
    <w:rsid w:val="00A5578D"/>
    <w:rsid w:val="00A55EBB"/>
    <w:rsid w:val="00A55F56"/>
    <w:rsid w:val="00A55FFC"/>
    <w:rsid w:val="00A561AB"/>
    <w:rsid w:val="00A56271"/>
    <w:rsid w:val="00A56280"/>
    <w:rsid w:val="00A5640B"/>
    <w:rsid w:val="00A5658F"/>
    <w:rsid w:val="00A566C4"/>
    <w:rsid w:val="00A56715"/>
    <w:rsid w:val="00A56870"/>
    <w:rsid w:val="00A5694C"/>
    <w:rsid w:val="00A56C4B"/>
    <w:rsid w:val="00A56D8A"/>
    <w:rsid w:val="00A56F11"/>
    <w:rsid w:val="00A57064"/>
    <w:rsid w:val="00A570FA"/>
    <w:rsid w:val="00A5721C"/>
    <w:rsid w:val="00A57750"/>
    <w:rsid w:val="00A57826"/>
    <w:rsid w:val="00A57876"/>
    <w:rsid w:val="00A579ED"/>
    <w:rsid w:val="00A57A66"/>
    <w:rsid w:val="00A57AB7"/>
    <w:rsid w:val="00A57B5C"/>
    <w:rsid w:val="00A57CC3"/>
    <w:rsid w:val="00A57D74"/>
    <w:rsid w:val="00A57DC2"/>
    <w:rsid w:val="00A57E0A"/>
    <w:rsid w:val="00A6020B"/>
    <w:rsid w:val="00A60369"/>
    <w:rsid w:val="00A606D3"/>
    <w:rsid w:val="00A6090D"/>
    <w:rsid w:val="00A60FE5"/>
    <w:rsid w:val="00A61261"/>
    <w:rsid w:val="00A61881"/>
    <w:rsid w:val="00A6199F"/>
    <w:rsid w:val="00A61B27"/>
    <w:rsid w:val="00A621A2"/>
    <w:rsid w:val="00A6264E"/>
    <w:rsid w:val="00A62730"/>
    <w:rsid w:val="00A62796"/>
    <w:rsid w:val="00A62981"/>
    <w:rsid w:val="00A62B5E"/>
    <w:rsid w:val="00A62F2F"/>
    <w:rsid w:val="00A62FA7"/>
    <w:rsid w:val="00A63070"/>
    <w:rsid w:val="00A63099"/>
    <w:rsid w:val="00A6336A"/>
    <w:rsid w:val="00A6345C"/>
    <w:rsid w:val="00A6407C"/>
    <w:rsid w:val="00A6423C"/>
    <w:rsid w:val="00A646B8"/>
    <w:rsid w:val="00A64D45"/>
    <w:rsid w:val="00A64DDC"/>
    <w:rsid w:val="00A64E23"/>
    <w:rsid w:val="00A6506B"/>
    <w:rsid w:val="00A65300"/>
    <w:rsid w:val="00A65478"/>
    <w:rsid w:val="00A65754"/>
    <w:rsid w:val="00A6575B"/>
    <w:rsid w:val="00A65785"/>
    <w:rsid w:val="00A66236"/>
    <w:rsid w:val="00A663CA"/>
    <w:rsid w:val="00A664E7"/>
    <w:rsid w:val="00A6655B"/>
    <w:rsid w:val="00A66943"/>
    <w:rsid w:val="00A66AFC"/>
    <w:rsid w:val="00A66C4C"/>
    <w:rsid w:val="00A66C87"/>
    <w:rsid w:val="00A66E88"/>
    <w:rsid w:val="00A66FD5"/>
    <w:rsid w:val="00A672F4"/>
    <w:rsid w:val="00A67318"/>
    <w:rsid w:val="00A67595"/>
    <w:rsid w:val="00A675BC"/>
    <w:rsid w:val="00A676AB"/>
    <w:rsid w:val="00A67850"/>
    <w:rsid w:val="00A67913"/>
    <w:rsid w:val="00A67934"/>
    <w:rsid w:val="00A67995"/>
    <w:rsid w:val="00A67CF1"/>
    <w:rsid w:val="00A67E9F"/>
    <w:rsid w:val="00A67F8F"/>
    <w:rsid w:val="00A7015D"/>
    <w:rsid w:val="00A701B2"/>
    <w:rsid w:val="00A70214"/>
    <w:rsid w:val="00A7030E"/>
    <w:rsid w:val="00A7034A"/>
    <w:rsid w:val="00A704E4"/>
    <w:rsid w:val="00A705A5"/>
    <w:rsid w:val="00A708E3"/>
    <w:rsid w:val="00A70BE2"/>
    <w:rsid w:val="00A70D3F"/>
    <w:rsid w:val="00A70F04"/>
    <w:rsid w:val="00A70F8A"/>
    <w:rsid w:val="00A71088"/>
    <w:rsid w:val="00A711A1"/>
    <w:rsid w:val="00A716A6"/>
    <w:rsid w:val="00A71776"/>
    <w:rsid w:val="00A7182D"/>
    <w:rsid w:val="00A720B9"/>
    <w:rsid w:val="00A72122"/>
    <w:rsid w:val="00A72614"/>
    <w:rsid w:val="00A72665"/>
    <w:rsid w:val="00A727C4"/>
    <w:rsid w:val="00A72875"/>
    <w:rsid w:val="00A729F4"/>
    <w:rsid w:val="00A72CF5"/>
    <w:rsid w:val="00A73152"/>
    <w:rsid w:val="00A732BB"/>
    <w:rsid w:val="00A733AB"/>
    <w:rsid w:val="00A73AF8"/>
    <w:rsid w:val="00A73C9C"/>
    <w:rsid w:val="00A73D41"/>
    <w:rsid w:val="00A73D88"/>
    <w:rsid w:val="00A73F29"/>
    <w:rsid w:val="00A74243"/>
    <w:rsid w:val="00A74488"/>
    <w:rsid w:val="00A7449C"/>
    <w:rsid w:val="00A744EC"/>
    <w:rsid w:val="00A7455B"/>
    <w:rsid w:val="00A7481D"/>
    <w:rsid w:val="00A74AF4"/>
    <w:rsid w:val="00A74DEE"/>
    <w:rsid w:val="00A74FA8"/>
    <w:rsid w:val="00A74FCA"/>
    <w:rsid w:val="00A75025"/>
    <w:rsid w:val="00A75200"/>
    <w:rsid w:val="00A75342"/>
    <w:rsid w:val="00A75411"/>
    <w:rsid w:val="00A754C3"/>
    <w:rsid w:val="00A75603"/>
    <w:rsid w:val="00A75769"/>
    <w:rsid w:val="00A75AA4"/>
    <w:rsid w:val="00A75BE4"/>
    <w:rsid w:val="00A75D0E"/>
    <w:rsid w:val="00A75D85"/>
    <w:rsid w:val="00A75E02"/>
    <w:rsid w:val="00A75E9A"/>
    <w:rsid w:val="00A75EEB"/>
    <w:rsid w:val="00A75F6F"/>
    <w:rsid w:val="00A76065"/>
    <w:rsid w:val="00A76117"/>
    <w:rsid w:val="00A764E4"/>
    <w:rsid w:val="00A7688F"/>
    <w:rsid w:val="00A76B56"/>
    <w:rsid w:val="00A76B6E"/>
    <w:rsid w:val="00A7719A"/>
    <w:rsid w:val="00A77254"/>
    <w:rsid w:val="00A7731B"/>
    <w:rsid w:val="00A77333"/>
    <w:rsid w:val="00A7756C"/>
    <w:rsid w:val="00A77868"/>
    <w:rsid w:val="00A77A0F"/>
    <w:rsid w:val="00A77AA8"/>
    <w:rsid w:val="00A77BBE"/>
    <w:rsid w:val="00A77C3A"/>
    <w:rsid w:val="00A77F60"/>
    <w:rsid w:val="00A8003F"/>
    <w:rsid w:val="00A8008F"/>
    <w:rsid w:val="00A8037E"/>
    <w:rsid w:val="00A804B0"/>
    <w:rsid w:val="00A80CD6"/>
    <w:rsid w:val="00A80EF7"/>
    <w:rsid w:val="00A80FE4"/>
    <w:rsid w:val="00A813C0"/>
    <w:rsid w:val="00A8150B"/>
    <w:rsid w:val="00A81578"/>
    <w:rsid w:val="00A815C7"/>
    <w:rsid w:val="00A81798"/>
    <w:rsid w:val="00A819A3"/>
    <w:rsid w:val="00A81A94"/>
    <w:rsid w:val="00A81AC5"/>
    <w:rsid w:val="00A81E80"/>
    <w:rsid w:val="00A8212A"/>
    <w:rsid w:val="00A821CB"/>
    <w:rsid w:val="00A825BA"/>
    <w:rsid w:val="00A8262B"/>
    <w:rsid w:val="00A8291F"/>
    <w:rsid w:val="00A82A3D"/>
    <w:rsid w:val="00A82B8D"/>
    <w:rsid w:val="00A82E5F"/>
    <w:rsid w:val="00A82F0C"/>
    <w:rsid w:val="00A82F12"/>
    <w:rsid w:val="00A82F7E"/>
    <w:rsid w:val="00A83150"/>
    <w:rsid w:val="00A8315B"/>
    <w:rsid w:val="00A8317F"/>
    <w:rsid w:val="00A832F0"/>
    <w:rsid w:val="00A83645"/>
    <w:rsid w:val="00A83954"/>
    <w:rsid w:val="00A83EF8"/>
    <w:rsid w:val="00A83F7B"/>
    <w:rsid w:val="00A843D7"/>
    <w:rsid w:val="00A84403"/>
    <w:rsid w:val="00A847E2"/>
    <w:rsid w:val="00A847F7"/>
    <w:rsid w:val="00A84945"/>
    <w:rsid w:val="00A84A4D"/>
    <w:rsid w:val="00A84FF9"/>
    <w:rsid w:val="00A85041"/>
    <w:rsid w:val="00A8506B"/>
    <w:rsid w:val="00A85139"/>
    <w:rsid w:val="00A8516C"/>
    <w:rsid w:val="00A8550A"/>
    <w:rsid w:val="00A85693"/>
    <w:rsid w:val="00A858C1"/>
    <w:rsid w:val="00A858DD"/>
    <w:rsid w:val="00A859F9"/>
    <w:rsid w:val="00A85AC8"/>
    <w:rsid w:val="00A86054"/>
    <w:rsid w:val="00A8607E"/>
    <w:rsid w:val="00A862C5"/>
    <w:rsid w:val="00A8671F"/>
    <w:rsid w:val="00A8673F"/>
    <w:rsid w:val="00A869C7"/>
    <w:rsid w:val="00A86B93"/>
    <w:rsid w:val="00A86B9E"/>
    <w:rsid w:val="00A86DEA"/>
    <w:rsid w:val="00A86E8D"/>
    <w:rsid w:val="00A871C9"/>
    <w:rsid w:val="00A87302"/>
    <w:rsid w:val="00A87339"/>
    <w:rsid w:val="00A87366"/>
    <w:rsid w:val="00A8742C"/>
    <w:rsid w:val="00A8778C"/>
    <w:rsid w:val="00A879F6"/>
    <w:rsid w:val="00A87AE9"/>
    <w:rsid w:val="00A87B77"/>
    <w:rsid w:val="00A87BB3"/>
    <w:rsid w:val="00A87C4C"/>
    <w:rsid w:val="00A87E21"/>
    <w:rsid w:val="00A87F73"/>
    <w:rsid w:val="00A900FF"/>
    <w:rsid w:val="00A902CF"/>
    <w:rsid w:val="00A90522"/>
    <w:rsid w:val="00A90A1C"/>
    <w:rsid w:val="00A90CAB"/>
    <w:rsid w:val="00A90E40"/>
    <w:rsid w:val="00A90F1F"/>
    <w:rsid w:val="00A9102C"/>
    <w:rsid w:val="00A910F6"/>
    <w:rsid w:val="00A91220"/>
    <w:rsid w:val="00A91542"/>
    <w:rsid w:val="00A91720"/>
    <w:rsid w:val="00A91740"/>
    <w:rsid w:val="00A9192F"/>
    <w:rsid w:val="00A91B12"/>
    <w:rsid w:val="00A91E49"/>
    <w:rsid w:val="00A922E4"/>
    <w:rsid w:val="00A92510"/>
    <w:rsid w:val="00A92654"/>
    <w:rsid w:val="00A929E6"/>
    <w:rsid w:val="00A92C4A"/>
    <w:rsid w:val="00A92C91"/>
    <w:rsid w:val="00A92CE8"/>
    <w:rsid w:val="00A92E56"/>
    <w:rsid w:val="00A92F55"/>
    <w:rsid w:val="00A9327E"/>
    <w:rsid w:val="00A933BA"/>
    <w:rsid w:val="00A93574"/>
    <w:rsid w:val="00A9386D"/>
    <w:rsid w:val="00A938E0"/>
    <w:rsid w:val="00A93CCC"/>
    <w:rsid w:val="00A93F62"/>
    <w:rsid w:val="00A94018"/>
    <w:rsid w:val="00A94325"/>
    <w:rsid w:val="00A94487"/>
    <w:rsid w:val="00A9465E"/>
    <w:rsid w:val="00A947F4"/>
    <w:rsid w:val="00A94A98"/>
    <w:rsid w:val="00A94BA7"/>
    <w:rsid w:val="00A9509C"/>
    <w:rsid w:val="00A951C8"/>
    <w:rsid w:val="00A95424"/>
    <w:rsid w:val="00A9562B"/>
    <w:rsid w:val="00A9587B"/>
    <w:rsid w:val="00A958D0"/>
    <w:rsid w:val="00A958FF"/>
    <w:rsid w:val="00A95ABB"/>
    <w:rsid w:val="00A95AF2"/>
    <w:rsid w:val="00A95B65"/>
    <w:rsid w:val="00A95C06"/>
    <w:rsid w:val="00A95E76"/>
    <w:rsid w:val="00A962FD"/>
    <w:rsid w:val="00A964BD"/>
    <w:rsid w:val="00A964C2"/>
    <w:rsid w:val="00A964EC"/>
    <w:rsid w:val="00A9655D"/>
    <w:rsid w:val="00A96641"/>
    <w:rsid w:val="00A96665"/>
    <w:rsid w:val="00A967DD"/>
    <w:rsid w:val="00A9681E"/>
    <w:rsid w:val="00A96981"/>
    <w:rsid w:val="00A969B4"/>
    <w:rsid w:val="00A96B35"/>
    <w:rsid w:val="00A96FFB"/>
    <w:rsid w:val="00A97232"/>
    <w:rsid w:val="00A97659"/>
    <w:rsid w:val="00A976BE"/>
    <w:rsid w:val="00A97820"/>
    <w:rsid w:val="00A979A3"/>
    <w:rsid w:val="00A97A72"/>
    <w:rsid w:val="00A97D86"/>
    <w:rsid w:val="00A97DAF"/>
    <w:rsid w:val="00A97E6A"/>
    <w:rsid w:val="00A97F80"/>
    <w:rsid w:val="00AA007A"/>
    <w:rsid w:val="00AA0092"/>
    <w:rsid w:val="00AA021E"/>
    <w:rsid w:val="00AA0372"/>
    <w:rsid w:val="00AA04BF"/>
    <w:rsid w:val="00AA0575"/>
    <w:rsid w:val="00AA05A2"/>
    <w:rsid w:val="00AA0604"/>
    <w:rsid w:val="00AA085E"/>
    <w:rsid w:val="00AA0A8E"/>
    <w:rsid w:val="00AA12D8"/>
    <w:rsid w:val="00AA1433"/>
    <w:rsid w:val="00AA1713"/>
    <w:rsid w:val="00AA1887"/>
    <w:rsid w:val="00AA1915"/>
    <w:rsid w:val="00AA1F51"/>
    <w:rsid w:val="00AA2095"/>
    <w:rsid w:val="00AA246D"/>
    <w:rsid w:val="00AA2DD9"/>
    <w:rsid w:val="00AA2E25"/>
    <w:rsid w:val="00AA2FFD"/>
    <w:rsid w:val="00AA3497"/>
    <w:rsid w:val="00AA38C4"/>
    <w:rsid w:val="00AA3A7A"/>
    <w:rsid w:val="00AA3BB8"/>
    <w:rsid w:val="00AA3DF5"/>
    <w:rsid w:val="00AA4062"/>
    <w:rsid w:val="00AA4186"/>
    <w:rsid w:val="00AA4235"/>
    <w:rsid w:val="00AA45E2"/>
    <w:rsid w:val="00AA45FC"/>
    <w:rsid w:val="00AA464E"/>
    <w:rsid w:val="00AA47D7"/>
    <w:rsid w:val="00AA48D1"/>
    <w:rsid w:val="00AA49D1"/>
    <w:rsid w:val="00AA4E8C"/>
    <w:rsid w:val="00AA4FA1"/>
    <w:rsid w:val="00AA5078"/>
    <w:rsid w:val="00AA5128"/>
    <w:rsid w:val="00AA51BD"/>
    <w:rsid w:val="00AA5963"/>
    <w:rsid w:val="00AA5C72"/>
    <w:rsid w:val="00AA5E54"/>
    <w:rsid w:val="00AA5F67"/>
    <w:rsid w:val="00AA669F"/>
    <w:rsid w:val="00AA686A"/>
    <w:rsid w:val="00AA6891"/>
    <w:rsid w:val="00AA6ABF"/>
    <w:rsid w:val="00AA6C90"/>
    <w:rsid w:val="00AA6F2B"/>
    <w:rsid w:val="00AA6F90"/>
    <w:rsid w:val="00AA727E"/>
    <w:rsid w:val="00AA73F2"/>
    <w:rsid w:val="00AA742A"/>
    <w:rsid w:val="00AA794B"/>
    <w:rsid w:val="00AA79E7"/>
    <w:rsid w:val="00AA79F1"/>
    <w:rsid w:val="00AA7A1A"/>
    <w:rsid w:val="00AA7A9C"/>
    <w:rsid w:val="00AA7D35"/>
    <w:rsid w:val="00AA7D79"/>
    <w:rsid w:val="00AB0133"/>
    <w:rsid w:val="00AB02E2"/>
    <w:rsid w:val="00AB0427"/>
    <w:rsid w:val="00AB073E"/>
    <w:rsid w:val="00AB0EE2"/>
    <w:rsid w:val="00AB1147"/>
    <w:rsid w:val="00AB11E5"/>
    <w:rsid w:val="00AB145A"/>
    <w:rsid w:val="00AB149F"/>
    <w:rsid w:val="00AB17CB"/>
    <w:rsid w:val="00AB1908"/>
    <w:rsid w:val="00AB19AD"/>
    <w:rsid w:val="00AB19E5"/>
    <w:rsid w:val="00AB1A13"/>
    <w:rsid w:val="00AB2365"/>
    <w:rsid w:val="00AB2427"/>
    <w:rsid w:val="00AB2469"/>
    <w:rsid w:val="00AB2472"/>
    <w:rsid w:val="00AB2602"/>
    <w:rsid w:val="00AB28E6"/>
    <w:rsid w:val="00AB2999"/>
    <w:rsid w:val="00AB29F1"/>
    <w:rsid w:val="00AB2CE4"/>
    <w:rsid w:val="00AB2EEB"/>
    <w:rsid w:val="00AB2FC7"/>
    <w:rsid w:val="00AB3047"/>
    <w:rsid w:val="00AB3300"/>
    <w:rsid w:val="00AB332E"/>
    <w:rsid w:val="00AB3510"/>
    <w:rsid w:val="00AB39C7"/>
    <w:rsid w:val="00AB3B74"/>
    <w:rsid w:val="00AB3C63"/>
    <w:rsid w:val="00AB3DB8"/>
    <w:rsid w:val="00AB3F0D"/>
    <w:rsid w:val="00AB3FE2"/>
    <w:rsid w:val="00AB4256"/>
    <w:rsid w:val="00AB446D"/>
    <w:rsid w:val="00AB48F2"/>
    <w:rsid w:val="00AB4C2D"/>
    <w:rsid w:val="00AB4D97"/>
    <w:rsid w:val="00AB4E9F"/>
    <w:rsid w:val="00AB50CD"/>
    <w:rsid w:val="00AB537B"/>
    <w:rsid w:val="00AB5717"/>
    <w:rsid w:val="00AB5B1C"/>
    <w:rsid w:val="00AB5C39"/>
    <w:rsid w:val="00AB60F2"/>
    <w:rsid w:val="00AB61B7"/>
    <w:rsid w:val="00AB6232"/>
    <w:rsid w:val="00AB631E"/>
    <w:rsid w:val="00AB651D"/>
    <w:rsid w:val="00AB6523"/>
    <w:rsid w:val="00AB65D5"/>
    <w:rsid w:val="00AB661D"/>
    <w:rsid w:val="00AB67C6"/>
    <w:rsid w:val="00AB67D7"/>
    <w:rsid w:val="00AB6868"/>
    <w:rsid w:val="00AB6D5D"/>
    <w:rsid w:val="00AB6FCD"/>
    <w:rsid w:val="00AB7052"/>
    <w:rsid w:val="00AB71FC"/>
    <w:rsid w:val="00AB736E"/>
    <w:rsid w:val="00AB758B"/>
    <w:rsid w:val="00AB77E0"/>
    <w:rsid w:val="00AB7834"/>
    <w:rsid w:val="00AB7839"/>
    <w:rsid w:val="00AB784B"/>
    <w:rsid w:val="00AB7A2B"/>
    <w:rsid w:val="00AB7A8D"/>
    <w:rsid w:val="00AB7DF9"/>
    <w:rsid w:val="00ABAEA3"/>
    <w:rsid w:val="00AC02A7"/>
    <w:rsid w:val="00AC0704"/>
    <w:rsid w:val="00AC086C"/>
    <w:rsid w:val="00AC089A"/>
    <w:rsid w:val="00AC0AA8"/>
    <w:rsid w:val="00AC0D6F"/>
    <w:rsid w:val="00AC0EBE"/>
    <w:rsid w:val="00AC1207"/>
    <w:rsid w:val="00AC12A7"/>
    <w:rsid w:val="00AC137F"/>
    <w:rsid w:val="00AC153D"/>
    <w:rsid w:val="00AC1542"/>
    <w:rsid w:val="00AC1623"/>
    <w:rsid w:val="00AC198C"/>
    <w:rsid w:val="00AC1C98"/>
    <w:rsid w:val="00AC1DB1"/>
    <w:rsid w:val="00AC2038"/>
    <w:rsid w:val="00AC20DE"/>
    <w:rsid w:val="00AC210F"/>
    <w:rsid w:val="00AC23DD"/>
    <w:rsid w:val="00AC24C6"/>
    <w:rsid w:val="00AC26B5"/>
    <w:rsid w:val="00AC272F"/>
    <w:rsid w:val="00AC2769"/>
    <w:rsid w:val="00AC2AB1"/>
    <w:rsid w:val="00AC2FCE"/>
    <w:rsid w:val="00AC3067"/>
    <w:rsid w:val="00AC315D"/>
    <w:rsid w:val="00AC319E"/>
    <w:rsid w:val="00AC324B"/>
    <w:rsid w:val="00AC34F9"/>
    <w:rsid w:val="00AC35E8"/>
    <w:rsid w:val="00AC391D"/>
    <w:rsid w:val="00AC3C15"/>
    <w:rsid w:val="00AC3C1A"/>
    <w:rsid w:val="00AC460C"/>
    <w:rsid w:val="00AC46B5"/>
    <w:rsid w:val="00AC4842"/>
    <w:rsid w:val="00AC4939"/>
    <w:rsid w:val="00AC4CD9"/>
    <w:rsid w:val="00AC4D0F"/>
    <w:rsid w:val="00AC4EE5"/>
    <w:rsid w:val="00AC4FA9"/>
    <w:rsid w:val="00AC5160"/>
    <w:rsid w:val="00AC52BF"/>
    <w:rsid w:val="00AC52C8"/>
    <w:rsid w:val="00AC5426"/>
    <w:rsid w:val="00AC54EB"/>
    <w:rsid w:val="00AC56EE"/>
    <w:rsid w:val="00AC59F3"/>
    <w:rsid w:val="00AC5C0F"/>
    <w:rsid w:val="00AC6403"/>
    <w:rsid w:val="00AC6466"/>
    <w:rsid w:val="00AC6508"/>
    <w:rsid w:val="00AC6527"/>
    <w:rsid w:val="00AC65CE"/>
    <w:rsid w:val="00AC6709"/>
    <w:rsid w:val="00AC67F6"/>
    <w:rsid w:val="00AC68FB"/>
    <w:rsid w:val="00AC6C56"/>
    <w:rsid w:val="00AC6DC6"/>
    <w:rsid w:val="00AC6DDC"/>
    <w:rsid w:val="00AC6EDC"/>
    <w:rsid w:val="00AC6EE3"/>
    <w:rsid w:val="00AC6F92"/>
    <w:rsid w:val="00AC72ED"/>
    <w:rsid w:val="00AC7370"/>
    <w:rsid w:val="00AC76A1"/>
    <w:rsid w:val="00AC7781"/>
    <w:rsid w:val="00AC7AF6"/>
    <w:rsid w:val="00AC7B73"/>
    <w:rsid w:val="00AC7DA2"/>
    <w:rsid w:val="00AC7F20"/>
    <w:rsid w:val="00AD00E6"/>
    <w:rsid w:val="00AD034A"/>
    <w:rsid w:val="00AD04DB"/>
    <w:rsid w:val="00AD0612"/>
    <w:rsid w:val="00AD0706"/>
    <w:rsid w:val="00AD072E"/>
    <w:rsid w:val="00AD076E"/>
    <w:rsid w:val="00AD081B"/>
    <w:rsid w:val="00AD082D"/>
    <w:rsid w:val="00AD0856"/>
    <w:rsid w:val="00AD0872"/>
    <w:rsid w:val="00AD098B"/>
    <w:rsid w:val="00AD0B59"/>
    <w:rsid w:val="00AD0DCF"/>
    <w:rsid w:val="00AD0E14"/>
    <w:rsid w:val="00AD0E46"/>
    <w:rsid w:val="00AD0EAC"/>
    <w:rsid w:val="00AD0EB2"/>
    <w:rsid w:val="00AD0F2D"/>
    <w:rsid w:val="00AD1134"/>
    <w:rsid w:val="00AD1420"/>
    <w:rsid w:val="00AD146D"/>
    <w:rsid w:val="00AD14EE"/>
    <w:rsid w:val="00AD18C4"/>
    <w:rsid w:val="00AD19D3"/>
    <w:rsid w:val="00AD19DD"/>
    <w:rsid w:val="00AD1A8D"/>
    <w:rsid w:val="00AD1BDF"/>
    <w:rsid w:val="00AD1C2C"/>
    <w:rsid w:val="00AD1CDC"/>
    <w:rsid w:val="00AD1E0A"/>
    <w:rsid w:val="00AD2248"/>
    <w:rsid w:val="00AD22D6"/>
    <w:rsid w:val="00AD22E5"/>
    <w:rsid w:val="00AD2340"/>
    <w:rsid w:val="00AD238B"/>
    <w:rsid w:val="00AD2480"/>
    <w:rsid w:val="00AD250E"/>
    <w:rsid w:val="00AD2735"/>
    <w:rsid w:val="00AD28A0"/>
    <w:rsid w:val="00AD294A"/>
    <w:rsid w:val="00AD2B8A"/>
    <w:rsid w:val="00AD2BAE"/>
    <w:rsid w:val="00AD2ED4"/>
    <w:rsid w:val="00AD303A"/>
    <w:rsid w:val="00AD3058"/>
    <w:rsid w:val="00AD3111"/>
    <w:rsid w:val="00AD394A"/>
    <w:rsid w:val="00AD3B97"/>
    <w:rsid w:val="00AD3C5A"/>
    <w:rsid w:val="00AD41BB"/>
    <w:rsid w:val="00AD41F1"/>
    <w:rsid w:val="00AD432C"/>
    <w:rsid w:val="00AD4764"/>
    <w:rsid w:val="00AD47C9"/>
    <w:rsid w:val="00AD52BB"/>
    <w:rsid w:val="00AD5458"/>
    <w:rsid w:val="00AD5506"/>
    <w:rsid w:val="00AD5512"/>
    <w:rsid w:val="00AD5516"/>
    <w:rsid w:val="00AD5618"/>
    <w:rsid w:val="00AD5CFC"/>
    <w:rsid w:val="00AD5EB3"/>
    <w:rsid w:val="00AD60D0"/>
    <w:rsid w:val="00AD6AC5"/>
    <w:rsid w:val="00AD6AEC"/>
    <w:rsid w:val="00AD6BB2"/>
    <w:rsid w:val="00AD6CFF"/>
    <w:rsid w:val="00AD6DA0"/>
    <w:rsid w:val="00AD6EAB"/>
    <w:rsid w:val="00AD6FBC"/>
    <w:rsid w:val="00AD7016"/>
    <w:rsid w:val="00AD71B4"/>
    <w:rsid w:val="00AD783B"/>
    <w:rsid w:val="00AD797E"/>
    <w:rsid w:val="00AD7B14"/>
    <w:rsid w:val="00AD7C9D"/>
    <w:rsid w:val="00AD7CA7"/>
    <w:rsid w:val="00AD7D68"/>
    <w:rsid w:val="00AE00FE"/>
    <w:rsid w:val="00AE0286"/>
    <w:rsid w:val="00AE041A"/>
    <w:rsid w:val="00AE0463"/>
    <w:rsid w:val="00AE04B3"/>
    <w:rsid w:val="00AE065D"/>
    <w:rsid w:val="00AE06B8"/>
    <w:rsid w:val="00AE07B9"/>
    <w:rsid w:val="00AE097D"/>
    <w:rsid w:val="00AE0ABC"/>
    <w:rsid w:val="00AE0E45"/>
    <w:rsid w:val="00AE11D6"/>
    <w:rsid w:val="00AE180A"/>
    <w:rsid w:val="00AE1847"/>
    <w:rsid w:val="00AE188E"/>
    <w:rsid w:val="00AE197A"/>
    <w:rsid w:val="00AE1B98"/>
    <w:rsid w:val="00AE1DA1"/>
    <w:rsid w:val="00AE2148"/>
    <w:rsid w:val="00AE25DF"/>
    <w:rsid w:val="00AE29FE"/>
    <w:rsid w:val="00AE2C70"/>
    <w:rsid w:val="00AE2CA0"/>
    <w:rsid w:val="00AE2CB5"/>
    <w:rsid w:val="00AE2CD9"/>
    <w:rsid w:val="00AE2E27"/>
    <w:rsid w:val="00AE2EF5"/>
    <w:rsid w:val="00AE2F78"/>
    <w:rsid w:val="00AE34C9"/>
    <w:rsid w:val="00AE373B"/>
    <w:rsid w:val="00AE3A1E"/>
    <w:rsid w:val="00AE3A2A"/>
    <w:rsid w:val="00AE3A4B"/>
    <w:rsid w:val="00AE3AE6"/>
    <w:rsid w:val="00AE3D03"/>
    <w:rsid w:val="00AE3F98"/>
    <w:rsid w:val="00AE40CC"/>
    <w:rsid w:val="00AE431A"/>
    <w:rsid w:val="00AE453F"/>
    <w:rsid w:val="00AE4559"/>
    <w:rsid w:val="00AE498E"/>
    <w:rsid w:val="00AE4A82"/>
    <w:rsid w:val="00AE51ED"/>
    <w:rsid w:val="00AE530D"/>
    <w:rsid w:val="00AE5A47"/>
    <w:rsid w:val="00AE5AD4"/>
    <w:rsid w:val="00AE604A"/>
    <w:rsid w:val="00AE60B8"/>
    <w:rsid w:val="00AE63FB"/>
    <w:rsid w:val="00AE650F"/>
    <w:rsid w:val="00AE6774"/>
    <w:rsid w:val="00AE6977"/>
    <w:rsid w:val="00AE6A16"/>
    <w:rsid w:val="00AE709B"/>
    <w:rsid w:val="00AE734F"/>
    <w:rsid w:val="00AE7531"/>
    <w:rsid w:val="00AE7532"/>
    <w:rsid w:val="00AE7665"/>
    <w:rsid w:val="00AE78D8"/>
    <w:rsid w:val="00AE7B87"/>
    <w:rsid w:val="00AF00A5"/>
    <w:rsid w:val="00AF00C1"/>
    <w:rsid w:val="00AF0843"/>
    <w:rsid w:val="00AF084E"/>
    <w:rsid w:val="00AF089D"/>
    <w:rsid w:val="00AF0A89"/>
    <w:rsid w:val="00AF1014"/>
    <w:rsid w:val="00AF1214"/>
    <w:rsid w:val="00AF14A0"/>
    <w:rsid w:val="00AF162A"/>
    <w:rsid w:val="00AF17DE"/>
    <w:rsid w:val="00AF18CF"/>
    <w:rsid w:val="00AF1AD2"/>
    <w:rsid w:val="00AF1CB2"/>
    <w:rsid w:val="00AF1F98"/>
    <w:rsid w:val="00AF1FF4"/>
    <w:rsid w:val="00AF20F1"/>
    <w:rsid w:val="00AF21EA"/>
    <w:rsid w:val="00AF223A"/>
    <w:rsid w:val="00AF25C3"/>
    <w:rsid w:val="00AF2603"/>
    <w:rsid w:val="00AF2656"/>
    <w:rsid w:val="00AF277B"/>
    <w:rsid w:val="00AF2AE1"/>
    <w:rsid w:val="00AF2F48"/>
    <w:rsid w:val="00AF329F"/>
    <w:rsid w:val="00AF32AD"/>
    <w:rsid w:val="00AF3567"/>
    <w:rsid w:val="00AF3892"/>
    <w:rsid w:val="00AF3E8E"/>
    <w:rsid w:val="00AF3F05"/>
    <w:rsid w:val="00AF4046"/>
    <w:rsid w:val="00AF4682"/>
    <w:rsid w:val="00AF4D22"/>
    <w:rsid w:val="00AF500B"/>
    <w:rsid w:val="00AF5080"/>
    <w:rsid w:val="00AF51DF"/>
    <w:rsid w:val="00AF5228"/>
    <w:rsid w:val="00AF554F"/>
    <w:rsid w:val="00AF55A2"/>
    <w:rsid w:val="00AF5606"/>
    <w:rsid w:val="00AF5664"/>
    <w:rsid w:val="00AF5747"/>
    <w:rsid w:val="00AF5846"/>
    <w:rsid w:val="00AF5847"/>
    <w:rsid w:val="00AF58E0"/>
    <w:rsid w:val="00AF591B"/>
    <w:rsid w:val="00AF59EB"/>
    <w:rsid w:val="00AF5A8C"/>
    <w:rsid w:val="00AF5EA8"/>
    <w:rsid w:val="00AF5FC9"/>
    <w:rsid w:val="00AF607A"/>
    <w:rsid w:val="00AF60D6"/>
    <w:rsid w:val="00AF6110"/>
    <w:rsid w:val="00AF6268"/>
    <w:rsid w:val="00AF629C"/>
    <w:rsid w:val="00AF63E8"/>
    <w:rsid w:val="00AF6669"/>
    <w:rsid w:val="00AF6671"/>
    <w:rsid w:val="00AF6696"/>
    <w:rsid w:val="00AF6793"/>
    <w:rsid w:val="00AF68AE"/>
    <w:rsid w:val="00AF6915"/>
    <w:rsid w:val="00AF69C4"/>
    <w:rsid w:val="00AF6AC6"/>
    <w:rsid w:val="00AF6CFA"/>
    <w:rsid w:val="00AF6E22"/>
    <w:rsid w:val="00AF6E7F"/>
    <w:rsid w:val="00AF6FD0"/>
    <w:rsid w:val="00AF7040"/>
    <w:rsid w:val="00AF707D"/>
    <w:rsid w:val="00AF7A34"/>
    <w:rsid w:val="00AF7DC7"/>
    <w:rsid w:val="00AF7E20"/>
    <w:rsid w:val="00B00032"/>
    <w:rsid w:val="00B000BD"/>
    <w:rsid w:val="00B00167"/>
    <w:rsid w:val="00B00492"/>
    <w:rsid w:val="00B0053F"/>
    <w:rsid w:val="00B00573"/>
    <w:rsid w:val="00B00610"/>
    <w:rsid w:val="00B00611"/>
    <w:rsid w:val="00B00763"/>
    <w:rsid w:val="00B0081D"/>
    <w:rsid w:val="00B00887"/>
    <w:rsid w:val="00B008D6"/>
    <w:rsid w:val="00B00976"/>
    <w:rsid w:val="00B00B95"/>
    <w:rsid w:val="00B00DFB"/>
    <w:rsid w:val="00B01021"/>
    <w:rsid w:val="00B010A7"/>
    <w:rsid w:val="00B012DF"/>
    <w:rsid w:val="00B013A6"/>
    <w:rsid w:val="00B0149A"/>
    <w:rsid w:val="00B015C9"/>
    <w:rsid w:val="00B01630"/>
    <w:rsid w:val="00B01B1A"/>
    <w:rsid w:val="00B01BB1"/>
    <w:rsid w:val="00B01C22"/>
    <w:rsid w:val="00B01DA5"/>
    <w:rsid w:val="00B01FE0"/>
    <w:rsid w:val="00B02168"/>
    <w:rsid w:val="00B02217"/>
    <w:rsid w:val="00B02485"/>
    <w:rsid w:val="00B02506"/>
    <w:rsid w:val="00B0251F"/>
    <w:rsid w:val="00B02CCF"/>
    <w:rsid w:val="00B030D9"/>
    <w:rsid w:val="00B0323E"/>
    <w:rsid w:val="00B032EB"/>
    <w:rsid w:val="00B03373"/>
    <w:rsid w:val="00B0339F"/>
    <w:rsid w:val="00B03499"/>
    <w:rsid w:val="00B034A5"/>
    <w:rsid w:val="00B035A7"/>
    <w:rsid w:val="00B036C4"/>
    <w:rsid w:val="00B039E6"/>
    <w:rsid w:val="00B03C73"/>
    <w:rsid w:val="00B03E37"/>
    <w:rsid w:val="00B04116"/>
    <w:rsid w:val="00B04215"/>
    <w:rsid w:val="00B0428A"/>
    <w:rsid w:val="00B0434B"/>
    <w:rsid w:val="00B04354"/>
    <w:rsid w:val="00B044B9"/>
    <w:rsid w:val="00B04597"/>
    <w:rsid w:val="00B0462E"/>
    <w:rsid w:val="00B04E66"/>
    <w:rsid w:val="00B050FA"/>
    <w:rsid w:val="00B0537A"/>
    <w:rsid w:val="00B0543F"/>
    <w:rsid w:val="00B054BB"/>
    <w:rsid w:val="00B0564D"/>
    <w:rsid w:val="00B05719"/>
    <w:rsid w:val="00B0573F"/>
    <w:rsid w:val="00B05783"/>
    <w:rsid w:val="00B05847"/>
    <w:rsid w:val="00B05AAA"/>
    <w:rsid w:val="00B05E1A"/>
    <w:rsid w:val="00B05FC0"/>
    <w:rsid w:val="00B05FE1"/>
    <w:rsid w:val="00B06500"/>
    <w:rsid w:val="00B06576"/>
    <w:rsid w:val="00B068E6"/>
    <w:rsid w:val="00B06B00"/>
    <w:rsid w:val="00B06C90"/>
    <w:rsid w:val="00B070EC"/>
    <w:rsid w:val="00B07412"/>
    <w:rsid w:val="00B0754B"/>
    <w:rsid w:val="00B07615"/>
    <w:rsid w:val="00B07BC9"/>
    <w:rsid w:val="00B1013A"/>
    <w:rsid w:val="00B10194"/>
    <w:rsid w:val="00B101EA"/>
    <w:rsid w:val="00B103B7"/>
    <w:rsid w:val="00B10486"/>
    <w:rsid w:val="00B10598"/>
    <w:rsid w:val="00B105DA"/>
    <w:rsid w:val="00B10607"/>
    <w:rsid w:val="00B10818"/>
    <w:rsid w:val="00B10C78"/>
    <w:rsid w:val="00B10CB2"/>
    <w:rsid w:val="00B10E14"/>
    <w:rsid w:val="00B10E3C"/>
    <w:rsid w:val="00B10E58"/>
    <w:rsid w:val="00B10FF9"/>
    <w:rsid w:val="00B1171E"/>
    <w:rsid w:val="00B1183C"/>
    <w:rsid w:val="00B11ABB"/>
    <w:rsid w:val="00B11F6E"/>
    <w:rsid w:val="00B120D0"/>
    <w:rsid w:val="00B123B4"/>
    <w:rsid w:val="00B1263A"/>
    <w:rsid w:val="00B1281C"/>
    <w:rsid w:val="00B1297E"/>
    <w:rsid w:val="00B12C06"/>
    <w:rsid w:val="00B12DB5"/>
    <w:rsid w:val="00B12E0D"/>
    <w:rsid w:val="00B12FBF"/>
    <w:rsid w:val="00B1300B"/>
    <w:rsid w:val="00B134A8"/>
    <w:rsid w:val="00B135C5"/>
    <w:rsid w:val="00B1393F"/>
    <w:rsid w:val="00B1395F"/>
    <w:rsid w:val="00B1399C"/>
    <w:rsid w:val="00B13B01"/>
    <w:rsid w:val="00B13CE5"/>
    <w:rsid w:val="00B141FC"/>
    <w:rsid w:val="00B14268"/>
    <w:rsid w:val="00B145ED"/>
    <w:rsid w:val="00B1480D"/>
    <w:rsid w:val="00B14833"/>
    <w:rsid w:val="00B1495E"/>
    <w:rsid w:val="00B14AB2"/>
    <w:rsid w:val="00B14CB1"/>
    <w:rsid w:val="00B14FFC"/>
    <w:rsid w:val="00B1505E"/>
    <w:rsid w:val="00B154C7"/>
    <w:rsid w:val="00B15556"/>
    <w:rsid w:val="00B155DD"/>
    <w:rsid w:val="00B15790"/>
    <w:rsid w:val="00B157AE"/>
    <w:rsid w:val="00B158E9"/>
    <w:rsid w:val="00B159EE"/>
    <w:rsid w:val="00B15B01"/>
    <w:rsid w:val="00B15B1A"/>
    <w:rsid w:val="00B15D7F"/>
    <w:rsid w:val="00B15FD5"/>
    <w:rsid w:val="00B1605A"/>
    <w:rsid w:val="00B160D7"/>
    <w:rsid w:val="00B162D6"/>
    <w:rsid w:val="00B1661D"/>
    <w:rsid w:val="00B168A8"/>
    <w:rsid w:val="00B1698F"/>
    <w:rsid w:val="00B16C23"/>
    <w:rsid w:val="00B16D08"/>
    <w:rsid w:val="00B16F57"/>
    <w:rsid w:val="00B172A2"/>
    <w:rsid w:val="00B17376"/>
    <w:rsid w:val="00B1753B"/>
    <w:rsid w:val="00B1759A"/>
    <w:rsid w:val="00B17620"/>
    <w:rsid w:val="00B1786A"/>
    <w:rsid w:val="00B17890"/>
    <w:rsid w:val="00B17DB4"/>
    <w:rsid w:val="00B17EAA"/>
    <w:rsid w:val="00B17F39"/>
    <w:rsid w:val="00B17FDC"/>
    <w:rsid w:val="00B2059F"/>
    <w:rsid w:val="00B205AA"/>
    <w:rsid w:val="00B20C61"/>
    <w:rsid w:val="00B2108A"/>
    <w:rsid w:val="00B2167C"/>
    <w:rsid w:val="00B2169D"/>
    <w:rsid w:val="00B219BF"/>
    <w:rsid w:val="00B22313"/>
    <w:rsid w:val="00B2237C"/>
    <w:rsid w:val="00B2243F"/>
    <w:rsid w:val="00B224CE"/>
    <w:rsid w:val="00B22576"/>
    <w:rsid w:val="00B22B10"/>
    <w:rsid w:val="00B22B8E"/>
    <w:rsid w:val="00B22BF1"/>
    <w:rsid w:val="00B22E6E"/>
    <w:rsid w:val="00B23276"/>
    <w:rsid w:val="00B232B5"/>
    <w:rsid w:val="00B23642"/>
    <w:rsid w:val="00B23928"/>
    <w:rsid w:val="00B23A36"/>
    <w:rsid w:val="00B23B65"/>
    <w:rsid w:val="00B23B7B"/>
    <w:rsid w:val="00B23C65"/>
    <w:rsid w:val="00B23E54"/>
    <w:rsid w:val="00B23F13"/>
    <w:rsid w:val="00B23FDC"/>
    <w:rsid w:val="00B24185"/>
    <w:rsid w:val="00B2438C"/>
    <w:rsid w:val="00B2441C"/>
    <w:rsid w:val="00B24544"/>
    <w:rsid w:val="00B24587"/>
    <w:rsid w:val="00B249FC"/>
    <w:rsid w:val="00B24A0F"/>
    <w:rsid w:val="00B24B75"/>
    <w:rsid w:val="00B24CA7"/>
    <w:rsid w:val="00B251E1"/>
    <w:rsid w:val="00B25202"/>
    <w:rsid w:val="00B253B0"/>
    <w:rsid w:val="00B255C4"/>
    <w:rsid w:val="00B2586E"/>
    <w:rsid w:val="00B25B7C"/>
    <w:rsid w:val="00B260D9"/>
    <w:rsid w:val="00B262AC"/>
    <w:rsid w:val="00B263CD"/>
    <w:rsid w:val="00B268C6"/>
    <w:rsid w:val="00B26911"/>
    <w:rsid w:val="00B2697A"/>
    <w:rsid w:val="00B26A49"/>
    <w:rsid w:val="00B26A8F"/>
    <w:rsid w:val="00B26AB4"/>
    <w:rsid w:val="00B270DF"/>
    <w:rsid w:val="00B273B2"/>
    <w:rsid w:val="00B2768A"/>
    <w:rsid w:val="00B27910"/>
    <w:rsid w:val="00B27D27"/>
    <w:rsid w:val="00B27D5A"/>
    <w:rsid w:val="00B27E77"/>
    <w:rsid w:val="00B27FE0"/>
    <w:rsid w:val="00B3001F"/>
    <w:rsid w:val="00B3026F"/>
    <w:rsid w:val="00B30507"/>
    <w:rsid w:val="00B3062A"/>
    <w:rsid w:val="00B30660"/>
    <w:rsid w:val="00B307F4"/>
    <w:rsid w:val="00B30EF7"/>
    <w:rsid w:val="00B30FFE"/>
    <w:rsid w:val="00B311A7"/>
    <w:rsid w:val="00B317E7"/>
    <w:rsid w:val="00B31897"/>
    <w:rsid w:val="00B31A7F"/>
    <w:rsid w:val="00B31B26"/>
    <w:rsid w:val="00B31FA7"/>
    <w:rsid w:val="00B32318"/>
    <w:rsid w:val="00B32513"/>
    <w:rsid w:val="00B32675"/>
    <w:rsid w:val="00B326B5"/>
    <w:rsid w:val="00B3273E"/>
    <w:rsid w:val="00B3297A"/>
    <w:rsid w:val="00B331D4"/>
    <w:rsid w:val="00B33216"/>
    <w:rsid w:val="00B333D3"/>
    <w:rsid w:val="00B3342A"/>
    <w:rsid w:val="00B33512"/>
    <w:rsid w:val="00B33583"/>
    <w:rsid w:val="00B33597"/>
    <w:rsid w:val="00B3373D"/>
    <w:rsid w:val="00B337D5"/>
    <w:rsid w:val="00B33810"/>
    <w:rsid w:val="00B33860"/>
    <w:rsid w:val="00B33887"/>
    <w:rsid w:val="00B33A57"/>
    <w:rsid w:val="00B33A6C"/>
    <w:rsid w:val="00B33B35"/>
    <w:rsid w:val="00B33B99"/>
    <w:rsid w:val="00B33D92"/>
    <w:rsid w:val="00B34083"/>
    <w:rsid w:val="00B340C7"/>
    <w:rsid w:val="00B341A2"/>
    <w:rsid w:val="00B3431F"/>
    <w:rsid w:val="00B34541"/>
    <w:rsid w:val="00B34648"/>
    <w:rsid w:val="00B346B7"/>
    <w:rsid w:val="00B346D7"/>
    <w:rsid w:val="00B34BBD"/>
    <w:rsid w:val="00B351E9"/>
    <w:rsid w:val="00B35200"/>
    <w:rsid w:val="00B3526D"/>
    <w:rsid w:val="00B35312"/>
    <w:rsid w:val="00B35377"/>
    <w:rsid w:val="00B355CA"/>
    <w:rsid w:val="00B356CA"/>
    <w:rsid w:val="00B35743"/>
    <w:rsid w:val="00B357B9"/>
    <w:rsid w:val="00B35B53"/>
    <w:rsid w:val="00B35EBF"/>
    <w:rsid w:val="00B35F65"/>
    <w:rsid w:val="00B36004"/>
    <w:rsid w:val="00B360EA"/>
    <w:rsid w:val="00B36167"/>
    <w:rsid w:val="00B364EC"/>
    <w:rsid w:val="00B36C6C"/>
    <w:rsid w:val="00B36F6D"/>
    <w:rsid w:val="00B37180"/>
    <w:rsid w:val="00B374B4"/>
    <w:rsid w:val="00B37509"/>
    <w:rsid w:val="00B375F3"/>
    <w:rsid w:val="00B375F7"/>
    <w:rsid w:val="00B37728"/>
    <w:rsid w:val="00B377D4"/>
    <w:rsid w:val="00B37A54"/>
    <w:rsid w:val="00B37A65"/>
    <w:rsid w:val="00B37B3E"/>
    <w:rsid w:val="00B37CCA"/>
    <w:rsid w:val="00B37CE5"/>
    <w:rsid w:val="00B37D04"/>
    <w:rsid w:val="00B400A4"/>
    <w:rsid w:val="00B40132"/>
    <w:rsid w:val="00B4014C"/>
    <w:rsid w:val="00B403F9"/>
    <w:rsid w:val="00B4053A"/>
    <w:rsid w:val="00B40676"/>
    <w:rsid w:val="00B406DA"/>
    <w:rsid w:val="00B409AA"/>
    <w:rsid w:val="00B409F9"/>
    <w:rsid w:val="00B40A50"/>
    <w:rsid w:val="00B40AE7"/>
    <w:rsid w:val="00B40BB1"/>
    <w:rsid w:val="00B40BD2"/>
    <w:rsid w:val="00B40E32"/>
    <w:rsid w:val="00B40EB7"/>
    <w:rsid w:val="00B40F85"/>
    <w:rsid w:val="00B410E1"/>
    <w:rsid w:val="00B41512"/>
    <w:rsid w:val="00B415F1"/>
    <w:rsid w:val="00B417B4"/>
    <w:rsid w:val="00B417E1"/>
    <w:rsid w:val="00B418A2"/>
    <w:rsid w:val="00B419DB"/>
    <w:rsid w:val="00B41BF0"/>
    <w:rsid w:val="00B41C29"/>
    <w:rsid w:val="00B41DB8"/>
    <w:rsid w:val="00B42074"/>
    <w:rsid w:val="00B42271"/>
    <w:rsid w:val="00B42BF3"/>
    <w:rsid w:val="00B42CE8"/>
    <w:rsid w:val="00B42FF6"/>
    <w:rsid w:val="00B43117"/>
    <w:rsid w:val="00B43485"/>
    <w:rsid w:val="00B4354C"/>
    <w:rsid w:val="00B43642"/>
    <w:rsid w:val="00B43943"/>
    <w:rsid w:val="00B439B2"/>
    <w:rsid w:val="00B439D6"/>
    <w:rsid w:val="00B43BFD"/>
    <w:rsid w:val="00B43E5D"/>
    <w:rsid w:val="00B44392"/>
    <w:rsid w:val="00B44398"/>
    <w:rsid w:val="00B443C9"/>
    <w:rsid w:val="00B4448B"/>
    <w:rsid w:val="00B4453D"/>
    <w:rsid w:val="00B44A12"/>
    <w:rsid w:val="00B44D3C"/>
    <w:rsid w:val="00B44DF8"/>
    <w:rsid w:val="00B44E8F"/>
    <w:rsid w:val="00B45007"/>
    <w:rsid w:val="00B45094"/>
    <w:rsid w:val="00B452DC"/>
    <w:rsid w:val="00B45499"/>
    <w:rsid w:val="00B4556C"/>
    <w:rsid w:val="00B455C4"/>
    <w:rsid w:val="00B4589B"/>
    <w:rsid w:val="00B45C64"/>
    <w:rsid w:val="00B45E4A"/>
    <w:rsid w:val="00B45E4D"/>
    <w:rsid w:val="00B45EAF"/>
    <w:rsid w:val="00B45F13"/>
    <w:rsid w:val="00B46066"/>
    <w:rsid w:val="00B462A2"/>
    <w:rsid w:val="00B4645E"/>
    <w:rsid w:val="00B4657D"/>
    <w:rsid w:val="00B46795"/>
    <w:rsid w:val="00B4681D"/>
    <w:rsid w:val="00B46A32"/>
    <w:rsid w:val="00B46B29"/>
    <w:rsid w:val="00B46C28"/>
    <w:rsid w:val="00B46CF4"/>
    <w:rsid w:val="00B46D8A"/>
    <w:rsid w:val="00B47043"/>
    <w:rsid w:val="00B47107"/>
    <w:rsid w:val="00B47207"/>
    <w:rsid w:val="00B475D7"/>
    <w:rsid w:val="00B47B2C"/>
    <w:rsid w:val="00B47C3D"/>
    <w:rsid w:val="00B47CD8"/>
    <w:rsid w:val="00B47D15"/>
    <w:rsid w:val="00B47D2F"/>
    <w:rsid w:val="00B47DB5"/>
    <w:rsid w:val="00B47EE0"/>
    <w:rsid w:val="00B50151"/>
    <w:rsid w:val="00B50333"/>
    <w:rsid w:val="00B5034B"/>
    <w:rsid w:val="00B503B5"/>
    <w:rsid w:val="00B504ED"/>
    <w:rsid w:val="00B50757"/>
    <w:rsid w:val="00B509DA"/>
    <w:rsid w:val="00B50F99"/>
    <w:rsid w:val="00B50FA9"/>
    <w:rsid w:val="00B5135A"/>
    <w:rsid w:val="00B514B1"/>
    <w:rsid w:val="00B514CE"/>
    <w:rsid w:val="00B51D0D"/>
    <w:rsid w:val="00B51E4D"/>
    <w:rsid w:val="00B520E8"/>
    <w:rsid w:val="00B52736"/>
    <w:rsid w:val="00B528F2"/>
    <w:rsid w:val="00B52995"/>
    <w:rsid w:val="00B52B91"/>
    <w:rsid w:val="00B52B9B"/>
    <w:rsid w:val="00B52BA5"/>
    <w:rsid w:val="00B52CC0"/>
    <w:rsid w:val="00B532B8"/>
    <w:rsid w:val="00B5330D"/>
    <w:rsid w:val="00B53547"/>
    <w:rsid w:val="00B5355A"/>
    <w:rsid w:val="00B53597"/>
    <w:rsid w:val="00B53BEC"/>
    <w:rsid w:val="00B53DCA"/>
    <w:rsid w:val="00B53E11"/>
    <w:rsid w:val="00B53E7E"/>
    <w:rsid w:val="00B53F5E"/>
    <w:rsid w:val="00B5408D"/>
    <w:rsid w:val="00B540B9"/>
    <w:rsid w:val="00B54195"/>
    <w:rsid w:val="00B54519"/>
    <w:rsid w:val="00B545B9"/>
    <w:rsid w:val="00B54895"/>
    <w:rsid w:val="00B54936"/>
    <w:rsid w:val="00B549AA"/>
    <w:rsid w:val="00B54A68"/>
    <w:rsid w:val="00B54A9D"/>
    <w:rsid w:val="00B54E4D"/>
    <w:rsid w:val="00B54E85"/>
    <w:rsid w:val="00B54FCE"/>
    <w:rsid w:val="00B550E0"/>
    <w:rsid w:val="00B55235"/>
    <w:rsid w:val="00B55364"/>
    <w:rsid w:val="00B55561"/>
    <w:rsid w:val="00B5576D"/>
    <w:rsid w:val="00B557B0"/>
    <w:rsid w:val="00B557D1"/>
    <w:rsid w:val="00B55853"/>
    <w:rsid w:val="00B558C8"/>
    <w:rsid w:val="00B5592E"/>
    <w:rsid w:val="00B55D29"/>
    <w:rsid w:val="00B55D3E"/>
    <w:rsid w:val="00B55FDA"/>
    <w:rsid w:val="00B5625D"/>
    <w:rsid w:val="00B566C6"/>
    <w:rsid w:val="00B5698F"/>
    <w:rsid w:val="00B569E7"/>
    <w:rsid w:val="00B56FD1"/>
    <w:rsid w:val="00B57024"/>
    <w:rsid w:val="00B57478"/>
    <w:rsid w:val="00B574E4"/>
    <w:rsid w:val="00B57539"/>
    <w:rsid w:val="00B577BD"/>
    <w:rsid w:val="00B577D6"/>
    <w:rsid w:val="00B57837"/>
    <w:rsid w:val="00B57FAC"/>
    <w:rsid w:val="00B60061"/>
    <w:rsid w:val="00B60378"/>
    <w:rsid w:val="00B603E7"/>
    <w:rsid w:val="00B60401"/>
    <w:rsid w:val="00B6057A"/>
    <w:rsid w:val="00B60681"/>
    <w:rsid w:val="00B60712"/>
    <w:rsid w:val="00B60748"/>
    <w:rsid w:val="00B60754"/>
    <w:rsid w:val="00B60A19"/>
    <w:rsid w:val="00B60AEE"/>
    <w:rsid w:val="00B60B66"/>
    <w:rsid w:val="00B60B67"/>
    <w:rsid w:val="00B60F1F"/>
    <w:rsid w:val="00B613DA"/>
    <w:rsid w:val="00B614CC"/>
    <w:rsid w:val="00B614D1"/>
    <w:rsid w:val="00B6168E"/>
    <w:rsid w:val="00B6171A"/>
    <w:rsid w:val="00B61915"/>
    <w:rsid w:val="00B61BE5"/>
    <w:rsid w:val="00B61ED3"/>
    <w:rsid w:val="00B6235E"/>
    <w:rsid w:val="00B6240F"/>
    <w:rsid w:val="00B62590"/>
    <w:rsid w:val="00B625EA"/>
    <w:rsid w:val="00B62614"/>
    <w:rsid w:val="00B62737"/>
    <w:rsid w:val="00B6278F"/>
    <w:rsid w:val="00B62826"/>
    <w:rsid w:val="00B629C7"/>
    <w:rsid w:val="00B62B28"/>
    <w:rsid w:val="00B62BAD"/>
    <w:rsid w:val="00B62DBE"/>
    <w:rsid w:val="00B63150"/>
    <w:rsid w:val="00B63571"/>
    <w:rsid w:val="00B635FF"/>
    <w:rsid w:val="00B636C2"/>
    <w:rsid w:val="00B636C6"/>
    <w:rsid w:val="00B63748"/>
    <w:rsid w:val="00B6375C"/>
    <w:rsid w:val="00B638A6"/>
    <w:rsid w:val="00B63971"/>
    <w:rsid w:val="00B639A7"/>
    <w:rsid w:val="00B63A3C"/>
    <w:rsid w:val="00B63ADD"/>
    <w:rsid w:val="00B63AF3"/>
    <w:rsid w:val="00B63B0A"/>
    <w:rsid w:val="00B63E19"/>
    <w:rsid w:val="00B64131"/>
    <w:rsid w:val="00B644A5"/>
    <w:rsid w:val="00B6468C"/>
    <w:rsid w:val="00B646C6"/>
    <w:rsid w:val="00B64779"/>
    <w:rsid w:val="00B6478A"/>
    <w:rsid w:val="00B647E9"/>
    <w:rsid w:val="00B64918"/>
    <w:rsid w:val="00B6495A"/>
    <w:rsid w:val="00B649AD"/>
    <w:rsid w:val="00B64A26"/>
    <w:rsid w:val="00B64A4C"/>
    <w:rsid w:val="00B64A75"/>
    <w:rsid w:val="00B64DD8"/>
    <w:rsid w:val="00B64E46"/>
    <w:rsid w:val="00B64FB6"/>
    <w:rsid w:val="00B6518B"/>
    <w:rsid w:val="00B654A6"/>
    <w:rsid w:val="00B656E1"/>
    <w:rsid w:val="00B659C8"/>
    <w:rsid w:val="00B65AEE"/>
    <w:rsid w:val="00B65CD8"/>
    <w:rsid w:val="00B65F43"/>
    <w:rsid w:val="00B6661C"/>
    <w:rsid w:val="00B666ED"/>
    <w:rsid w:val="00B6675E"/>
    <w:rsid w:val="00B6680B"/>
    <w:rsid w:val="00B6686E"/>
    <w:rsid w:val="00B66A2D"/>
    <w:rsid w:val="00B66A7A"/>
    <w:rsid w:val="00B66C18"/>
    <w:rsid w:val="00B66CE2"/>
    <w:rsid w:val="00B66DF8"/>
    <w:rsid w:val="00B671A5"/>
    <w:rsid w:val="00B6729F"/>
    <w:rsid w:val="00B673DA"/>
    <w:rsid w:val="00B67766"/>
    <w:rsid w:val="00B67785"/>
    <w:rsid w:val="00B6782F"/>
    <w:rsid w:val="00B6794E"/>
    <w:rsid w:val="00B67A95"/>
    <w:rsid w:val="00B67F32"/>
    <w:rsid w:val="00B70033"/>
    <w:rsid w:val="00B70256"/>
    <w:rsid w:val="00B7028D"/>
    <w:rsid w:val="00B702B6"/>
    <w:rsid w:val="00B70335"/>
    <w:rsid w:val="00B70460"/>
    <w:rsid w:val="00B70481"/>
    <w:rsid w:val="00B7083E"/>
    <w:rsid w:val="00B70869"/>
    <w:rsid w:val="00B708DB"/>
    <w:rsid w:val="00B70999"/>
    <w:rsid w:val="00B70A8D"/>
    <w:rsid w:val="00B70BB5"/>
    <w:rsid w:val="00B70DCA"/>
    <w:rsid w:val="00B70F7F"/>
    <w:rsid w:val="00B70F8B"/>
    <w:rsid w:val="00B710F1"/>
    <w:rsid w:val="00B71335"/>
    <w:rsid w:val="00B713D4"/>
    <w:rsid w:val="00B7155F"/>
    <w:rsid w:val="00B71613"/>
    <w:rsid w:val="00B7164F"/>
    <w:rsid w:val="00B716A6"/>
    <w:rsid w:val="00B718A0"/>
    <w:rsid w:val="00B71AE8"/>
    <w:rsid w:val="00B71F1C"/>
    <w:rsid w:val="00B720BA"/>
    <w:rsid w:val="00B7211D"/>
    <w:rsid w:val="00B7220F"/>
    <w:rsid w:val="00B7224C"/>
    <w:rsid w:val="00B72251"/>
    <w:rsid w:val="00B722D6"/>
    <w:rsid w:val="00B724EB"/>
    <w:rsid w:val="00B72615"/>
    <w:rsid w:val="00B72736"/>
    <w:rsid w:val="00B7291C"/>
    <w:rsid w:val="00B72BEB"/>
    <w:rsid w:val="00B72CAE"/>
    <w:rsid w:val="00B7311D"/>
    <w:rsid w:val="00B732E6"/>
    <w:rsid w:val="00B734D2"/>
    <w:rsid w:val="00B73524"/>
    <w:rsid w:val="00B73599"/>
    <w:rsid w:val="00B73713"/>
    <w:rsid w:val="00B7371A"/>
    <w:rsid w:val="00B73DB9"/>
    <w:rsid w:val="00B73E80"/>
    <w:rsid w:val="00B7411C"/>
    <w:rsid w:val="00B745B9"/>
    <w:rsid w:val="00B74795"/>
    <w:rsid w:val="00B7479E"/>
    <w:rsid w:val="00B747CA"/>
    <w:rsid w:val="00B7483F"/>
    <w:rsid w:val="00B74AB8"/>
    <w:rsid w:val="00B74CC7"/>
    <w:rsid w:val="00B74D65"/>
    <w:rsid w:val="00B75141"/>
    <w:rsid w:val="00B75281"/>
    <w:rsid w:val="00B75475"/>
    <w:rsid w:val="00B7549C"/>
    <w:rsid w:val="00B754BA"/>
    <w:rsid w:val="00B75561"/>
    <w:rsid w:val="00B75585"/>
    <w:rsid w:val="00B757EF"/>
    <w:rsid w:val="00B7580E"/>
    <w:rsid w:val="00B7582D"/>
    <w:rsid w:val="00B75890"/>
    <w:rsid w:val="00B75DD7"/>
    <w:rsid w:val="00B7619E"/>
    <w:rsid w:val="00B76268"/>
    <w:rsid w:val="00B763F9"/>
    <w:rsid w:val="00B76477"/>
    <w:rsid w:val="00B76A3E"/>
    <w:rsid w:val="00B76A79"/>
    <w:rsid w:val="00B76ADA"/>
    <w:rsid w:val="00B76B78"/>
    <w:rsid w:val="00B76FE5"/>
    <w:rsid w:val="00B77202"/>
    <w:rsid w:val="00B7728D"/>
    <w:rsid w:val="00B7793A"/>
    <w:rsid w:val="00B7794C"/>
    <w:rsid w:val="00B77A3C"/>
    <w:rsid w:val="00B77EC5"/>
    <w:rsid w:val="00B8004A"/>
    <w:rsid w:val="00B801DC"/>
    <w:rsid w:val="00B801EF"/>
    <w:rsid w:val="00B80206"/>
    <w:rsid w:val="00B803DD"/>
    <w:rsid w:val="00B805B9"/>
    <w:rsid w:val="00B80899"/>
    <w:rsid w:val="00B80A2B"/>
    <w:rsid w:val="00B80D43"/>
    <w:rsid w:val="00B80D7A"/>
    <w:rsid w:val="00B80FA0"/>
    <w:rsid w:val="00B8124B"/>
    <w:rsid w:val="00B8139D"/>
    <w:rsid w:val="00B8152A"/>
    <w:rsid w:val="00B81689"/>
    <w:rsid w:val="00B81AE5"/>
    <w:rsid w:val="00B81D1F"/>
    <w:rsid w:val="00B8207C"/>
    <w:rsid w:val="00B820A2"/>
    <w:rsid w:val="00B82136"/>
    <w:rsid w:val="00B82318"/>
    <w:rsid w:val="00B82344"/>
    <w:rsid w:val="00B8249A"/>
    <w:rsid w:val="00B82595"/>
    <w:rsid w:val="00B82627"/>
    <w:rsid w:val="00B82889"/>
    <w:rsid w:val="00B82A7C"/>
    <w:rsid w:val="00B82BBF"/>
    <w:rsid w:val="00B82D76"/>
    <w:rsid w:val="00B82D85"/>
    <w:rsid w:val="00B82DA7"/>
    <w:rsid w:val="00B83583"/>
    <w:rsid w:val="00B8378B"/>
    <w:rsid w:val="00B839BF"/>
    <w:rsid w:val="00B83C0F"/>
    <w:rsid w:val="00B83C29"/>
    <w:rsid w:val="00B83E8D"/>
    <w:rsid w:val="00B8407A"/>
    <w:rsid w:val="00B84152"/>
    <w:rsid w:val="00B84185"/>
    <w:rsid w:val="00B84201"/>
    <w:rsid w:val="00B8420E"/>
    <w:rsid w:val="00B84362"/>
    <w:rsid w:val="00B84432"/>
    <w:rsid w:val="00B844BB"/>
    <w:rsid w:val="00B84714"/>
    <w:rsid w:val="00B84729"/>
    <w:rsid w:val="00B849CB"/>
    <w:rsid w:val="00B84A16"/>
    <w:rsid w:val="00B84A66"/>
    <w:rsid w:val="00B84AC8"/>
    <w:rsid w:val="00B84AE2"/>
    <w:rsid w:val="00B84EF1"/>
    <w:rsid w:val="00B850E0"/>
    <w:rsid w:val="00B859FB"/>
    <w:rsid w:val="00B85AFF"/>
    <w:rsid w:val="00B85BAE"/>
    <w:rsid w:val="00B85EB6"/>
    <w:rsid w:val="00B85FA3"/>
    <w:rsid w:val="00B860C2"/>
    <w:rsid w:val="00B86350"/>
    <w:rsid w:val="00B865FB"/>
    <w:rsid w:val="00B867A6"/>
    <w:rsid w:val="00B8693C"/>
    <w:rsid w:val="00B869A3"/>
    <w:rsid w:val="00B86A3A"/>
    <w:rsid w:val="00B86A7D"/>
    <w:rsid w:val="00B86F0F"/>
    <w:rsid w:val="00B86F78"/>
    <w:rsid w:val="00B87029"/>
    <w:rsid w:val="00B872EB"/>
    <w:rsid w:val="00B873E1"/>
    <w:rsid w:val="00B87553"/>
    <w:rsid w:val="00B8765F"/>
    <w:rsid w:val="00B8774C"/>
    <w:rsid w:val="00B87759"/>
    <w:rsid w:val="00B87765"/>
    <w:rsid w:val="00B877C2"/>
    <w:rsid w:val="00B8795D"/>
    <w:rsid w:val="00B879E5"/>
    <w:rsid w:val="00B87A91"/>
    <w:rsid w:val="00B87F96"/>
    <w:rsid w:val="00B87FA4"/>
    <w:rsid w:val="00B87FB3"/>
    <w:rsid w:val="00B900D2"/>
    <w:rsid w:val="00B901D8"/>
    <w:rsid w:val="00B90381"/>
    <w:rsid w:val="00B904DF"/>
    <w:rsid w:val="00B90625"/>
    <w:rsid w:val="00B90A11"/>
    <w:rsid w:val="00B90AA7"/>
    <w:rsid w:val="00B90DA6"/>
    <w:rsid w:val="00B90ED5"/>
    <w:rsid w:val="00B910C0"/>
    <w:rsid w:val="00B913B5"/>
    <w:rsid w:val="00B913BD"/>
    <w:rsid w:val="00B9159E"/>
    <w:rsid w:val="00B915BE"/>
    <w:rsid w:val="00B91714"/>
    <w:rsid w:val="00B9179D"/>
    <w:rsid w:val="00B91A18"/>
    <w:rsid w:val="00B91AE8"/>
    <w:rsid w:val="00B920A9"/>
    <w:rsid w:val="00B9229D"/>
    <w:rsid w:val="00B92424"/>
    <w:rsid w:val="00B9254E"/>
    <w:rsid w:val="00B925C3"/>
    <w:rsid w:val="00B927EE"/>
    <w:rsid w:val="00B92923"/>
    <w:rsid w:val="00B92958"/>
    <w:rsid w:val="00B92D33"/>
    <w:rsid w:val="00B92D3C"/>
    <w:rsid w:val="00B92D96"/>
    <w:rsid w:val="00B93100"/>
    <w:rsid w:val="00B9312C"/>
    <w:rsid w:val="00B93561"/>
    <w:rsid w:val="00B9358E"/>
    <w:rsid w:val="00B937EB"/>
    <w:rsid w:val="00B938B9"/>
    <w:rsid w:val="00B939F8"/>
    <w:rsid w:val="00B93A64"/>
    <w:rsid w:val="00B93B02"/>
    <w:rsid w:val="00B93C9D"/>
    <w:rsid w:val="00B941FC"/>
    <w:rsid w:val="00B94251"/>
    <w:rsid w:val="00B942DC"/>
    <w:rsid w:val="00B94335"/>
    <w:rsid w:val="00B94422"/>
    <w:rsid w:val="00B944B3"/>
    <w:rsid w:val="00B944C1"/>
    <w:rsid w:val="00B94600"/>
    <w:rsid w:val="00B94686"/>
    <w:rsid w:val="00B9499A"/>
    <w:rsid w:val="00B94AB4"/>
    <w:rsid w:val="00B94BFB"/>
    <w:rsid w:val="00B94D55"/>
    <w:rsid w:val="00B94F3C"/>
    <w:rsid w:val="00B9511E"/>
    <w:rsid w:val="00B95264"/>
    <w:rsid w:val="00B955A9"/>
    <w:rsid w:val="00B957E5"/>
    <w:rsid w:val="00B95969"/>
    <w:rsid w:val="00B95E38"/>
    <w:rsid w:val="00B95E5F"/>
    <w:rsid w:val="00B96129"/>
    <w:rsid w:val="00B962EC"/>
    <w:rsid w:val="00B96347"/>
    <w:rsid w:val="00B96D40"/>
    <w:rsid w:val="00B96ED5"/>
    <w:rsid w:val="00B9729A"/>
    <w:rsid w:val="00B97305"/>
    <w:rsid w:val="00B97315"/>
    <w:rsid w:val="00B97599"/>
    <w:rsid w:val="00B97632"/>
    <w:rsid w:val="00B976FF"/>
    <w:rsid w:val="00B977A3"/>
    <w:rsid w:val="00B97882"/>
    <w:rsid w:val="00B978BD"/>
    <w:rsid w:val="00B97970"/>
    <w:rsid w:val="00B97A8F"/>
    <w:rsid w:val="00B97B5B"/>
    <w:rsid w:val="00B97D20"/>
    <w:rsid w:val="00BA0051"/>
    <w:rsid w:val="00BA02B2"/>
    <w:rsid w:val="00BA0477"/>
    <w:rsid w:val="00BA0732"/>
    <w:rsid w:val="00BA08A4"/>
    <w:rsid w:val="00BA0AA9"/>
    <w:rsid w:val="00BA0AC9"/>
    <w:rsid w:val="00BA0B57"/>
    <w:rsid w:val="00BA0E1E"/>
    <w:rsid w:val="00BA0FD2"/>
    <w:rsid w:val="00BA10D5"/>
    <w:rsid w:val="00BA13DD"/>
    <w:rsid w:val="00BA15E8"/>
    <w:rsid w:val="00BA15ED"/>
    <w:rsid w:val="00BA1763"/>
    <w:rsid w:val="00BA1B74"/>
    <w:rsid w:val="00BA1BFC"/>
    <w:rsid w:val="00BA1DF7"/>
    <w:rsid w:val="00BA2074"/>
    <w:rsid w:val="00BA234C"/>
    <w:rsid w:val="00BA2356"/>
    <w:rsid w:val="00BA23FD"/>
    <w:rsid w:val="00BA2803"/>
    <w:rsid w:val="00BA2819"/>
    <w:rsid w:val="00BA2B88"/>
    <w:rsid w:val="00BA2C19"/>
    <w:rsid w:val="00BA2ED9"/>
    <w:rsid w:val="00BA3200"/>
    <w:rsid w:val="00BA3258"/>
    <w:rsid w:val="00BA329C"/>
    <w:rsid w:val="00BA32F3"/>
    <w:rsid w:val="00BA32F9"/>
    <w:rsid w:val="00BA3599"/>
    <w:rsid w:val="00BA3886"/>
    <w:rsid w:val="00BA39AF"/>
    <w:rsid w:val="00BA3B7D"/>
    <w:rsid w:val="00BA3DDE"/>
    <w:rsid w:val="00BA3F38"/>
    <w:rsid w:val="00BA41C0"/>
    <w:rsid w:val="00BA4236"/>
    <w:rsid w:val="00BA4336"/>
    <w:rsid w:val="00BA43D1"/>
    <w:rsid w:val="00BA440D"/>
    <w:rsid w:val="00BA442D"/>
    <w:rsid w:val="00BA44C4"/>
    <w:rsid w:val="00BA4764"/>
    <w:rsid w:val="00BA48F9"/>
    <w:rsid w:val="00BA49D2"/>
    <w:rsid w:val="00BA4C51"/>
    <w:rsid w:val="00BA4CBA"/>
    <w:rsid w:val="00BA4CEB"/>
    <w:rsid w:val="00BA4CF3"/>
    <w:rsid w:val="00BA4DE6"/>
    <w:rsid w:val="00BA545D"/>
    <w:rsid w:val="00BA5957"/>
    <w:rsid w:val="00BA5AB1"/>
    <w:rsid w:val="00BA5AEF"/>
    <w:rsid w:val="00BA5B24"/>
    <w:rsid w:val="00BA5D56"/>
    <w:rsid w:val="00BA5FA9"/>
    <w:rsid w:val="00BA64F7"/>
    <w:rsid w:val="00BA65B8"/>
    <w:rsid w:val="00BA65E5"/>
    <w:rsid w:val="00BA661E"/>
    <w:rsid w:val="00BA66D5"/>
    <w:rsid w:val="00BA67E1"/>
    <w:rsid w:val="00BA6908"/>
    <w:rsid w:val="00BA6A42"/>
    <w:rsid w:val="00BA6CD7"/>
    <w:rsid w:val="00BA6E56"/>
    <w:rsid w:val="00BA6F0E"/>
    <w:rsid w:val="00BA739C"/>
    <w:rsid w:val="00BA755B"/>
    <w:rsid w:val="00BA7623"/>
    <w:rsid w:val="00BA7932"/>
    <w:rsid w:val="00BA7C0D"/>
    <w:rsid w:val="00BA7CC1"/>
    <w:rsid w:val="00BA7CC8"/>
    <w:rsid w:val="00BA7DD6"/>
    <w:rsid w:val="00BA7E15"/>
    <w:rsid w:val="00BA7EE9"/>
    <w:rsid w:val="00BA7FF0"/>
    <w:rsid w:val="00BB02F6"/>
    <w:rsid w:val="00BB037B"/>
    <w:rsid w:val="00BB063F"/>
    <w:rsid w:val="00BB08F0"/>
    <w:rsid w:val="00BB0900"/>
    <w:rsid w:val="00BB09DF"/>
    <w:rsid w:val="00BB0A5C"/>
    <w:rsid w:val="00BB0DD9"/>
    <w:rsid w:val="00BB0EF5"/>
    <w:rsid w:val="00BB0F66"/>
    <w:rsid w:val="00BB13BF"/>
    <w:rsid w:val="00BB147B"/>
    <w:rsid w:val="00BB18B9"/>
    <w:rsid w:val="00BB1BAC"/>
    <w:rsid w:val="00BB1C4C"/>
    <w:rsid w:val="00BB1D05"/>
    <w:rsid w:val="00BB1F4D"/>
    <w:rsid w:val="00BB1FEF"/>
    <w:rsid w:val="00BB1FFA"/>
    <w:rsid w:val="00BB207D"/>
    <w:rsid w:val="00BB2205"/>
    <w:rsid w:val="00BB2272"/>
    <w:rsid w:val="00BB22F3"/>
    <w:rsid w:val="00BB242C"/>
    <w:rsid w:val="00BB2613"/>
    <w:rsid w:val="00BB29E8"/>
    <w:rsid w:val="00BB2D91"/>
    <w:rsid w:val="00BB2F1B"/>
    <w:rsid w:val="00BB2FCA"/>
    <w:rsid w:val="00BB2FDF"/>
    <w:rsid w:val="00BB321B"/>
    <w:rsid w:val="00BB335C"/>
    <w:rsid w:val="00BB389F"/>
    <w:rsid w:val="00BB3954"/>
    <w:rsid w:val="00BB3C6D"/>
    <w:rsid w:val="00BB3FC5"/>
    <w:rsid w:val="00BB4425"/>
    <w:rsid w:val="00BB464B"/>
    <w:rsid w:val="00BB468F"/>
    <w:rsid w:val="00BB4744"/>
    <w:rsid w:val="00BB4A9B"/>
    <w:rsid w:val="00BB4C6C"/>
    <w:rsid w:val="00BB5040"/>
    <w:rsid w:val="00BB504F"/>
    <w:rsid w:val="00BB53D8"/>
    <w:rsid w:val="00BB5477"/>
    <w:rsid w:val="00BB54A1"/>
    <w:rsid w:val="00BB5514"/>
    <w:rsid w:val="00BB595A"/>
    <w:rsid w:val="00BB5A13"/>
    <w:rsid w:val="00BB5B5B"/>
    <w:rsid w:val="00BB5EAA"/>
    <w:rsid w:val="00BB5EBC"/>
    <w:rsid w:val="00BB62AA"/>
    <w:rsid w:val="00BB6357"/>
    <w:rsid w:val="00BB63B3"/>
    <w:rsid w:val="00BB6598"/>
    <w:rsid w:val="00BB66B9"/>
    <w:rsid w:val="00BB6717"/>
    <w:rsid w:val="00BB681A"/>
    <w:rsid w:val="00BB69AA"/>
    <w:rsid w:val="00BB6A0D"/>
    <w:rsid w:val="00BB6BAA"/>
    <w:rsid w:val="00BB6C8F"/>
    <w:rsid w:val="00BB6E7E"/>
    <w:rsid w:val="00BB7228"/>
    <w:rsid w:val="00BB72C4"/>
    <w:rsid w:val="00BB72D4"/>
    <w:rsid w:val="00BB7414"/>
    <w:rsid w:val="00BB757F"/>
    <w:rsid w:val="00BB7C92"/>
    <w:rsid w:val="00BB7D9A"/>
    <w:rsid w:val="00BB7DB6"/>
    <w:rsid w:val="00BB7FCC"/>
    <w:rsid w:val="00BC00D1"/>
    <w:rsid w:val="00BC01F8"/>
    <w:rsid w:val="00BC05C1"/>
    <w:rsid w:val="00BC0609"/>
    <w:rsid w:val="00BC068D"/>
    <w:rsid w:val="00BC0CC8"/>
    <w:rsid w:val="00BC0D40"/>
    <w:rsid w:val="00BC0D7A"/>
    <w:rsid w:val="00BC0E7C"/>
    <w:rsid w:val="00BC0EFD"/>
    <w:rsid w:val="00BC0F27"/>
    <w:rsid w:val="00BC11D1"/>
    <w:rsid w:val="00BC1436"/>
    <w:rsid w:val="00BC15B3"/>
    <w:rsid w:val="00BC15C8"/>
    <w:rsid w:val="00BC16EC"/>
    <w:rsid w:val="00BC173C"/>
    <w:rsid w:val="00BC197E"/>
    <w:rsid w:val="00BC1A69"/>
    <w:rsid w:val="00BC1D9A"/>
    <w:rsid w:val="00BC1E66"/>
    <w:rsid w:val="00BC1E81"/>
    <w:rsid w:val="00BC2040"/>
    <w:rsid w:val="00BC235D"/>
    <w:rsid w:val="00BC2423"/>
    <w:rsid w:val="00BC25FA"/>
    <w:rsid w:val="00BC26C7"/>
    <w:rsid w:val="00BC2B3B"/>
    <w:rsid w:val="00BC2B43"/>
    <w:rsid w:val="00BC313D"/>
    <w:rsid w:val="00BC356A"/>
    <w:rsid w:val="00BC3788"/>
    <w:rsid w:val="00BC3AEE"/>
    <w:rsid w:val="00BC3C60"/>
    <w:rsid w:val="00BC3E0A"/>
    <w:rsid w:val="00BC403A"/>
    <w:rsid w:val="00BC412E"/>
    <w:rsid w:val="00BC4162"/>
    <w:rsid w:val="00BC430E"/>
    <w:rsid w:val="00BC4315"/>
    <w:rsid w:val="00BC4357"/>
    <w:rsid w:val="00BC4579"/>
    <w:rsid w:val="00BC4A54"/>
    <w:rsid w:val="00BC4B73"/>
    <w:rsid w:val="00BC4C17"/>
    <w:rsid w:val="00BC4C5B"/>
    <w:rsid w:val="00BC4E91"/>
    <w:rsid w:val="00BC5095"/>
    <w:rsid w:val="00BC53A1"/>
    <w:rsid w:val="00BC5542"/>
    <w:rsid w:val="00BC55AE"/>
    <w:rsid w:val="00BC56F8"/>
    <w:rsid w:val="00BC5736"/>
    <w:rsid w:val="00BC57F2"/>
    <w:rsid w:val="00BC581D"/>
    <w:rsid w:val="00BC594F"/>
    <w:rsid w:val="00BC5A6F"/>
    <w:rsid w:val="00BC5AAE"/>
    <w:rsid w:val="00BC5BC7"/>
    <w:rsid w:val="00BC5CDE"/>
    <w:rsid w:val="00BC5D23"/>
    <w:rsid w:val="00BC5E89"/>
    <w:rsid w:val="00BC5F05"/>
    <w:rsid w:val="00BC6027"/>
    <w:rsid w:val="00BC612F"/>
    <w:rsid w:val="00BC625F"/>
    <w:rsid w:val="00BC6330"/>
    <w:rsid w:val="00BC640A"/>
    <w:rsid w:val="00BC6BA8"/>
    <w:rsid w:val="00BC6BB3"/>
    <w:rsid w:val="00BC6CF4"/>
    <w:rsid w:val="00BC6FEA"/>
    <w:rsid w:val="00BC7014"/>
    <w:rsid w:val="00BC713A"/>
    <w:rsid w:val="00BC715D"/>
    <w:rsid w:val="00BC742C"/>
    <w:rsid w:val="00BC7532"/>
    <w:rsid w:val="00BC7605"/>
    <w:rsid w:val="00BC7657"/>
    <w:rsid w:val="00BC768D"/>
    <w:rsid w:val="00BC76B9"/>
    <w:rsid w:val="00BC778E"/>
    <w:rsid w:val="00BC77B0"/>
    <w:rsid w:val="00BC78E8"/>
    <w:rsid w:val="00BC79CE"/>
    <w:rsid w:val="00BC7B84"/>
    <w:rsid w:val="00BC7C16"/>
    <w:rsid w:val="00BC7EBB"/>
    <w:rsid w:val="00BC7EC7"/>
    <w:rsid w:val="00BD01CE"/>
    <w:rsid w:val="00BD04F7"/>
    <w:rsid w:val="00BD057E"/>
    <w:rsid w:val="00BD05F7"/>
    <w:rsid w:val="00BD0743"/>
    <w:rsid w:val="00BD0A62"/>
    <w:rsid w:val="00BD0C82"/>
    <w:rsid w:val="00BD0CD1"/>
    <w:rsid w:val="00BD0F4D"/>
    <w:rsid w:val="00BD0F74"/>
    <w:rsid w:val="00BD0F80"/>
    <w:rsid w:val="00BD118B"/>
    <w:rsid w:val="00BD1350"/>
    <w:rsid w:val="00BD1374"/>
    <w:rsid w:val="00BD15A3"/>
    <w:rsid w:val="00BD18A3"/>
    <w:rsid w:val="00BD1A59"/>
    <w:rsid w:val="00BD1B8B"/>
    <w:rsid w:val="00BD1D77"/>
    <w:rsid w:val="00BD1D8A"/>
    <w:rsid w:val="00BD2333"/>
    <w:rsid w:val="00BD2450"/>
    <w:rsid w:val="00BD2906"/>
    <w:rsid w:val="00BD3490"/>
    <w:rsid w:val="00BD35F6"/>
    <w:rsid w:val="00BD364E"/>
    <w:rsid w:val="00BD390E"/>
    <w:rsid w:val="00BD3A58"/>
    <w:rsid w:val="00BD3D24"/>
    <w:rsid w:val="00BD40C9"/>
    <w:rsid w:val="00BD434B"/>
    <w:rsid w:val="00BD43A7"/>
    <w:rsid w:val="00BD46EA"/>
    <w:rsid w:val="00BD4AF8"/>
    <w:rsid w:val="00BD4F61"/>
    <w:rsid w:val="00BD4F63"/>
    <w:rsid w:val="00BD5024"/>
    <w:rsid w:val="00BD50AD"/>
    <w:rsid w:val="00BD50CF"/>
    <w:rsid w:val="00BD5304"/>
    <w:rsid w:val="00BD534A"/>
    <w:rsid w:val="00BD559A"/>
    <w:rsid w:val="00BD5633"/>
    <w:rsid w:val="00BD5809"/>
    <w:rsid w:val="00BD5B2E"/>
    <w:rsid w:val="00BD5C11"/>
    <w:rsid w:val="00BD5C35"/>
    <w:rsid w:val="00BD5F4A"/>
    <w:rsid w:val="00BD62A0"/>
    <w:rsid w:val="00BD6351"/>
    <w:rsid w:val="00BD6498"/>
    <w:rsid w:val="00BD67BE"/>
    <w:rsid w:val="00BD694D"/>
    <w:rsid w:val="00BD6992"/>
    <w:rsid w:val="00BD6D3E"/>
    <w:rsid w:val="00BD6F46"/>
    <w:rsid w:val="00BD6FE5"/>
    <w:rsid w:val="00BD7830"/>
    <w:rsid w:val="00BD7A26"/>
    <w:rsid w:val="00BD7CF4"/>
    <w:rsid w:val="00BD7EA9"/>
    <w:rsid w:val="00BD7F32"/>
    <w:rsid w:val="00BE0023"/>
    <w:rsid w:val="00BE0514"/>
    <w:rsid w:val="00BE06BA"/>
    <w:rsid w:val="00BE0D2F"/>
    <w:rsid w:val="00BE0D65"/>
    <w:rsid w:val="00BE0F58"/>
    <w:rsid w:val="00BE1186"/>
    <w:rsid w:val="00BE118A"/>
    <w:rsid w:val="00BE1207"/>
    <w:rsid w:val="00BE1261"/>
    <w:rsid w:val="00BE12CA"/>
    <w:rsid w:val="00BE1398"/>
    <w:rsid w:val="00BE155D"/>
    <w:rsid w:val="00BE161F"/>
    <w:rsid w:val="00BE1BE1"/>
    <w:rsid w:val="00BE1D3F"/>
    <w:rsid w:val="00BE1E4E"/>
    <w:rsid w:val="00BE1EBE"/>
    <w:rsid w:val="00BE1EC7"/>
    <w:rsid w:val="00BE2096"/>
    <w:rsid w:val="00BE2111"/>
    <w:rsid w:val="00BE220E"/>
    <w:rsid w:val="00BE22F9"/>
    <w:rsid w:val="00BE26DB"/>
    <w:rsid w:val="00BE272F"/>
    <w:rsid w:val="00BE27BC"/>
    <w:rsid w:val="00BE2A36"/>
    <w:rsid w:val="00BE2A52"/>
    <w:rsid w:val="00BE2A5C"/>
    <w:rsid w:val="00BE2AD5"/>
    <w:rsid w:val="00BE2AFC"/>
    <w:rsid w:val="00BE2CC1"/>
    <w:rsid w:val="00BE2EB1"/>
    <w:rsid w:val="00BE2ED8"/>
    <w:rsid w:val="00BE30CB"/>
    <w:rsid w:val="00BE332B"/>
    <w:rsid w:val="00BE350A"/>
    <w:rsid w:val="00BE3F53"/>
    <w:rsid w:val="00BE400B"/>
    <w:rsid w:val="00BE40CD"/>
    <w:rsid w:val="00BE41CB"/>
    <w:rsid w:val="00BE41FD"/>
    <w:rsid w:val="00BE42A2"/>
    <w:rsid w:val="00BE4695"/>
    <w:rsid w:val="00BE46EA"/>
    <w:rsid w:val="00BE51E2"/>
    <w:rsid w:val="00BE55D4"/>
    <w:rsid w:val="00BE56C7"/>
    <w:rsid w:val="00BE56DC"/>
    <w:rsid w:val="00BE5D95"/>
    <w:rsid w:val="00BE5DE7"/>
    <w:rsid w:val="00BE5FB6"/>
    <w:rsid w:val="00BE60D8"/>
    <w:rsid w:val="00BE6262"/>
    <w:rsid w:val="00BE6283"/>
    <w:rsid w:val="00BE6317"/>
    <w:rsid w:val="00BE6417"/>
    <w:rsid w:val="00BE6424"/>
    <w:rsid w:val="00BE6595"/>
    <w:rsid w:val="00BE67CF"/>
    <w:rsid w:val="00BE6865"/>
    <w:rsid w:val="00BE6B3A"/>
    <w:rsid w:val="00BE6C75"/>
    <w:rsid w:val="00BE6DD7"/>
    <w:rsid w:val="00BE6F31"/>
    <w:rsid w:val="00BE73B8"/>
    <w:rsid w:val="00BE7647"/>
    <w:rsid w:val="00BE7699"/>
    <w:rsid w:val="00BE772A"/>
    <w:rsid w:val="00BE7850"/>
    <w:rsid w:val="00BE78DB"/>
    <w:rsid w:val="00BE7A92"/>
    <w:rsid w:val="00BE7B44"/>
    <w:rsid w:val="00BE7CA5"/>
    <w:rsid w:val="00BE7CAB"/>
    <w:rsid w:val="00BF0288"/>
    <w:rsid w:val="00BF0623"/>
    <w:rsid w:val="00BF06A7"/>
    <w:rsid w:val="00BF080A"/>
    <w:rsid w:val="00BF0CD1"/>
    <w:rsid w:val="00BF0FCC"/>
    <w:rsid w:val="00BF103E"/>
    <w:rsid w:val="00BF12A4"/>
    <w:rsid w:val="00BF1306"/>
    <w:rsid w:val="00BF145B"/>
    <w:rsid w:val="00BF1532"/>
    <w:rsid w:val="00BF17DF"/>
    <w:rsid w:val="00BF1B29"/>
    <w:rsid w:val="00BF1C0D"/>
    <w:rsid w:val="00BF1DEE"/>
    <w:rsid w:val="00BF1E2A"/>
    <w:rsid w:val="00BF1FBF"/>
    <w:rsid w:val="00BF211A"/>
    <w:rsid w:val="00BF2480"/>
    <w:rsid w:val="00BF27FD"/>
    <w:rsid w:val="00BF2827"/>
    <w:rsid w:val="00BF286A"/>
    <w:rsid w:val="00BF297E"/>
    <w:rsid w:val="00BF2E2C"/>
    <w:rsid w:val="00BF2E72"/>
    <w:rsid w:val="00BF2F0C"/>
    <w:rsid w:val="00BF316C"/>
    <w:rsid w:val="00BF31B7"/>
    <w:rsid w:val="00BF325E"/>
    <w:rsid w:val="00BF351E"/>
    <w:rsid w:val="00BF37B9"/>
    <w:rsid w:val="00BF3A49"/>
    <w:rsid w:val="00BF3AAC"/>
    <w:rsid w:val="00BF3AFB"/>
    <w:rsid w:val="00BF3C3C"/>
    <w:rsid w:val="00BF3D39"/>
    <w:rsid w:val="00BF3F40"/>
    <w:rsid w:val="00BF449D"/>
    <w:rsid w:val="00BF44E1"/>
    <w:rsid w:val="00BF4AB7"/>
    <w:rsid w:val="00BF4CBB"/>
    <w:rsid w:val="00BF4D80"/>
    <w:rsid w:val="00BF4FC6"/>
    <w:rsid w:val="00BF5783"/>
    <w:rsid w:val="00BF591D"/>
    <w:rsid w:val="00BF5C31"/>
    <w:rsid w:val="00BF5EA0"/>
    <w:rsid w:val="00BF6246"/>
    <w:rsid w:val="00BF6554"/>
    <w:rsid w:val="00BF65E2"/>
    <w:rsid w:val="00BF6618"/>
    <w:rsid w:val="00BF67CA"/>
    <w:rsid w:val="00BF6988"/>
    <w:rsid w:val="00BF6A0D"/>
    <w:rsid w:val="00BF72B5"/>
    <w:rsid w:val="00BF731C"/>
    <w:rsid w:val="00BF7965"/>
    <w:rsid w:val="00BF7AF5"/>
    <w:rsid w:val="00BF7EE2"/>
    <w:rsid w:val="00C000A8"/>
    <w:rsid w:val="00C000F8"/>
    <w:rsid w:val="00C0018A"/>
    <w:rsid w:val="00C003F5"/>
    <w:rsid w:val="00C004ED"/>
    <w:rsid w:val="00C0065D"/>
    <w:rsid w:val="00C0066F"/>
    <w:rsid w:val="00C00905"/>
    <w:rsid w:val="00C0097B"/>
    <w:rsid w:val="00C00B8E"/>
    <w:rsid w:val="00C00C25"/>
    <w:rsid w:val="00C00C42"/>
    <w:rsid w:val="00C00C87"/>
    <w:rsid w:val="00C00D4F"/>
    <w:rsid w:val="00C00E3A"/>
    <w:rsid w:val="00C01026"/>
    <w:rsid w:val="00C01251"/>
    <w:rsid w:val="00C01332"/>
    <w:rsid w:val="00C01435"/>
    <w:rsid w:val="00C0169F"/>
    <w:rsid w:val="00C018DA"/>
    <w:rsid w:val="00C019CA"/>
    <w:rsid w:val="00C01A79"/>
    <w:rsid w:val="00C01A94"/>
    <w:rsid w:val="00C01D33"/>
    <w:rsid w:val="00C01E16"/>
    <w:rsid w:val="00C01F10"/>
    <w:rsid w:val="00C02282"/>
    <w:rsid w:val="00C024A2"/>
    <w:rsid w:val="00C0265D"/>
    <w:rsid w:val="00C02748"/>
    <w:rsid w:val="00C02D60"/>
    <w:rsid w:val="00C02ED8"/>
    <w:rsid w:val="00C03219"/>
    <w:rsid w:val="00C03263"/>
    <w:rsid w:val="00C035B5"/>
    <w:rsid w:val="00C03986"/>
    <w:rsid w:val="00C03FD8"/>
    <w:rsid w:val="00C0413C"/>
    <w:rsid w:val="00C04170"/>
    <w:rsid w:val="00C0418C"/>
    <w:rsid w:val="00C042B9"/>
    <w:rsid w:val="00C0448D"/>
    <w:rsid w:val="00C047A2"/>
    <w:rsid w:val="00C0490F"/>
    <w:rsid w:val="00C049BE"/>
    <w:rsid w:val="00C04AAC"/>
    <w:rsid w:val="00C04C90"/>
    <w:rsid w:val="00C04CCF"/>
    <w:rsid w:val="00C050B5"/>
    <w:rsid w:val="00C0539B"/>
    <w:rsid w:val="00C0548B"/>
    <w:rsid w:val="00C05512"/>
    <w:rsid w:val="00C0555F"/>
    <w:rsid w:val="00C057EC"/>
    <w:rsid w:val="00C0581F"/>
    <w:rsid w:val="00C05C65"/>
    <w:rsid w:val="00C05CC1"/>
    <w:rsid w:val="00C05FD3"/>
    <w:rsid w:val="00C06006"/>
    <w:rsid w:val="00C060EC"/>
    <w:rsid w:val="00C061BC"/>
    <w:rsid w:val="00C06227"/>
    <w:rsid w:val="00C063C3"/>
    <w:rsid w:val="00C06563"/>
    <w:rsid w:val="00C06649"/>
    <w:rsid w:val="00C06710"/>
    <w:rsid w:val="00C06881"/>
    <w:rsid w:val="00C06951"/>
    <w:rsid w:val="00C06ACE"/>
    <w:rsid w:val="00C07018"/>
    <w:rsid w:val="00C070A9"/>
    <w:rsid w:val="00C07269"/>
    <w:rsid w:val="00C075AF"/>
    <w:rsid w:val="00C076AF"/>
    <w:rsid w:val="00C0772F"/>
    <w:rsid w:val="00C07751"/>
    <w:rsid w:val="00C07C89"/>
    <w:rsid w:val="00C10061"/>
    <w:rsid w:val="00C102E8"/>
    <w:rsid w:val="00C10613"/>
    <w:rsid w:val="00C10A30"/>
    <w:rsid w:val="00C10EBE"/>
    <w:rsid w:val="00C10ECF"/>
    <w:rsid w:val="00C10F65"/>
    <w:rsid w:val="00C1110E"/>
    <w:rsid w:val="00C1114F"/>
    <w:rsid w:val="00C11155"/>
    <w:rsid w:val="00C11163"/>
    <w:rsid w:val="00C11263"/>
    <w:rsid w:val="00C1147F"/>
    <w:rsid w:val="00C116AB"/>
    <w:rsid w:val="00C117D5"/>
    <w:rsid w:val="00C11897"/>
    <w:rsid w:val="00C11ABD"/>
    <w:rsid w:val="00C11D3C"/>
    <w:rsid w:val="00C11D58"/>
    <w:rsid w:val="00C12418"/>
    <w:rsid w:val="00C124C4"/>
    <w:rsid w:val="00C12513"/>
    <w:rsid w:val="00C1253E"/>
    <w:rsid w:val="00C127AD"/>
    <w:rsid w:val="00C12BD9"/>
    <w:rsid w:val="00C12CFF"/>
    <w:rsid w:val="00C13055"/>
    <w:rsid w:val="00C13263"/>
    <w:rsid w:val="00C13267"/>
    <w:rsid w:val="00C133A0"/>
    <w:rsid w:val="00C133E6"/>
    <w:rsid w:val="00C13915"/>
    <w:rsid w:val="00C13A1A"/>
    <w:rsid w:val="00C13BD4"/>
    <w:rsid w:val="00C13C32"/>
    <w:rsid w:val="00C140A5"/>
    <w:rsid w:val="00C1417B"/>
    <w:rsid w:val="00C141E0"/>
    <w:rsid w:val="00C142B0"/>
    <w:rsid w:val="00C1480D"/>
    <w:rsid w:val="00C14B8E"/>
    <w:rsid w:val="00C14C32"/>
    <w:rsid w:val="00C14E6A"/>
    <w:rsid w:val="00C14EE3"/>
    <w:rsid w:val="00C14FB2"/>
    <w:rsid w:val="00C15318"/>
    <w:rsid w:val="00C15374"/>
    <w:rsid w:val="00C15510"/>
    <w:rsid w:val="00C1579D"/>
    <w:rsid w:val="00C15BB5"/>
    <w:rsid w:val="00C15F15"/>
    <w:rsid w:val="00C15F5A"/>
    <w:rsid w:val="00C15FAA"/>
    <w:rsid w:val="00C1606C"/>
    <w:rsid w:val="00C1640B"/>
    <w:rsid w:val="00C1654E"/>
    <w:rsid w:val="00C16705"/>
    <w:rsid w:val="00C1678F"/>
    <w:rsid w:val="00C16A45"/>
    <w:rsid w:val="00C16A49"/>
    <w:rsid w:val="00C16BBF"/>
    <w:rsid w:val="00C16CBD"/>
    <w:rsid w:val="00C16DF9"/>
    <w:rsid w:val="00C16E88"/>
    <w:rsid w:val="00C17107"/>
    <w:rsid w:val="00C17175"/>
    <w:rsid w:val="00C1731B"/>
    <w:rsid w:val="00C17517"/>
    <w:rsid w:val="00C176AC"/>
    <w:rsid w:val="00C176FD"/>
    <w:rsid w:val="00C177D5"/>
    <w:rsid w:val="00C17825"/>
    <w:rsid w:val="00C17B49"/>
    <w:rsid w:val="00C17CBB"/>
    <w:rsid w:val="00C17D1E"/>
    <w:rsid w:val="00C17D2D"/>
    <w:rsid w:val="00C17E3D"/>
    <w:rsid w:val="00C20002"/>
    <w:rsid w:val="00C200BD"/>
    <w:rsid w:val="00C200EC"/>
    <w:rsid w:val="00C20141"/>
    <w:rsid w:val="00C201CC"/>
    <w:rsid w:val="00C20388"/>
    <w:rsid w:val="00C203F2"/>
    <w:rsid w:val="00C2074E"/>
    <w:rsid w:val="00C208B8"/>
    <w:rsid w:val="00C20C71"/>
    <w:rsid w:val="00C20F0B"/>
    <w:rsid w:val="00C20F6F"/>
    <w:rsid w:val="00C217B6"/>
    <w:rsid w:val="00C21855"/>
    <w:rsid w:val="00C2190E"/>
    <w:rsid w:val="00C21A5F"/>
    <w:rsid w:val="00C21C7B"/>
    <w:rsid w:val="00C21EF9"/>
    <w:rsid w:val="00C21F67"/>
    <w:rsid w:val="00C2224B"/>
    <w:rsid w:val="00C222F7"/>
    <w:rsid w:val="00C2248F"/>
    <w:rsid w:val="00C225A9"/>
    <w:rsid w:val="00C225E7"/>
    <w:rsid w:val="00C2270A"/>
    <w:rsid w:val="00C22A6E"/>
    <w:rsid w:val="00C22C2D"/>
    <w:rsid w:val="00C230A5"/>
    <w:rsid w:val="00C23116"/>
    <w:rsid w:val="00C23420"/>
    <w:rsid w:val="00C2348D"/>
    <w:rsid w:val="00C23DF8"/>
    <w:rsid w:val="00C23ECD"/>
    <w:rsid w:val="00C24059"/>
    <w:rsid w:val="00C240D1"/>
    <w:rsid w:val="00C24359"/>
    <w:rsid w:val="00C244D1"/>
    <w:rsid w:val="00C2467E"/>
    <w:rsid w:val="00C24839"/>
    <w:rsid w:val="00C24BB1"/>
    <w:rsid w:val="00C24DED"/>
    <w:rsid w:val="00C2501F"/>
    <w:rsid w:val="00C25317"/>
    <w:rsid w:val="00C25564"/>
    <w:rsid w:val="00C25703"/>
    <w:rsid w:val="00C2582A"/>
    <w:rsid w:val="00C25A96"/>
    <w:rsid w:val="00C25B30"/>
    <w:rsid w:val="00C260FA"/>
    <w:rsid w:val="00C2620A"/>
    <w:rsid w:val="00C26277"/>
    <w:rsid w:val="00C264A4"/>
    <w:rsid w:val="00C2686E"/>
    <w:rsid w:val="00C269A8"/>
    <w:rsid w:val="00C26C5F"/>
    <w:rsid w:val="00C26D4B"/>
    <w:rsid w:val="00C26FD6"/>
    <w:rsid w:val="00C27831"/>
    <w:rsid w:val="00C27C23"/>
    <w:rsid w:val="00C27C77"/>
    <w:rsid w:val="00C27CBC"/>
    <w:rsid w:val="00C27D7D"/>
    <w:rsid w:val="00C27D89"/>
    <w:rsid w:val="00C27E95"/>
    <w:rsid w:val="00C27FEB"/>
    <w:rsid w:val="00C30002"/>
    <w:rsid w:val="00C3024D"/>
    <w:rsid w:val="00C302AF"/>
    <w:rsid w:val="00C30389"/>
    <w:rsid w:val="00C303EF"/>
    <w:rsid w:val="00C3075C"/>
    <w:rsid w:val="00C3079A"/>
    <w:rsid w:val="00C30B2F"/>
    <w:rsid w:val="00C30B5C"/>
    <w:rsid w:val="00C30DA7"/>
    <w:rsid w:val="00C30ED8"/>
    <w:rsid w:val="00C30F8B"/>
    <w:rsid w:val="00C3105A"/>
    <w:rsid w:val="00C3106B"/>
    <w:rsid w:val="00C3124A"/>
    <w:rsid w:val="00C3145E"/>
    <w:rsid w:val="00C314A6"/>
    <w:rsid w:val="00C31632"/>
    <w:rsid w:val="00C316F7"/>
    <w:rsid w:val="00C317B6"/>
    <w:rsid w:val="00C32129"/>
    <w:rsid w:val="00C325B3"/>
    <w:rsid w:val="00C32851"/>
    <w:rsid w:val="00C32981"/>
    <w:rsid w:val="00C32B11"/>
    <w:rsid w:val="00C32C11"/>
    <w:rsid w:val="00C32C1F"/>
    <w:rsid w:val="00C32D73"/>
    <w:rsid w:val="00C32DAB"/>
    <w:rsid w:val="00C331CE"/>
    <w:rsid w:val="00C3325E"/>
    <w:rsid w:val="00C33833"/>
    <w:rsid w:val="00C338A4"/>
    <w:rsid w:val="00C33924"/>
    <w:rsid w:val="00C33946"/>
    <w:rsid w:val="00C33B56"/>
    <w:rsid w:val="00C33FC4"/>
    <w:rsid w:val="00C34010"/>
    <w:rsid w:val="00C3417B"/>
    <w:rsid w:val="00C34185"/>
    <w:rsid w:val="00C34C29"/>
    <w:rsid w:val="00C34C55"/>
    <w:rsid w:val="00C34CD0"/>
    <w:rsid w:val="00C34E39"/>
    <w:rsid w:val="00C35175"/>
    <w:rsid w:val="00C35394"/>
    <w:rsid w:val="00C35437"/>
    <w:rsid w:val="00C354CD"/>
    <w:rsid w:val="00C3585F"/>
    <w:rsid w:val="00C35B6D"/>
    <w:rsid w:val="00C35E3E"/>
    <w:rsid w:val="00C35E7B"/>
    <w:rsid w:val="00C3609B"/>
    <w:rsid w:val="00C361C2"/>
    <w:rsid w:val="00C3623D"/>
    <w:rsid w:val="00C36729"/>
    <w:rsid w:val="00C369B9"/>
    <w:rsid w:val="00C370BB"/>
    <w:rsid w:val="00C3721E"/>
    <w:rsid w:val="00C3723D"/>
    <w:rsid w:val="00C3750C"/>
    <w:rsid w:val="00C378CC"/>
    <w:rsid w:val="00C37BAC"/>
    <w:rsid w:val="00C37BF2"/>
    <w:rsid w:val="00C37DE4"/>
    <w:rsid w:val="00C404C1"/>
    <w:rsid w:val="00C405A0"/>
    <w:rsid w:val="00C4081A"/>
    <w:rsid w:val="00C40E8F"/>
    <w:rsid w:val="00C41338"/>
    <w:rsid w:val="00C41539"/>
    <w:rsid w:val="00C41697"/>
    <w:rsid w:val="00C41747"/>
    <w:rsid w:val="00C4182D"/>
    <w:rsid w:val="00C41C48"/>
    <w:rsid w:val="00C41C84"/>
    <w:rsid w:val="00C42015"/>
    <w:rsid w:val="00C4209D"/>
    <w:rsid w:val="00C42305"/>
    <w:rsid w:val="00C42434"/>
    <w:rsid w:val="00C42589"/>
    <w:rsid w:val="00C4276A"/>
    <w:rsid w:val="00C42EF4"/>
    <w:rsid w:val="00C43052"/>
    <w:rsid w:val="00C4308B"/>
    <w:rsid w:val="00C4344F"/>
    <w:rsid w:val="00C43496"/>
    <w:rsid w:val="00C43547"/>
    <w:rsid w:val="00C436F7"/>
    <w:rsid w:val="00C43767"/>
    <w:rsid w:val="00C437F2"/>
    <w:rsid w:val="00C43ACF"/>
    <w:rsid w:val="00C43DC3"/>
    <w:rsid w:val="00C43E1C"/>
    <w:rsid w:val="00C442F9"/>
    <w:rsid w:val="00C4459F"/>
    <w:rsid w:val="00C445F3"/>
    <w:rsid w:val="00C446E9"/>
    <w:rsid w:val="00C447B7"/>
    <w:rsid w:val="00C4485C"/>
    <w:rsid w:val="00C44B77"/>
    <w:rsid w:val="00C44C26"/>
    <w:rsid w:val="00C44DA5"/>
    <w:rsid w:val="00C45208"/>
    <w:rsid w:val="00C4524B"/>
    <w:rsid w:val="00C45351"/>
    <w:rsid w:val="00C4572F"/>
    <w:rsid w:val="00C45880"/>
    <w:rsid w:val="00C45DFA"/>
    <w:rsid w:val="00C45FE7"/>
    <w:rsid w:val="00C460E3"/>
    <w:rsid w:val="00C460ED"/>
    <w:rsid w:val="00C4626D"/>
    <w:rsid w:val="00C466C1"/>
    <w:rsid w:val="00C466F4"/>
    <w:rsid w:val="00C46765"/>
    <w:rsid w:val="00C46848"/>
    <w:rsid w:val="00C46A0C"/>
    <w:rsid w:val="00C46D7F"/>
    <w:rsid w:val="00C47369"/>
    <w:rsid w:val="00C474AC"/>
    <w:rsid w:val="00C475CD"/>
    <w:rsid w:val="00C4773B"/>
    <w:rsid w:val="00C479B2"/>
    <w:rsid w:val="00C47F92"/>
    <w:rsid w:val="00C50479"/>
    <w:rsid w:val="00C50684"/>
    <w:rsid w:val="00C5080E"/>
    <w:rsid w:val="00C5087E"/>
    <w:rsid w:val="00C50BD5"/>
    <w:rsid w:val="00C50E5B"/>
    <w:rsid w:val="00C50F67"/>
    <w:rsid w:val="00C512C8"/>
    <w:rsid w:val="00C512F3"/>
    <w:rsid w:val="00C5142D"/>
    <w:rsid w:val="00C5156D"/>
    <w:rsid w:val="00C5197C"/>
    <w:rsid w:val="00C51D0D"/>
    <w:rsid w:val="00C51E1C"/>
    <w:rsid w:val="00C51F2A"/>
    <w:rsid w:val="00C51FD1"/>
    <w:rsid w:val="00C52099"/>
    <w:rsid w:val="00C52118"/>
    <w:rsid w:val="00C52366"/>
    <w:rsid w:val="00C52615"/>
    <w:rsid w:val="00C527D6"/>
    <w:rsid w:val="00C527E0"/>
    <w:rsid w:val="00C52A68"/>
    <w:rsid w:val="00C52C14"/>
    <w:rsid w:val="00C52DAE"/>
    <w:rsid w:val="00C53225"/>
    <w:rsid w:val="00C5343B"/>
    <w:rsid w:val="00C535D4"/>
    <w:rsid w:val="00C53642"/>
    <w:rsid w:val="00C53664"/>
    <w:rsid w:val="00C539C5"/>
    <w:rsid w:val="00C539F0"/>
    <w:rsid w:val="00C53D4C"/>
    <w:rsid w:val="00C53F5B"/>
    <w:rsid w:val="00C54386"/>
    <w:rsid w:val="00C54540"/>
    <w:rsid w:val="00C5477C"/>
    <w:rsid w:val="00C54835"/>
    <w:rsid w:val="00C54878"/>
    <w:rsid w:val="00C54896"/>
    <w:rsid w:val="00C549FF"/>
    <w:rsid w:val="00C54B44"/>
    <w:rsid w:val="00C54DDB"/>
    <w:rsid w:val="00C54F2D"/>
    <w:rsid w:val="00C54F3D"/>
    <w:rsid w:val="00C55066"/>
    <w:rsid w:val="00C551F8"/>
    <w:rsid w:val="00C553CF"/>
    <w:rsid w:val="00C55416"/>
    <w:rsid w:val="00C554D4"/>
    <w:rsid w:val="00C55665"/>
    <w:rsid w:val="00C5585A"/>
    <w:rsid w:val="00C559F8"/>
    <w:rsid w:val="00C55F1C"/>
    <w:rsid w:val="00C560BD"/>
    <w:rsid w:val="00C5646A"/>
    <w:rsid w:val="00C5659E"/>
    <w:rsid w:val="00C56824"/>
    <w:rsid w:val="00C570D8"/>
    <w:rsid w:val="00C572FC"/>
    <w:rsid w:val="00C574E4"/>
    <w:rsid w:val="00C575DE"/>
    <w:rsid w:val="00C577A9"/>
    <w:rsid w:val="00C57870"/>
    <w:rsid w:val="00C578D0"/>
    <w:rsid w:val="00C57ABB"/>
    <w:rsid w:val="00C57B1C"/>
    <w:rsid w:val="00C57B67"/>
    <w:rsid w:val="00C57D0D"/>
    <w:rsid w:val="00C57DF8"/>
    <w:rsid w:val="00C57DFC"/>
    <w:rsid w:val="00C57EF0"/>
    <w:rsid w:val="00C57EF1"/>
    <w:rsid w:val="00C57FD9"/>
    <w:rsid w:val="00C6004E"/>
    <w:rsid w:val="00C60106"/>
    <w:rsid w:val="00C602CD"/>
    <w:rsid w:val="00C602FB"/>
    <w:rsid w:val="00C60619"/>
    <w:rsid w:val="00C607AA"/>
    <w:rsid w:val="00C60961"/>
    <w:rsid w:val="00C60A82"/>
    <w:rsid w:val="00C60CA0"/>
    <w:rsid w:val="00C60D47"/>
    <w:rsid w:val="00C6105F"/>
    <w:rsid w:val="00C61111"/>
    <w:rsid w:val="00C6131E"/>
    <w:rsid w:val="00C613C1"/>
    <w:rsid w:val="00C616BD"/>
    <w:rsid w:val="00C61761"/>
    <w:rsid w:val="00C6187B"/>
    <w:rsid w:val="00C61B02"/>
    <w:rsid w:val="00C61C54"/>
    <w:rsid w:val="00C61D62"/>
    <w:rsid w:val="00C61F05"/>
    <w:rsid w:val="00C61FE7"/>
    <w:rsid w:val="00C6226D"/>
    <w:rsid w:val="00C6227D"/>
    <w:rsid w:val="00C624C3"/>
    <w:rsid w:val="00C62A1F"/>
    <w:rsid w:val="00C62B08"/>
    <w:rsid w:val="00C62C7C"/>
    <w:rsid w:val="00C62D6E"/>
    <w:rsid w:val="00C62E18"/>
    <w:rsid w:val="00C63005"/>
    <w:rsid w:val="00C63151"/>
    <w:rsid w:val="00C6319F"/>
    <w:rsid w:val="00C6322A"/>
    <w:rsid w:val="00C6322E"/>
    <w:rsid w:val="00C63302"/>
    <w:rsid w:val="00C63340"/>
    <w:rsid w:val="00C6334E"/>
    <w:rsid w:val="00C634FC"/>
    <w:rsid w:val="00C6356A"/>
    <w:rsid w:val="00C6389F"/>
    <w:rsid w:val="00C63AD1"/>
    <w:rsid w:val="00C63E20"/>
    <w:rsid w:val="00C640CB"/>
    <w:rsid w:val="00C6415C"/>
    <w:rsid w:val="00C6421C"/>
    <w:rsid w:val="00C64451"/>
    <w:rsid w:val="00C644A1"/>
    <w:rsid w:val="00C64680"/>
    <w:rsid w:val="00C6482E"/>
    <w:rsid w:val="00C64B33"/>
    <w:rsid w:val="00C64BE5"/>
    <w:rsid w:val="00C64BF7"/>
    <w:rsid w:val="00C65105"/>
    <w:rsid w:val="00C65243"/>
    <w:rsid w:val="00C6533C"/>
    <w:rsid w:val="00C654B8"/>
    <w:rsid w:val="00C655CE"/>
    <w:rsid w:val="00C65645"/>
    <w:rsid w:val="00C6565F"/>
    <w:rsid w:val="00C65662"/>
    <w:rsid w:val="00C656F8"/>
    <w:rsid w:val="00C6576B"/>
    <w:rsid w:val="00C65916"/>
    <w:rsid w:val="00C65A04"/>
    <w:rsid w:val="00C65AC4"/>
    <w:rsid w:val="00C65E0B"/>
    <w:rsid w:val="00C66256"/>
    <w:rsid w:val="00C663C9"/>
    <w:rsid w:val="00C66ECA"/>
    <w:rsid w:val="00C67044"/>
    <w:rsid w:val="00C67305"/>
    <w:rsid w:val="00C67636"/>
    <w:rsid w:val="00C6782E"/>
    <w:rsid w:val="00C67A6D"/>
    <w:rsid w:val="00C67BF1"/>
    <w:rsid w:val="00C67C0D"/>
    <w:rsid w:val="00C67C6D"/>
    <w:rsid w:val="00C67E0F"/>
    <w:rsid w:val="00C70002"/>
    <w:rsid w:val="00C70159"/>
    <w:rsid w:val="00C701B3"/>
    <w:rsid w:val="00C702C8"/>
    <w:rsid w:val="00C70348"/>
    <w:rsid w:val="00C70645"/>
    <w:rsid w:val="00C706F8"/>
    <w:rsid w:val="00C70966"/>
    <w:rsid w:val="00C70A52"/>
    <w:rsid w:val="00C70ACB"/>
    <w:rsid w:val="00C70BE2"/>
    <w:rsid w:val="00C70E06"/>
    <w:rsid w:val="00C70E9B"/>
    <w:rsid w:val="00C7113A"/>
    <w:rsid w:val="00C71245"/>
    <w:rsid w:val="00C713C6"/>
    <w:rsid w:val="00C71474"/>
    <w:rsid w:val="00C71648"/>
    <w:rsid w:val="00C719A2"/>
    <w:rsid w:val="00C72067"/>
    <w:rsid w:val="00C72165"/>
    <w:rsid w:val="00C72358"/>
    <w:rsid w:val="00C72490"/>
    <w:rsid w:val="00C72808"/>
    <w:rsid w:val="00C72840"/>
    <w:rsid w:val="00C728BF"/>
    <w:rsid w:val="00C728CC"/>
    <w:rsid w:val="00C728D3"/>
    <w:rsid w:val="00C728F5"/>
    <w:rsid w:val="00C72AF4"/>
    <w:rsid w:val="00C72BB3"/>
    <w:rsid w:val="00C72E7A"/>
    <w:rsid w:val="00C72F34"/>
    <w:rsid w:val="00C73259"/>
    <w:rsid w:val="00C7333D"/>
    <w:rsid w:val="00C73444"/>
    <w:rsid w:val="00C73C64"/>
    <w:rsid w:val="00C73D9B"/>
    <w:rsid w:val="00C73EDA"/>
    <w:rsid w:val="00C73FE2"/>
    <w:rsid w:val="00C7428E"/>
    <w:rsid w:val="00C7474E"/>
    <w:rsid w:val="00C7482D"/>
    <w:rsid w:val="00C748F7"/>
    <w:rsid w:val="00C74A1D"/>
    <w:rsid w:val="00C74B2D"/>
    <w:rsid w:val="00C74C01"/>
    <w:rsid w:val="00C74D0D"/>
    <w:rsid w:val="00C74E08"/>
    <w:rsid w:val="00C750E3"/>
    <w:rsid w:val="00C751A0"/>
    <w:rsid w:val="00C754E5"/>
    <w:rsid w:val="00C757BB"/>
    <w:rsid w:val="00C757EC"/>
    <w:rsid w:val="00C757F8"/>
    <w:rsid w:val="00C7587E"/>
    <w:rsid w:val="00C75A0F"/>
    <w:rsid w:val="00C75ACA"/>
    <w:rsid w:val="00C75AD3"/>
    <w:rsid w:val="00C75C72"/>
    <w:rsid w:val="00C75D75"/>
    <w:rsid w:val="00C760F2"/>
    <w:rsid w:val="00C76294"/>
    <w:rsid w:val="00C763B9"/>
    <w:rsid w:val="00C76420"/>
    <w:rsid w:val="00C7642B"/>
    <w:rsid w:val="00C76466"/>
    <w:rsid w:val="00C764CB"/>
    <w:rsid w:val="00C765B4"/>
    <w:rsid w:val="00C76720"/>
    <w:rsid w:val="00C767FD"/>
    <w:rsid w:val="00C768F6"/>
    <w:rsid w:val="00C76CCD"/>
    <w:rsid w:val="00C76D47"/>
    <w:rsid w:val="00C76D67"/>
    <w:rsid w:val="00C76E70"/>
    <w:rsid w:val="00C771DE"/>
    <w:rsid w:val="00C77231"/>
    <w:rsid w:val="00C773AD"/>
    <w:rsid w:val="00C773F0"/>
    <w:rsid w:val="00C77534"/>
    <w:rsid w:val="00C77653"/>
    <w:rsid w:val="00C77665"/>
    <w:rsid w:val="00C77A71"/>
    <w:rsid w:val="00C77AED"/>
    <w:rsid w:val="00C80210"/>
    <w:rsid w:val="00C80265"/>
    <w:rsid w:val="00C8030B"/>
    <w:rsid w:val="00C804D5"/>
    <w:rsid w:val="00C8070B"/>
    <w:rsid w:val="00C80D2D"/>
    <w:rsid w:val="00C81005"/>
    <w:rsid w:val="00C8103B"/>
    <w:rsid w:val="00C81055"/>
    <w:rsid w:val="00C81256"/>
    <w:rsid w:val="00C81316"/>
    <w:rsid w:val="00C8143D"/>
    <w:rsid w:val="00C81685"/>
    <w:rsid w:val="00C81702"/>
    <w:rsid w:val="00C8184F"/>
    <w:rsid w:val="00C81B22"/>
    <w:rsid w:val="00C81B8C"/>
    <w:rsid w:val="00C81BA2"/>
    <w:rsid w:val="00C81BB7"/>
    <w:rsid w:val="00C81BD6"/>
    <w:rsid w:val="00C81E65"/>
    <w:rsid w:val="00C81E7B"/>
    <w:rsid w:val="00C81E7C"/>
    <w:rsid w:val="00C8206C"/>
    <w:rsid w:val="00C822F0"/>
    <w:rsid w:val="00C82376"/>
    <w:rsid w:val="00C82440"/>
    <w:rsid w:val="00C82479"/>
    <w:rsid w:val="00C82561"/>
    <w:rsid w:val="00C825AC"/>
    <w:rsid w:val="00C82892"/>
    <w:rsid w:val="00C829E0"/>
    <w:rsid w:val="00C82C5E"/>
    <w:rsid w:val="00C82D18"/>
    <w:rsid w:val="00C82EE5"/>
    <w:rsid w:val="00C83041"/>
    <w:rsid w:val="00C830B8"/>
    <w:rsid w:val="00C83282"/>
    <w:rsid w:val="00C835C6"/>
    <w:rsid w:val="00C83663"/>
    <w:rsid w:val="00C836E0"/>
    <w:rsid w:val="00C836ED"/>
    <w:rsid w:val="00C83871"/>
    <w:rsid w:val="00C83C79"/>
    <w:rsid w:val="00C83EC3"/>
    <w:rsid w:val="00C83EDE"/>
    <w:rsid w:val="00C83F2A"/>
    <w:rsid w:val="00C84275"/>
    <w:rsid w:val="00C8441E"/>
    <w:rsid w:val="00C8481D"/>
    <w:rsid w:val="00C84AD4"/>
    <w:rsid w:val="00C84B67"/>
    <w:rsid w:val="00C84D7E"/>
    <w:rsid w:val="00C84F79"/>
    <w:rsid w:val="00C851DF"/>
    <w:rsid w:val="00C8520D"/>
    <w:rsid w:val="00C8548A"/>
    <w:rsid w:val="00C85A2D"/>
    <w:rsid w:val="00C85A8B"/>
    <w:rsid w:val="00C85C45"/>
    <w:rsid w:val="00C85C68"/>
    <w:rsid w:val="00C85E69"/>
    <w:rsid w:val="00C85EBE"/>
    <w:rsid w:val="00C85EC7"/>
    <w:rsid w:val="00C85F34"/>
    <w:rsid w:val="00C85F9B"/>
    <w:rsid w:val="00C86092"/>
    <w:rsid w:val="00C862ED"/>
    <w:rsid w:val="00C86367"/>
    <w:rsid w:val="00C865B9"/>
    <w:rsid w:val="00C8664C"/>
    <w:rsid w:val="00C868A9"/>
    <w:rsid w:val="00C8701F"/>
    <w:rsid w:val="00C87459"/>
    <w:rsid w:val="00C8748E"/>
    <w:rsid w:val="00C874A1"/>
    <w:rsid w:val="00C875F4"/>
    <w:rsid w:val="00C87701"/>
    <w:rsid w:val="00C8786C"/>
    <w:rsid w:val="00C879A3"/>
    <w:rsid w:val="00C87B1D"/>
    <w:rsid w:val="00C87D08"/>
    <w:rsid w:val="00C87D13"/>
    <w:rsid w:val="00C87EA2"/>
    <w:rsid w:val="00C87ECA"/>
    <w:rsid w:val="00C901B2"/>
    <w:rsid w:val="00C901BD"/>
    <w:rsid w:val="00C903A1"/>
    <w:rsid w:val="00C903C5"/>
    <w:rsid w:val="00C90424"/>
    <w:rsid w:val="00C905DB"/>
    <w:rsid w:val="00C90740"/>
    <w:rsid w:val="00C907FA"/>
    <w:rsid w:val="00C909B9"/>
    <w:rsid w:val="00C90B42"/>
    <w:rsid w:val="00C90B48"/>
    <w:rsid w:val="00C90E06"/>
    <w:rsid w:val="00C90F13"/>
    <w:rsid w:val="00C90F6C"/>
    <w:rsid w:val="00C91266"/>
    <w:rsid w:val="00C9145E"/>
    <w:rsid w:val="00C914F2"/>
    <w:rsid w:val="00C91811"/>
    <w:rsid w:val="00C91AAC"/>
    <w:rsid w:val="00C91BAF"/>
    <w:rsid w:val="00C91BEA"/>
    <w:rsid w:val="00C9202F"/>
    <w:rsid w:val="00C92221"/>
    <w:rsid w:val="00C9239B"/>
    <w:rsid w:val="00C924BC"/>
    <w:rsid w:val="00C92984"/>
    <w:rsid w:val="00C92AD7"/>
    <w:rsid w:val="00C92C83"/>
    <w:rsid w:val="00C92DB8"/>
    <w:rsid w:val="00C92F74"/>
    <w:rsid w:val="00C930C2"/>
    <w:rsid w:val="00C93149"/>
    <w:rsid w:val="00C93191"/>
    <w:rsid w:val="00C9330B"/>
    <w:rsid w:val="00C93317"/>
    <w:rsid w:val="00C93696"/>
    <w:rsid w:val="00C93834"/>
    <w:rsid w:val="00C93856"/>
    <w:rsid w:val="00C938DE"/>
    <w:rsid w:val="00C939B9"/>
    <w:rsid w:val="00C939E4"/>
    <w:rsid w:val="00C93A93"/>
    <w:rsid w:val="00C93BD2"/>
    <w:rsid w:val="00C93CAA"/>
    <w:rsid w:val="00C93CD7"/>
    <w:rsid w:val="00C941F4"/>
    <w:rsid w:val="00C94238"/>
    <w:rsid w:val="00C94602"/>
    <w:rsid w:val="00C9475D"/>
    <w:rsid w:val="00C94D32"/>
    <w:rsid w:val="00C94EF1"/>
    <w:rsid w:val="00C95056"/>
    <w:rsid w:val="00C951FD"/>
    <w:rsid w:val="00C95240"/>
    <w:rsid w:val="00C954B3"/>
    <w:rsid w:val="00C955AC"/>
    <w:rsid w:val="00C955AD"/>
    <w:rsid w:val="00C9579C"/>
    <w:rsid w:val="00C95D1C"/>
    <w:rsid w:val="00C95D44"/>
    <w:rsid w:val="00C95D4E"/>
    <w:rsid w:val="00C95D98"/>
    <w:rsid w:val="00C95FDF"/>
    <w:rsid w:val="00C9627F"/>
    <w:rsid w:val="00C96389"/>
    <w:rsid w:val="00C96424"/>
    <w:rsid w:val="00C9648E"/>
    <w:rsid w:val="00C968AA"/>
    <w:rsid w:val="00C96961"/>
    <w:rsid w:val="00C969E3"/>
    <w:rsid w:val="00C96A98"/>
    <w:rsid w:val="00C96B5B"/>
    <w:rsid w:val="00C96BB1"/>
    <w:rsid w:val="00C96C40"/>
    <w:rsid w:val="00C96E52"/>
    <w:rsid w:val="00C97038"/>
    <w:rsid w:val="00C971B8"/>
    <w:rsid w:val="00C97267"/>
    <w:rsid w:val="00C976A7"/>
    <w:rsid w:val="00C97849"/>
    <w:rsid w:val="00C97AED"/>
    <w:rsid w:val="00C97C14"/>
    <w:rsid w:val="00CA01D4"/>
    <w:rsid w:val="00CA0D64"/>
    <w:rsid w:val="00CA0DB6"/>
    <w:rsid w:val="00CA134B"/>
    <w:rsid w:val="00CA1503"/>
    <w:rsid w:val="00CA191D"/>
    <w:rsid w:val="00CA2074"/>
    <w:rsid w:val="00CA2078"/>
    <w:rsid w:val="00CA2100"/>
    <w:rsid w:val="00CA21B4"/>
    <w:rsid w:val="00CA225A"/>
    <w:rsid w:val="00CA23A5"/>
    <w:rsid w:val="00CA25E3"/>
    <w:rsid w:val="00CA278E"/>
    <w:rsid w:val="00CA279E"/>
    <w:rsid w:val="00CA28B9"/>
    <w:rsid w:val="00CA299C"/>
    <w:rsid w:val="00CA2B7C"/>
    <w:rsid w:val="00CA2BC6"/>
    <w:rsid w:val="00CA308C"/>
    <w:rsid w:val="00CA32C2"/>
    <w:rsid w:val="00CA3369"/>
    <w:rsid w:val="00CA3510"/>
    <w:rsid w:val="00CA41A0"/>
    <w:rsid w:val="00CA4404"/>
    <w:rsid w:val="00CA4730"/>
    <w:rsid w:val="00CA490A"/>
    <w:rsid w:val="00CA4A01"/>
    <w:rsid w:val="00CA4E09"/>
    <w:rsid w:val="00CA50B5"/>
    <w:rsid w:val="00CA527C"/>
    <w:rsid w:val="00CA53A6"/>
    <w:rsid w:val="00CA541F"/>
    <w:rsid w:val="00CA576C"/>
    <w:rsid w:val="00CA5902"/>
    <w:rsid w:val="00CA5A42"/>
    <w:rsid w:val="00CA5AD8"/>
    <w:rsid w:val="00CA5B27"/>
    <w:rsid w:val="00CA5C0E"/>
    <w:rsid w:val="00CA5CD4"/>
    <w:rsid w:val="00CA5F23"/>
    <w:rsid w:val="00CA5FD5"/>
    <w:rsid w:val="00CA60EF"/>
    <w:rsid w:val="00CA6232"/>
    <w:rsid w:val="00CA659A"/>
    <w:rsid w:val="00CA6774"/>
    <w:rsid w:val="00CA6E57"/>
    <w:rsid w:val="00CA7127"/>
    <w:rsid w:val="00CA71B7"/>
    <w:rsid w:val="00CA72AF"/>
    <w:rsid w:val="00CA736B"/>
    <w:rsid w:val="00CA746C"/>
    <w:rsid w:val="00CA7615"/>
    <w:rsid w:val="00CA777E"/>
    <w:rsid w:val="00CA786E"/>
    <w:rsid w:val="00CA7CEB"/>
    <w:rsid w:val="00CA7F03"/>
    <w:rsid w:val="00CA7F28"/>
    <w:rsid w:val="00CB0122"/>
    <w:rsid w:val="00CB0353"/>
    <w:rsid w:val="00CB03E6"/>
    <w:rsid w:val="00CB03F8"/>
    <w:rsid w:val="00CB06A3"/>
    <w:rsid w:val="00CB074E"/>
    <w:rsid w:val="00CB0768"/>
    <w:rsid w:val="00CB08DB"/>
    <w:rsid w:val="00CB0AD3"/>
    <w:rsid w:val="00CB0B94"/>
    <w:rsid w:val="00CB0CB9"/>
    <w:rsid w:val="00CB0E5C"/>
    <w:rsid w:val="00CB131F"/>
    <w:rsid w:val="00CB1484"/>
    <w:rsid w:val="00CB182C"/>
    <w:rsid w:val="00CB1894"/>
    <w:rsid w:val="00CB1951"/>
    <w:rsid w:val="00CB1B30"/>
    <w:rsid w:val="00CB1B7C"/>
    <w:rsid w:val="00CB1CE9"/>
    <w:rsid w:val="00CB1F8C"/>
    <w:rsid w:val="00CB22F3"/>
    <w:rsid w:val="00CB23E3"/>
    <w:rsid w:val="00CB265D"/>
    <w:rsid w:val="00CB2684"/>
    <w:rsid w:val="00CB27DC"/>
    <w:rsid w:val="00CB2B7F"/>
    <w:rsid w:val="00CB2C3C"/>
    <w:rsid w:val="00CB2E82"/>
    <w:rsid w:val="00CB2F7F"/>
    <w:rsid w:val="00CB3496"/>
    <w:rsid w:val="00CB34EF"/>
    <w:rsid w:val="00CB3561"/>
    <w:rsid w:val="00CB35F4"/>
    <w:rsid w:val="00CB37B5"/>
    <w:rsid w:val="00CB3875"/>
    <w:rsid w:val="00CB3A67"/>
    <w:rsid w:val="00CB3AD5"/>
    <w:rsid w:val="00CB3D1C"/>
    <w:rsid w:val="00CB3D29"/>
    <w:rsid w:val="00CB3E63"/>
    <w:rsid w:val="00CB3EC8"/>
    <w:rsid w:val="00CB4146"/>
    <w:rsid w:val="00CB4321"/>
    <w:rsid w:val="00CB4504"/>
    <w:rsid w:val="00CB4540"/>
    <w:rsid w:val="00CB4907"/>
    <w:rsid w:val="00CB4BAB"/>
    <w:rsid w:val="00CB4C6B"/>
    <w:rsid w:val="00CB4D21"/>
    <w:rsid w:val="00CB4DCD"/>
    <w:rsid w:val="00CB4E21"/>
    <w:rsid w:val="00CB4F2D"/>
    <w:rsid w:val="00CB4FB4"/>
    <w:rsid w:val="00CB52F5"/>
    <w:rsid w:val="00CB53F8"/>
    <w:rsid w:val="00CB57BD"/>
    <w:rsid w:val="00CB5954"/>
    <w:rsid w:val="00CB5E51"/>
    <w:rsid w:val="00CB5EB7"/>
    <w:rsid w:val="00CB5EBC"/>
    <w:rsid w:val="00CB6058"/>
    <w:rsid w:val="00CB6647"/>
    <w:rsid w:val="00CB6680"/>
    <w:rsid w:val="00CB67C8"/>
    <w:rsid w:val="00CB68B9"/>
    <w:rsid w:val="00CB69A7"/>
    <w:rsid w:val="00CB6CC0"/>
    <w:rsid w:val="00CB7200"/>
    <w:rsid w:val="00CB72F0"/>
    <w:rsid w:val="00CB7335"/>
    <w:rsid w:val="00CB7498"/>
    <w:rsid w:val="00CB7814"/>
    <w:rsid w:val="00CB797E"/>
    <w:rsid w:val="00CB79B0"/>
    <w:rsid w:val="00CB7A5E"/>
    <w:rsid w:val="00CB7C3C"/>
    <w:rsid w:val="00CB7C3F"/>
    <w:rsid w:val="00CB7D04"/>
    <w:rsid w:val="00CC00C3"/>
    <w:rsid w:val="00CC016D"/>
    <w:rsid w:val="00CC03CA"/>
    <w:rsid w:val="00CC040F"/>
    <w:rsid w:val="00CC0456"/>
    <w:rsid w:val="00CC074D"/>
    <w:rsid w:val="00CC0786"/>
    <w:rsid w:val="00CC0952"/>
    <w:rsid w:val="00CC095B"/>
    <w:rsid w:val="00CC0A52"/>
    <w:rsid w:val="00CC0E55"/>
    <w:rsid w:val="00CC0FA8"/>
    <w:rsid w:val="00CC11E4"/>
    <w:rsid w:val="00CC12C1"/>
    <w:rsid w:val="00CC1344"/>
    <w:rsid w:val="00CC13C7"/>
    <w:rsid w:val="00CC13D1"/>
    <w:rsid w:val="00CC1590"/>
    <w:rsid w:val="00CC15C6"/>
    <w:rsid w:val="00CC1609"/>
    <w:rsid w:val="00CC160C"/>
    <w:rsid w:val="00CC1644"/>
    <w:rsid w:val="00CC1690"/>
    <w:rsid w:val="00CC1767"/>
    <w:rsid w:val="00CC1826"/>
    <w:rsid w:val="00CC188B"/>
    <w:rsid w:val="00CC1959"/>
    <w:rsid w:val="00CC1AB7"/>
    <w:rsid w:val="00CC1B8A"/>
    <w:rsid w:val="00CC212A"/>
    <w:rsid w:val="00CC217F"/>
    <w:rsid w:val="00CC2781"/>
    <w:rsid w:val="00CC2AAF"/>
    <w:rsid w:val="00CC2AE3"/>
    <w:rsid w:val="00CC2AE9"/>
    <w:rsid w:val="00CC3068"/>
    <w:rsid w:val="00CC3253"/>
    <w:rsid w:val="00CC32A1"/>
    <w:rsid w:val="00CC333A"/>
    <w:rsid w:val="00CC3837"/>
    <w:rsid w:val="00CC38B3"/>
    <w:rsid w:val="00CC3E3C"/>
    <w:rsid w:val="00CC3F43"/>
    <w:rsid w:val="00CC406A"/>
    <w:rsid w:val="00CC4108"/>
    <w:rsid w:val="00CC4218"/>
    <w:rsid w:val="00CC4246"/>
    <w:rsid w:val="00CC459F"/>
    <w:rsid w:val="00CC476A"/>
    <w:rsid w:val="00CC47A0"/>
    <w:rsid w:val="00CC48F9"/>
    <w:rsid w:val="00CC4BE3"/>
    <w:rsid w:val="00CC4C8D"/>
    <w:rsid w:val="00CC4D26"/>
    <w:rsid w:val="00CC4F63"/>
    <w:rsid w:val="00CC4FE9"/>
    <w:rsid w:val="00CC58BD"/>
    <w:rsid w:val="00CC598D"/>
    <w:rsid w:val="00CC59A1"/>
    <w:rsid w:val="00CC5E1E"/>
    <w:rsid w:val="00CC61E0"/>
    <w:rsid w:val="00CC62DB"/>
    <w:rsid w:val="00CC632A"/>
    <w:rsid w:val="00CC64E7"/>
    <w:rsid w:val="00CC658C"/>
    <w:rsid w:val="00CC6619"/>
    <w:rsid w:val="00CC665A"/>
    <w:rsid w:val="00CC66BC"/>
    <w:rsid w:val="00CC6712"/>
    <w:rsid w:val="00CC6924"/>
    <w:rsid w:val="00CC694A"/>
    <w:rsid w:val="00CC6DD9"/>
    <w:rsid w:val="00CC7279"/>
    <w:rsid w:val="00CC7400"/>
    <w:rsid w:val="00CC7B0B"/>
    <w:rsid w:val="00CC7C34"/>
    <w:rsid w:val="00CC7C5D"/>
    <w:rsid w:val="00CC7CDB"/>
    <w:rsid w:val="00CC7E96"/>
    <w:rsid w:val="00CC7EAC"/>
    <w:rsid w:val="00CC7FD4"/>
    <w:rsid w:val="00CD0037"/>
    <w:rsid w:val="00CD0398"/>
    <w:rsid w:val="00CD051D"/>
    <w:rsid w:val="00CD0558"/>
    <w:rsid w:val="00CD06EF"/>
    <w:rsid w:val="00CD0889"/>
    <w:rsid w:val="00CD0A0F"/>
    <w:rsid w:val="00CD0BA5"/>
    <w:rsid w:val="00CD0BB5"/>
    <w:rsid w:val="00CD0D72"/>
    <w:rsid w:val="00CD0FCD"/>
    <w:rsid w:val="00CD1036"/>
    <w:rsid w:val="00CD122E"/>
    <w:rsid w:val="00CD1249"/>
    <w:rsid w:val="00CD1323"/>
    <w:rsid w:val="00CD137B"/>
    <w:rsid w:val="00CD1479"/>
    <w:rsid w:val="00CD14B4"/>
    <w:rsid w:val="00CD1624"/>
    <w:rsid w:val="00CD1882"/>
    <w:rsid w:val="00CD19A6"/>
    <w:rsid w:val="00CD1B04"/>
    <w:rsid w:val="00CD1B86"/>
    <w:rsid w:val="00CD1D39"/>
    <w:rsid w:val="00CD1E17"/>
    <w:rsid w:val="00CD1ECB"/>
    <w:rsid w:val="00CD1FBF"/>
    <w:rsid w:val="00CD20F0"/>
    <w:rsid w:val="00CD2497"/>
    <w:rsid w:val="00CD252D"/>
    <w:rsid w:val="00CD2685"/>
    <w:rsid w:val="00CD269F"/>
    <w:rsid w:val="00CD2AA1"/>
    <w:rsid w:val="00CD2B42"/>
    <w:rsid w:val="00CD2BAB"/>
    <w:rsid w:val="00CD2C48"/>
    <w:rsid w:val="00CD2CC9"/>
    <w:rsid w:val="00CD3019"/>
    <w:rsid w:val="00CD308B"/>
    <w:rsid w:val="00CD313C"/>
    <w:rsid w:val="00CD3197"/>
    <w:rsid w:val="00CD37AC"/>
    <w:rsid w:val="00CD3B9C"/>
    <w:rsid w:val="00CD3D5F"/>
    <w:rsid w:val="00CD42A8"/>
    <w:rsid w:val="00CD43F6"/>
    <w:rsid w:val="00CD4471"/>
    <w:rsid w:val="00CD44D4"/>
    <w:rsid w:val="00CD4793"/>
    <w:rsid w:val="00CD4AC4"/>
    <w:rsid w:val="00CD4BF8"/>
    <w:rsid w:val="00CD4C41"/>
    <w:rsid w:val="00CD4DCF"/>
    <w:rsid w:val="00CD4EF1"/>
    <w:rsid w:val="00CD50C8"/>
    <w:rsid w:val="00CD51C2"/>
    <w:rsid w:val="00CD521D"/>
    <w:rsid w:val="00CD54BB"/>
    <w:rsid w:val="00CD59EB"/>
    <w:rsid w:val="00CD5BA8"/>
    <w:rsid w:val="00CD5BA9"/>
    <w:rsid w:val="00CD5DC0"/>
    <w:rsid w:val="00CD5DCA"/>
    <w:rsid w:val="00CD5F2D"/>
    <w:rsid w:val="00CD5FDB"/>
    <w:rsid w:val="00CD6012"/>
    <w:rsid w:val="00CD615D"/>
    <w:rsid w:val="00CD6394"/>
    <w:rsid w:val="00CD65A0"/>
    <w:rsid w:val="00CD65F0"/>
    <w:rsid w:val="00CD67B2"/>
    <w:rsid w:val="00CD6A9E"/>
    <w:rsid w:val="00CD6B65"/>
    <w:rsid w:val="00CD70DE"/>
    <w:rsid w:val="00CD7337"/>
    <w:rsid w:val="00CD7350"/>
    <w:rsid w:val="00CD742F"/>
    <w:rsid w:val="00CD75AC"/>
    <w:rsid w:val="00CD7ABD"/>
    <w:rsid w:val="00CE04A0"/>
    <w:rsid w:val="00CE04A2"/>
    <w:rsid w:val="00CE051B"/>
    <w:rsid w:val="00CE06B1"/>
    <w:rsid w:val="00CE08F5"/>
    <w:rsid w:val="00CE14D8"/>
    <w:rsid w:val="00CE163E"/>
    <w:rsid w:val="00CE16F5"/>
    <w:rsid w:val="00CE1A43"/>
    <w:rsid w:val="00CE1E11"/>
    <w:rsid w:val="00CE2378"/>
    <w:rsid w:val="00CE253D"/>
    <w:rsid w:val="00CE258A"/>
    <w:rsid w:val="00CE278F"/>
    <w:rsid w:val="00CE2A79"/>
    <w:rsid w:val="00CE2C16"/>
    <w:rsid w:val="00CE2E46"/>
    <w:rsid w:val="00CE3015"/>
    <w:rsid w:val="00CE303D"/>
    <w:rsid w:val="00CE3094"/>
    <w:rsid w:val="00CE319E"/>
    <w:rsid w:val="00CE3471"/>
    <w:rsid w:val="00CE34DC"/>
    <w:rsid w:val="00CE3D84"/>
    <w:rsid w:val="00CE3EF5"/>
    <w:rsid w:val="00CE4054"/>
    <w:rsid w:val="00CE40EF"/>
    <w:rsid w:val="00CE4423"/>
    <w:rsid w:val="00CE47A8"/>
    <w:rsid w:val="00CE4B2D"/>
    <w:rsid w:val="00CE5112"/>
    <w:rsid w:val="00CE54C2"/>
    <w:rsid w:val="00CE55E3"/>
    <w:rsid w:val="00CE57C5"/>
    <w:rsid w:val="00CE5852"/>
    <w:rsid w:val="00CE5898"/>
    <w:rsid w:val="00CE58A3"/>
    <w:rsid w:val="00CE58E6"/>
    <w:rsid w:val="00CE5A49"/>
    <w:rsid w:val="00CE5BCF"/>
    <w:rsid w:val="00CE5C17"/>
    <w:rsid w:val="00CE5C48"/>
    <w:rsid w:val="00CE5D47"/>
    <w:rsid w:val="00CE5DDB"/>
    <w:rsid w:val="00CE5FBD"/>
    <w:rsid w:val="00CE6219"/>
    <w:rsid w:val="00CE62F1"/>
    <w:rsid w:val="00CE64E2"/>
    <w:rsid w:val="00CE6706"/>
    <w:rsid w:val="00CE670F"/>
    <w:rsid w:val="00CE685F"/>
    <w:rsid w:val="00CE69CD"/>
    <w:rsid w:val="00CE6BC5"/>
    <w:rsid w:val="00CE6BD4"/>
    <w:rsid w:val="00CE6DDC"/>
    <w:rsid w:val="00CE6EBF"/>
    <w:rsid w:val="00CE70E6"/>
    <w:rsid w:val="00CE7133"/>
    <w:rsid w:val="00CE723F"/>
    <w:rsid w:val="00CE7679"/>
    <w:rsid w:val="00CE77FD"/>
    <w:rsid w:val="00CE78E9"/>
    <w:rsid w:val="00CE7B88"/>
    <w:rsid w:val="00CE7BD8"/>
    <w:rsid w:val="00CF00EF"/>
    <w:rsid w:val="00CF025F"/>
    <w:rsid w:val="00CF064F"/>
    <w:rsid w:val="00CF06FF"/>
    <w:rsid w:val="00CF086A"/>
    <w:rsid w:val="00CF087B"/>
    <w:rsid w:val="00CF09FF"/>
    <w:rsid w:val="00CF0B00"/>
    <w:rsid w:val="00CF0DF7"/>
    <w:rsid w:val="00CF0DFD"/>
    <w:rsid w:val="00CF104B"/>
    <w:rsid w:val="00CF1172"/>
    <w:rsid w:val="00CF139A"/>
    <w:rsid w:val="00CF1706"/>
    <w:rsid w:val="00CF1A44"/>
    <w:rsid w:val="00CF1B2E"/>
    <w:rsid w:val="00CF1E50"/>
    <w:rsid w:val="00CF213E"/>
    <w:rsid w:val="00CF218D"/>
    <w:rsid w:val="00CF23A1"/>
    <w:rsid w:val="00CF23CA"/>
    <w:rsid w:val="00CF2947"/>
    <w:rsid w:val="00CF2BFA"/>
    <w:rsid w:val="00CF2C78"/>
    <w:rsid w:val="00CF3041"/>
    <w:rsid w:val="00CF3918"/>
    <w:rsid w:val="00CF3D5B"/>
    <w:rsid w:val="00CF4510"/>
    <w:rsid w:val="00CF4680"/>
    <w:rsid w:val="00CF48B4"/>
    <w:rsid w:val="00CF48BA"/>
    <w:rsid w:val="00CF4927"/>
    <w:rsid w:val="00CF4D41"/>
    <w:rsid w:val="00CF4E16"/>
    <w:rsid w:val="00CF4EB4"/>
    <w:rsid w:val="00CF4EF6"/>
    <w:rsid w:val="00CF52C3"/>
    <w:rsid w:val="00CF53A9"/>
    <w:rsid w:val="00CF5579"/>
    <w:rsid w:val="00CF55ED"/>
    <w:rsid w:val="00CF5619"/>
    <w:rsid w:val="00CF56E1"/>
    <w:rsid w:val="00CF57D3"/>
    <w:rsid w:val="00CF5B88"/>
    <w:rsid w:val="00CF5C8C"/>
    <w:rsid w:val="00CF5D70"/>
    <w:rsid w:val="00CF5ED8"/>
    <w:rsid w:val="00CF6021"/>
    <w:rsid w:val="00CF60AF"/>
    <w:rsid w:val="00CF60EA"/>
    <w:rsid w:val="00CF61C8"/>
    <w:rsid w:val="00CF6909"/>
    <w:rsid w:val="00CF697C"/>
    <w:rsid w:val="00CF6989"/>
    <w:rsid w:val="00CF6AD0"/>
    <w:rsid w:val="00CF6B1E"/>
    <w:rsid w:val="00CF6BAA"/>
    <w:rsid w:val="00CF7026"/>
    <w:rsid w:val="00CF72B1"/>
    <w:rsid w:val="00CF734B"/>
    <w:rsid w:val="00CF73B3"/>
    <w:rsid w:val="00CF7544"/>
    <w:rsid w:val="00CF7864"/>
    <w:rsid w:val="00CF7AF5"/>
    <w:rsid w:val="00CF7F22"/>
    <w:rsid w:val="00D0049D"/>
    <w:rsid w:val="00D00858"/>
    <w:rsid w:val="00D00E13"/>
    <w:rsid w:val="00D00FE5"/>
    <w:rsid w:val="00D012E9"/>
    <w:rsid w:val="00D013C7"/>
    <w:rsid w:val="00D01449"/>
    <w:rsid w:val="00D014AC"/>
    <w:rsid w:val="00D015F0"/>
    <w:rsid w:val="00D01863"/>
    <w:rsid w:val="00D01B36"/>
    <w:rsid w:val="00D01C1C"/>
    <w:rsid w:val="00D01D7E"/>
    <w:rsid w:val="00D01DF5"/>
    <w:rsid w:val="00D020E4"/>
    <w:rsid w:val="00D0229A"/>
    <w:rsid w:val="00D02351"/>
    <w:rsid w:val="00D0255B"/>
    <w:rsid w:val="00D025CF"/>
    <w:rsid w:val="00D025E3"/>
    <w:rsid w:val="00D02691"/>
    <w:rsid w:val="00D02767"/>
    <w:rsid w:val="00D02D06"/>
    <w:rsid w:val="00D02E26"/>
    <w:rsid w:val="00D02EC1"/>
    <w:rsid w:val="00D02F17"/>
    <w:rsid w:val="00D02FFA"/>
    <w:rsid w:val="00D03360"/>
    <w:rsid w:val="00D03496"/>
    <w:rsid w:val="00D03839"/>
    <w:rsid w:val="00D039E2"/>
    <w:rsid w:val="00D03BDF"/>
    <w:rsid w:val="00D03C0C"/>
    <w:rsid w:val="00D03DBC"/>
    <w:rsid w:val="00D03E8F"/>
    <w:rsid w:val="00D03FC9"/>
    <w:rsid w:val="00D0403E"/>
    <w:rsid w:val="00D0420E"/>
    <w:rsid w:val="00D042F8"/>
    <w:rsid w:val="00D043EB"/>
    <w:rsid w:val="00D04457"/>
    <w:rsid w:val="00D04646"/>
    <w:rsid w:val="00D04898"/>
    <w:rsid w:val="00D04942"/>
    <w:rsid w:val="00D0496C"/>
    <w:rsid w:val="00D04CE1"/>
    <w:rsid w:val="00D05047"/>
    <w:rsid w:val="00D0579D"/>
    <w:rsid w:val="00D058C2"/>
    <w:rsid w:val="00D0590B"/>
    <w:rsid w:val="00D059BA"/>
    <w:rsid w:val="00D05B75"/>
    <w:rsid w:val="00D05C02"/>
    <w:rsid w:val="00D05DED"/>
    <w:rsid w:val="00D05F91"/>
    <w:rsid w:val="00D063BC"/>
    <w:rsid w:val="00D06578"/>
    <w:rsid w:val="00D065FC"/>
    <w:rsid w:val="00D06AA9"/>
    <w:rsid w:val="00D06B4B"/>
    <w:rsid w:val="00D06C3B"/>
    <w:rsid w:val="00D0729C"/>
    <w:rsid w:val="00D0738E"/>
    <w:rsid w:val="00D074FB"/>
    <w:rsid w:val="00D076A2"/>
    <w:rsid w:val="00D07885"/>
    <w:rsid w:val="00D07AF6"/>
    <w:rsid w:val="00D07D11"/>
    <w:rsid w:val="00D07FB4"/>
    <w:rsid w:val="00D10457"/>
    <w:rsid w:val="00D104F7"/>
    <w:rsid w:val="00D1054D"/>
    <w:rsid w:val="00D10571"/>
    <w:rsid w:val="00D107DC"/>
    <w:rsid w:val="00D10995"/>
    <w:rsid w:val="00D10E2C"/>
    <w:rsid w:val="00D10E7E"/>
    <w:rsid w:val="00D10F4B"/>
    <w:rsid w:val="00D10F8A"/>
    <w:rsid w:val="00D1103B"/>
    <w:rsid w:val="00D117AD"/>
    <w:rsid w:val="00D11AA3"/>
    <w:rsid w:val="00D11BD8"/>
    <w:rsid w:val="00D11E60"/>
    <w:rsid w:val="00D11EA3"/>
    <w:rsid w:val="00D11EB4"/>
    <w:rsid w:val="00D11FA4"/>
    <w:rsid w:val="00D121BA"/>
    <w:rsid w:val="00D122A7"/>
    <w:rsid w:val="00D123A5"/>
    <w:rsid w:val="00D12482"/>
    <w:rsid w:val="00D125AB"/>
    <w:rsid w:val="00D1280D"/>
    <w:rsid w:val="00D12815"/>
    <w:rsid w:val="00D12898"/>
    <w:rsid w:val="00D12AA4"/>
    <w:rsid w:val="00D12C66"/>
    <w:rsid w:val="00D12ED1"/>
    <w:rsid w:val="00D12F6E"/>
    <w:rsid w:val="00D130E6"/>
    <w:rsid w:val="00D13D63"/>
    <w:rsid w:val="00D13D6E"/>
    <w:rsid w:val="00D1401A"/>
    <w:rsid w:val="00D1407A"/>
    <w:rsid w:val="00D144F4"/>
    <w:rsid w:val="00D14A39"/>
    <w:rsid w:val="00D14C4A"/>
    <w:rsid w:val="00D14F5A"/>
    <w:rsid w:val="00D1520D"/>
    <w:rsid w:val="00D15347"/>
    <w:rsid w:val="00D1567B"/>
    <w:rsid w:val="00D1574E"/>
    <w:rsid w:val="00D15842"/>
    <w:rsid w:val="00D1606F"/>
    <w:rsid w:val="00D16336"/>
    <w:rsid w:val="00D1649D"/>
    <w:rsid w:val="00D1653F"/>
    <w:rsid w:val="00D16594"/>
    <w:rsid w:val="00D16692"/>
    <w:rsid w:val="00D1681D"/>
    <w:rsid w:val="00D16932"/>
    <w:rsid w:val="00D169DB"/>
    <w:rsid w:val="00D16AA1"/>
    <w:rsid w:val="00D16AC2"/>
    <w:rsid w:val="00D16CDE"/>
    <w:rsid w:val="00D16DBF"/>
    <w:rsid w:val="00D16DD2"/>
    <w:rsid w:val="00D16DF5"/>
    <w:rsid w:val="00D17083"/>
    <w:rsid w:val="00D170A9"/>
    <w:rsid w:val="00D170C6"/>
    <w:rsid w:val="00D170C8"/>
    <w:rsid w:val="00D171BB"/>
    <w:rsid w:val="00D173CD"/>
    <w:rsid w:val="00D174D3"/>
    <w:rsid w:val="00D17598"/>
    <w:rsid w:val="00D17619"/>
    <w:rsid w:val="00D17903"/>
    <w:rsid w:val="00D17CC9"/>
    <w:rsid w:val="00D17D77"/>
    <w:rsid w:val="00D17D94"/>
    <w:rsid w:val="00D20140"/>
    <w:rsid w:val="00D2021E"/>
    <w:rsid w:val="00D20224"/>
    <w:rsid w:val="00D20325"/>
    <w:rsid w:val="00D20635"/>
    <w:rsid w:val="00D206AC"/>
    <w:rsid w:val="00D20748"/>
    <w:rsid w:val="00D207DE"/>
    <w:rsid w:val="00D20B71"/>
    <w:rsid w:val="00D20E7B"/>
    <w:rsid w:val="00D20F11"/>
    <w:rsid w:val="00D21082"/>
    <w:rsid w:val="00D2109A"/>
    <w:rsid w:val="00D213B8"/>
    <w:rsid w:val="00D21502"/>
    <w:rsid w:val="00D217B4"/>
    <w:rsid w:val="00D21948"/>
    <w:rsid w:val="00D21B89"/>
    <w:rsid w:val="00D21D7E"/>
    <w:rsid w:val="00D21DEA"/>
    <w:rsid w:val="00D21ECE"/>
    <w:rsid w:val="00D21ED8"/>
    <w:rsid w:val="00D21FA8"/>
    <w:rsid w:val="00D2222E"/>
    <w:rsid w:val="00D223A9"/>
    <w:rsid w:val="00D2244F"/>
    <w:rsid w:val="00D2252D"/>
    <w:rsid w:val="00D22849"/>
    <w:rsid w:val="00D22ABC"/>
    <w:rsid w:val="00D22DBD"/>
    <w:rsid w:val="00D22EE8"/>
    <w:rsid w:val="00D231EE"/>
    <w:rsid w:val="00D232DD"/>
    <w:rsid w:val="00D23343"/>
    <w:rsid w:val="00D236B7"/>
    <w:rsid w:val="00D236FF"/>
    <w:rsid w:val="00D23740"/>
    <w:rsid w:val="00D2379E"/>
    <w:rsid w:val="00D237D5"/>
    <w:rsid w:val="00D238D4"/>
    <w:rsid w:val="00D23A65"/>
    <w:rsid w:val="00D23BCC"/>
    <w:rsid w:val="00D23E48"/>
    <w:rsid w:val="00D244BE"/>
    <w:rsid w:val="00D244DE"/>
    <w:rsid w:val="00D24530"/>
    <w:rsid w:val="00D24A29"/>
    <w:rsid w:val="00D24A77"/>
    <w:rsid w:val="00D24D5A"/>
    <w:rsid w:val="00D24E41"/>
    <w:rsid w:val="00D253DF"/>
    <w:rsid w:val="00D25A44"/>
    <w:rsid w:val="00D25B0F"/>
    <w:rsid w:val="00D25B5C"/>
    <w:rsid w:val="00D25E72"/>
    <w:rsid w:val="00D26066"/>
    <w:rsid w:val="00D26163"/>
    <w:rsid w:val="00D26286"/>
    <w:rsid w:val="00D264CB"/>
    <w:rsid w:val="00D26515"/>
    <w:rsid w:val="00D2678C"/>
    <w:rsid w:val="00D26831"/>
    <w:rsid w:val="00D26EFF"/>
    <w:rsid w:val="00D27145"/>
    <w:rsid w:val="00D27334"/>
    <w:rsid w:val="00D2735D"/>
    <w:rsid w:val="00D27426"/>
    <w:rsid w:val="00D2752D"/>
    <w:rsid w:val="00D27635"/>
    <w:rsid w:val="00D27741"/>
    <w:rsid w:val="00D27C81"/>
    <w:rsid w:val="00D27DBF"/>
    <w:rsid w:val="00D27DDE"/>
    <w:rsid w:val="00D30182"/>
    <w:rsid w:val="00D30206"/>
    <w:rsid w:val="00D30550"/>
    <w:rsid w:val="00D3088C"/>
    <w:rsid w:val="00D30965"/>
    <w:rsid w:val="00D30B69"/>
    <w:rsid w:val="00D30BAE"/>
    <w:rsid w:val="00D30BC9"/>
    <w:rsid w:val="00D30E9D"/>
    <w:rsid w:val="00D30F13"/>
    <w:rsid w:val="00D3138C"/>
    <w:rsid w:val="00D313F2"/>
    <w:rsid w:val="00D314F9"/>
    <w:rsid w:val="00D31654"/>
    <w:rsid w:val="00D31773"/>
    <w:rsid w:val="00D31919"/>
    <w:rsid w:val="00D31E0B"/>
    <w:rsid w:val="00D31E50"/>
    <w:rsid w:val="00D32314"/>
    <w:rsid w:val="00D323DD"/>
    <w:rsid w:val="00D32693"/>
    <w:rsid w:val="00D32B56"/>
    <w:rsid w:val="00D32DDE"/>
    <w:rsid w:val="00D32E69"/>
    <w:rsid w:val="00D32F0C"/>
    <w:rsid w:val="00D32FA2"/>
    <w:rsid w:val="00D330CD"/>
    <w:rsid w:val="00D334A1"/>
    <w:rsid w:val="00D33638"/>
    <w:rsid w:val="00D336C5"/>
    <w:rsid w:val="00D3372A"/>
    <w:rsid w:val="00D3391C"/>
    <w:rsid w:val="00D33C18"/>
    <w:rsid w:val="00D33E6D"/>
    <w:rsid w:val="00D3429C"/>
    <w:rsid w:val="00D34832"/>
    <w:rsid w:val="00D348B7"/>
    <w:rsid w:val="00D34A29"/>
    <w:rsid w:val="00D34ACA"/>
    <w:rsid w:val="00D34CB7"/>
    <w:rsid w:val="00D35140"/>
    <w:rsid w:val="00D3515F"/>
    <w:rsid w:val="00D35222"/>
    <w:rsid w:val="00D35256"/>
    <w:rsid w:val="00D3539C"/>
    <w:rsid w:val="00D35418"/>
    <w:rsid w:val="00D357E5"/>
    <w:rsid w:val="00D35878"/>
    <w:rsid w:val="00D35970"/>
    <w:rsid w:val="00D35F23"/>
    <w:rsid w:val="00D360A2"/>
    <w:rsid w:val="00D36165"/>
    <w:rsid w:val="00D361E6"/>
    <w:rsid w:val="00D36233"/>
    <w:rsid w:val="00D362D6"/>
    <w:rsid w:val="00D36351"/>
    <w:rsid w:val="00D36696"/>
    <w:rsid w:val="00D3688E"/>
    <w:rsid w:val="00D368A0"/>
    <w:rsid w:val="00D36A96"/>
    <w:rsid w:val="00D370B8"/>
    <w:rsid w:val="00D372AE"/>
    <w:rsid w:val="00D3742D"/>
    <w:rsid w:val="00D374A6"/>
    <w:rsid w:val="00D37676"/>
    <w:rsid w:val="00D37930"/>
    <w:rsid w:val="00D37CAF"/>
    <w:rsid w:val="00D40430"/>
    <w:rsid w:val="00D4052C"/>
    <w:rsid w:val="00D40552"/>
    <w:rsid w:val="00D405DF"/>
    <w:rsid w:val="00D40664"/>
    <w:rsid w:val="00D4078F"/>
    <w:rsid w:val="00D4080D"/>
    <w:rsid w:val="00D408C9"/>
    <w:rsid w:val="00D40A0D"/>
    <w:rsid w:val="00D40B49"/>
    <w:rsid w:val="00D40CB3"/>
    <w:rsid w:val="00D40E33"/>
    <w:rsid w:val="00D410B0"/>
    <w:rsid w:val="00D41391"/>
    <w:rsid w:val="00D413D3"/>
    <w:rsid w:val="00D414E4"/>
    <w:rsid w:val="00D415A8"/>
    <w:rsid w:val="00D41690"/>
    <w:rsid w:val="00D419B6"/>
    <w:rsid w:val="00D419F5"/>
    <w:rsid w:val="00D41B15"/>
    <w:rsid w:val="00D41C5B"/>
    <w:rsid w:val="00D41D20"/>
    <w:rsid w:val="00D41E85"/>
    <w:rsid w:val="00D42296"/>
    <w:rsid w:val="00D423CB"/>
    <w:rsid w:val="00D4240E"/>
    <w:rsid w:val="00D42495"/>
    <w:rsid w:val="00D428C4"/>
    <w:rsid w:val="00D42C0D"/>
    <w:rsid w:val="00D42F1C"/>
    <w:rsid w:val="00D43096"/>
    <w:rsid w:val="00D430A5"/>
    <w:rsid w:val="00D43198"/>
    <w:rsid w:val="00D43377"/>
    <w:rsid w:val="00D4339A"/>
    <w:rsid w:val="00D43530"/>
    <w:rsid w:val="00D435C8"/>
    <w:rsid w:val="00D4379A"/>
    <w:rsid w:val="00D43816"/>
    <w:rsid w:val="00D44043"/>
    <w:rsid w:val="00D44115"/>
    <w:rsid w:val="00D44286"/>
    <w:rsid w:val="00D44397"/>
    <w:rsid w:val="00D44A93"/>
    <w:rsid w:val="00D44BC2"/>
    <w:rsid w:val="00D44D55"/>
    <w:rsid w:val="00D44E2B"/>
    <w:rsid w:val="00D44E3E"/>
    <w:rsid w:val="00D45038"/>
    <w:rsid w:val="00D452A2"/>
    <w:rsid w:val="00D45452"/>
    <w:rsid w:val="00D45490"/>
    <w:rsid w:val="00D45661"/>
    <w:rsid w:val="00D45694"/>
    <w:rsid w:val="00D456DD"/>
    <w:rsid w:val="00D4572B"/>
    <w:rsid w:val="00D45A8E"/>
    <w:rsid w:val="00D45BCB"/>
    <w:rsid w:val="00D45CC4"/>
    <w:rsid w:val="00D4625A"/>
    <w:rsid w:val="00D46355"/>
    <w:rsid w:val="00D463E9"/>
    <w:rsid w:val="00D466AE"/>
    <w:rsid w:val="00D466FA"/>
    <w:rsid w:val="00D46713"/>
    <w:rsid w:val="00D469C2"/>
    <w:rsid w:val="00D46AB2"/>
    <w:rsid w:val="00D46C16"/>
    <w:rsid w:val="00D46D8D"/>
    <w:rsid w:val="00D46DEB"/>
    <w:rsid w:val="00D46E79"/>
    <w:rsid w:val="00D46F93"/>
    <w:rsid w:val="00D471AF"/>
    <w:rsid w:val="00D471D1"/>
    <w:rsid w:val="00D47659"/>
    <w:rsid w:val="00D47753"/>
    <w:rsid w:val="00D47815"/>
    <w:rsid w:val="00D47875"/>
    <w:rsid w:val="00D479A3"/>
    <w:rsid w:val="00D47AE4"/>
    <w:rsid w:val="00D47AE5"/>
    <w:rsid w:val="00D47D02"/>
    <w:rsid w:val="00D47D89"/>
    <w:rsid w:val="00D47EF6"/>
    <w:rsid w:val="00D47EF7"/>
    <w:rsid w:val="00D47F0C"/>
    <w:rsid w:val="00D501DD"/>
    <w:rsid w:val="00D5021A"/>
    <w:rsid w:val="00D50466"/>
    <w:rsid w:val="00D50620"/>
    <w:rsid w:val="00D506F0"/>
    <w:rsid w:val="00D50718"/>
    <w:rsid w:val="00D50B7B"/>
    <w:rsid w:val="00D50D88"/>
    <w:rsid w:val="00D50DA3"/>
    <w:rsid w:val="00D51263"/>
    <w:rsid w:val="00D51403"/>
    <w:rsid w:val="00D515C0"/>
    <w:rsid w:val="00D515E2"/>
    <w:rsid w:val="00D51841"/>
    <w:rsid w:val="00D51935"/>
    <w:rsid w:val="00D51AB9"/>
    <w:rsid w:val="00D51C68"/>
    <w:rsid w:val="00D51C6D"/>
    <w:rsid w:val="00D51E6C"/>
    <w:rsid w:val="00D520FA"/>
    <w:rsid w:val="00D523B2"/>
    <w:rsid w:val="00D52550"/>
    <w:rsid w:val="00D52589"/>
    <w:rsid w:val="00D52C2E"/>
    <w:rsid w:val="00D52CC2"/>
    <w:rsid w:val="00D52FB0"/>
    <w:rsid w:val="00D530A6"/>
    <w:rsid w:val="00D532F4"/>
    <w:rsid w:val="00D534B7"/>
    <w:rsid w:val="00D535EF"/>
    <w:rsid w:val="00D5379E"/>
    <w:rsid w:val="00D538A7"/>
    <w:rsid w:val="00D538C4"/>
    <w:rsid w:val="00D53AEA"/>
    <w:rsid w:val="00D53BAA"/>
    <w:rsid w:val="00D53BF2"/>
    <w:rsid w:val="00D53C57"/>
    <w:rsid w:val="00D54174"/>
    <w:rsid w:val="00D541CE"/>
    <w:rsid w:val="00D541D5"/>
    <w:rsid w:val="00D54226"/>
    <w:rsid w:val="00D5434B"/>
    <w:rsid w:val="00D5443A"/>
    <w:rsid w:val="00D54494"/>
    <w:rsid w:val="00D54776"/>
    <w:rsid w:val="00D54BE3"/>
    <w:rsid w:val="00D54CCC"/>
    <w:rsid w:val="00D54E7C"/>
    <w:rsid w:val="00D54EAD"/>
    <w:rsid w:val="00D55099"/>
    <w:rsid w:val="00D55223"/>
    <w:rsid w:val="00D552D7"/>
    <w:rsid w:val="00D55698"/>
    <w:rsid w:val="00D556C9"/>
    <w:rsid w:val="00D557EB"/>
    <w:rsid w:val="00D55A48"/>
    <w:rsid w:val="00D55C22"/>
    <w:rsid w:val="00D55E94"/>
    <w:rsid w:val="00D55F4E"/>
    <w:rsid w:val="00D55FF2"/>
    <w:rsid w:val="00D5602D"/>
    <w:rsid w:val="00D56221"/>
    <w:rsid w:val="00D56344"/>
    <w:rsid w:val="00D563EC"/>
    <w:rsid w:val="00D5644A"/>
    <w:rsid w:val="00D564C4"/>
    <w:rsid w:val="00D56516"/>
    <w:rsid w:val="00D5670E"/>
    <w:rsid w:val="00D5674B"/>
    <w:rsid w:val="00D56843"/>
    <w:rsid w:val="00D568CF"/>
    <w:rsid w:val="00D56C28"/>
    <w:rsid w:val="00D56D99"/>
    <w:rsid w:val="00D56E07"/>
    <w:rsid w:val="00D56E76"/>
    <w:rsid w:val="00D56E85"/>
    <w:rsid w:val="00D5709D"/>
    <w:rsid w:val="00D5715A"/>
    <w:rsid w:val="00D57569"/>
    <w:rsid w:val="00D5787D"/>
    <w:rsid w:val="00D57A0E"/>
    <w:rsid w:val="00D57A65"/>
    <w:rsid w:val="00D57DA6"/>
    <w:rsid w:val="00D60178"/>
    <w:rsid w:val="00D60285"/>
    <w:rsid w:val="00D603AA"/>
    <w:rsid w:val="00D6053F"/>
    <w:rsid w:val="00D6073F"/>
    <w:rsid w:val="00D6079C"/>
    <w:rsid w:val="00D6099B"/>
    <w:rsid w:val="00D60A3E"/>
    <w:rsid w:val="00D60B0B"/>
    <w:rsid w:val="00D60B42"/>
    <w:rsid w:val="00D60F27"/>
    <w:rsid w:val="00D61021"/>
    <w:rsid w:val="00D61998"/>
    <w:rsid w:val="00D61DBA"/>
    <w:rsid w:val="00D61E8F"/>
    <w:rsid w:val="00D61EAA"/>
    <w:rsid w:val="00D61EB9"/>
    <w:rsid w:val="00D61FFA"/>
    <w:rsid w:val="00D62324"/>
    <w:rsid w:val="00D62388"/>
    <w:rsid w:val="00D623F5"/>
    <w:rsid w:val="00D62568"/>
    <w:rsid w:val="00D62593"/>
    <w:rsid w:val="00D625DF"/>
    <w:rsid w:val="00D62617"/>
    <w:rsid w:val="00D62721"/>
    <w:rsid w:val="00D627DC"/>
    <w:rsid w:val="00D62818"/>
    <w:rsid w:val="00D62969"/>
    <w:rsid w:val="00D62A38"/>
    <w:rsid w:val="00D62B15"/>
    <w:rsid w:val="00D62C98"/>
    <w:rsid w:val="00D62CD2"/>
    <w:rsid w:val="00D62D87"/>
    <w:rsid w:val="00D62FA5"/>
    <w:rsid w:val="00D63187"/>
    <w:rsid w:val="00D632BD"/>
    <w:rsid w:val="00D6334A"/>
    <w:rsid w:val="00D63622"/>
    <w:rsid w:val="00D637F6"/>
    <w:rsid w:val="00D639C0"/>
    <w:rsid w:val="00D63AC7"/>
    <w:rsid w:val="00D63BB5"/>
    <w:rsid w:val="00D63F07"/>
    <w:rsid w:val="00D64314"/>
    <w:rsid w:val="00D64553"/>
    <w:rsid w:val="00D64678"/>
    <w:rsid w:val="00D6468F"/>
    <w:rsid w:val="00D648AC"/>
    <w:rsid w:val="00D64A8A"/>
    <w:rsid w:val="00D64D61"/>
    <w:rsid w:val="00D652F6"/>
    <w:rsid w:val="00D6533A"/>
    <w:rsid w:val="00D65642"/>
    <w:rsid w:val="00D656EB"/>
    <w:rsid w:val="00D65ABA"/>
    <w:rsid w:val="00D65C6D"/>
    <w:rsid w:val="00D66042"/>
    <w:rsid w:val="00D660FD"/>
    <w:rsid w:val="00D6611B"/>
    <w:rsid w:val="00D6620A"/>
    <w:rsid w:val="00D66371"/>
    <w:rsid w:val="00D66777"/>
    <w:rsid w:val="00D66C6F"/>
    <w:rsid w:val="00D66E53"/>
    <w:rsid w:val="00D66EAA"/>
    <w:rsid w:val="00D6715A"/>
    <w:rsid w:val="00D67343"/>
    <w:rsid w:val="00D67413"/>
    <w:rsid w:val="00D67433"/>
    <w:rsid w:val="00D67501"/>
    <w:rsid w:val="00D67645"/>
    <w:rsid w:val="00D676BE"/>
    <w:rsid w:val="00D678A3"/>
    <w:rsid w:val="00D6795C"/>
    <w:rsid w:val="00D679F5"/>
    <w:rsid w:val="00D67A11"/>
    <w:rsid w:val="00D67B5C"/>
    <w:rsid w:val="00D67BB5"/>
    <w:rsid w:val="00D67C0C"/>
    <w:rsid w:val="00D70028"/>
    <w:rsid w:val="00D7008C"/>
    <w:rsid w:val="00D7020D"/>
    <w:rsid w:val="00D702D0"/>
    <w:rsid w:val="00D70808"/>
    <w:rsid w:val="00D70857"/>
    <w:rsid w:val="00D70A95"/>
    <w:rsid w:val="00D70BFD"/>
    <w:rsid w:val="00D70C67"/>
    <w:rsid w:val="00D70DE0"/>
    <w:rsid w:val="00D70E12"/>
    <w:rsid w:val="00D70E1D"/>
    <w:rsid w:val="00D7109D"/>
    <w:rsid w:val="00D712D0"/>
    <w:rsid w:val="00D714B9"/>
    <w:rsid w:val="00D714FB"/>
    <w:rsid w:val="00D71535"/>
    <w:rsid w:val="00D7159F"/>
    <w:rsid w:val="00D722C7"/>
    <w:rsid w:val="00D7257E"/>
    <w:rsid w:val="00D726D8"/>
    <w:rsid w:val="00D729C1"/>
    <w:rsid w:val="00D72AC8"/>
    <w:rsid w:val="00D72D71"/>
    <w:rsid w:val="00D72DBD"/>
    <w:rsid w:val="00D72EB7"/>
    <w:rsid w:val="00D72FB5"/>
    <w:rsid w:val="00D7324F"/>
    <w:rsid w:val="00D733FA"/>
    <w:rsid w:val="00D735D6"/>
    <w:rsid w:val="00D73678"/>
    <w:rsid w:val="00D7369A"/>
    <w:rsid w:val="00D73702"/>
    <w:rsid w:val="00D73812"/>
    <w:rsid w:val="00D73926"/>
    <w:rsid w:val="00D73D27"/>
    <w:rsid w:val="00D73D4C"/>
    <w:rsid w:val="00D74162"/>
    <w:rsid w:val="00D74278"/>
    <w:rsid w:val="00D74370"/>
    <w:rsid w:val="00D74372"/>
    <w:rsid w:val="00D7439E"/>
    <w:rsid w:val="00D74581"/>
    <w:rsid w:val="00D745CE"/>
    <w:rsid w:val="00D74855"/>
    <w:rsid w:val="00D74959"/>
    <w:rsid w:val="00D74996"/>
    <w:rsid w:val="00D75125"/>
    <w:rsid w:val="00D75143"/>
    <w:rsid w:val="00D75418"/>
    <w:rsid w:val="00D75583"/>
    <w:rsid w:val="00D75B25"/>
    <w:rsid w:val="00D75B3A"/>
    <w:rsid w:val="00D75E54"/>
    <w:rsid w:val="00D75EBB"/>
    <w:rsid w:val="00D761EF"/>
    <w:rsid w:val="00D76280"/>
    <w:rsid w:val="00D765E2"/>
    <w:rsid w:val="00D765E4"/>
    <w:rsid w:val="00D767AB"/>
    <w:rsid w:val="00D76D32"/>
    <w:rsid w:val="00D76DE6"/>
    <w:rsid w:val="00D76EAD"/>
    <w:rsid w:val="00D771FD"/>
    <w:rsid w:val="00D7796D"/>
    <w:rsid w:val="00D779DC"/>
    <w:rsid w:val="00D77BA0"/>
    <w:rsid w:val="00D77DB3"/>
    <w:rsid w:val="00D80258"/>
    <w:rsid w:val="00D8028E"/>
    <w:rsid w:val="00D8038F"/>
    <w:rsid w:val="00D803FA"/>
    <w:rsid w:val="00D80474"/>
    <w:rsid w:val="00D80653"/>
    <w:rsid w:val="00D8066E"/>
    <w:rsid w:val="00D809AC"/>
    <w:rsid w:val="00D80A31"/>
    <w:rsid w:val="00D80ABB"/>
    <w:rsid w:val="00D80C34"/>
    <w:rsid w:val="00D8116B"/>
    <w:rsid w:val="00D8117D"/>
    <w:rsid w:val="00D8152F"/>
    <w:rsid w:val="00D8179C"/>
    <w:rsid w:val="00D81B18"/>
    <w:rsid w:val="00D81B20"/>
    <w:rsid w:val="00D81B9B"/>
    <w:rsid w:val="00D81C32"/>
    <w:rsid w:val="00D81FA8"/>
    <w:rsid w:val="00D81FBB"/>
    <w:rsid w:val="00D821A1"/>
    <w:rsid w:val="00D8240E"/>
    <w:rsid w:val="00D828B4"/>
    <w:rsid w:val="00D828B5"/>
    <w:rsid w:val="00D829A1"/>
    <w:rsid w:val="00D82DE6"/>
    <w:rsid w:val="00D82F76"/>
    <w:rsid w:val="00D83230"/>
    <w:rsid w:val="00D83541"/>
    <w:rsid w:val="00D83638"/>
    <w:rsid w:val="00D839E0"/>
    <w:rsid w:val="00D83A14"/>
    <w:rsid w:val="00D84088"/>
    <w:rsid w:val="00D8415D"/>
    <w:rsid w:val="00D842C9"/>
    <w:rsid w:val="00D843D0"/>
    <w:rsid w:val="00D8474F"/>
    <w:rsid w:val="00D847E6"/>
    <w:rsid w:val="00D84BBB"/>
    <w:rsid w:val="00D84D88"/>
    <w:rsid w:val="00D8515C"/>
    <w:rsid w:val="00D8521C"/>
    <w:rsid w:val="00D85427"/>
    <w:rsid w:val="00D8550E"/>
    <w:rsid w:val="00D85516"/>
    <w:rsid w:val="00D85B21"/>
    <w:rsid w:val="00D85B94"/>
    <w:rsid w:val="00D85C11"/>
    <w:rsid w:val="00D85C57"/>
    <w:rsid w:val="00D85E3F"/>
    <w:rsid w:val="00D85E43"/>
    <w:rsid w:val="00D860EE"/>
    <w:rsid w:val="00D861B8"/>
    <w:rsid w:val="00D86203"/>
    <w:rsid w:val="00D865ED"/>
    <w:rsid w:val="00D86685"/>
    <w:rsid w:val="00D866FB"/>
    <w:rsid w:val="00D86969"/>
    <w:rsid w:val="00D86BDB"/>
    <w:rsid w:val="00D86EEC"/>
    <w:rsid w:val="00D870AC"/>
    <w:rsid w:val="00D872CF"/>
    <w:rsid w:val="00D877AB"/>
    <w:rsid w:val="00D877DF"/>
    <w:rsid w:val="00D87919"/>
    <w:rsid w:val="00D87A51"/>
    <w:rsid w:val="00D87AEB"/>
    <w:rsid w:val="00D87C2D"/>
    <w:rsid w:val="00D87CD3"/>
    <w:rsid w:val="00D87D36"/>
    <w:rsid w:val="00D87D61"/>
    <w:rsid w:val="00D87E10"/>
    <w:rsid w:val="00D87E21"/>
    <w:rsid w:val="00D87F0B"/>
    <w:rsid w:val="00D87F19"/>
    <w:rsid w:val="00D900D8"/>
    <w:rsid w:val="00D90191"/>
    <w:rsid w:val="00D902A4"/>
    <w:rsid w:val="00D903F1"/>
    <w:rsid w:val="00D90A18"/>
    <w:rsid w:val="00D90C45"/>
    <w:rsid w:val="00D90CE5"/>
    <w:rsid w:val="00D90D82"/>
    <w:rsid w:val="00D90FF2"/>
    <w:rsid w:val="00D912C7"/>
    <w:rsid w:val="00D9166D"/>
    <w:rsid w:val="00D916AC"/>
    <w:rsid w:val="00D9190D"/>
    <w:rsid w:val="00D91A7F"/>
    <w:rsid w:val="00D91D1F"/>
    <w:rsid w:val="00D91F08"/>
    <w:rsid w:val="00D91F9A"/>
    <w:rsid w:val="00D9201B"/>
    <w:rsid w:val="00D92057"/>
    <w:rsid w:val="00D9207F"/>
    <w:rsid w:val="00D92158"/>
    <w:rsid w:val="00D921A4"/>
    <w:rsid w:val="00D922A3"/>
    <w:rsid w:val="00D92644"/>
    <w:rsid w:val="00D92648"/>
    <w:rsid w:val="00D926CA"/>
    <w:rsid w:val="00D9277A"/>
    <w:rsid w:val="00D92978"/>
    <w:rsid w:val="00D929C9"/>
    <w:rsid w:val="00D92D14"/>
    <w:rsid w:val="00D92DDA"/>
    <w:rsid w:val="00D93027"/>
    <w:rsid w:val="00D934BC"/>
    <w:rsid w:val="00D938BA"/>
    <w:rsid w:val="00D93A16"/>
    <w:rsid w:val="00D93A71"/>
    <w:rsid w:val="00D93A9C"/>
    <w:rsid w:val="00D93CA3"/>
    <w:rsid w:val="00D94040"/>
    <w:rsid w:val="00D9425D"/>
    <w:rsid w:val="00D9445D"/>
    <w:rsid w:val="00D94548"/>
    <w:rsid w:val="00D9465C"/>
    <w:rsid w:val="00D94786"/>
    <w:rsid w:val="00D94871"/>
    <w:rsid w:val="00D9496D"/>
    <w:rsid w:val="00D94D9A"/>
    <w:rsid w:val="00D94FC5"/>
    <w:rsid w:val="00D953D9"/>
    <w:rsid w:val="00D955AC"/>
    <w:rsid w:val="00D95634"/>
    <w:rsid w:val="00D956CC"/>
    <w:rsid w:val="00D9570D"/>
    <w:rsid w:val="00D9574A"/>
    <w:rsid w:val="00D958B8"/>
    <w:rsid w:val="00D95A59"/>
    <w:rsid w:val="00D95B0C"/>
    <w:rsid w:val="00D95D12"/>
    <w:rsid w:val="00D95D26"/>
    <w:rsid w:val="00D95DD7"/>
    <w:rsid w:val="00D95EA7"/>
    <w:rsid w:val="00D95EEB"/>
    <w:rsid w:val="00D961B5"/>
    <w:rsid w:val="00D961F3"/>
    <w:rsid w:val="00D962A5"/>
    <w:rsid w:val="00D962D0"/>
    <w:rsid w:val="00D9637C"/>
    <w:rsid w:val="00D96418"/>
    <w:rsid w:val="00D96908"/>
    <w:rsid w:val="00D9691E"/>
    <w:rsid w:val="00D96A4C"/>
    <w:rsid w:val="00D96AA3"/>
    <w:rsid w:val="00D96AF5"/>
    <w:rsid w:val="00D96AF6"/>
    <w:rsid w:val="00D96C7F"/>
    <w:rsid w:val="00D96D39"/>
    <w:rsid w:val="00D96D83"/>
    <w:rsid w:val="00D970C2"/>
    <w:rsid w:val="00D973CA"/>
    <w:rsid w:val="00D9763F"/>
    <w:rsid w:val="00D976E4"/>
    <w:rsid w:val="00D977B6"/>
    <w:rsid w:val="00D97AAF"/>
    <w:rsid w:val="00D97AC8"/>
    <w:rsid w:val="00D97B2F"/>
    <w:rsid w:val="00D97C1B"/>
    <w:rsid w:val="00D97D8F"/>
    <w:rsid w:val="00D97EC7"/>
    <w:rsid w:val="00D97ECA"/>
    <w:rsid w:val="00DA0308"/>
    <w:rsid w:val="00DA0312"/>
    <w:rsid w:val="00DA04A3"/>
    <w:rsid w:val="00DA053E"/>
    <w:rsid w:val="00DA05F4"/>
    <w:rsid w:val="00DA069D"/>
    <w:rsid w:val="00DA0768"/>
    <w:rsid w:val="00DA09BE"/>
    <w:rsid w:val="00DA0BD7"/>
    <w:rsid w:val="00DA0CB6"/>
    <w:rsid w:val="00DA0D06"/>
    <w:rsid w:val="00DA0E94"/>
    <w:rsid w:val="00DA1168"/>
    <w:rsid w:val="00DA12DC"/>
    <w:rsid w:val="00DA1576"/>
    <w:rsid w:val="00DA161A"/>
    <w:rsid w:val="00DA172E"/>
    <w:rsid w:val="00DA18DA"/>
    <w:rsid w:val="00DA1A23"/>
    <w:rsid w:val="00DA1CDF"/>
    <w:rsid w:val="00DA1DAD"/>
    <w:rsid w:val="00DA20FD"/>
    <w:rsid w:val="00DA2128"/>
    <w:rsid w:val="00DA2166"/>
    <w:rsid w:val="00DA2336"/>
    <w:rsid w:val="00DA249D"/>
    <w:rsid w:val="00DA27A2"/>
    <w:rsid w:val="00DA2A37"/>
    <w:rsid w:val="00DA2DEA"/>
    <w:rsid w:val="00DA3212"/>
    <w:rsid w:val="00DA3686"/>
    <w:rsid w:val="00DA392B"/>
    <w:rsid w:val="00DA3B28"/>
    <w:rsid w:val="00DA3EC4"/>
    <w:rsid w:val="00DA44DA"/>
    <w:rsid w:val="00DA4FF7"/>
    <w:rsid w:val="00DA50DC"/>
    <w:rsid w:val="00DA527A"/>
    <w:rsid w:val="00DA52AE"/>
    <w:rsid w:val="00DA5382"/>
    <w:rsid w:val="00DA54C2"/>
    <w:rsid w:val="00DA556D"/>
    <w:rsid w:val="00DA59DF"/>
    <w:rsid w:val="00DA5A94"/>
    <w:rsid w:val="00DA5B5D"/>
    <w:rsid w:val="00DA5B6A"/>
    <w:rsid w:val="00DA5D2E"/>
    <w:rsid w:val="00DA5DCD"/>
    <w:rsid w:val="00DA6048"/>
    <w:rsid w:val="00DA6105"/>
    <w:rsid w:val="00DA6358"/>
    <w:rsid w:val="00DA64E2"/>
    <w:rsid w:val="00DA6577"/>
    <w:rsid w:val="00DA6853"/>
    <w:rsid w:val="00DA68C2"/>
    <w:rsid w:val="00DA6B09"/>
    <w:rsid w:val="00DA6E38"/>
    <w:rsid w:val="00DA6E49"/>
    <w:rsid w:val="00DA712A"/>
    <w:rsid w:val="00DA7415"/>
    <w:rsid w:val="00DA75D4"/>
    <w:rsid w:val="00DA769C"/>
    <w:rsid w:val="00DA7980"/>
    <w:rsid w:val="00DA7AA8"/>
    <w:rsid w:val="00DA7E0F"/>
    <w:rsid w:val="00DA7E7D"/>
    <w:rsid w:val="00DA7F13"/>
    <w:rsid w:val="00DB0D1B"/>
    <w:rsid w:val="00DB12B3"/>
    <w:rsid w:val="00DB13C1"/>
    <w:rsid w:val="00DB1C24"/>
    <w:rsid w:val="00DB1E16"/>
    <w:rsid w:val="00DB1E6E"/>
    <w:rsid w:val="00DB207F"/>
    <w:rsid w:val="00DB2355"/>
    <w:rsid w:val="00DB242A"/>
    <w:rsid w:val="00DB25AB"/>
    <w:rsid w:val="00DB2747"/>
    <w:rsid w:val="00DB2962"/>
    <w:rsid w:val="00DB29E9"/>
    <w:rsid w:val="00DB29F7"/>
    <w:rsid w:val="00DB2BEC"/>
    <w:rsid w:val="00DB2CA3"/>
    <w:rsid w:val="00DB300D"/>
    <w:rsid w:val="00DB30A0"/>
    <w:rsid w:val="00DB3138"/>
    <w:rsid w:val="00DB32DC"/>
    <w:rsid w:val="00DB3481"/>
    <w:rsid w:val="00DB34D1"/>
    <w:rsid w:val="00DB34D4"/>
    <w:rsid w:val="00DB3580"/>
    <w:rsid w:val="00DB3612"/>
    <w:rsid w:val="00DB3785"/>
    <w:rsid w:val="00DB3907"/>
    <w:rsid w:val="00DB39E7"/>
    <w:rsid w:val="00DB3A41"/>
    <w:rsid w:val="00DB3BB4"/>
    <w:rsid w:val="00DB3D8F"/>
    <w:rsid w:val="00DB3DF0"/>
    <w:rsid w:val="00DB3EB9"/>
    <w:rsid w:val="00DB409E"/>
    <w:rsid w:val="00DB4227"/>
    <w:rsid w:val="00DB4468"/>
    <w:rsid w:val="00DB45BB"/>
    <w:rsid w:val="00DB4646"/>
    <w:rsid w:val="00DB480B"/>
    <w:rsid w:val="00DB488A"/>
    <w:rsid w:val="00DB4C94"/>
    <w:rsid w:val="00DB4D45"/>
    <w:rsid w:val="00DB4E76"/>
    <w:rsid w:val="00DB4FF3"/>
    <w:rsid w:val="00DB502D"/>
    <w:rsid w:val="00DB53D9"/>
    <w:rsid w:val="00DB55D6"/>
    <w:rsid w:val="00DB564E"/>
    <w:rsid w:val="00DB5688"/>
    <w:rsid w:val="00DB56AD"/>
    <w:rsid w:val="00DB56C7"/>
    <w:rsid w:val="00DB57EC"/>
    <w:rsid w:val="00DB5A0B"/>
    <w:rsid w:val="00DB5C84"/>
    <w:rsid w:val="00DB5CCF"/>
    <w:rsid w:val="00DB5ECE"/>
    <w:rsid w:val="00DB66DE"/>
    <w:rsid w:val="00DB67B9"/>
    <w:rsid w:val="00DB6888"/>
    <w:rsid w:val="00DB6A2C"/>
    <w:rsid w:val="00DB6BAA"/>
    <w:rsid w:val="00DB6BFD"/>
    <w:rsid w:val="00DB71AD"/>
    <w:rsid w:val="00DB723B"/>
    <w:rsid w:val="00DB741A"/>
    <w:rsid w:val="00DB744F"/>
    <w:rsid w:val="00DB7567"/>
    <w:rsid w:val="00DB76A9"/>
    <w:rsid w:val="00DB792A"/>
    <w:rsid w:val="00DB7B65"/>
    <w:rsid w:val="00DB7CC0"/>
    <w:rsid w:val="00DB7E0E"/>
    <w:rsid w:val="00DB7E67"/>
    <w:rsid w:val="00DC0012"/>
    <w:rsid w:val="00DC02B5"/>
    <w:rsid w:val="00DC03B4"/>
    <w:rsid w:val="00DC066B"/>
    <w:rsid w:val="00DC0833"/>
    <w:rsid w:val="00DC0885"/>
    <w:rsid w:val="00DC0893"/>
    <w:rsid w:val="00DC0902"/>
    <w:rsid w:val="00DC0915"/>
    <w:rsid w:val="00DC0967"/>
    <w:rsid w:val="00DC09EE"/>
    <w:rsid w:val="00DC09FA"/>
    <w:rsid w:val="00DC0AAE"/>
    <w:rsid w:val="00DC0C68"/>
    <w:rsid w:val="00DC0C98"/>
    <w:rsid w:val="00DC0DD0"/>
    <w:rsid w:val="00DC0EB6"/>
    <w:rsid w:val="00DC0F02"/>
    <w:rsid w:val="00DC0F8D"/>
    <w:rsid w:val="00DC0FB5"/>
    <w:rsid w:val="00DC1452"/>
    <w:rsid w:val="00DC198B"/>
    <w:rsid w:val="00DC1BB0"/>
    <w:rsid w:val="00DC1C58"/>
    <w:rsid w:val="00DC1CEF"/>
    <w:rsid w:val="00DC1D40"/>
    <w:rsid w:val="00DC2284"/>
    <w:rsid w:val="00DC22FD"/>
    <w:rsid w:val="00DC237A"/>
    <w:rsid w:val="00DC23D4"/>
    <w:rsid w:val="00DC2563"/>
    <w:rsid w:val="00DC2667"/>
    <w:rsid w:val="00DC2CCF"/>
    <w:rsid w:val="00DC2DC1"/>
    <w:rsid w:val="00DC2DF9"/>
    <w:rsid w:val="00DC2EDC"/>
    <w:rsid w:val="00DC2FCE"/>
    <w:rsid w:val="00DC3042"/>
    <w:rsid w:val="00DC304D"/>
    <w:rsid w:val="00DC3176"/>
    <w:rsid w:val="00DC3400"/>
    <w:rsid w:val="00DC3CA4"/>
    <w:rsid w:val="00DC3E8F"/>
    <w:rsid w:val="00DC3F44"/>
    <w:rsid w:val="00DC41FF"/>
    <w:rsid w:val="00DC43ED"/>
    <w:rsid w:val="00DC4403"/>
    <w:rsid w:val="00DC45A6"/>
    <w:rsid w:val="00DC45BD"/>
    <w:rsid w:val="00DC4625"/>
    <w:rsid w:val="00DC478B"/>
    <w:rsid w:val="00DC486F"/>
    <w:rsid w:val="00DC49D1"/>
    <w:rsid w:val="00DC49E3"/>
    <w:rsid w:val="00DC4DBF"/>
    <w:rsid w:val="00DC4DEA"/>
    <w:rsid w:val="00DC4E2C"/>
    <w:rsid w:val="00DC5061"/>
    <w:rsid w:val="00DC6378"/>
    <w:rsid w:val="00DC653E"/>
    <w:rsid w:val="00DC669C"/>
    <w:rsid w:val="00DC6989"/>
    <w:rsid w:val="00DC6991"/>
    <w:rsid w:val="00DC6A0F"/>
    <w:rsid w:val="00DC6C4F"/>
    <w:rsid w:val="00DC6CC7"/>
    <w:rsid w:val="00DC6DF7"/>
    <w:rsid w:val="00DC6E98"/>
    <w:rsid w:val="00DC6FD6"/>
    <w:rsid w:val="00DC7228"/>
    <w:rsid w:val="00DC7356"/>
    <w:rsid w:val="00DC737D"/>
    <w:rsid w:val="00DC74D0"/>
    <w:rsid w:val="00DC7AEB"/>
    <w:rsid w:val="00DC7C10"/>
    <w:rsid w:val="00DC7D5D"/>
    <w:rsid w:val="00DC7D9B"/>
    <w:rsid w:val="00DC7FA3"/>
    <w:rsid w:val="00DD004F"/>
    <w:rsid w:val="00DD06B3"/>
    <w:rsid w:val="00DD0A03"/>
    <w:rsid w:val="00DD0C7D"/>
    <w:rsid w:val="00DD0D90"/>
    <w:rsid w:val="00DD0E34"/>
    <w:rsid w:val="00DD1019"/>
    <w:rsid w:val="00DD1119"/>
    <w:rsid w:val="00DD117D"/>
    <w:rsid w:val="00DD1411"/>
    <w:rsid w:val="00DD1581"/>
    <w:rsid w:val="00DD15F7"/>
    <w:rsid w:val="00DD165E"/>
    <w:rsid w:val="00DD17A4"/>
    <w:rsid w:val="00DD18E0"/>
    <w:rsid w:val="00DD192A"/>
    <w:rsid w:val="00DD1CB7"/>
    <w:rsid w:val="00DD1E7A"/>
    <w:rsid w:val="00DD1FBB"/>
    <w:rsid w:val="00DD211F"/>
    <w:rsid w:val="00DD2155"/>
    <w:rsid w:val="00DD21CD"/>
    <w:rsid w:val="00DD22C8"/>
    <w:rsid w:val="00DD24AE"/>
    <w:rsid w:val="00DD28F3"/>
    <w:rsid w:val="00DD2918"/>
    <w:rsid w:val="00DD2A0B"/>
    <w:rsid w:val="00DD2D2D"/>
    <w:rsid w:val="00DD2D33"/>
    <w:rsid w:val="00DD2F31"/>
    <w:rsid w:val="00DD2F49"/>
    <w:rsid w:val="00DD3589"/>
    <w:rsid w:val="00DD366C"/>
    <w:rsid w:val="00DD3805"/>
    <w:rsid w:val="00DD3977"/>
    <w:rsid w:val="00DD3BDB"/>
    <w:rsid w:val="00DD3E5C"/>
    <w:rsid w:val="00DD4080"/>
    <w:rsid w:val="00DD447C"/>
    <w:rsid w:val="00DD44DB"/>
    <w:rsid w:val="00DD47F5"/>
    <w:rsid w:val="00DD480F"/>
    <w:rsid w:val="00DD48BA"/>
    <w:rsid w:val="00DD49B7"/>
    <w:rsid w:val="00DD4A6F"/>
    <w:rsid w:val="00DD4BFF"/>
    <w:rsid w:val="00DD4C4B"/>
    <w:rsid w:val="00DD4E6E"/>
    <w:rsid w:val="00DD5242"/>
    <w:rsid w:val="00DD52B8"/>
    <w:rsid w:val="00DD52BF"/>
    <w:rsid w:val="00DD53C8"/>
    <w:rsid w:val="00DD5529"/>
    <w:rsid w:val="00DD5936"/>
    <w:rsid w:val="00DD5DCF"/>
    <w:rsid w:val="00DD5DDC"/>
    <w:rsid w:val="00DD5F45"/>
    <w:rsid w:val="00DD6006"/>
    <w:rsid w:val="00DD6642"/>
    <w:rsid w:val="00DD66D7"/>
    <w:rsid w:val="00DD6B6C"/>
    <w:rsid w:val="00DD6C61"/>
    <w:rsid w:val="00DD6DA9"/>
    <w:rsid w:val="00DD7013"/>
    <w:rsid w:val="00DD7105"/>
    <w:rsid w:val="00DD749E"/>
    <w:rsid w:val="00DD774E"/>
    <w:rsid w:val="00DD7946"/>
    <w:rsid w:val="00DD7947"/>
    <w:rsid w:val="00DD7B82"/>
    <w:rsid w:val="00DD7D7C"/>
    <w:rsid w:val="00DE033B"/>
    <w:rsid w:val="00DE04F7"/>
    <w:rsid w:val="00DE06CB"/>
    <w:rsid w:val="00DE09CE"/>
    <w:rsid w:val="00DE0CB8"/>
    <w:rsid w:val="00DE0E97"/>
    <w:rsid w:val="00DE0F19"/>
    <w:rsid w:val="00DE1172"/>
    <w:rsid w:val="00DE11CF"/>
    <w:rsid w:val="00DE1335"/>
    <w:rsid w:val="00DE1B61"/>
    <w:rsid w:val="00DE1CE8"/>
    <w:rsid w:val="00DE1D74"/>
    <w:rsid w:val="00DE1D90"/>
    <w:rsid w:val="00DE1DE9"/>
    <w:rsid w:val="00DE1E6E"/>
    <w:rsid w:val="00DE1F35"/>
    <w:rsid w:val="00DE2177"/>
    <w:rsid w:val="00DE21A8"/>
    <w:rsid w:val="00DE21C1"/>
    <w:rsid w:val="00DE24A3"/>
    <w:rsid w:val="00DE2710"/>
    <w:rsid w:val="00DE2842"/>
    <w:rsid w:val="00DE292C"/>
    <w:rsid w:val="00DE2A80"/>
    <w:rsid w:val="00DE2F54"/>
    <w:rsid w:val="00DE3180"/>
    <w:rsid w:val="00DE370F"/>
    <w:rsid w:val="00DE37FA"/>
    <w:rsid w:val="00DE3C78"/>
    <w:rsid w:val="00DE3F04"/>
    <w:rsid w:val="00DE3F17"/>
    <w:rsid w:val="00DE4023"/>
    <w:rsid w:val="00DE4175"/>
    <w:rsid w:val="00DE4470"/>
    <w:rsid w:val="00DE4501"/>
    <w:rsid w:val="00DE4516"/>
    <w:rsid w:val="00DE4578"/>
    <w:rsid w:val="00DE46BA"/>
    <w:rsid w:val="00DE4829"/>
    <w:rsid w:val="00DE4B60"/>
    <w:rsid w:val="00DE4E35"/>
    <w:rsid w:val="00DE4FCF"/>
    <w:rsid w:val="00DE50B3"/>
    <w:rsid w:val="00DE50FF"/>
    <w:rsid w:val="00DE512E"/>
    <w:rsid w:val="00DE534C"/>
    <w:rsid w:val="00DE536F"/>
    <w:rsid w:val="00DE5431"/>
    <w:rsid w:val="00DE59A5"/>
    <w:rsid w:val="00DE5A3D"/>
    <w:rsid w:val="00DE5AF6"/>
    <w:rsid w:val="00DE5B9F"/>
    <w:rsid w:val="00DE5EE4"/>
    <w:rsid w:val="00DE5F2F"/>
    <w:rsid w:val="00DE611E"/>
    <w:rsid w:val="00DE6157"/>
    <w:rsid w:val="00DE62E1"/>
    <w:rsid w:val="00DE6423"/>
    <w:rsid w:val="00DE66CB"/>
    <w:rsid w:val="00DE6796"/>
    <w:rsid w:val="00DE6863"/>
    <w:rsid w:val="00DE68AD"/>
    <w:rsid w:val="00DE69F6"/>
    <w:rsid w:val="00DE6B4C"/>
    <w:rsid w:val="00DE6B95"/>
    <w:rsid w:val="00DE6C16"/>
    <w:rsid w:val="00DE6EB5"/>
    <w:rsid w:val="00DE7246"/>
    <w:rsid w:val="00DE79DB"/>
    <w:rsid w:val="00DE7BFA"/>
    <w:rsid w:val="00DF01C0"/>
    <w:rsid w:val="00DF035E"/>
    <w:rsid w:val="00DF0362"/>
    <w:rsid w:val="00DF0457"/>
    <w:rsid w:val="00DF04EE"/>
    <w:rsid w:val="00DF05E7"/>
    <w:rsid w:val="00DF05EC"/>
    <w:rsid w:val="00DF09B8"/>
    <w:rsid w:val="00DF0A5D"/>
    <w:rsid w:val="00DF0B42"/>
    <w:rsid w:val="00DF0CB6"/>
    <w:rsid w:val="00DF0E51"/>
    <w:rsid w:val="00DF1012"/>
    <w:rsid w:val="00DF183F"/>
    <w:rsid w:val="00DF18CB"/>
    <w:rsid w:val="00DF1940"/>
    <w:rsid w:val="00DF1A06"/>
    <w:rsid w:val="00DF2072"/>
    <w:rsid w:val="00DF2EF9"/>
    <w:rsid w:val="00DF2F4C"/>
    <w:rsid w:val="00DF30F3"/>
    <w:rsid w:val="00DF3358"/>
    <w:rsid w:val="00DF3408"/>
    <w:rsid w:val="00DF3459"/>
    <w:rsid w:val="00DF34AB"/>
    <w:rsid w:val="00DF34D3"/>
    <w:rsid w:val="00DF3594"/>
    <w:rsid w:val="00DF35EB"/>
    <w:rsid w:val="00DF3683"/>
    <w:rsid w:val="00DF3A60"/>
    <w:rsid w:val="00DF3B1B"/>
    <w:rsid w:val="00DF3CCA"/>
    <w:rsid w:val="00DF3E35"/>
    <w:rsid w:val="00DF3E77"/>
    <w:rsid w:val="00DF3F5D"/>
    <w:rsid w:val="00DF402C"/>
    <w:rsid w:val="00DF4152"/>
    <w:rsid w:val="00DF4389"/>
    <w:rsid w:val="00DF4408"/>
    <w:rsid w:val="00DF44A4"/>
    <w:rsid w:val="00DF4511"/>
    <w:rsid w:val="00DF4513"/>
    <w:rsid w:val="00DF4566"/>
    <w:rsid w:val="00DF4637"/>
    <w:rsid w:val="00DF47C2"/>
    <w:rsid w:val="00DF48AC"/>
    <w:rsid w:val="00DF4B46"/>
    <w:rsid w:val="00DF4C86"/>
    <w:rsid w:val="00DF4DDF"/>
    <w:rsid w:val="00DF4FDB"/>
    <w:rsid w:val="00DF5158"/>
    <w:rsid w:val="00DF5184"/>
    <w:rsid w:val="00DF522F"/>
    <w:rsid w:val="00DF5278"/>
    <w:rsid w:val="00DF5408"/>
    <w:rsid w:val="00DF5622"/>
    <w:rsid w:val="00DF56FF"/>
    <w:rsid w:val="00DF5CA9"/>
    <w:rsid w:val="00DF5D17"/>
    <w:rsid w:val="00DF5DE2"/>
    <w:rsid w:val="00DF5F65"/>
    <w:rsid w:val="00DF5FA1"/>
    <w:rsid w:val="00DF6044"/>
    <w:rsid w:val="00DF6045"/>
    <w:rsid w:val="00DF62BA"/>
    <w:rsid w:val="00DF6313"/>
    <w:rsid w:val="00DF656E"/>
    <w:rsid w:val="00DF657A"/>
    <w:rsid w:val="00DF6B13"/>
    <w:rsid w:val="00DF6CA9"/>
    <w:rsid w:val="00DF6F2F"/>
    <w:rsid w:val="00DF730D"/>
    <w:rsid w:val="00DF7310"/>
    <w:rsid w:val="00DF75BD"/>
    <w:rsid w:val="00DF7979"/>
    <w:rsid w:val="00DF7B6E"/>
    <w:rsid w:val="00DF7BAA"/>
    <w:rsid w:val="00DF7D59"/>
    <w:rsid w:val="00E001BC"/>
    <w:rsid w:val="00E00259"/>
    <w:rsid w:val="00E0025B"/>
    <w:rsid w:val="00E0038C"/>
    <w:rsid w:val="00E0039E"/>
    <w:rsid w:val="00E0056A"/>
    <w:rsid w:val="00E006F0"/>
    <w:rsid w:val="00E00CB0"/>
    <w:rsid w:val="00E014F8"/>
    <w:rsid w:val="00E019EC"/>
    <w:rsid w:val="00E01C89"/>
    <w:rsid w:val="00E02190"/>
    <w:rsid w:val="00E0227D"/>
    <w:rsid w:val="00E02435"/>
    <w:rsid w:val="00E02668"/>
    <w:rsid w:val="00E026D8"/>
    <w:rsid w:val="00E02B99"/>
    <w:rsid w:val="00E032A6"/>
    <w:rsid w:val="00E0332D"/>
    <w:rsid w:val="00E03531"/>
    <w:rsid w:val="00E037CF"/>
    <w:rsid w:val="00E03865"/>
    <w:rsid w:val="00E03CA7"/>
    <w:rsid w:val="00E03D59"/>
    <w:rsid w:val="00E03ED5"/>
    <w:rsid w:val="00E03F81"/>
    <w:rsid w:val="00E03FD9"/>
    <w:rsid w:val="00E0460C"/>
    <w:rsid w:val="00E0483C"/>
    <w:rsid w:val="00E04876"/>
    <w:rsid w:val="00E04AC1"/>
    <w:rsid w:val="00E04C62"/>
    <w:rsid w:val="00E04DC6"/>
    <w:rsid w:val="00E051D0"/>
    <w:rsid w:val="00E059DA"/>
    <w:rsid w:val="00E05BEB"/>
    <w:rsid w:val="00E05C27"/>
    <w:rsid w:val="00E05CF0"/>
    <w:rsid w:val="00E05F68"/>
    <w:rsid w:val="00E06099"/>
    <w:rsid w:val="00E060EF"/>
    <w:rsid w:val="00E0623E"/>
    <w:rsid w:val="00E06243"/>
    <w:rsid w:val="00E06279"/>
    <w:rsid w:val="00E06306"/>
    <w:rsid w:val="00E067A7"/>
    <w:rsid w:val="00E06D42"/>
    <w:rsid w:val="00E06D5F"/>
    <w:rsid w:val="00E06E22"/>
    <w:rsid w:val="00E06F81"/>
    <w:rsid w:val="00E0700F"/>
    <w:rsid w:val="00E07169"/>
    <w:rsid w:val="00E07560"/>
    <w:rsid w:val="00E075C5"/>
    <w:rsid w:val="00E0772D"/>
    <w:rsid w:val="00E07776"/>
    <w:rsid w:val="00E0780B"/>
    <w:rsid w:val="00E07B0D"/>
    <w:rsid w:val="00E07C40"/>
    <w:rsid w:val="00E07D4B"/>
    <w:rsid w:val="00E07E2B"/>
    <w:rsid w:val="00E07EC1"/>
    <w:rsid w:val="00E1004C"/>
    <w:rsid w:val="00E104A9"/>
    <w:rsid w:val="00E1078D"/>
    <w:rsid w:val="00E1090F"/>
    <w:rsid w:val="00E1094C"/>
    <w:rsid w:val="00E10A3D"/>
    <w:rsid w:val="00E10AFC"/>
    <w:rsid w:val="00E10B56"/>
    <w:rsid w:val="00E10BDF"/>
    <w:rsid w:val="00E10D64"/>
    <w:rsid w:val="00E10E26"/>
    <w:rsid w:val="00E10E99"/>
    <w:rsid w:val="00E10ED8"/>
    <w:rsid w:val="00E10F6B"/>
    <w:rsid w:val="00E11112"/>
    <w:rsid w:val="00E112B3"/>
    <w:rsid w:val="00E11988"/>
    <w:rsid w:val="00E1199B"/>
    <w:rsid w:val="00E11F8F"/>
    <w:rsid w:val="00E12053"/>
    <w:rsid w:val="00E12604"/>
    <w:rsid w:val="00E12713"/>
    <w:rsid w:val="00E129E7"/>
    <w:rsid w:val="00E12A68"/>
    <w:rsid w:val="00E12EBB"/>
    <w:rsid w:val="00E12EFA"/>
    <w:rsid w:val="00E12F1E"/>
    <w:rsid w:val="00E12F40"/>
    <w:rsid w:val="00E12F58"/>
    <w:rsid w:val="00E12F68"/>
    <w:rsid w:val="00E13018"/>
    <w:rsid w:val="00E130D2"/>
    <w:rsid w:val="00E132E6"/>
    <w:rsid w:val="00E133A4"/>
    <w:rsid w:val="00E13570"/>
    <w:rsid w:val="00E13734"/>
    <w:rsid w:val="00E13786"/>
    <w:rsid w:val="00E13E3F"/>
    <w:rsid w:val="00E13E75"/>
    <w:rsid w:val="00E13EA4"/>
    <w:rsid w:val="00E13FBA"/>
    <w:rsid w:val="00E13FDF"/>
    <w:rsid w:val="00E13FF7"/>
    <w:rsid w:val="00E1432D"/>
    <w:rsid w:val="00E14912"/>
    <w:rsid w:val="00E14966"/>
    <w:rsid w:val="00E14985"/>
    <w:rsid w:val="00E14BD8"/>
    <w:rsid w:val="00E14EA1"/>
    <w:rsid w:val="00E15037"/>
    <w:rsid w:val="00E150F7"/>
    <w:rsid w:val="00E15333"/>
    <w:rsid w:val="00E15498"/>
    <w:rsid w:val="00E15511"/>
    <w:rsid w:val="00E15B2A"/>
    <w:rsid w:val="00E15BB8"/>
    <w:rsid w:val="00E15BF5"/>
    <w:rsid w:val="00E15EA4"/>
    <w:rsid w:val="00E15FED"/>
    <w:rsid w:val="00E160BE"/>
    <w:rsid w:val="00E16186"/>
    <w:rsid w:val="00E162AD"/>
    <w:rsid w:val="00E162F2"/>
    <w:rsid w:val="00E16562"/>
    <w:rsid w:val="00E165E8"/>
    <w:rsid w:val="00E1688C"/>
    <w:rsid w:val="00E169DF"/>
    <w:rsid w:val="00E17138"/>
    <w:rsid w:val="00E171B8"/>
    <w:rsid w:val="00E17234"/>
    <w:rsid w:val="00E17466"/>
    <w:rsid w:val="00E17750"/>
    <w:rsid w:val="00E177D1"/>
    <w:rsid w:val="00E17A15"/>
    <w:rsid w:val="00E17AE3"/>
    <w:rsid w:val="00E17C50"/>
    <w:rsid w:val="00E17CCD"/>
    <w:rsid w:val="00E17EB9"/>
    <w:rsid w:val="00E17EC6"/>
    <w:rsid w:val="00E17F37"/>
    <w:rsid w:val="00E17F8D"/>
    <w:rsid w:val="00E20241"/>
    <w:rsid w:val="00E20406"/>
    <w:rsid w:val="00E2050D"/>
    <w:rsid w:val="00E20788"/>
    <w:rsid w:val="00E207F2"/>
    <w:rsid w:val="00E2086C"/>
    <w:rsid w:val="00E208AA"/>
    <w:rsid w:val="00E210A1"/>
    <w:rsid w:val="00E212AF"/>
    <w:rsid w:val="00E21347"/>
    <w:rsid w:val="00E21358"/>
    <w:rsid w:val="00E21465"/>
    <w:rsid w:val="00E216F1"/>
    <w:rsid w:val="00E21765"/>
    <w:rsid w:val="00E21B28"/>
    <w:rsid w:val="00E2203E"/>
    <w:rsid w:val="00E2225C"/>
    <w:rsid w:val="00E224A1"/>
    <w:rsid w:val="00E22535"/>
    <w:rsid w:val="00E2258C"/>
    <w:rsid w:val="00E22665"/>
    <w:rsid w:val="00E226CE"/>
    <w:rsid w:val="00E228CA"/>
    <w:rsid w:val="00E22938"/>
    <w:rsid w:val="00E229A3"/>
    <w:rsid w:val="00E22D9A"/>
    <w:rsid w:val="00E22F2F"/>
    <w:rsid w:val="00E23063"/>
    <w:rsid w:val="00E23218"/>
    <w:rsid w:val="00E23284"/>
    <w:rsid w:val="00E232E2"/>
    <w:rsid w:val="00E234BB"/>
    <w:rsid w:val="00E234D3"/>
    <w:rsid w:val="00E2355F"/>
    <w:rsid w:val="00E235CA"/>
    <w:rsid w:val="00E23609"/>
    <w:rsid w:val="00E23713"/>
    <w:rsid w:val="00E239F3"/>
    <w:rsid w:val="00E23A60"/>
    <w:rsid w:val="00E23A87"/>
    <w:rsid w:val="00E23A88"/>
    <w:rsid w:val="00E23B65"/>
    <w:rsid w:val="00E23E32"/>
    <w:rsid w:val="00E2432E"/>
    <w:rsid w:val="00E2468E"/>
    <w:rsid w:val="00E24A98"/>
    <w:rsid w:val="00E24CCA"/>
    <w:rsid w:val="00E24FED"/>
    <w:rsid w:val="00E25089"/>
    <w:rsid w:val="00E250B3"/>
    <w:rsid w:val="00E250C4"/>
    <w:rsid w:val="00E25126"/>
    <w:rsid w:val="00E255EC"/>
    <w:rsid w:val="00E25702"/>
    <w:rsid w:val="00E25C54"/>
    <w:rsid w:val="00E25F58"/>
    <w:rsid w:val="00E25FD8"/>
    <w:rsid w:val="00E26272"/>
    <w:rsid w:val="00E26343"/>
    <w:rsid w:val="00E26417"/>
    <w:rsid w:val="00E26458"/>
    <w:rsid w:val="00E26661"/>
    <w:rsid w:val="00E2689E"/>
    <w:rsid w:val="00E26A0C"/>
    <w:rsid w:val="00E26A80"/>
    <w:rsid w:val="00E26BAF"/>
    <w:rsid w:val="00E26BE3"/>
    <w:rsid w:val="00E26BEE"/>
    <w:rsid w:val="00E26D45"/>
    <w:rsid w:val="00E26D77"/>
    <w:rsid w:val="00E26E28"/>
    <w:rsid w:val="00E27052"/>
    <w:rsid w:val="00E27158"/>
    <w:rsid w:val="00E271C7"/>
    <w:rsid w:val="00E272E7"/>
    <w:rsid w:val="00E27464"/>
    <w:rsid w:val="00E274D7"/>
    <w:rsid w:val="00E27563"/>
    <w:rsid w:val="00E275DB"/>
    <w:rsid w:val="00E276B3"/>
    <w:rsid w:val="00E27776"/>
    <w:rsid w:val="00E278DD"/>
    <w:rsid w:val="00E27BA8"/>
    <w:rsid w:val="00E27D08"/>
    <w:rsid w:val="00E27FEA"/>
    <w:rsid w:val="00E30037"/>
    <w:rsid w:val="00E300AA"/>
    <w:rsid w:val="00E30266"/>
    <w:rsid w:val="00E30499"/>
    <w:rsid w:val="00E305D9"/>
    <w:rsid w:val="00E3093A"/>
    <w:rsid w:val="00E30B4A"/>
    <w:rsid w:val="00E30B51"/>
    <w:rsid w:val="00E30B5E"/>
    <w:rsid w:val="00E30BAF"/>
    <w:rsid w:val="00E30C6C"/>
    <w:rsid w:val="00E30DDF"/>
    <w:rsid w:val="00E30FF5"/>
    <w:rsid w:val="00E3126A"/>
    <w:rsid w:val="00E31318"/>
    <w:rsid w:val="00E31418"/>
    <w:rsid w:val="00E31504"/>
    <w:rsid w:val="00E316AD"/>
    <w:rsid w:val="00E3198E"/>
    <w:rsid w:val="00E31BCD"/>
    <w:rsid w:val="00E31C37"/>
    <w:rsid w:val="00E31D3D"/>
    <w:rsid w:val="00E31E96"/>
    <w:rsid w:val="00E320F4"/>
    <w:rsid w:val="00E3210F"/>
    <w:rsid w:val="00E3214D"/>
    <w:rsid w:val="00E32166"/>
    <w:rsid w:val="00E3222F"/>
    <w:rsid w:val="00E324BB"/>
    <w:rsid w:val="00E32A91"/>
    <w:rsid w:val="00E32B8B"/>
    <w:rsid w:val="00E32E06"/>
    <w:rsid w:val="00E32FBC"/>
    <w:rsid w:val="00E33239"/>
    <w:rsid w:val="00E33438"/>
    <w:rsid w:val="00E33487"/>
    <w:rsid w:val="00E33528"/>
    <w:rsid w:val="00E33718"/>
    <w:rsid w:val="00E337D1"/>
    <w:rsid w:val="00E33903"/>
    <w:rsid w:val="00E33FFA"/>
    <w:rsid w:val="00E3410F"/>
    <w:rsid w:val="00E341BC"/>
    <w:rsid w:val="00E3454E"/>
    <w:rsid w:val="00E3470E"/>
    <w:rsid w:val="00E34813"/>
    <w:rsid w:val="00E34D3C"/>
    <w:rsid w:val="00E34E4F"/>
    <w:rsid w:val="00E350A4"/>
    <w:rsid w:val="00E3516A"/>
    <w:rsid w:val="00E35275"/>
    <w:rsid w:val="00E352C4"/>
    <w:rsid w:val="00E353B6"/>
    <w:rsid w:val="00E35464"/>
    <w:rsid w:val="00E3546F"/>
    <w:rsid w:val="00E354BB"/>
    <w:rsid w:val="00E354FB"/>
    <w:rsid w:val="00E35626"/>
    <w:rsid w:val="00E356F3"/>
    <w:rsid w:val="00E357A0"/>
    <w:rsid w:val="00E358AD"/>
    <w:rsid w:val="00E35EB6"/>
    <w:rsid w:val="00E36180"/>
    <w:rsid w:val="00E36261"/>
    <w:rsid w:val="00E36955"/>
    <w:rsid w:val="00E3700F"/>
    <w:rsid w:val="00E37077"/>
    <w:rsid w:val="00E37155"/>
    <w:rsid w:val="00E3715F"/>
    <w:rsid w:val="00E373E9"/>
    <w:rsid w:val="00E377E8"/>
    <w:rsid w:val="00E37852"/>
    <w:rsid w:val="00E37883"/>
    <w:rsid w:val="00E378EC"/>
    <w:rsid w:val="00E37BCA"/>
    <w:rsid w:val="00E37CD5"/>
    <w:rsid w:val="00E37CE1"/>
    <w:rsid w:val="00E37F0D"/>
    <w:rsid w:val="00E40441"/>
    <w:rsid w:val="00E40569"/>
    <w:rsid w:val="00E406F9"/>
    <w:rsid w:val="00E408AD"/>
    <w:rsid w:val="00E4098A"/>
    <w:rsid w:val="00E409FC"/>
    <w:rsid w:val="00E40E3C"/>
    <w:rsid w:val="00E40E9A"/>
    <w:rsid w:val="00E4125E"/>
    <w:rsid w:val="00E41359"/>
    <w:rsid w:val="00E41488"/>
    <w:rsid w:val="00E41618"/>
    <w:rsid w:val="00E41844"/>
    <w:rsid w:val="00E41AB1"/>
    <w:rsid w:val="00E41BD3"/>
    <w:rsid w:val="00E41C07"/>
    <w:rsid w:val="00E41EBB"/>
    <w:rsid w:val="00E42010"/>
    <w:rsid w:val="00E4206D"/>
    <w:rsid w:val="00E420BB"/>
    <w:rsid w:val="00E420C9"/>
    <w:rsid w:val="00E421A6"/>
    <w:rsid w:val="00E422C1"/>
    <w:rsid w:val="00E42308"/>
    <w:rsid w:val="00E42563"/>
    <w:rsid w:val="00E4258B"/>
    <w:rsid w:val="00E425F9"/>
    <w:rsid w:val="00E426B5"/>
    <w:rsid w:val="00E427A5"/>
    <w:rsid w:val="00E427E2"/>
    <w:rsid w:val="00E42879"/>
    <w:rsid w:val="00E42B05"/>
    <w:rsid w:val="00E42DDF"/>
    <w:rsid w:val="00E42DF6"/>
    <w:rsid w:val="00E43182"/>
    <w:rsid w:val="00E43262"/>
    <w:rsid w:val="00E432EA"/>
    <w:rsid w:val="00E433E7"/>
    <w:rsid w:val="00E43464"/>
    <w:rsid w:val="00E438F3"/>
    <w:rsid w:val="00E439F2"/>
    <w:rsid w:val="00E43AA8"/>
    <w:rsid w:val="00E43B55"/>
    <w:rsid w:val="00E43BCC"/>
    <w:rsid w:val="00E43CA8"/>
    <w:rsid w:val="00E43D5D"/>
    <w:rsid w:val="00E43D82"/>
    <w:rsid w:val="00E43DC4"/>
    <w:rsid w:val="00E43E03"/>
    <w:rsid w:val="00E43E95"/>
    <w:rsid w:val="00E440C5"/>
    <w:rsid w:val="00E44147"/>
    <w:rsid w:val="00E44341"/>
    <w:rsid w:val="00E444B7"/>
    <w:rsid w:val="00E44530"/>
    <w:rsid w:val="00E44543"/>
    <w:rsid w:val="00E44585"/>
    <w:rsid w:val="00E445BB"/>
    <w:rsid w:val="00E445C2"/>
    <w:rsid w:val="00E445EB"/>
    <w:rsid w:val="00E44679"/>
    <w:rsid w:val="00E44907"/>
    <w:rsid w:val="00E44A77"/>
    <w:rsid w:val="00E44CBD"/>
    <w:rsid w:val="00E44D1B"/>
    <w:rsid w:val="00E44D34"/>
    <w:rsid w:val="00E45020"/>
    <w:rsid w:val="00E45065"/>
    <w:rsid w:val="00E4509A"/>
    <w:rsid w:val="00E4511F"/>
    <w:rsid w:val="00E45223"/>
    <w:rsid w:val="00E45526"/>
    <w:rsid w:val="00E4564B"/>
    <w:rsid w:val="00E45793"/>
    <w:rsid w:val="00E45CCC"/>
    <w:rsid w:val="00E45D4A"/>
    <w:rsid w:val="00E45E38"/>
    <w:rsid w:val="00E45E7D"/>
    <w:rsid w:val="00E45EA8"/>
    <w:rsid w:val="00E45FBB"/>
    <w:rsid w:val="00E4610C"/>
    <w:rsid w:val="00E4613C"/>
    <w:rsid w:val="00E462F6"/>
    <w:rsid w:val="00E4647A"/>
    <w:rsid w:val="00E464BB"/>
    <w:rsid w:val="00E46731"/>
    <w:rsid w:val="00E46769"/>
    <w:rsid w:val="00E4676B"/>
    <w:rsid w:val="00E4690B"/>
    <w:rsid w:val="00E46A9D"/>
    <w:rsid w:val="00E46B00"/>
    <w:rsid w:val="00E46D1B"/>
    <w:rsid w:val="00E46EAD"/>
    <w:rsid w:val="00E47025"/>
    <w:rsid w:val="00E47043"/>
    <w:rsid w:val="00E475CD"/>
    <w:rsid w:val="00E475E6"/>
    <w:rsid w:val="00E47A69"/>
    <w:rsid w:val="00E47D6A"/>
    <w:rsid w:val="00E47FC3"/>
    <w:rsid w:val="00E5001C"/>
    <w:rsid w:val="00E50049"/>
    <w:rsid w:val="00E50138"/>
    <w:rsid w:val="00E501F1"/>
    <w:rsid w:val="00E50344"/>
    <w:rsid w:val="00E50CAA"/>
    <w:rsid w:val="00E50DBF"/>
    <w:rsid w:val="00E50E02"/>
    <w:rsid w:val="00E51061"/>
    <w:rsid w:val="00E511AA"/>
    <w:rsid w:val="00E513BE"/>
    <w:rsid w:val="00E513DC"/>
    <w:rsid w:val="00E516D5"/>
    <w:rsid w:val="00E51739"/>
    <w:rsid w:val="00E5186A"/>
    <w:rsid w:val="00E51938"/>
    <w:rsid w:val="00E51975"/>
    <w:rsid w:val="00E51996"/>
    <w:rsid w:val="00E51C24"/>
    <w:rsid w:val="00E51C26"/>
    <w:rsid w:val="00E525F8"/>
    <w:rsid w:val="00E5263C"/>
    <w:rsid w:val="00E52920"/>
    <w:rsid w:val="00E52989"/>
    <w:rsid w:val="00E52A42"/>
    <w:rsid w:val="00E52C8B"/>
    <w:rsid w:val="00E52DC1"/>
    <w:rsid w:val="00E530A5"/>
    <w:rsid w:val="00E530BB"/>
    <w:rsid w:val="00E5317B"/>
    <w:rsid w:val="00E5347E"/>
    <w:rsid w:val="00E53543"/>
    <w:rsid w:val="00E5373E"/>
    <w:rsid w:val="00E5382A"/>
    <w:rsid w:val="00E539D4"/>
    <w:rsid w:val="00E53A59"/>
    <w:rsid w:val="00E53B86"/>
    <w:rsid w:val="00E53C29"/>
    <w:rsid w:val="00E53E4E"/>
    <w:rsid w:val="00E544A1"/>
    <w:rsid w:val="00E54503"/>
    <w:rsid w:val="00E548E5"/>
    <w:rsid w:val="00E54AAB"/>
    <w:rsid w:val="00E54BC1"/>
    <w:rsid w:val="00E54BCB"/>
    <w:rsid w:val="00E54C4E"/>
    <w:rsid w:val="00E54E21"/>
    <w:rsid w:val="00E54F5B"/>
    <w:rsid w:val="00E55058"/>
    <w:rsid w:val="00E55174"/>
    <w:rsid w:val="00E5521B"/>
    <w:rsid w:val="00E5538D"/>
    <w:rsid w:val="00E554A3"/>
    <w:rsid w:val="00E55680"/>
    <w:rsid w:val="00E5584A"/>
    <w:rsid w:val="00E558BA"/>
    <w:rsid w:val="00E55CD5"/>
    <w:rsid w:val="00E55D33"/>
    <w:rsid w:val="00E55DDD"/>
    <w:rsid w:val="00E56064"/>
    <w:rsid w:val="00E56129"/>
    <w:rsid w:val="00E56426"/>
    <w:rsid w:val="00E5681E"/>
    <w:rsid w:val="00E56882"/>
    <w:rsid w:val="00E56984"/>
    <w:rsid w:val="00E56BA2"/>
    <w:rsid w:val="00E56E5A"/>
    <w:rsid w:val="00E57136"/>
    <w:rsid w:val="00E571BB"/>
    <w:rsid w:val="00E57613"/>
    <w:rsid w:val="00E5780D"/>
    <w:rsid w:val="00E57D42"/>
    <w:rsid w:val="00E57D61"/>
    <w:rsid w:val="00E57ED4"/>
    <w:rsid w:val="00E6016D"/>
    <w:rsid w:val="00E60393"/>
    <w:rsid w:val="00E604E2"/>
    <w:rsid w:val="00E6065F"/>
    <w:rsid w:val="00E606E6"/>
    <w:rsid w:val="00E60A5C"/>
    <w:rsid w:val="00E60BEA"/>
    <w:rsid w:val="00E60C5D"/>
    <w:rsid w:val="00E60E00"/>
    <w:rsid w:val="00E610A2"/>
    <w:rsid w:val="00E610F4"/>
    <w:rsid w:val="00E611E9"/>
    <w:rsid w:val="00E61345"/>
    <w:rsid w:val="00E61490"/>
    <w:rsid w:val="00E61500"/>
    <w:rsid w:val="00E616F0"/>
    <w:rsid w:val="00E61906"/>
    <w:rsid w:val="00E61C5C"/>
    <w:rsid w:val="00E61EE9"/>
    <w:rsid w:val="00E61FB4"/>
    <w:rsid w:val="00E6229A"/>
    <w:rsid w:val="00E62419"/>
    <w:rsid w:val="00E6278D"/>
    <w:rsid w:val="00E627D8"/>
    <w:rsid w:val="00E62821"/>
    <w:rsid w:val="00E62A19"/>
    <w:rsid w:val="00E62C1E"/>
    <w:rsid w:val="00E62C44"/>
    <w:rsid w:val="00E62CEA"/>
    <w:rsid w:val="00E62DDA"/>
    <w:rsid w:val="00E62EA5"/>
    <w:rsid w:val="00E62F90"/>
    <w:rsid w:val="00E62FDC"/>
    <w:rsid w:val="00E6317C"/>
    <w:rsid w:val="00E632D3"/>
    <w:rsid w:val="00E6330A"/>
    <w:rsid w:val="00E633CE"/>
    <w:rsid w:val="00E634F7"/>
    <w:rsid w:val="00E6357D"/>
    <w:rsid w:val="00E63731"/>
    <w:rsid w:val="00E63A74"/>
    <w:rsid w:val="00E63C12"/>
    <w:rsid w:val="00E63E93"/>
    <w:rsid w:val="00E64742"/>
    <w:rsid w:val="00E647B0"/>
    <w:rsid w:val="00E647F6"/>
    <w:rsid w:val="00E64A1A"/>
    <w:rsid w:val="00E64B4E"/>
    <w:rsid w:val="00E64B7F"/>
    <w:rsid w:val="00E64C2E"/>
    <w:rsid w:val="00E64C90"/>
    <w:rsid w:val="00E64D6A"/>
    <w:rsid w:val="00E64F41"/>
    <w:rsid w:val="00E6505C"/>
    <w:rsid w:val="00E6508D"/>
    <w:rsid w:val="00E65130"/>
    <w:rsid w:val="00E65373"/>
    <w:rsid w:val="00E6548F"/>
    <w:rsid w:val="00E655CF"/>
    <w:rsid w:val="00E65732"/>
    <w:rsid w:val="00E658DC"/>
    <w:rsid w:val="00E65A47"/>
    <w:rsid w:val="00E65CD7"/>
    <w:rsid w:val="00E65D1F"/>
    <w:rsid w:val="00E65DA3"/>
    <w:rsid w:val="00E65E6F"/>
    <w:rsid w:val="00E662CB"/>
    <w:rsid w:val="00E66531"/>
    <w:rsid w:val="00E66557"/>
    <w:rsid w:val="00E66765"/>
    <w:rsid w:val="00E667E3"/>
    <w:rsid w:val="00E66847"/>
    <w:rsid w:val="00E66992"/>
    <w:rsid w:val="00E66D2A"/>
    <w:rsid w:val="00E66EFB"/>
    <w:rsid w:val="00E66F96"/>
    <w:rsid w:val="00E67116"/>
    <w:rsid w:val="00E67295"/>
    <w:rsid w:val="00E675D2"/>
    <w:rsid w:val="00E67870"/>
    <w:rsid w:val="00E678E6"/>
    <w:rsid w:val="00E67AD6"/>
    <w:rsid w:val="00E67C2F"/>
    <w:rsid w:val="00E67CC3"/>
    <w:rsid w:val="00E67D50"/>
    <w:rsid w:val="00E67F16"/>
    <w:rsid w:val="00E67F56"/>
    <w:rsid w:val="00E70077"/>
    <w:rsid w:val="00E70172"/>
    <w:rsid w:val="00E7027F"/>
    <w:rsid w:val="00E7028D"/>
    <w:rsid w:val="00E70343"/>
    <w:rsid w:val="00E707B2"/>
    <w:rsid w:val="00E70860"/>
    <w:rsid w:val="00E708B8"/>
    <w:rsid w:val="00E70D76"/>
    <w:rsid w:val="00E70E2A"/>
    <w:rsid w:val="00E70EF4"/>
    <w:rsid w:val="00E71605"/>
    <w:rsid w:val="00E71772"/>
    <w:rsid w:val="00E71842"/>
    <w:rsid w:val="00E71B6F"/>
    <w:rsid w:val="00E71BF0"/>
    <w:rsid w:val="00E71E77"/>
    <w:rsid w:val="00E71F51"/>
    <w:rsid w:val="00E72087"/>
    <w:rsid w:val="00E720A4"/>
    <w:rsid w:val="00E721DB"/>
    <w:rsid w:val="00E72242"/>
    <w:rsid w:val="00E722F0"/>
    <w:rsid w:val="00E7237A"/>
    <w:rsid w:val="00E72425"/>
    <w:rsid w:val="00E72662"/>
    <w:rsid w:val="00E72A5B"/>
    <w:rsid w:val="00E72D14"/>
    <w:rsid w:val="00E7307B"/>
    <w:rsid w:val="00E73257"/>
    <w:rsid w:val="00E7330C"/>
    <w:rsid w:val="00E73A2B"/>
    <w:rsid w:val="00E73CEB"/>
    <w:rsid w:val="00E73F4D"/>
    <w:rsid w:val="00E73F94"/>
    <w:rsid w:val="00E74047"/>
    <w:rsid w:val="00E7414E"/>
    <w:rsid w:val="00E74435"/>
    <w:rsid w:val="00E747C3"/>
    <w:rsid w:val="00E7486C"/>
    <w:rsid w:val="00E74A1C"/>
    <w:rsid w:val="00E74CEA"/>
    <w:rsid w:val="00E74D59"/>
    <w:rsid w:val="00E74E7C"/>
    <w:rsid w:val="00E7539D"/>
    <w:rsid w:val="00E753FF"/>
    <w:rsid w:val="00E754BB"/>
    <w:rsid w:val="00E7551E"/>
    <w:rsid w:val="00E75741"/>
    <w:rsid w:val="00E758AD"/>
    <w:rsid w:val="00E758ED"/>
    <w:rsid w:val="00E759E5"/>
    <w:rsid w:val="00E75BCE"/>
    <w:rsid w:val="00E7677C"/>
    <w:rsid w:val="00E76BBF"/>
    <w:rsid w:val="00E76CFB"/>
    <w:rsid w:val="00E76DB0"/>
    <w:rsid w:val="00E770FA"/>
    <w:rsid w:val="00E77267"/>
    <w:rsid w:val="00E772CD"/>
    <w:rsid w:val="00E7734A"/>
    <w:rsid w:val="00E77742"/>
    <w:rsid w:val="00E77B3A"/>
    <w:rsid w:val="00E77C8D"/>
    <w:rsid w:val="00E77D4E"/>
    <w:rsid w:val="00E77F56"/>
    <w:rsid w:val="00E8004A"/>
    <w:rsid w:val="00E80309"/>
    <w:rsid w:val="00E804BE"/>
    <w:rsid w:val="00E80609"/>
    <w:rsid w:val="00E807C9"/>
    <w:rsid w:val="00E80937"/>
    <w:rsid w:val="00E80D2A"/>
    <w:rsid w:val="00E80F83"/>
    <w:rsid w:val="00E81012"/>
    <w:rsid w:val="00E81131"/>
    <w:rsid w:val="00E81463"/>
    <w:rsid w:val="00E8157B"/>
    <w:rsid w:val="00E8184E"/>
    <w:rsid w:val="00E81908"/>
    <w:rsid w:val="00E81C8C"/>
    <w:rsid w:val="00E81DB3"/>
    <w:rsid w:val="00E81DBC"/>
    <w:rsid w:val="00E81E77"/>
    <w:rsid w:val="00E81E9B"/>
    <w:rsid w:val="00E81F51"/>
    <w:rsid w:val="00E81F71"/>
    <w:rsid w:val="00E82109"/>
    <w:rsid w:val="00E8217C"/>
    <w:rsid w:val="00E82273"/>
    <w:rsid w:val="00E82278"/>
    <w:rsid w:val="00E823A1"/>
    <w:rsid w:val="00E8281F"/>
    <w:rsid w:val="00E8298D"/>
    <w:rsid w:val="00E82A1A"/>
    <w:rsid w:val="00E82A63"/>
    <w:rsid w:val="00E82C9A"/>
    <w:rsid w:val="00E82CC8"/>
    <w:rsid w:val="00E82F06"/>
    <w:rsid w:val="00E8338D"/>
    <w:rsid w:val="00E83560"/>
    <w:rsid w:val="00E838C1"/>
    <w:rsid w:val="00E83996"/>
    <w:rsid w:val="00E83C29"/>
    <w:rsid w:val="00E83C7A"/>
    <w:rsid w:val="00E83D9D"/>
    <w:rsid w:val="00E83DB9"/>
    <w:rsid w:val="00E83F41"/>
    <w:rsid w:val="00E840A0"/>
    <w:rsid w:val="00E84502"/>
    <w:rsid w:val="00E846EF"/>
    <w:rsid w:val="00E84745"/>
    <w:rsid w:val="00E847EE"/>
    <w:rsid w:val="00E84860"/>
    <w:rsid w:val="00E84B90"/>
    <w:rsid w:val="00E84D36"/>
    <w:rsid w:val="00E84E64"/>
    <w:rsid w:val="00E84F3C"/>
    <w:rsid w:val="00E8507D"/>
    <w:rsid w:val="00E85168"/>
    <w:rsid w:val="00E853FB"/>
    <w:rsid w:val="00E86039"/>
    <w:rsid w:val="00E8611A"/>
    <w:rsid w:val="00E86226"/>
    <w:rsid w:val="00E86373"/>
    <w:rsid w:val="00E86399"/>
    <w:rsid w:val="00E86784"/>
    <w:rsid w:val="00E86B51"/>
    <w:rsid w:val="00E86B8E"/>
    <w:rsid w:val="00E86D53"/>
    <w:rsid w:val="00E86EB7"/>
    <w:rsid w:val="00E87235"/>
    <w:rsid w:val="00E872F4"/>
    <w:rsid w:val="00E8786A"/>
    <w:rsid w:val="00E87A27"/>
    <w:rsid w:val="00E87B24"/>
    <w:rsid w:val="00E87C44"/>
    <w:rsid w:val="00E87F08"/>
    <w:rsid w:val="00E9000F"/>
    <w:rsid w:val="00E9016A"/>
    <w:rsid w:val="00E9059C"/>
    <w:rsid w:val="00E9089B"/>
    <w:rsid w:val="00E90AB5"/>
    <w:rsid w:val="00E90B9F"/>
    <w:rsid w:val="00E90BB9"/>
    <w:rsid w:val="00E90C31"/>
    <w:rsid w:val="00E90C89"/>
    <w:rsid w:val="00E90CA7"/>
    <w:rsid w:val="00E90D12"/>
    <w:rsid w:val="00E90DCE"/>
    <w:rsid w:val="00E9141C"/>
    <w:rsid w:val="00E9145F"/>
    <w:rsid w:val="00E91860"/>
    <w:rsid w:val="00E91C72"/>
    <w:rsid w:val="00E91CF5"/>
    <w:rsid w:val="00E91F17"/>
    <w:rsid w:val="00E91FBF"/>
    <w:rsid w:val="00E91FD4"/>
    <w:rsid w:val="00E92001"/>
    <w:rsid w:val="00E92014"/>
    <w:rsid w:val="00E920FB"/>
    <w:rsid w:val="00E92194"/>
    <w:rsid w:val="00E9222D"/>
    <w:rsid w:val="00E92395"/>
    <w:rsid w:val="00E924E2"/>
    <w:rsid w:val="00E9298E"/>
    <w:rsid w:val="00E929F6"/>
    <w:rsid w:val="00E92A92"/>
    <w:rsid w:val="00E92B42"/>
    <w:rsid w:val="00E92C1D"/>
    <w:rsid w:val="00E92C7C"/>
    <w:rsid w:val="00E92DFA"/>
    <w:rsid w:val="00E92EE7"/>
    <w:rsid w:val="00E9302A"/>
    <w:rsid w:val="00E930C1"/>
    <w:rsid w:val="00E930EE"/>
    <w:rsid w:val="00E93109"/>
    <w:rsid w:val="00E934FA"/>
    <w:rsid w:val="00E93704"/>
    <w:rsid w:val="00E93A27"/>
    <w:rsid w:val="00E93A86"/>
    <w:rsid w:val="00E93AD9"/>
    <w:rsid w:val="00E93BC4"/>
    <w:rsid w:val="00E93C29"/>
    <w:rsid w:val="00E93D43"/>
    <w:rsid w:val="00E93FCB"/>
    <w:rsid w:val="00E94061"/>
    <w:rsid w:val="00E9407F"/>
    <w:rsid w:val="00E94336"/>
    <w:rsid w:val="00E94493"/>
    <w:rsid w:val="00E94595"/>
    <w:rsid w:val="00E94A33"/>
    <w:rsid w:val="00E94A54"/>
    <w:rsid w:val="00E94B40"/>
    <w:rsid w:val="00E94C77"/>
    <w:rsid w:val="00E94F0A"/>
    <w:rsid w:val="00E95122"/>
    <w:rsid w:val="00E951A5"/>
    <w:rsid w:val="00E954B7"/>
    <w:rsid w:val="00E955E3"/>
    <w:rsid w:val="00E95729"/>
    <w:rsid w:val="00E95A6C"/>
    <w:rsid w:val="00E95AC9"/>
    <w:rsid w:val="00E95C49"/>
    <w:rsid w:val="00E95EBD"/>
    <w:rsid w:val="00E96001"/>
    <w:rsid w:val="00E960C0"/>
    <w:rsid w:val="00E96208"/>
    <w:rsid w:val="00E96484"/>
    <w:rsid w:val="00E964BB"/>
    <w:rsid w:val="00E9658C"/>
    <w:rsid w:val="00E969D9"/>
    <w:rsid w:val="00E96A46"/>
    <w:rsid w:val="00E96E9D"/>
    <w:rsid w:val="00E96FDB"/>
    <w:rsid w:val="00E9706D"/>
    <w:rsid w:val="00E970AD"/>
    <w:rsid w:val="00E970E1"/>
    <w:rsid w:val="00E97146"/>
    <w:rsid w:val="00E9716D"/>
    <w:rsid w:val="00E971E8"/>
    <w:rsid w:val="00E97261"/>
    <w:rsid w:val="00E9796E"/>
    <w:rsid w:val="00E97B63"/>
    <w:rsid w:val="00E97EF2"/>
    <w:rsid w:val="00EA0152"/>
    <w:rsid w:val="00EA019A"/>
    <w:rsid w:val="00EA0265"/>
    <w:rsid w:val="00EA02CC"/>
    <w:rsid w:val="00EA0533"/>
    <w:rsid w:val="00EA088D"/>
    <w:rsid w:val="00EA0CC5"/>
    <w:rsid w:val="00EA0DEC"/>
    <w:rsid w:val="00EA104B"/>
    <w:rsid w:val="00EA1054"/>
    <w:rsid w:val="00EA107B"/>
    <w:rsid w:val="00EA13A1"/>
    <w:rsid w:val="00EA145C"/>
    <w:rsid w:val="00EA1527"/>
    <w:rsid w:val="00EA1662"/>
    <w:rsid w:val="00EA189C"/>
    <w:rsid w:val="00EA1B2E"/>
    <w:rsid w:val="00EA1BB1"/>
    <w:rsid w:val="00EA209C"/>
    <w:rsid w:val="00EA2302"/>
    <w:rsid w:val="00EA2591"/>
    <w:rsid w:val="00EA2929"/>
    <w:rsid w:val="00EA2A4E"/>
    <w:rsid w:val="00EA2AE6"/>
    <w:rsid w:val="00EA2C0B"/>
    <w:rsid w:val="00EA2FFF"/>
    <w:rsid w:val="00EA31AC"/>
    <w:rsid w:val="00EA31DA"/>
    <w:rsid w:val="00EA3311"/>
    <w:rsid w:val="00EA33CB"/>
    <w:rsid w:val="00EA33FC"/>
    <w:rsid w:val="00EA34C6"/>
    <w:rsid w:val="00EA359C"/>
    <w:rsid w:val="00EA36C4"/>
    <w:rsid w:val="00EA36F9"/>
    <w:rsid w:val="00EA37CD"/>
    <w:rsid w:val="00EA39B3"/>
    <w:rsid w:val="00EA39E1"/>
    <w:rsid w:val="00EA3A14"/>
    <w:rsid w:val="00EA3A7B"/>
    <w:rsid w:val="00EA3A7F"/>
    <w:rsid w:val="00EA3AA5"/>
    <w:rsid w:val="00EA3CB2"/>
    <w:rsid w:val="00EA3D83"/>
    <w:rsid w:val="00EA415C"/>
    <w:rsid w:val="00EA45EF"/>
    <w:rsid w:val="00EA467D"/>
    <w:rsid w:val="00EA4680"/>
    <w:rsid w:val="00EA47B6"/>
    <w:rsid w:val="00EA4891"/>
    <w:rsid w:val="00EA4C06"/>
    <w:rsid w:val="00EA4D03"/>
    <w:rsid w:val="00EA4DFB"/>
    <w:rsid w:val="00EA503B"/>
    <w:rsid w:val="00EA50BE"/>
    <w:rsid w:val="00EA5688"/>
    <w:rsid w:val="00EA5912"/>
    <w:rsid w:val="00EA5B7E"/>
    <w:rsid w:val="00EA5DCD"/>
    <w:rsid w:val="00EA5E6E"/>
    <w:rsid w:val="00EA5E71"/>
    <w:rsid w:val="00EA6130"/>
    <w:rsid w:val="00EA6644"/>
    <w:rsid w:val="00EA69B2"/>
    <w:rsid w:val="00EA6BDB"/>
    <w:rsid w:val="00EA6FAD"/>
    <w:rsid w:val="00EA71D1"/>
    <w:rsid w:val="00EA73E2"/>
    <w:rsid w:val="00EA75EB"/>
    <w:rsid w:val="00EA76EB"/>
    <w:rsid w:val="00EA7A45"/>
    <w:rsid w:val="00EA7D1F"/>
    <w:rsid w:val="00EB0162"/>
    <w:rsid w:val="00EB01F1"/>
    <w:rsid w:val="00EB020E"/>
    <w:rsid w:val="00EB0237"/>
    <w:rsid w:val="00EB03C7"/>
    <w:rsid w:val="00EB04CA"/>
    <w:rsid w:val="00EB0AAD"/>
    <w:rsid w:val="00EB0D4B"/>
    <w:rsid w:val="00EB0EC8"/>
    <w:rsid w:val="00EB0EEF"/>
    <w:rsid w:val="00EB0FE7"/>
    <w:rsid w:val="00EB13A9"/>
    <w:rsid w:val="00EB15FE"/>
    <w:rsid w:val="00EB1747"/>
    <w:rsid w:val="00EB18DB"/>
    <w:rsid w:val="00EB1998"/>
    <w:rsid w:val="00EB1A5D"/>
    <w:rsid w:val="00EB1B42"/>
    <w:rsid w:val="00EB1B77"/>
    <w:rsid w:val="00EB1CBD"/>
    <w:rsid w:val="00EB1FCF"/>
    <w:rsid w:val="00EB20D3"/>
    <w:rsid w:val="00EB20E3"/>
    <w:rsid w:val="00EB222B"/>
    <w:rsid w:val="00EB2560"/>
    <w:rsid w:val="00EB25EF"/>
    <w:rsid w:val="00EB2686"/>
    <w:rsid w:val="00EB26B9"/>
    <w:rsid w:val="00EB2723"/>
    <w:rsid w:val="00EB2C70"/>
    <w:rsid w:val="00EB319E"/>
    <w:rsid w:val="00EB31BC"/>
    <w:rsid w:val="00EB31DB"/>
    <w:rsid w:val="00EB379F"/>
    <w:rsid w:val="00EB3841"/>
    <w:rsid w:val="00EB3CA0"/>
    <w:rsid w:val="00EB3FAB"/>
    <w:rsid w:val="00EB4009"/>
    <w:rsid w:val="00EB4133"/>
    <w:rsid w:val="00EB413E"/>
    <w:rsid w:val="00EB41E7"/>
    <w:rsid w:val="00EB422C"/>
    <w:rsid w:val="00EB42EF"/>
    <w:rsid w:val="00EB4329"/>
    <w:rsid w:val="00EB4696"/>
    <w:rsid w:val="00EB46DA"/>
    <w:rsid w:val="00EB4958"/>
    <w:rsid w:val="00EB49AD"/>
    <w:rsid w:val="00EB4AA7"/>
    <w:rsid w:val="00EB4F33"/>
    <w:rsid w:val="00EB4F5D"/>
    <w:rsid w:val="00EB50DC"/>
    <w:rsid w:val="00EB51B9"/>
    <w:rsid w:val="00EB54F5"/>
    <w:rsid w:val="00EB58CF"/>
    <w:rsid w:val="00EB5991"/>
    <w:rsid w:val="00EB5A0A"/>
    <w:rsid w:val="00EB5B90"/>
    <w:rsid w:val="00EB5C1D"/>
    <w:rsid w:val="00EB5F88"/>
    <w:rsid w:val="00EB605B"/>
    <w:rsid w:val="00EB632F"/>
    <w:rsid w:val="00EB639F"/>
    <w:rsid w:val="00EB6461"/>
    <w:rsid w:val="00EB6549"/>
    <w:rsid w:val="00EB6572"/>
    <w:rsid w:val="00EB6672"/>
    <w:rsid w:val="00EB6748"/>
    <w:rsid w:val="00EB67A6"/>
    <w:rsid w:val="00EB6A48"/>
    <w:rsid w:val="00EB6A70"/>
    <w:rsid w:val="00EB6CF5"/>
    <w:rsid w:val="00EB707D"/>
    <w:rsid w:val="00EB736A"/>
    <w:rsid w:val="00EB737E"/>
    <w:rsid w:val="00EB7630"/>
    <w:rsid w:val="00EB78F2"/>
    <w:rsid w:val="00EB7C60"/>
    <w:rsid w:val="00EB7C68"/>
    <w:rsid w:val="00EB7DC2"/>
    <w:rsid w:val="00EC0137"/>
    <w:rsid w:val="00EC01DD"/>
    <w:rsid w:val="00EC0533"/>
    <w:rsid w:val="00EC0740"/>
    <w:rsid w:val="00EC07DF"/>
    <w:rsid w:val="00EC097C"/>
    <w:rsid w:val="00EC0BA9"/>
    <w:rsid w:val="00EC0F2F"/>
    <w:rsid w:val="00EC10CD"/>
    <w:rsid w:val="00EC12D9"/>
    <w:rsid w:val="00EC144B"/>
    <w:rsid w:val="00EC1452"/>
    <w:rsid w:val="00EC1531"/>
    <w:rsid w:val="00EC15DF"/>
    <w:rsid w:val="00EC16F1"/>
    <w:rsid w:val="00EC176D"/>
    <w:rsid w:val="00EC17B5"/>
    <w:rsid w:val="00EC1A56"/>
    <w:rsid w:val="00EC1AF4"/>
    <w:rsid w:val="00EC1C63"/>
    <w:rsid w:val="00EC1FF4"/>
    <w:rsid w:val="00EC20FD"/>
    <w:rsid w:val="00EC28C8"/>
    <w:rsid w:val="00EC2A84"/>
    <w:rsid w:val="00EC2CBE"/>
    <w:rsid w:val="00EC2F12"/>
    <w:rsid w:val="00EC30A7"/>
    <w:rsid w:val="00EC30D1"/>
    <w:rsid w:val="00EC340F"/>
    <w:rsid w:val="00EC3463"/>
    <w:rsid w:val="00EC365D"/>
    <w:rsid w:val="00EC36B7"/>
    <w:rsid w:val="00EC3AB8"/>
    <w:rsid w:val="00EC3B34"/>
    <w:rsid w:val="00EC3D4D"/>
    <w:rsid w:val="00EC3FBF"/>
    <w:rsid w:val="00EC4242"/>
    <w:rsid w:val="00EC42DA"/>
    <w:rsid w:val="00EC46E2"/>
    <w:rsid w:val="00EC4A58"/>
    <w:rsid w:val="00EC4B2E"/>
    <w:rsid w:val="00EC4F1A"/>
    <w:rsid w:val="00EC502E"/>
    <w:rsid w:val="00EC5351"/>
    <w:rsid w:val="00EC53B1"/>
    <w:rsid w:val="00EC541E"/>
    <w:rsid w:val="00EC5849"/>
    <w:rsid w:val="00EC5873"/>
    <w:rsid w:val="00EC5932"/>
    <w:rsid w:val="00EC5CB2"/>
    <w:rsid w:val="00EC5FBE"/>
    <w:rsid w:val="00EC627F"/>
    <w:rsid w:val="00EC65EA"/>
    <w:rsid w:val="00EC65F7"/>
    <w:rsid w:val="00EC6893"/>
    <w:rsid w:val="00EC68C4"/>
    <w:rsid w:val="00EC6C28"/>
    <w:rsid w:val="00EC6CF9"/>
    <w:rsid w:val="00EC6FF6"/>
    <w:rsid w:val="00EC70F9"/>
    <w:rsid w:val="00EC7229"/>
    <w:rsid w:val="00EC72C6"/>
    <w:rsid w:val="00EC731E"/>
    <w:rsid w:val="00EC746B"/>
    <w:rsid w:val="00EC7500"/>
    <w:rsid w:val="00EC751E"/>
    <w:rsid w:val="00EC756B"/>
    <w:rsid w:val="00EC797F"/>
    <w:rsid w:val="00EC7A38"/>
    <w:rsid w:val="00EC7CBD"/>
    <w:rsid w:val="00EC7EE8"/>
    <w:rsid w:val="00ED021B"/>
    <w:rsid w:val="00ED0227"/>
    <w:rsid w:val="00ED0301"/>
    <w:rsid w:val="00ED04CE"/>
    <w:rsid w:val="00ED0543"/>
    <w:rsid w:val="00ED056C"/>
    <w:rsid w:val="00ED05D6"/>
    <w:rsid w:val="00ED07C9"/>
    <w:rsid w:val="00ED08F6"/>
    <w:rsid w:val="00ED0922"/>
    <w:rsid w:val="00ED0930"/>
    <w:rsid w:val="00ED09BE"/>
    <w:rsid w:val="00ED0C6F"/>
    <w:rsid w:val="00ED0D29"/>
    <w:rsid w:val="00ED0FE0"/>
    <w:rsid w:val="00ED1029"/>
    <w:rsid w:val="00ED113E"/>
    <w:rsid w:val="00ED13B5"/>
    <w:rsid w:val="00ED15D0"/>
    <w:rsid w:val="00ED15D8"/>
    <w:rsid w:val="00ED1735"/>
    <w:rsid w:val="00ED176E"/>
    <w:rsid w:val="00ED1966"/>
    <w:rsid w:val="00ED19A8"/>
    <w:rsid w:val="00ED1B26"/>
    <w:rsid w:val="00ED1B65"/>
    <w:rsid w:val="00ED1D85"/>
    <w:rsid w:val="00ED1EFE"/>
    <w:rsid w:val="00ED1FE7"/>
    <w:rsid w:val="00ED207B"/>
    <w:rsid w:val="00ED2123"/>
    <w:rsid w:val="00ED226E"/>
    <w:rsid w:val="00ED23E5"/>
    <w:rsid w:val="00ED251B"/>
    <w:rsid w:val="00ED2557"/>
    <w:rsid w:val="00ED2967"/>
    <w:rsid w:val="00ED2A1A"/>
    <w:rsid w:val="00ED2B55"/>
    <w:rsid w:val="00ED2C41"/>
    <w:rsid w:val="00ED2C76"/>
    <w:rsid w:val="00ED2CED"/>
    <w:rsid w:val="00ED2D33"/>
    <w:rsid w:val="00ED2D92"/>
    <w:rsid w:val="00ED2DFA"/>
    <w:rsid w:val="00ED2FCC"/>
    <w:rsid w:val="00ED2FED"/>
    <w:rsid w:val="00ED322F"/>
    <w:rsid w:val="00ED37B8"/>
    <w:rsid w:val="00ED3A45"/>
    <w:rsid w:val="00ED3C92"/>
    <w:rsid w:val="00ED3D14"/>
    <w:rsid w:val="00ED3F2E"/>
    <w:rsid w:val="00ED4568"/>
    <w:rsid w:val="00ED49E3"/>
    <w:rsid w:val="00ED4A97"/>
    <w:rsid w:val="00ED4CE1"/>
    <w:rsid w:val="00ED4D67"/>
    <w:rsid w:val="00ED4F1C"/>
    <w:rsid w:val="00ED546C"/>
    <w:rsid w:val="00ED56EE"/>
    <w:rsid w:val="00ED5724"/>
    <w:rsid w:val="00ED5A72"/>
    <w:rsid w:val="00ED5A8D"/>
    <w:rsid w:val="00ED5BC2"/>
    <w:rsid w:val="00ED6403"/>
    <w:rsid w:val="00ED65D4"/>
    <w:rsid w:val="00ED6827"/>
    <w:rsid w:val="00ED6AE1"/>
    <w:rsid w:val="00ED715E"/>
    <w:rsid w:val="00ED72C2"/>
    <w:rsid w:val="00ED732A"/>
    <w:rsid w:val="00ED7345"/>
    <w:rsid w:val="00ED74A9"/>
    <w:rsid w:val="00ED751B"/>
    <w:rsid w:val="00ED79A9"/>
    <w:rsid w:val="00ED7ACB"/>
    <w:rsid w:val="00ED7B1E"/>
    <w:rsid w:val="00ED7D75"/>
    <w:rsid w:val="00ED7D84"/>
    <w:rsid w:val="00ED7DA0"/>
    <w:rsid w:val="00EE02DC"/>
    <w:rsid w:val="00EE034C"/>
    <w:rsid w:val="00EE034D"/>
    <w:rsid w:val="00EE03C1"/>
    <w:rsid w:val="00EE03CB"/>
    <w:rsid w:val="00EE064A"/>
    <w:rsid w:val="00EE0884"/>
    <w:rsid w:val="00EE08B8"/>
    <w:rsid w:val="00EE09C8"/>
    <w:rsid w:val="00EE09DB"/>
    <w:rsid w:val="00EE0BD1"/>
    <w:rsid w:val="00EE0D2A"/>
    <w:rsid w:val="00EE0D72"/>
    <w:rsid w:val="00EE10F3"/>
    <w:rsid w:val="00EE117B"/>
    <w:rsid w:val="00EE14B6"/>
    <w:rsid w:val="00EE14CB"/>
    <w:rsid w:val="00EE15C2"/>
    <w:rsid w:val="00EE183C"/>
    <w:rsid w:val="00EE1E10"/>
    <w:rsid w:val="00EE2590"/>
    <w:rsid w:val="00EE29DA"/>
    <w:rsid w:val="00EE2AA0"/>
    <w:rsid w:val="00EE2D1B"/>
    <w:rsid w:val="00EE2EE9"/>
    <w:rsid w:val="00EE2FE4"/>
    <w:rsid w:val="00EE3018"/>
    <w:rsid w:val="00EE349D"/>
    <w:rsid w:val="00EE35EB"/>
    <w:rsid w:val="00EE3666"/>
    <w:rsid w:val="00EE380B"/>
    <w:rsid w:val="00EE39B0"/>
    <w:rsid w:val="00EE3BDD"/>
    <w:rsid w:val="00EE3D70"/>
    <w:rsid w:val="00EE3FDD"/>
    <w:rsid w:val="00EE440B"/>
    <w:rsid w:val="00EE4B19"/>
    <w:rsid w:val="00EE4C00"/>
    <w:rsid w:val="00EE4E63"/>
    <w:rsid w:val="00EE4E82"/>
    <w:rsid w:val="00EE51B3"/>
    <w:rsid w:val="00EE52F6"/>
    <w:rsid w:val="00EE5785"/>
    <w:rsid w:val="00EE5AFA"/>
    <w:rsid w:val="00EE5B84"/>
    <w:rsid w:val="00EE5BBB"/>
    <w:rsid w:val="00EE5CB4"/>
    <w:rsid w:val="00EE5F75"/>
    <w:rsid w:val="00EE60A3"/>
    <w:rsid w:val="00EE61B4"/>
    <w:rsid w:val="00EE62D8"/>
    <w:rsid w:val="00EE6322"/>
    <w:rsid w:val="00EE67F4"/>
    <w:rsid w:val="00EE69A9"/>
    <w:rsid w:val="00EE6A69"/>
    <w:rsid w:val="00EE6A86"/>
    <w:rsid w:val="00EE6BB0"/>
    <w:rsid w:val="00EE7147"/>
    <w:rsid w:val="00EE7372"/>
    <w:rsid w:val="00EE7385"/>
    <w:rsid w:val="00EE751D"/>
    <w:rsid w:val="00EE758C"/>
    <w:rsid w:val="00EE77DE"/>
    <w:rsid w:val="00EE7949"/>
    <w:rsid w:val="00EE79A1"/>
    <w:rsid w:val="00EE7ABB"/>
    <w:rsid w:val="00EE7AD6"/>
    <w:rsid w:val="00EE7B7E"/>
    <w:rsid w:val="00EE7BBB"/>
    <w:rsid w:val="00EF018C"/>
    <w:rsid w:val="00EF044E"/>
    <w:rsid w:val="00EF05C1"/>
    <w:rsid w:val="00EF09BF"/>
    <w:rsid w:val="00EF0AC3"/>
    <w:rsid w:val="00EF0B3F"/>
    <w:rsid w:val="00EF0B74"/>
    <w:rsid w:val="00EF0BCC"/>
    <w:rsid w:val="00EF0CD5"/>
    <w:rsid w:val="00EF0E11"/>
    <w:rsid w:val="00EF10FE"/>
    <w:rsid w:val="00EF1240"/>
    <w:rsid w:val="00EF1594"/>
    <w:rsid w:val="00EF161A"/>
    <w:rsid w:val="00EF1935"/>
    <w:rsid w:val="00EF19A5"/>
    <w:rsid w:val="00EF1BA9"/>
    <w:rsid w:val="00EF2029"/>
    <w:rsid w:val="00EF2147"/>
    <w:rsid w:val="00EF2181"/>
    <w:rsid w:val="00EF2518"/>
    <w:rsid w:val="00EF2694"/>
    <w:rsid w:val="00EF2714"/>
    <w:rsid w:val="00EF2722"/>
    <w:rsid w:val="00EF288A"/>
    <w:rsid w:val="00EF2939"/>
    <w:rsid w:val="00EF2A21"/>
    <w:rsid w:val="00EF2A52"/>
    <w:rsid w:val="00EF2ACF"/>
    <w:rsid w:val="00EF2C63"/>
    <w:rsid w:val="00EF31EC"/>
    <w:rsid w:val="00EF330E"/>
    <w:rsid w:val="00EF35D4"/>
    <w:rsid w:val="00EF36C4"/>
    <w:rsid w:val="00EF37F8"/>
    <w:rsid w:val="00EF3945"/>
    <w:rsid w:val="00EF3B4E"/>
    <w:rsid w:val="00EF3BA3"/>
    <w:rsid w:val="00EF3C71"/>
    <w:rsid w:val="00EF3CA5"/>
    <w:rsid w:val="00EF3E5C"/>
    <w:rsid w:val="00EF405F"/>
    <w:rsid w:val="00EF42DA"/>
    <w:rsid w:val="00EF4493"/>
    <w:rsid w:val="00EF4598"/>
    <w:rsid w:val="00EF47CC"/>
    <w:rsid w:val="00EF4843"/>
    <w:rsid w:val="00EF4BD0"/>
    <w:rsid w:val="00EF508B"/>
    <w:rsid w:val="00EF50CC"/>
    <w:rsid w:val="00EF531E"/>
    <w:rsid w:val="00EF5606"/>
    <w:rsid w:val="00EF5619"/>
    <w:rsid w:val="00EF5702"/>
    <w:rsid w:val="00EF589A"/>
    <w:rsid w:val="00EF59CA"/>
    <w:rsid w:val="00EF5A69"/>
    <w:rsid w:val="00EF609F"/>
    <w:rsid w:val="00EF6197"/>
    <w:rsid w:val="00EF61C9"/>
    <w:rsid w:val="00EF65AC"/>
    <w:rsid w:val="00EF6633"/>
    <w:rsid w:val="00EF678E"/>
    <w:rsid w:val="00EF6805"/>
    <w:rsid w:val="00EF680E"/>
    <w:rsid w:val="00EF6903"/>
    <w:rsid w:val="00EF6951"/>
    <w:rsid w:val="00EF69C3"/>
    <w:rsid w:val="00EF6AA6"/>
    <w:rsid w:val="00EF6C04"/>
    <w:rsid w:val="00EF6C4F"/>
    <w:rsid w:val="00EF6E32"/>
    <w:rsid w:val="00EF7152"/>
    <w:rsid w:val="00EF718E"/>
    <w:rsid w:val="00EF721A"/>
    <w:rsid w:val="00EF74E1"/>
    <w:rsid w:val="00EF7570"/>
    <w:rsid w:val="00EF7699"/>
    <w:rsid w:val="00EF7734"/>
    <w:rsid w:val="00EF7964"/>
    <w:rsid w:val="00EF797C"/>
    <w:rsid w:val="00EF7F47"/>
    <w:rsid w:val="00F00258"/>
    <w:rsid w:val="00F00362"/>
    <w:rsid w:val="00F00508"/>
    <w:rsid w:val="00F00798"/>
    <w:rsid w:val="00F007EB"/>
    <w:rsid w:val="00F00869"/>
    <w:rsid w:val="00F008F7"/>
    <w:rsid w:val="00F00922"/>
    <w:rsid w:val="00F00F63"/>
    <w:rsid w:val="00F00FC1"/>
    <w:rsid w:val="00F013C7"/>
    <w:rsid w:val="00F0152B"/>
    <w:rsid w:val="00F015C9"/>
    <w:rsid w:val="00F01709"/>
    <w:rsid w:val="00F01835"/>
    <w:rsid w:val="00F01AF3"/>
    <w:rsid w:val="00F01CB2"/>
    <w:rsid w:val="00F01D87"/>
    <w:rsid w:val="00F01E52"/>
    <w:rsid w:val="00F02298"/>
    <w:rsid w:val="00F022CE"/>
    <w:rsid w:val="00F025B5"/>
    <w:rsid w:val="00F025BB"/>
    <w:rsid w:val="00F0289C"/>
    <w:rsid w:val="00F02A84"/>
    <w:rsid w:val="00F02AE0"/>
    <w:rsid w:val="00F02DB6"/>
    <w:rsid w:val="00F02DCD"/>
    <w:rsid w:val="00F02F74"/>
    <w:rsid w:val="00F0310E"/>
    <w:rsid w:val="00F031FA"/>
    <w:rsid w:val="00F0324C"/>
    <w:rsid w:val="00F03394"/>
    <w:rsid w:val="00F0343B"/>
    <w:rsid w:val="00F036D5"/>
    <w:rsid w:val="00F039DC"/>
    <w:rsid w:val="00F03A08"/>
    <w:rsid w:val="00F03B50"/>
    <w:rsid w:val="00F03EEA"/>
    <w:rsid w:val="00F041DF"/>
    <w:rsid w:val="00F04210"/>
    <w:rsid w:val="00F042DC"/>
    <w:rsid w:val="00F04757"/>
    <w:rsid w:val="00F04A5B"/>
    <w:rsid w:val="00F04ABD"/>
    <w:rsid w:val="00F04B57"/>
    <w:rsid w:val="00F04B70"/>
    <w:rsid w:val="00F04B81"/>
    <w:rsid w:val="00F04EDF"/>
    <w:rsid w:val="00F04F31"/>
    <w:rsid w:val="00F04FCB"/>
    <w:rsid w:val="00F050B6"/>
    <w:rsid w:val="00F050F2"/>
    <w:rsid w:val="00F05235"/>
    <w:rsid w:val="00F053D2"/>
    <w:rsid w:val="00F05562"/>
    <w:rsid w:val="00F055C3"/>
    <w:rsid w:val="00F055D3"/>
    <w:rsid w:val="00F057DE"/>
    <w:rsid w:val="00F05C1B"/>
    <w:rsid w:val="00F05DC9"/>
    <w:rsid w:val="00F05E50"/>
    <w:rsid w:val="00F05FE2"/>
    <w:rsid w:val="00F063C9"/>
    <w:rsid w:val="00F06617"/>
    <w:rsid w:val="00F0695F"/>
    <w:rsid w:val="00F06ACF"/>
    <w:rsid w:val="00F06CD0"/>
    <w:rsid w:val="00F06D0B"/>
    <w:rsid w:val="00F06F08"/>
    <w:rsid w:val="00F07099"/>
    <w:rsid w:val="00F07249"/>
    <w:rsid w:val="00F07515"/>
    <w:rsid w:val="00F07533"/>
    <w:rsid w:val="00F07571"/>
    <w:rsid w:val="00F077F5"/>
    <w:rsid w:val="00F07A9C"/>
    <w:rsid w:val="00F07BE0"/>
    <w:rsid w:val="00F07C21"/>
    <w:rsid w:val="00F07FE7"/>
    <w:rsid w:val="00F10237"/>
    <w:rsid w:val="00F10456"/>
    <w:rsid w:val="00F105EA"/>
    <w:rsid w:val="00F10657"/>
    <w:rsid w:val="00F10800"/>
    <w:rsid w:val="00F109E0"/>
    <w:rsid w:val="00F10E64"/>
    <w:rsid w:val="00F10FAF"/>
    <w:rsid w:val="00F10FE6"/>
    <w:rsid w:val="00F11117"/>
    <w:rsid w:val="00F11345"/>
    <w:rsid w:val="00F1141B"/>
    <w:rsid w:val="00F116A2"/>
    <w:rsid w:val="00F11861"/>
    <w:rsid w:val="00F118CE"/>
    <w:rsid w:val="00F11CBB"/>
    <w:rsid w:val="00F11EC1"/>
    <w:rsid w:val="00F11F18"/>
    <w:rsid w:val="00F11F28"/>
    <w:rsid w:val="00F1203C"/>
    <w:rsid w:val="00F1216F"/>
    <w:rsid w:val="00F123F3"/>
    <w:rsid w:val="00F124B0"/>
    <w:rsid w:val="00F12541"/>
    <w:rsid w:val="00F12592"/>
    <w:rsid w:val="00F127B8"/>
    <w:rsid w:val="00F129FE"/>
    <w:rsid w:val="00F12A03"/>
    <w:rsid w:val="00F12F87"/>
    <w:rsid w:val="00F13077"/>
    <w:rsid w:val="00F132D2"/>
    <w:rsid w:val="00F135B4"/>
    <w:rsid w:val="00F135EE"/>
    <w:rsid w:val="00F1363B"/>
    <w:rsid w:val="00F1368C"/>
    <w:rsid w:val="00F138FA"/>
    <w:rsid w:val="00F13935"/>
    <w:rsid w:val="00F13F82"/>
    <w:rsid w:val="00F1444E"/>
    <w:rsid w:val="00F1447C"/>
    <w:rsid w:val="00F14819"/>
    <w:rsid w:val="00F14AD2"/>
    <w:rsid w:val="00F14AE0"/>
    <w:rsid w:val="00F14ED6"/>
    <w:rsid w:val="00F14FD4"/>
    <w:rsid w:val="00F150C7"/>
    <w:rsid w:val="00F153CD"/>
    <w:rsid w:val="00F15557"/>
    <w:rsid w:val="00F159C1"/>
    <w:rsid w:val="00F15A91"/>
    <w:rsid w:val="00F1617E"/>
    <w:rsid w:val="00F1640F"/>
    <w:rsid w:val="00F1642B"/>
    <w:rsid w:val="00F1651B"/>
    <w:rsid w:val="00F168EE"/>
    <w:rsid w:val="00F16D22"/>
    <w:rsid w:val="00F16D48"/>
    <w:rsid w:val="00F16E0E"/>
    <w:rsid w:val="00F170E9"/>
    <w:rsid w:val="00F171B8"/>
    <w:rsid w:val="00F174F6"/>
    <w:rsid w:val="00F17536"/>
    <w:rsid w:val="00F17583"/>
    <w:rsid w:val="00F17745"/>
    <w:rsid w:val="00F17968"/>
    <w:rsid w:val="00F17DCD"/>
    <w:rsid w:val="00F2001E"/>
    <w:rsid w:val="00F20108"/>
    <w:rsid w:val="00F2015D"/>
    <w:rsid w:val="00F20220"/>
    <w:rsid w:val="00F209AF"/>
    <w:rsid w:val="00F20B0A"/>
    <w:rsid w:val="00F20BCB"/>
    <w:rsid w:val="00F20C33"/>
    <w:rsid w:val="00F214B2"/>
    <w:rsid w:val="00F2166B"/>
    <w:rsid w:val="00F21945"/>
    <w:rsid w:val="00F21BDB"/>
    <w:rsid w:val="00F22035"/>
    <w:rsid w:val="00F220B5"/>
    <w:rsid w:val="00F2210D"/>
    <w:rsid w:val="00F22185"/>
    <w:rsid w:val="00F22199"/>
    <w:rsid w:val="00F221B1"/>
    <w:rsid w:val="00F22416"/>
    <w:rsid w:val="00F22429"/>
    <w:rsid w:val="00F225A0"/>
    <w:rsid w:val="00F22A03"/>
    <w:rsid w:val="00F22D18"/>
    <w:rsid w:val="00F231BE"/>
    <w:rsid w:val="00F23326"/>
    <w:rsid w:val="00F23441"/>
    <w:rsid w:val="00F2345A"/>
    <w:rsid w:val="00F238CC"/>
    <w:rsid w:val="00F2398C"/>
    <w:rsid w:val="00F239A4"/>
    <w:rsid w:val="00F23BA4"/>
    <w:rsid w:val="00F23EAE"/>
    <w:rsid w:val="00F23F0B"/>
    <w:rsid w:val="00F24236"/>
    <w:rsid w:val="00F24274"/>
    <w:rsid w:val="00F2437C"/>
    <w:rsid w:val="00F243B7"/>
    <w:rsid w:val="00F243CB"/>
    <w:rsid w:val="00F245F3"/>
    <w:rsid w:val="00F245FE"/>
    <w:rsid w:val="00F246C4"/>
    <w:rsid w:val="00F24ADD"/>
    <w:rsid w:val="00F24B05"/>
    <w:rsid w:val="00F24D2D"/>
    <w:rsid w:val="00F25083"/>
    <w:rsid w:val="00F252F1"/>
    <w:rsid w:val="00F25490"/>
    <w:rsid w:val="00F25692"/>
    <w:rsid w:val="00F25908"/>
    <w:rsid w:val="00F25C33"/>
    <w:rsid w:val="00F25EA8"/>
    <w:rsid w:val="00F25EB3"/>
    <w:rsid w:val="00F25FB4"/>
    <w:rsid w:val="00F26049"/>
    <w:rsid w:val="00F260AE"/>
    <w:rsid w:val="00F260CB"/>
    <w:rsid w:val="00F26161"/>
    <w:rsid w:val="00F26775"/>
    <w:rsid w:val="00F26C19"/>
    <w:rsid w:val="00F26C2C"/>
    <w:rsid w:val="00F26CA2"/>
    <w:rsid w:val="00F26D45"/>
    <w:rsid w:val="00F26F23"/>
    <w:rsid w:val="00F27167"/>
    <w:rsid w:val="00F27188"/>
    <w:rsid w:val="00F2769D"/>
    <w:rsid w:val="00F277B7"/>
    <w:rsid w:val="00F277C3"/>
    <w:rsid w:val="00F278CA"/>
    <w:rsid w:val="00F278FE"/>
    <w:rsid w:val="00F27CFF"/>
    <w:rsid w:val="00F27E99"/>
    <w:rsid w:val="00F27EA6"/>
    <w:rsid w:val="00F27F93"/>
    <w:rsid w:val="00F304CB"/>
    <w:rsid w:val="00F307DA"/>
    <w:rsid w:val="00F30820"/>
    <w:rsid w:val="00F3087C"/>
    <w:rsid w:val="00F30D94"/>
    <w:rsid w:val="00F31009"/>
    <w:rsid w:val="00F31176"/>
    <w:rsid w:val="00F31349"/>
    <w:rsid w:val="00F3141D"/>
    <w:rsid w:val="00F31933"/>
    <w:rsid w:val="00F3203B"/>
    <w:rsid w:val="00F3203F"/>
    <w:rsid w:val="00F3223C"/>
    <w:rsid w:val="00F323C3"/>
    <w:rsid w:val="00F32661"/>
    <w:rsid w:val="00F32776"/>
    <w:rsid w:val="00F327BA"/>
    <w:rsid w:val="00F328A6"/>
    <w:rsid w:val="00F32950"/>
    <w:rsid w:val="00F32B6B"/>
    <w:rsid w:val="00F32F6B"/>
    <w:rsid w:val="00F32F88"/>
    <w:rsid w:val="00F33033"/>
    <w:rsid w:val="00F3312A"/>
    <w:rsid w:val="00F33163"/>
    <w:rsid w:val="00F331F5"/>
    <w:rsid w:val="00F332A8"/>
    <w:rsid w:val="00F333FB"/>
    <w:rsid w:val="00F3369D"/>
    <w:rsid w:val="00F337A6"/>
    <w:rsid w:val="00F3381E"/>
    <w:rsid w:val="00F3399C"/>
    <w:rsid w:val="00F33A26"/>
    <w:rsid w:val="00F33AD8"/>
    <w:rsid w:val="00F33C0F"/>
    <w:rsid w:val="00F33DD6"/>
    <w:rsid w:val="00F34496"/>
    <w:rsid w:val="00F34563"/>
    <w:rsid w:val="00F345E3"/>
    <w:rsid w:val="00F346BC"/>
    <w:rsid w:val="00F3471F"/>
    <w:rsid w:val="00F34729"/>
    <w:rsid w:val="00F349CA"/>
    <w:rsid w:val="00F349E2"/>
    <w:rsid w:val="00F34BD0"/>
    <w:rsid w:val="00F34C21"/>
    <w:rsid w:val="00F34CC5"/>
    <w:rsid w:val="00F34D22"/>
    <w:rsid w:val="00F34E2C"/>
    <w:rsid w:val="00F34E66"/>
    <w:rsid w:val="00F34E91"/>
    <w:rsid w:val="00F34F80"/>
    <w:rsid w:val="00F34FA8"/>
    <w:rsid w:val="00F34FC8"/>
    <w:rsid w:val="00F355AE"/>
    <w:rsid w:val="00F3567C"/>
    <w:rsid w:val="00F356DF"/>
    <w:rsid w:val="00F35870"/>
    <w:rsid w:val="00F359B6"/>
    <w:rsid w:val="00F359F8"/>
    <w:rsid w:val="00F35A0F"/>
    <w:rsid w:val="00F35B44"/>
    <w:rsid w:val="00F35BE9"/>
    <w:rsid w:val="00F35D48"/>
    <w:rsid w:val="00F35D6E"/>
    <w:rsid w:val="00F35ED2"/>
    <w:rsid w:val="00F36077"/>
    <w:rsid w:val="00F36C87"/>
    <w:rsid w:val="00F36E34"/>
    <w:rsid w:val="00F36FA3"/>
    <w:rsid w:val="00F36FD5"/>
    <w:rsid w:val="00F370DE"/>
    <w:rsid w:val="00F37284"/>
    <w:rsid w:val="00F37317"/>
    <w:rsid w:val="00F3733B"/>
    <w:rsid w:val="00F3746A"/>
    <w:rsid w:val="00F375DF"/>
    <w:rsid w:val="00F3764F"/>
    <w:rsid w:val="00F376C1"/>
    <w:rsid w:val="00F37AAE"/>
    <w:rsid w:val="00F37B0D"/>
    <w:rsid w:val="00F37D99"/>
    <w:rsid w:val="00F37ECC"/>
    <w:rsid w:val="00F37EF2"/>
    <w:rsid w:val="00F37FF1"/>
    <w:rsid w:val="00F39218"/>
    <w:rsid w:val="00F40015"/>
    <w:rsid w:val="00F400BF"/>
    <w:rsid w:val="00F407DF"/>
    <w:rsid w:val="00F40CDD"/>
    <w:rsid w:val="00F40D61"/>
    <w:rsid w:val="00F40D9B"/>
    <w:rsid w:val="00F40DB5"/>
    <w:rsid w:val="00F40E59"/>
    <w:rsid w:val="00F41212"/>
    <w:rsid w:val="00F4133C"/>
    <w:rsid w:val="00F4162D"/>
    <w:rsid w:val="00F41FB2"/>
    <w:rsid w:val="00F4204B"/>
    <w:rsid w:val="00F422D5"/>
    <w:rsid w:val="00F422F0"/>
    <w:rsid w:val="00F4234E"/>
    <w:rsid w:val="00F425D3"/>
    <w:rsid w:val="00F42611"/>
    <w:rsid w:val="00F426F9"/>
    <w:rsid w:val="00F42780"/>
    <w:rsid w:val="00F42816"/>
    <w:rsid w:val="00F42C2A"/>
    <w:rsid w:val="00F42D5C"/>
    <w:rsid w:val="00F42DFE"/>
    <w:rsid w:val="00F42EF5"/>
    <w:rsid w:val="00F42F6E"/>
    <w:rsid w:val="00F43158"/>
    <w:rsid w:val="00F4335E"/>
    <w:rsid w:val="00F435B4"/>
    <w:rsid w:val="00F43A1C"/>
    <w:rsid w:val="00F43A78"/>
    <w:rsid w:val="00F43B42"/>
    <w:rsid w:val="00F43B4D"/>
    <w:rsid w:val="00F43EB9"/>
    <w:rsid w:val="00F43F75"/>
    <w:rsid w:val="00F44077"/>
    <w:rsid w:val="00F447F8"/>
    <w:rsid w:val="00F44ACD"/>
    <w:rsid w:val="00F44D75"/>
    <w:rsid w:val="00F44FE9"/>
    <w:rsid w:val="00F450AE"/>
    <w:rsid w:val="00F451D4"/>
    <w:rsid w:val="00F45235"/>
    <w:rsid w:val="00F4527F"/>
    <w:rsid w:val="00F454D7"/>
    <w:rsid w:val="00F4564D"/>
    <w:rsid w:val="00F4571F"/>
    <w:rsid w:val="00F4580C"/>
    <w:rsid w:val="00F458A7"/>
    <w:rsid w:val="00F45D67"/>
    <w:rsid w:val="00F45FDB"/>
    <w:rsid w:val="00F4603E"/>
    <w:rsid w:val="00F46211"/>
    <w:rsid w:val="00F463AC"/>
    <w:rsid w:val="00F463E5"/>
    <w:rsid w:val="00F46422"/>
    <w:rsid w:val="00F465A5"/>
    <w:rsid w:val="00F46927"/>
    <w:rsid w:val="00F46965"/>
    <w:rsid w:val="00F46A7F"/>
    <w:rsid w:val="00F46A8D"/>
    <w:rsid w:val="00F46DAD"/>
    <w:rsid w:val="00F46EE5"/>
    <w:rsid w:val="00F46F96"/>
    <w:rsid w:val="00F470B4"/>
    <w:rsid w:val="00F47211"/>
    <w:rsid w:val="00F47281"/>
    <w:rsid w:val="00F473E5"/>
    <w:rsid w:val="00F47505"/>
    <w:rsid w:val="00F47696"/>
    <w:rsid w:val="00F476EE"/>
    <w:rsid w:val="00F478E6"/>
    <w:rsid w:val="00F47973"/>
    <w:rsid w:val="00F47A99"/>
    <w:rsid w:val="00F47AC0"/>
    <w:rsid w:val="00F47EDB"/>
    <w:rsid w:val="00F503B2"/>
    <w:rsid w:val="00F503EF"/>
    <w:rsid w:val="00F50627"/>
    <w:rsid w:val="00F50C34"/>
    <w:rsid w:val="00F50D17"/>
    <w:rsid w:val="00F511B0"/>
    <w:rsid w:val="00F515DA"/>
    <w:rsid w:val="00F515EB"/>
    <w:rsid w:val="00F516DD"/>
    <w:rsid w:val="00F51AFC"/>
    <w:rsid w:val="00F51BB3"/>
    <w:rsid w:val="00F51D6E"/>
    <w:rsid w:val="00F51DA1"/>
    <w:rsid w:val="00F51E1F"/>
    <w:rsid w:val="00F51F54"/>
    <w:rsid w:val="00F52045"/>
    <w:rsid w:val="00F522FE"/>
    <w:rsid w:val="00F5254D"/>
    <w:rsid w:val="00F526EB"/>
    <w:rsid w:val="00F5281A"/>
    <w:rsid w:val="00F52929"/>
    <w:rsid w:val="00F52AF8"/>
    <w:rsid w:val="00F52B74"/>
    <w:rsid w:val="00F52C07"/>
    <w:rsid w:val="00F52C72"/>
    <w:rsid w:val="00F52D1C"/>
    <w:rsid w:val="00F53169"/>
    <w:rsid w:val="00F53277"/>
    <w:rsid w:val="00F535B8"/>
    <w:rsid w:val="00F53607"/>
    <w:rsid w:val="00F53720"/>
    <w:rsid w:val="00F53787"/>
    <w:rsid w:val="00F538A4"/>
    <w:rsid w:val="00F539DA"/>
    <w:rsid w:val="00F54004"/>
    <w:rsid w:val="00F541C9"/>
    <w:rsid w:val="00F5446C"/>
    <w:rsid w:val="00F545F0"/>
    <w:rsid w:val="00F5463A"/>
    <w:rsid w:val="00F5468D"/>
    <w:rsid w:val="00F549D1"/>
    <w:rsid w:val="00F54A3C"/>
    <w:rsid w:val="00F54AAC"/>
    <w:rsid w:val="00F54ADB"/>
    <w:rsid w:val="00F54B10"/>
    <w:rsid w:val="00F54BF9"/>
    <w:rsid w:val="00F551E6"/>
    <w:rsid w:val="00F55204"/>
    <w:rsid w:val="00F5581A"/>
    <w:rsid w:val="00F55854"/>
    <w:rsid w:val="00F55924"/>
    <w:rsid w:val="00F55A50"/>
    <w:rsid w:val="00F55CA9"/>
    <w:rsid w:val="00F55D9F"/>
    <w:rsid w:val="00F55EFC"/>
    <w:rsid w:val="00F56014"/>
    <w:rsid w:val="00F560E3"/>
    <w:rsid w:val="00F56264"/>
    <w:rsid w:val="00F5638C"/>
    <w:rsid w:val="00F56407"/>
    <w:rsid w:val="00F56465"/>
    <w:rsid w:val="00F564AE"/>
    <w:rsid w:val="00F565B2"/>
    <w:rsid w:val="00F56756"/>
    <w:rsid w:val="00F567FB"/>
    <w:rsid w:val="00F56813"/>
    <w:rsid w:val="00F568B2"/>
    <w:rsid w:val="00F56B29"/>
    <w:rsid w:val="00F56C74"/>
    <w:rsid w:val="00F56D50"/>
    <w:rsid w:val="00F56D94"/>
    <w:rsid w:val="00F56F36"/>
    <w:rsid w:val="00F5729D"/>
    <w:rsid w:val="00F572E7"/>
    <w:rsid w:val="00F573E5"/>
    <w:rsid w:val="00F57404"/>
    <w:rsid w:val="00F57501"/>
    <w:rsid w:val="00F57935"/>
    <w:rsid w:val="00F57DAA"/>
    <w:rsid w:val="00F57EC5"/>
    <w:rsid w:val="00F603DF"/>
    <w:rsid w:val="00F60447"/>
    <w:rsid w:val="00F60472"/>
    <w:rsid w:val="00F606FC"/>
    <w:rsid w:val="00F60758"/>
    <w:rsid w:val="00F60976"/>
    <w:rsid w:val="00F60A45"/>
    <w:rsid w:val="00F60AFE"/>
    <w:rsid w:val="00F60D61"/>
    <w:rsid w:val="00F6116E"/>
    <w:rsid w:val="00F61259"/>
    <w:rsid w:val="00F61377"/>
    <w:rsid w:val="00F613E2"/>
    <w:rsid w:val="00F61521"/>
    <w:rsid w:val="00F6161C"/>
    <w:rsid w:val="00F616BF"/>
    <w:rsid w:val="00F616E7"/>
    <w:rsid w:val="00F61710"/>
    <w:rsid w:val="00F61770"/>
    <w:rsid w:val="00F61858"/>
    <w:rsid w:val="00F61AD3"/>
    <w:rsid w:val="00F61C1B"/>
    <w:rsid w:val="00F61DAF"/>
    <w:rsid w:val="00F62021"/>
    <w:rsid w:val="00F621FF"/>
    <w:rsid w:val="00F62397"/>
    <w:rsid w:val="00F6244E"/>
    <w:rsid w:val="00F625FE"/>
    <w:rsid w:val="00F62D68"/>
    <w:rsid w:val="00F62ECB"/>
    <w:rsid w:val="00F62F97"/>
    <w:rsid w:val="00F6351F"/>
    <w:rsid w:val="00F636A7"/>
    <w:rsid w:val="00F636F2"/>
    <w:rsid w:val="00F6381A"/>
    <w:rsid w:val="00F6383C"/>
    <w:rsid w:val="00F63944"/>
    <w:rsid w:val="00F63B0E"/>
    <w:rsid w:val="00F63B3C"/>
    <w:rsid w:val="00F63DF5"/>
    <w:rsid w:val="00F640FC"/>
    <w:rsid w:val="00F64265"/>
    <w:rsid w:val="00F64433"/>
    <w:rsid w:val="00F6449E"/>
    <w:rsid w:val="00F644E6"/>
    <w:rsid w:val="00F64681"/>
    <w:rsid w:val="00F647BE"/>
    <w:rsid w:val="00F648A4"/>
    <w:rsid w:val="00F64937"/>
    <w:rsid w:val="00F64CEE"/>
    <w:rsid w:val="00F64D8E"/>
    <w:rsid w:val="00F64FA4"/>
    <w:rsid w:val="00F6506C"/>
    <w:rsid w:val="00F65123"/>
    <w:rsid w:val="00F65386"/>
    <w:rsid w:val="00F653A8"/>
    <w:rsid w:val="00F653C8"/>
    <w:rsid w:val="00F654C6"/>
    <w:rsid w:val="00F6557D"/>
    <w:rsid w:val="00F658C3"/>
    <w:rsid w:val="00F65BF5"/>
    <w:rsid w:val="00F65C8F"/>
    <w:rsid w:val="00F65CD4"/>
    <w:rsid w:val="00F65E3E"/>
    <w:rsid w:val="00F65F0C"/>
    <w:rsid w:val="00F65F44"/>
    <w:rsid w:val="00F66385"/>
    <w:rsid w:val="00F66553"/>
    <w:rsid w:val="00F666AC"/>
    <w:rsid w:val="00F667BE"/>
    <w:rsid w:val="00F667F0"/>
    <w:rsid w:val="00F66809"/>
    <w:rsid w:val="00F6681E"/>
    <w:rsid w:val="00F668C2"/>
    <w:rsid w:val="00F668F1"/>
    <w:rsid w:val="00F66B51"/>
    <w:rsid w:val="00F66B7C"/>
    <w:rsid w:val="00F66C4F"/>
    <w:rsid w:val="00F66D68"/>
    <w:rsid w:val="00F66F03"/>
    <w:rsid w:val="00F66FE1"/>
    <w:rsid w:val="00F6733F"/>
    <w:rsid w:val="00F676FE"/>
    <w:rsid w:val="00F6789A"/>
    <w:rsid w:val="00F678D3"/>
    <w:rsid w:val="00F67D0B"/>
    <w:rsid w:val="00F67FD7"/>
    <w:rsid w:val="00F70058"/>
    <w:rsid w:val="00F70110"/>
    <w:rsid w:val="00F7012C"/>
    <w:rsid w:val="00F701F6"/>
    <w:rsid w:val="00F705AC"/>
    <w:rsid w:val="00F706C3"/>
    <w:rsid w:val="00F7072B"/>
    <w:rsid w:val="00F707E4"/>
    <w:rsid w:val="00F708B3"/>
    <w:rsid w:val="00F708CE"/>
    <w:rsid w:val="00F708FB"/>
    <w:rsid w:val="00F70998"/>
    <w:rsid w:val="00F70B28"/>
    <w:rsid w:val="00F70E60"/>
    <w:rsid w:val="00F70EF6"/>
    <w:rsid w:val="00F7104C"/>
    <w:rsid w:val="00F71264"/>
    <w:rsid w:val="00F716D7"/>
    <w:rsid w:val="00F718A6"/>
    <w:rsid w:val="00F718EC"/>
    <w:rsid w:val="00F71A82"/>
    <w:rsid w:val="00F71B44"/>
    <w:rsid w:val="00F71BC6"/>
    <w:rsid w:val="00F71DB1"/>
    <w:rsid w:val="00F71DB3"/>
    <w:rsid w:val="00F71DE4"/>
    <w:rsid w:val="00F71F71"/>
    <w:rsid w:val="00F72095"/>
    <w:rsid w:val="00F72300"/>
    <w:rsid w:val="00F72355"/>
    <w:rsid w:val="00F72441"/>
    <w:rsid w:val="00F724CF"/>
    <w:rsid w:val="00F7270B"/>
    <w:rsid w:val="00F729CD"/>
    <w:rsid w:val="00F72B97"/>
    <w:rsid w:val="00F72BBD"/>
    <w:rsid w:val="00F72C93"/>
    <w:rsid w:val="00F72F3C"/>
    <w:rsid w:val="00F72FDA"/>
    <w:rsid w:val="00F732AD"/>
    <w:rsid w:val="00F73376"/>
    <w:rsid w:val="00F7380B"/>
    <w:rsid w:val="00F73820"/>
    <w:rsid w:val="00F73CCA"/>
    <w:rsid w:val="00F73F78"/>
    <w:rsid w:val="00F74045"/>
    <w:rsid w:val="00F74051"/>
    <w:rsid w:val="00F7405E"/>
    <w:rsid w:val="00F74406"/>
    <w:rsid w:val="00F74426"/>
    <w:rsid w:val="00F744A8"/>
    <w:rsid w:val="00F744BD"/>
    <w:rsid w:val="00F7488F"/>
    <w:rsid w:val="00F74B28"/>
    <w:rsid w:val="00F74B67"/>
    <w:rsid w:val="00F74E4E"/>
    <w:rsid w:val="00F74EF6"/>
    <w:rsid w:val="00F74F0B"/>
    <w:rsid w:val="00F74F31"/>
    <w:rsid w:val="00F75112"/>
    <w:rsid w:val="00F7529D"/>
    <w:rsid w:val="00F75900"/>
    <w:rsid w:val="00F75935"/>
    <w:rsid w:val="00F759BB"/>
    <w:rsid w:val="00F75A94"/>
    <w:rsid w:val="00F75AE2"/>
    <w:rsid w:val="00F75C93"/>
    <w:rsid w:val="00F75DF2"/>
    <w:rsid w:val="00F75E30"/>
    <w:rsid w:val="00F760BB"/>
    <w:rsid w:val="00F76170"/>
    <w:rsid w:val="00F76185"/>
    <w:rsid w:val="00F76481"/>
    <w:rsid w:val="00F765F0"/>
    <w:rsid w:val="00F7690D"/>
    <w:rsid w:val="00F76A01"/>
    <w:rsid w:val="00F76A57"/>
    <w:rsid w:val="00F76CDE"/>
    <w:rsid w:val="00F76D71"/>
    <w:rsid w:val="00F771B7"/>
    <w:rsid w:val="00F774F9"/>
    <w:rsid w:val="00F775AE"/>
    <w:rsid w:val="00F776A2"/>
    <w:rsid w:val="00F77ACD"/>
    <w:rsid w:val="00F77C3B"/>
    <w:rsid w:val="00F77C4A"/>
    <w:rsid w:val="00F77CB0"/>
    <w:rsid w:val="00F77F44"/>
    <w:rsid w:val="00F80053"/>
    <w:rsid w:val="00F80105"/>
    <w:rsid w:val="00F8053D"/>
    <w:rsid w:val="00F808D9"/>
    <w:rsid w:val="00F8090A"/>
    <w:rsid w:val="00F80A56"/>
    <w:rsid w:val="00F80A88"/>
    <w:rsid w:val="00F80D09"/>
    <w:rsid w:val="00F80F04"/>
    <w:rsid w:val="00F80F80"/>
    <w:rsid w:val="00F8109B"/>
    <w:rsid w:val="00F815B8"/>
    <w:rsid w:val="00F81694"/>
    <w:rsid w:val="00F81747"/>
    <w:rsid w:val="00F81B93"/>
    <w:rsid w:val="00F81C1C"/>
    <w:rsid w:val="00F81C96"/>
    <w:rsid w:val="00F81D60"/>
    <w:rsid w:val="00F820A2"/>
    <w:rsid w:val="00F821AB"/>
    <w:rsid w:val="00F8227A"/>
    <w:rsid w:val="00F823F5"/>
    <w:rsid w:val="00F827AB"/>
    <w:rsid w:val="00F82962"/>
    <w:rsid w:val="00F8298D"/>
    <w:rsid w:val="00F829D7"/>
    <w:rsid w:val="00F82BA2"/>
    <w:rsid w:val="00F82F22"/>
    <w:rsid w:val="00F83041"/>
    <w:rsid w:val="00F83044"/>
    <w:rsid w:val="00F831CA"/>
    <w:rsid w:val="00F83218"/>
    <w:rsid w:val="00F8370C"/>
    <w:rsid w:val="00F8385F"/>
    <w:rsid w:val="00F83B48"/>
    <w:rsid w:val="00F83B5F"/>
    <w:rsid w:val="00F83B70"/>
    <w:rsid w:val="00F83C00"/>
    <w:rsid w:val="00F83E37"/>
    <w:rsid w:val="00F83FD4"/>
    <w:rsid w:val="00F83FD7"/>
    <w:rsid w:val="00F84201"/>
    <w:rsid w:val="00F844A2"/>
    <w:rsid w:val="00F8450D"/>
    <w:rsid w:val="00F84645"/>
    <w:rsid w:val="00F84661"/>
    <w:rsid w:val="00F8466B"/>
    <w:rsid w:val="00F8473A"/>
    <w:rsid w:val="00F849D0"/>
    <w:rsid w:val="00F84B28"/>
    <w:rsid w:val="00F84B8F"/>
    <w:rsid w:val="00F84BB1"/>
    <w:rsid w:val="00F84C50"/>
    <w:rsid w:val="00F84CB8"/>
    <w:rsid w:val="00F84EE3"/>
    <w:rsid w:val="00F85090"/>
    <w:rsid w:val="00F851BA"/>
    <w:rsid w:val="00F85228"/>
    <w:rsid w:val="00F852C0"/>
    <w:rsid w:val="00F85306"/>
    <w:rsid w:val="00F85519"/>
    <w:rsid w:val="00F85539"/>
    <w:rsid w:val="00F8555B"/>
    <w:rsid w:val="00F857A2"/>
    <w:rsid w:val="00F859E7"/>
    <w:rsid w:val="00F85AE1"/>
    <w:rsid w:val="00F85DC7"/>
    <w:rsid w:val="00F85EFA"/>
    <w:rsid w:val="00F8604A"/>
    <w:rsid w:val="00F8619C"/>
    <w:rsid w:val="00F86223"/>
    <w:rsid w:val="00F862C5"/>
    <w:rsid w:val="00F86548"/>
    <w:rsid w:val="00F865CB"/>
    <w:rsid w:val="00F86630"/>
    <w:rsid w:val="00F86CAD"/>
    <w:rsid w:val="00F86EBF"/>
    <w:rsid w:val="00F87171"/>
    <w:rsid w:val="00F871A0"/>
    <w:rsid w:val="00F87474"/>
    <w:rsid w:val="00F87893"/>
    <w:rsid w:val="00F87E82"/>
    <w:rsid w:val="00F90051"/>
    <w:rsid w:val="00F90260"/>
    <w:rsid w:val="00F9092E"/>
    <w:rsid w:val="00F90ABB"/>
    <w:rsid w:val="00F90EA7"/>
    <w:rsid w:val="00F90ED5"/>
    <w:rsid w:val="00F9100F"/>
    <w:rsid w:val="00F910C5"/>
    <w:rsid w:val="00F91148"/>
    <w:rsid w:val="00F9123D"/>
    <w:rsid w:val="00F9132A"/>
    <w:rsid w:val="00F913C6"/>
    <w:rsid w:val="00F9170D"/>
    <w:rsid w:val="00F9182A"/>
    <w:rsid w:val="00F91865"/>
    <w:rsid w:val="00F919F7"/>
    <w:rsid w:val="00F91BD8"/>
    <w:rsid w:val="00F91C53"/>
    <w:rsid w:val="00F91DDA"/>
    <w:rsid w:val="00F91E16"/>
    <w:rsid w:val="00F91E89"/>
    <w:rsid w:val="00F92138"/>
    <w:rsid w:val="00F921B3"/>
    <w:rsid w:val="00F9271B"/>
    <w:rsid w:val="00F92791"/>
    <w:rsid w:val="00F92C82"/>
    <w:rsid w:val="00F92FE3"/>
    <w:rsid w:val="00F92FEC"/>
    <w:rsid w:val="00F93024"/>
    <w:rsid w:val="00F93333"/>
    <w:rsid w:val="00F934D5"/>
    <w:rsid w:val="00F934DF"/>
    <w:rsid w:val="00F934E5"/>
    <w:rsid w:val="00F93C38"/>
    <w:rsid w:val="00F93D20"/>
    <w:rsid w:val="00F93D2A"/>
    <w:rsid w:val="00F93E3D"/>
    <w:rsid w:val="00F93E40"/>
    <w:rsid w:val="00F93F7A"/>
    <w:rsid w:val="00F940F5"/>
    <w:rsid w:val="00F940F9"/>
    <w:rsid w:val="00F942F0"/>
    <w:rsid w:val="00F94368"/>
    <w:rsid w:val="00F943A3"/>
    <w:rsid w:val="00F94628"/>
    <w:rsid w:val="00F9494C"/>
    <w:rsid w:val="00F94AD9"/>
    <w:rsid w:val="00F94B78"/>
    <w:rsid w:val="00F94C3C"/>
    <w:rsid w:val="00F94D52"/>
    <w:rsid w:val="00F94E63"/>
    <w:rsid w:val="00F94F3A"/>
    <w:rsid w:val="00F94F54"/>
    <w:rsid w:val="00F9505F"/>
    <w:rsid w:val="00F9516E"/>
    <w:rsid w:val="00F95372"/>
    <w:rsid w:val="00F95402"/>
    <w:rsid w:val="00F95414"/>
    <w:rsid w:val="00F95495"/>
    <w:rsid w:val="00F9563F"/>
    <w:rsid w:val="00F95650"/>
    <w:rsid w:val="00F956E0"/>
    <w:rsid w:val="00F95B18"/>
    <w:rsid w:val="00F961BC"/>
    <w:rsid w:val="00F9625A"/>
    <w:rsid w:val="00F962BA"/>
    <w:rsid w:val="00F962E9"/>
    <w:rsid w:val="00F96467"/>
    <w:rsid w:val="00F964AC"/>
    <w:rsid w:val="00F9684A"/>
    <w:rsid w:val="00F9689E"/>
    <w:rsid w:val="00F968E0"/>
    <w:rsid w:val="00F9694B"/>
    <w:rsid w:val="00F969C1"/>
    <w:rsid w:val="00F96BE8"/>
    <w:rsid w:val="00F96DEC"/>
    <w:rsid w:val="00F9748C"/>
    <w:rsid w:val="00F9751B"/>
    <w:rsid w:val="00F978DC"/>
    <w:rsid w:val="00F9796E"/>
    <w:rsid w:val="00F97A98"/>
    <w:rsid w:val="00F97C45"/>
    <w:rsid w:val="00F97CAD"/>
    <w:rsid w:val="00F97F28"/>
    <w:rsid w:val="00F97F2A"/>
    <w:rsid w:val="00FA06B2"/>
    <w:rsid w:val="00FA073F"/>
    <w:rsid w:val="00FA07EC"/>
    <w:rsid w:val="00FA098C"/>
    <w:rsid w:val="00FA0A5F"/>
    <w:rsid w:val="00FA0F16"/>
    <w:rsid w:val="00FA10AE"/>
    <w:rsid w:val="00FA112C"/>
    <w:rsid w:val="00FA125E"/>
    <w:rsid w:val="00FA12FC"/>
    <w:rsid w:val="00FA1317"/>
    <w:rsid w:val="00FA1525"/>
    <w:rsid w:val="00FA15C8"/>
    <w:rsid w:val="00FA16B9"/>
    <w:rsid w:val="00FA1873"/>
    <w:rsid w:val="00FA1AA2"/>
    <w:rsid w:val="00FA1EBD"/>
    <w:rsid w:val="00FA24B5"/>
    <w:rsid w:val="00FA24D7"/>
    <w:rsid w:val="00FA25F8"/>
    <w:rsid w:val="00FA2818"/>
    <w:rsid w:val="00FA2B30"/>
    <w:rsid w:val="00FA2BEF"/>
    <w:rsid w:val="00FA2C84"/>
    <w:rsid w:val="00FA2D86"/>
    <w:rsid w:val="00FA2DD1"/>
    <w:rsid w:val="00FA2DFA"/>
    <w:rsid w:val="00FA2EE7"/>
    <w:rsid w:val="00FA30D6"/>
    <w:rsid w:val="00FA3362"/>
    <w:rsid w:val="00FA348C"/>
    <w:rsid w:val="00FA34A0"/>
    <w:rsid w:val="00FA34AA"/>
    <w:rsid w:val="00FA39AB"/>
    <w:rsid w:val="00FA3DB2"/>
    <w:rsid w:val="00FA3E35"/>
    <w:rsid w:val="00FA3F0D"/>
    <w:rsid w:val="00FA3F9A"/>
    <w:rsid w:val="00FA40D2"/>
    <w:rsid w:val="00FA41A8"/>
    <w:rsid w:val="00FA44CC"/>
    <w:rsid w:val="00FA4889"/>
    <w:rsid w:val="00FA48E5"/>
    <w:rsid w:val="00FA49C8"/>
    <w:rsid w:val="00FA4A28"/>
    <w:rsid w:val="00FA4FB7"/>
    <w:rsid w:val="00FA5036"/>
    <w:rsid w:val="00FA50CB"/>
    <w:rsid w:val="00FA50D1"/>
    <w:rsid w:val="00FA5143"/>
    <w:rsid w:val="00FA514C"/>
    <w:rsid w:val="00FA5507"/>
    <w:rsid w:val="00FA55A1"/>
    <w:rsid w:val="00FA5724"/>
    <w:rsid w:val="00FA577B"/>
    <w:rsid w:val="00FA57A6"/>
    <w:rsid w:val="00FA5A1F"/>
    <w:rsid w:val="00FA5A6B"/>
    <w:rsid w:val="00FA5AB7"/>
    <w:rsid w:val="00FA5B68"/>
    <w:rsid w:val="00FA5FA8"/>
    <w:rsid w:val="00FA602B"/>
    <w:rsid w:val="00FA612F"/>
    <w:rsid w:val="00FA62E6"/>
    <w:rsid w:val="00FA6397"/>
    <w:rsid w:val="00FA6748"/>
    <w:rsid w:val="00FA6861"/>
    <w:rsid w:val="00FA689D"/>
    <w:rsid w:val="00FA6B5C"/>
    <w:rsid w:val="00FA6BCB"/>
    <w:rsid w:val="00FA6C4E"/>
    <w:rsid w:val="00FA6D38"/>
    <w:rsid w:val="00FA6DC0"/>
    <w:rsid w:val="00FA6EC6"/>
    <w:rsid w:val="00FA7150"/>
    <w:rsid w:val="00FA725A"/>
    <w:rsid w:val="00FA746B"/>
    <w:rsid w:val="00FA7491"/>
    <w:rsid w:val="00FA751E"/>
    <w:rsid w:val="00FA7637"/>
    <w:rsid w:val="00FA7D22"/>
    <w:rsid w:val="00FA7FD5"/>
    <w:rsid w:val="00FB00EF"/>
    <w:rsid w:val="00FB02B3"/>
    <w:rsid w:val="00FB02D7"/>
    <w:rsid w:val="00FB046D"/>
    <w:rsid w:val="00FB06D8"/>
    <w:rsid w:val="00FB074C"/>
    <w:rsid w:val="00FB0AD8"/>
    <w:rsid w:val="00FB0BB4"/>
    <w:rsid w:val="00FB0C7A"/>
    <w:rsid w:val="00FB0F6A"/>
    <w:rsid w:val="00FB10F2"/>
    <w:rsid w:val="00FB1327"/>
    <w:rsid w:val="00FB1781"/>
    <w:rsid w:val="00FB17C0"/>
    <w:rsid w:val="00FB18E8"/>
    <w:rsid w:val="00FB197F"/>
    <w:rsid w:val="00FB1BB8"/>
    <w:rsid w:val="00FB1DC3"/>
    <w:rsid w:val="00FB1DE5"/>
    <w:rsid w:val="00FB1E2F"/>
    <w:rsid w:val="00FB1F32"/>
    <w:rsid w:val="00FB218F"/>
    <w:rsid w:val="00FB256A"/>
    <w:rsid w:val="00FB263B"/>
    <w:rsid w:val="00FB280B"/>
    <w:rsid w:val="00FB2C83"/>
    <w:rsid w:val="00FB2FB3"/>
    <w:rsid w:val="00FB3155"/>
    <w:rsid w:val="00FB36C5"/>
    <w:rsid w:val="00FB38BD"/>
    <w:rsid w:val="00FB42BB"/>
    <w:rsid w:val="00FB45C2"/>
    <w:rsid w:val="00FB46C4"/>
    <w:rsid w:val="00FB48AF"/>
    <w:rsid w:val="00FB4BEC"/>
    <w:rsid w:val="00FB4DBB"/>
    <w:rsid w:val="00FB5019"/>
    <w:rsid w:val="00FB5095"/>
    <w:rsid w:val="00FB5281"/>
    <w:rsid w:val="00FB5361"/>
    <w:rsid w:val="00FB53A2"/>
    <w:rsid w:val="00FB5574"/>
    <w:rsid w:val="00FB55F8"/>
    <w:rsid w:val="00FB589A"/>
    <w:rsid w:val="00FB58C4"/>
    <w:rsid w:val="00FB5AFB"/>
    <w:rsid w:val="00FB5CBF"/>
    <w:rsid w:val="00FB5FED"/>
    <w:rsid w:val="00FB60F7"/>
    <w:rsid w:val="00FB62CF"/>
    <w:rsid w:val="00FB6422"/>
    <w:rsid w:val="00FB642C"/>
    <w:rsid w:val="00FB67F9"/>
    <w:rsid w:val="00FB6935"/>
    <w:rsid w:val="00FB7100"/>
    <w:rsid w:val="00FB7173"/>
    <w:rsid w:val="00FB72F1"/>
    <w:rsid w:val="00FB753D"/>
    <w:rsid w:val="00FB78B5"/>
    <w:rsid w:val="00FB7950"/>
    <w:rsid w:val="00FB7D56"/>
    <w:rsid w:val="00FB7E0A"/>
    <w:rsid w:val="00FC0472"/>
    <w:rsid w:val="00FC0781"/>
    <w:rsid w:val="00FC08D5"/>
    <w:rsid w:val="00FC0A10"/>
    <w:rsid w:val="00FC0AC2"/>
    <w:rsid w:val="00FC0ADA"/>
    <w:rsid w:val="00FC0C55"/>
    <w:rsid w:val="00FC0CB1"/>
    <w:rsid w:val="00FC0E12"/>
    <w:rsid w:val="00FC1090"/>
    <w:rsid w:val="00FC10C3"/>
    <w:rsid w:val="00FC1143"/>
    <w:rsid w:val="00FC1165"/>
    <w:rsid w:val="00FC17C5"/>
    <w:rsid w:val="00FC1A73"/>
    <w:rsid w:val="00FC1CB9"/>
    <w:rsid w:val="00FC1DCF"/>
    <w:rsid w:val="00FC1E5A"/>
    <w:rsid w:val="00FC1F46"/>
    <w:rsid w:val="00FC1F59"/>
    <w:rsid w:val="00FC2108"/>
    <w:rsid w:val="00FC2168"/>
    <w:rsid w:val="00FC2793"/>
    <w:rsid w:val="00FC2AC1"/>
    <w:rsid w:val="00FC2DCE"/>
    <w:rsid w:val="00FC2E42"/>
    <w:rsid w:val="00FC3133"/>
    <w:rsid w:val="00FC32B5"/>
    <w:rsid w:val="00FC33A3"/>
    <w:rsid w:val="00FC33D4"/>
    <w:rsid w:val="00FC33E4"/>
    <w:rsid w:val="00FC3430"/>
    <w:rsid w:val="00FC34AC"/>
    <w:rsid w:val="00FC3829"/>
    <w:rsid w:val="00FC3AD5"/>
    <w:rsid w:val="00FC3AEA"/>
    <w:rsid w:val="00FC3D3D"/>
    <w:rsid w:val="00FC3FAA"/>
    <w:rsid w:val="00FC40B9"/>
    <w:rsid w:val="00FC413F"/>
    <w:rsid w:val="00FC418A"/>
    <w:rsid w:val="00FC424F"/>
    <w:rsid w:val="00FC42E9"/>
    <w:rsid w:val="00FC4413"/>
    <w:rsid w:val="00FC45E3"/>
    <w:rsid w:val="00FC4C07"/>
    <w:rsid w:val="00FC4C4D"/>
    <w:rsid w:val="00FC4EEE"/>
    <w:rsid w:val="00FC4F1B"/>
    <w:rsid w:val="00FC5135"/>
    <w:rsid w:val="00FC569A"/>
    <w:rsid w:val="00FC5739"/>
    <w:rsid w:val="00FC57B8"/>
    <w:rsid w:val="00FC57C9"/>
    <w:rsid w:val="00FC5931"/>
    <w:rsid w:val="00FC5936"/>
    <w:rsid w:val="00FC597B"/>
    <w:rsid w:val="00FC5B42"/>
    <w:rsid w:val="00FC5F95"/>
    <w:rsid w:val="00FC6206"/>
    <w:rsid w:val="00FC628D"/>
    <w:rsid w:val="00FC633A"/>
    <w:rsid w:val="00FC63E3"/>
    <w:rsid w:val="00FC656C"/>
    <w:rsid w:val="00FC669E"/>
    <w:rsid w:val="00FC66FC"/>
    <w:rsid w:val="00FC6B17"/>
    <w:rsid w:val="00FC6C07"/>
    <w:rsid w:val="00FC6C93"/>
    <w:rsid w:val="00FC6CC5"/>
    <w:rsid w:val="00FC6D0C"/>
    <w:rsid w:val="00FC73C2"/>
    <w:rsid w:val="00FC7481"/>
    <w:rsid w:val="00FC7810"/>
    <w:rsid w:val="00FC7887"/>
    <w:rsid w:val="00FC79D8"/>
    <w:rsid w:val="00FD00D1"/>
    <w:rsid w:val="00FD0124"/>
    <w:rsid w:val="00FD040A"/>
    <w:rsid w:val="00FD045B"/>
    <w:rsid w:val="00FD0587"/>
    <w:rsid w:val="00FD05F3"/>
    <w:rsid w:val="00FD07BE"/>
    <w:rsid w:val="00FD07DE"/>
    <w:rsid w:val="00FD0A02"/>
    <w:rsid w:val="00FD0A7D"/>
    <w:rsid w:val="00FD0BA8"/>
    <w:rsid w:val="00FD0C2A"/>
    <w:rsid w:val="00FD0D6C"/>
    <w:rsid w:val="00FD0DC0"/>
    <w:rsid w:val="00FD0F28"/>
    <w:rsid w:val="00FD0FD1"/>
    <w:rsid w:val="00FD1125"/>
    <w:rsid w:val="00FD114C"/>
    <w:rsid w:val="00FD1283"/>
    <w:rsid w:val="00FD12AD"/>
    <w:rsid w:val="00FD1467"/>
    <w:rsid w:val="00FD1472"/>
    <w:rsid w:val="00FD14FA"/>
    <w:rsid w:val="00FD1719"/>
    <w:rsid w:val="00FD1952"/>
    <w:rsid w:val="00FD19FF"/>
    <w:rsid w:val="00FD1FE1"/>
    <w:rsid w:val="00FD205D"/>
    <w:rsid w:val="00FD2235"/>
    <w:rsid w:val="00FD235C"/>
    <w:rsid w:val="00FD23A4"/>
    <w:rsid w:val="00FD25A9"/>
    <w:rsid w:val="00FD2646"/>
    <w:rsid w:val="00FD282B"/>
    <w:rsid w:val="00FD288E"/>
    <w:rsid w:val="00FD297F"/>
    <w:rsid w:val="00FD2BE0"/>
    <w:rsid w:val="00FD2EDD"/>
    <w:rsid w:val="00FD315C"/>
    <w:rsid w:val="00FD341F"/>
    <w:rsid w:val="00FD35A6"/>
    <w:rsid w:val="00FD37DF"/>
    <w:rsid w:val="00FD3ABD"/>
    <w:rsid w:val="00FD3B8C"/>
    <w:rsid w:val="00FD3D03"/>
    <w:rsid w:val="00FD3D3D"/>
    <w:rsid w:val="00FD3DD8"/>
    <w:rsid w:val="00FD3F18"/>
    <w:rsid w:val="00FD41C6"/>
    <w:rsid w:val="00FD41EB"/>
    <w:rsid w:val="00FD4332"/>
    <w:rsid w:val="00FD45F5"/>
    <w:rsid w:val="00FD476B"/>
    <w:rsid w:val="00FD4BEE"/>
    <w:rsid w:val="00FD4E71"/>
    <w:rsid w:val="00FD4FA2"/>
    <w:rsid w:val="00FD5368"/>
    <w:rsid w:val="00FD53DF"/>
    <w:rsid w:val="00FD5442"/>
    <w:rsid w:val="00FD5611"/>
    <w:rsid w:val="00FD56A5"/>
    <w:rsid w:val="00FD593B"/>
    <w:rsid w:val="00FD59B7"/>
    <w:rsid w:val="00FD5AA2"/>
    <w:rsid w:val="00FD5AF3"/>
    <w:rsid w:val="00FD5AFC"/>
    <w:rsid w:val="00FD5B6F"/>
    <w:rsid w:val="00FD5D14"/>
    <w:rsid w:val="00FD5D2C"/>
    <w:rsid w:val="00FD62AB"/>
    <w:rsid w:val="00FD641F"/>
    <w:rsid w:val="00FD6482"/>
    <w:rsid w:val="00FD66A1"/>
    <w:rsid w:val="00FD691E"/>
    <w:rsid w:val="00FD693E"/>
    <w:rsid w:val="00FD6B34"/>
    <w:rsid w:val="00FD6B68"/>
    <w:rsid w:val="00FD6CE3"/>
    <w:rsid w:val="00FD6CEC"/>
    <w:rsid w:val="00FD6F36"/>
    <w:rsid w:val="00FD6F96"/>
    <w:rsid w:val="00FD7011"/>
    <w:rsid w:val="00FD7174"/>
    <w:rsid w:val="00FD71A1"/>
    <w:rsid w:val="00FD724C"/>
    <w:rsid w:val="00FD74EC"/>
    <w:rsid w:val="00FD7708"/>
    <w:rsid w:val="00FD788F"/>
    <w:rsid w:val="00FD7E30"/>
    <w:rsid w:val="00FD7F8C"/>
    <w:rsid w:val="00FD7FC6"/>
    <w:rsid w:val="00FE0079"/>
    <w:rsid w:val="00FE027C"/>
    <w:rsid w:val="00FE0583"/>
    <w:rsid w:val="00FE05AD"/>
    <w:rsid w:val="00FE0899"/>
    <w:rsid w:val="00FE0953"/>
    <w:rsid w:val="00FE0A28"/>
    <w:rsid w:val="00FE0B47"/>
    <w:rsid w:val="00FE0CF1"/>
    <w:rsid w:val="00FE0FFD"/>
    <w:rsid w:val="00FE1053"/>
    <w:rsid w:val="00FE1074"/>
    <w:rsid w:val="00FE10F7"/>
    <w:rsid w:val="00FE1268"/>
    <w:rsid w:val="00FE1340"/>
    <w:rsid w:val="00FE142E"/>
    <w:rsid w:val="00FE155D"/>
    <w:rsid w:val="00FE21BF"/>
    <w:rsid w:val="00FE22D0"/>
    <w:rsid w:val="00FE23F6"/>
    <w:rsid w:val="00FE25DB"/>
    <w:rsid w:val="00FE261D"/>
    <w:rsid w:val="00FE2B50"/>
    <w:rsid w:val="00FE2C10"/>
    <w:rsid w:val="00FE2C17"/>
    <w:rsid w:val="00FE2C5C"/>
    <w:rsid w:val="00FE2EBE"/>
    <w:rsid w:val="00FE2F69"/>
    <w:rsid w:val="00FE3102"/>
    <w:rsid w:val="00FE320A"/>
    <w:rsid w:val="00FE332D"/>
    <w:rsid w:val="00FE3414"/>
    <w:rsid w:val="00FE3837"/>
    <w:rsid w:val="00FE3884"/>
    <w:rsid w:val="00FE3A51"/>
    <w:rsid w:val="00FE3AD5"/>
    <w:rsid w:val="00FE45B3"/>
    <w:rsid w:val="00FE45DF"/>
    <w:rsid w:val="00FE4606"/>
    <w:rsid w:val="00FE46E2"/>
    <w:rsid w:val="00FE46F1"/>
    <w:rsid w:val="00FE48B7"/>
    <w:rsid w:val="00FE48E4"/>
    <w:rsid w:val="00FE492A"/>
    <w:rsid w:val="00FE4A47"/>
    <w:rsid w:val="00FE4AB6"/>
    <w:rsid w:val="00FE4C80"/>
    <w:rsid w:val="00FE4D87"/>
    <w:rsid w:val="00FE4E50"/>
    <w:rsid w:val="00FE4E5B"/>
    <w:rsid w:val="00FE4FD7"/>
    <w:rsid w:val="00FE53A6"/>
    <w:rsid w:val="00FE54CA"/>
    <w:rsid w:val="00FE5937"/>
    <w:rsid w:val="00FE5997"/>
    <w:rsid w:val="00FE6032"/>
    <w:rsid w:val="00FE60DD"/>
    <w:rsid w:val="00FE6219"/>
    <w:rsid w:val="00FE6263"/>
    <w:rsid w:val="00FE6370"/>
    <w:rsid w:val="00FE643B"/>
    <w:rsid w:val="00FE655D"/>
    <w:rsid w:val="00FE68E9"/>
    <w:rsid w:val="00FE6B96"/>
    <w:rsid w:val="00FE6E49"/>
    <w:rsid w:val="00FE75F2"/>
    <w:rsid w:val="00FE7654"/>
    <w:rsid w:val="00FE7785"/>
    <w:rsid w:val="00FE7867"/>
    <w:rsid w:val="00FE7881"/>
    <w:rsid w:val="00FE797D"/>
    <w:rsid w:val="00FE79F0"/>
    <w:rsid w:val="00FE7A6C"/>
    <w:rsid w:val="00FF009E"/>
    <w:rsid w:val="00FF00D1"/>
    <w:rsid w:val="00FF01FE"/>
    <w:rsid w:val="00FF03C1"/>
    <w:rsid w:val="00FF050C"/>
    <w:rsid w:val="00FF05AE"/>
    <w:rsid w:val="00FF0656"/>
    <w:rsid w:val="00FF072F"/>
    <w:rsid w:val="00FF0AE9"/>
    <w:rsid w:val="00FF0D90"/>
    <w:rsid w:val="00FF0D92"/>
    <w:rsid w:val="00FF0F13"/>
    <w:rsid w:val="00FF0F29"/>
    <w:rsid w:val="00FF122D"/>
    <w:rsid w:val="00FF1327"/>
    <w:rsid w:val="00FF13B0"/>
    <w:rsid w:val="00FF1644"/>
    <w:rsid w:val="00FF16F5"/>
    <w:rsid w:val="00FF1914"/>
    <w:rsid w:val="00FF1A37"/>
    <w:rsid w:val="00FF1CB2"/>
    <w:rsid w:val="00FF1F68"/>
    <w:rsid w:val="00FF2064"/>
    <w:rsid w:val="00FF215F"/>
    <w:rsid w:val="00FF2448"/>
    <w:rsid w:val="00FF2622"/>
    <w:rsid w:val="00FF27F7"/>
    <w:rsid w:val="00FF2A28"/>
    <w:rsid w:val="00FF306C"/>
    <w:rsid w:val="00FF30CC"/>
    <w:rsid w:val="00FF32FB"/>
    <w:rsid w:val="00FF359F"/>
    <w:rsid w:val="00FF380C"/>
    <w:rsid w:val="00FF38B3"/>
    <w:rsid w:val="00FF396C"/>
    <w:rsid w:val="00FF44E1"/>
    <w:rsid w:val="00FF4770"/>
    <w:rsid w:val="00FF4795"/>
    <w:rsid w:val="00FF4865"/>
    <w:rsid w:val="00FF4895"/>
    <w:rsid w:val="00FF4901"/>
    <w:rsid w:val="00FF4A81"/>
    <w:rsid w:val="00FF4A90"/>
    <w:rsid w:val="00FF4AD5"/>
    <w:rsid w:val="00FF4C31"/>
    <w:rsid w:val="00FF5069"/>
    <w:rsid w:val="00FF525C"/>
    <w:rsid w:val="00FF5933"/>
    <w:rsid w:val="00FF596E"/>
    <w:rsid w:val="00FF5E77"/>
    <w:rsid w:val="00FF604F"/>
    <w:rsid w:val="00FF676F"/>
    <w:rsid w:val="00FF685A"/>
    <w:rsid w:val="00FF68EE"/>
    <w:rsid w:val="00FF6A15"/>
    <w:rsid w:val="00FF6B2C"/>
    <w:rsid w:val="00FF6B79"/>
    <w:rsid w:val="00FF6C5E"/>
    <w:rsid w:val="00FF6D11"/>
    <w:rsid w:val="00FF6D30"/>
    <w:rsid w:val="00FF6F91"/>
    <w:rsid w:val="00FF7078"/>
    <w:rsid w:val="00FF732F"/>
    <w:rsid w:val="00FF74C4"/>
    <w:rsid w:val="00FF77F4"/>
    <w:rsid w:val="00FF7AE6"/>
    <w:rsid w:val="00FF7F74"/>
    <w:rsid w:val="0117F3B7"/>
    <w:rsid w:val="01279EA7"/>
    <w:rsid w:val="01317F55"/>
    <w:rsid w:val="013BFD40"/>
    <w:rsid w:val="015EF355"/>
    <w:rsid w:val="01A47C3A"/>
    <w:rsid w:val="01A53E49"/>
    <w:rsid w:val="020A4DD0"/>
    <w:rsid w:val="021B39BD"/>
    <w:rsid w:val="023D3D69"/>
    <w:rsid w:val="02A2F3DD"/>
    <w:rsid w:val="02AB2C2C"/>
    <w:rsid w:val="02BEECF5"/>
    <w:rsid w:val="02FE1B4B"/>
    <w:rsid w:val="03670BBF"/>
    <w:rsid w:val="0378D48B"/>
    <w:rsid w:val="037B4935"/>
    <w:rsid w:val="039076A3"/>
    <w:rsid w:val="03A593C7"/>
    <w:rsid w:val="03ABC137"/>
    <w:rsid w:val="03AC7229"/>
    <w:rsid w:val="03B9E48B"/>
    <w:rsid w:val="03D0AFBC"/>
    <w:rsid w:val="03F0A841"/>
    <w:rsid w:val="0409B055"/>
    <w:rsid w:val="042FB136"/>
    <w:rsid w:val="0446FC8D"/>
    <w:rsid w:val="0448D993"/>
    <w:rsid w:val="04AFC083"/>
    <w:rsid w:val="04CB7B3F"/>
    <w:rsid w:val="0504F9EB"/>
    <w:rsid w:val="0526CF46"/>
    <w:rsid w:val="052A4EC6"/>
    <w:rsid w:val="0531E325"/>
    <w:rsid w:val="05585D56"/>
    <w:rsid w:val="056583B1"/>
    <w:rsid w:val="056B05C2"/>
    <w:rsid w:val="05BCA17E"/>
    <w:rsid w:val="05C104B7"/>
    <w:rsid w:val="05D29DC9"/>
    <w:rsid w:val="0603D097"/>
    <w:rsid w:val="0613653F"/>
    <w:rsid w:val="06891A9E"/>
    <w:rsid w:val="06960F82"/>
    <w:rsid w:val="069CC0CB"/>
    <w:rsid w:val="06A89997"/>
    <w:rsid w:val="06B31FE0"/>
    <w:rsid w:val="06B74CEA"/>
    <w:rsid w:val="07B9EC48"/>
    <w:rsid w:val="08424812"/>
    <w:rsid w:val="08697831"/>
    <w:rsid w:val="08A420DF"/>
    <w:rsid w:val="08A741DC"/>
    <w:rsid w:val="08AB9029"/>
    <w:rsid w:val="08CB5763"/>
    <w:rsid w:val="08CCBDD8"/>
    <w:rsid w:val="08FCBC13"/>
    <w:rsid w:val="090BC2C6"/>
    <w:rsid w:val="09533D80"/>
    <w:rsid w:val="09541BD3"/>
    <w:rsid w:val="095A9C16"/>
    <w:rsid w:val="0977D538"/>
    <w:rsid w:val="09A308C1"/>
    <w:rsid w:val="09AA771E"/>
    <w:rsid w:val="09DB235C"/>
    <w:rsid w:val="09F6BC20"/>
    <w:rsid w:val="0A37CC0E"/>
    <w:rsid w:val="0A576450"/>
    <w:rsid w:val="0A7EF5D9"/>
    <w:rsid w:val="0AAE6F56"/>
    <w:rsid w:val="0AB024CF"/>
    <w:rsid w:val="0AB72C56"/>
    <w:rsid w:val="0ABB7065"/>
    <w:rsid w:val="0AFB3624"/>
    <w:rsid w:val="0B102A22"/>
    <w:rsid w:val="0B37391C"/>
    <w:rsid w:val="0B399553"/>
    <w:rsid w:val="0B3B9903"/>
    <w:rsid w:val="0B6DC69E"/>
    <w:rsid w:val="0B87C932"/>
    <w:rsid w:val="0BCABA91"/>
    <w:rsid w:val="0BD41230"/>
    <w:rsid w:val="0BE42D0A"/>
    <w:rsid w:val="0BEA0100"/>
    <w:rsid w:val="0C0175E2"/>
    <w:rsid w:val="0C5CDC05"/>
    <w:rsid w:val="0C8BBC95"/>
    <w:rsid w:val="0CA3C448"/>
    <w:rsid w:val="0CF97424"/>
    <w:rsid w:val="0D0BE02C"/>
    <w:rsid w:val="0D83634E"/>
    <w:rsid w:val="0DF15E10"/>
    <w:rsid w:val="0DFF181A"/>
    <w:rsid w:val="0E0F83FB"/>
    <w:rsid w:val="0E173B81"/>
    <w:rsid w:val="0E3975AF"/>
    <w:rsid w:val="0E3AA715"/>
    <w:rsid w:val="0E5636A8"/>
    <w:rsid w:val="0E58AF26"/>
    <w:rsid w:val="0EB5E573"/>
    <w:rsid w:val="0EDF49F4"/>
    <w:rsid w:val="0EE98D9E"/>
    <w:rsid w:val="0EF16D7F"/>
    <w:rsid w:val="0F01ACB6"/>
    <w:rsid w:val="0F41C9E3"/>
    <w:rsid w:val="0F4C2CF8"/>
    <w:rsid w:val="0F4ECFF3"/>
    <w:rsid w:val="0FC67EEB"/>
    <w:rsid w:val="0FE3DBE7"/>
    <w:rsid w:val="0FF39DB4"/>
    <w:rsid w:val="101D778A"/>
    <w:rsid w:val="1022B7E9"/>
    <w:rsid w:val="10390F9E"/>
    <w:rsid w:val="103DE4E8"/>
    <w:rsid w:val="1066CEDE"/>
    <w:rsid w:val="106AA32A"/>
    <w:rsid w:val="1080A5D8"/>
    <w:rsid w:val="10BB451A"/>
    <w:rsid w:val="10BC4227"/>
    <w:rsid w:val="11574032"/>
    <w:rsid w:val="11BDADF2"/>
    <w:rsid w:val="11CD0695"/>
    <w:rsid w:val="121F3D43"/>
    <w:rsid w:val="123DAA33"/>
    <w:rsid w:val="129C023E"/>
    <w:rsid w:val="12F1BCCA"/>
    <w:rsid w:val="131187C3"/>
    <w:rsid w:val="131529AA"/>
    <w:rsid w:val="132974D2"/>
    <w:rsid w:val="132BB8D9"/>
    <w:rsid w:val="13387B76"/>
    <w:rsid w:val="135B1CEB"/>
    <w:rsid w:val="13846164"/>
    <w:rsid w:val="1386DE38"/>
    <w:rsid w:val="13972408"/>
    <w:rsid w:val="139F7CF8"/>
    <w:rsid w:val="13CF9B30"/>
    <w:rsid w:val="13DB51D9"/>
    <w:rsid w:val="142CCFB8"/>
    <w:rsid w:val="14304FE1"/>
    <w:rsid w:val="1434D8D0"/>
    <w:rsid w:val="14437037"/>
    <w:rsid w:val="14A80B93"/>
    <w:rsid w:val="14D175BA"/>
    <w:rsid w:val="14DEB42B"/>
    <w:rsid w:val="14FDD572"/>
    <w:rsid w:val="153B2B9C"/>
    <w:rsid w:val="15997016"/>
    <w:rsid w:val="15A726A4"/>
    <w:rsid w:val="15A895BF"/>
    <w:rsid w:val="1607D97B"/>
    <w:rsid w:val="16376C9B"/>
    <w:rsid w:val="16455941"/>
    <w:rsid w:val="165C30F1"/>
    <w:rsid w:val="167F3FEE"/>
    <w:rsid w:val="16871E26"/>
    <w:rsid w:val="168EBB9C"/>
    <w:rsid w:val="169349C3"/>
    <w:rsid w:val="16DF17C6"/>
    <w:rsid w:val="16F498B2"/>
    <w:rsid w:val="1751AFC6"/>
    <w:rsid w:val="175D9942"/>
    <w:rsid w:val="1770CECE"/>
    <w:rsid w:val="17A60637"/>
    <w:rsid w:val="17AE45CE"/>
    <w:rsid w:val="18434A08"/>
    <w:rsid w:val="18598AA2"/>
    <w:rsid w:val="185AABFD"/>
    <w:rsid w:val="185CA43B"/>
    <w:rsid w:val="189A7BDD"/>
    <w:rsid w:val="18F67A23"/>
    <w:rsid w:val="1910AC51"/>
    <w:rsid w:val="191A5496"/>
    <w:rsid w:val="192719F7"/>
    <w:rsid w:val="192B1722"/>
    <w:rsid w:val="1941F652"/>
    <w:rsid w:val="1975CC22"/>
    <w:rsid w:val="198A3156"/>
    <w:rsid w:val="19B200B0"/>
    <w:rsid w:val="19BDF1A8"/>
    <w:rsid w:val="19D026C9"/>
    <w:rsid w:val="1A134ED1"/>
    <w:rsid w:val="1A37939F"/>
    <w:rsid w:val="1A5B4AA1"/>
    <w:rsid w:val="1A83FD28"/>
    <w:rsid w:val="1A981AAB"/>
    <w:rsid w:val="1AC565B4"/>
    <w:rsid w:val="1AF9F235"/>
    <w:rsid w:val="1B05D3A7"/>
    <w:rsid w:val="1B23FA1A"/>
    <w:rsid w:val="1B3EBB8A"/>
    <w:rsid w:val="1B3F9A6D"/>
    <w:rsid w:val="1B485DA2"/>
    <w:rsid w:val="1B539089"/>
    <w:rsid w:val="1B6F6AEA"/>
    <w:rsid w:val="1B73B8E9"/>
    <w:rsid w:val="1BBF2505"/>
    <w:rsid w:val="1BCACFBB"/>
    <w:rsid w:val="1BD54352"/>
    <w:rsid w:val="1BD7C49E"/>
    <w:rsid w:val="1BE15758"/>
    <w:rsid w:val="1BF0F8CD"/>
    <w:rsid w:val="1C246276"/>
    <w:rsid w:val="1C24EE54"/>
    <w:rsid w:val="1C53F2EA"/>
    <w:rsid w:val="1C7A0F0F"/>
    <w:rsid w:val="1C86D4AD"/>
    <w:rsid w:val="1C942959"/>
    <w:rsid w:val="1CFAAC9F"/>
    <w:rsid w:val="1D0295C3"/>
    <w:rsid w:val="1D07639C"/>
    <w:rsid w:val="1D2EA2E8"/>
    <w:rsid w:val="1D376DC5"/>
    <w:rsid w:val="1D5444C1"/>
    <w:rsid w:val="1DCCC311"/>
    <w:rsid w:val="1DF5D65E"/>
    <w:rsid w:val="1DFD32EF"/>
    <w:rsid w:val="1E0BF023"/>
    <w:rsid w:val="1E21E7B8"/>
    <w:rsid w:val="1E3B6749"/>
    <w:rsid w:val="1E46E262"/>
    <w:rsid w:val="1E87F40B"/>
    <w:rsid w:val="1E899243"/>
    <w:rsid w:val="1E93AC81"/>
    <w:rsid w:val="1EB84830"/>
    <w:rsid w:val="1ED4BCF5"/>
    <w:rsid w:val="1F0EC193"/>
    <w:rsid w:val="1F129DE8"/>
    <w:rsid w:val="1F17D530"/>
    <w:rsid w:val="1F446FCD"/>
    <w:rsid w:val="1F53B9CD"/>
    <w:rsid w:val="1F9591F3"/>
    <w:rsid w:val="1FDE0C6B"/>
    <w:rsid w:val="1FE1DEEE"/>
    <w:rsid w:val="1FEAAE89"/>
    <w:rsid w:val="2047015C"/>
    <w:rsid w:val="205437F4"/>
    <w:rsid w:val="206C1F85"/>
    <w:rsid w:val="2092FAE5"/>
    <w:rsid w:val="210A51DD"/>
    <w:rsid w:val="2118FEBC"/>
    <w:rsid w:val="213B93AC"/>
    <w:rsid w:val="215B7913"/>
    <w:rsid w:val="21641C44"/>
    <w:rsid w:val="218CB4A9"/>
    <w:rsid w:val="21A622DA"/>
    <w:rsid w:val="21E4B03D"/>
    <w:rsid w:val="225B4BBF"/>
    <w:rsid w:val="227AF669"/>
    <w:rsid w:val="227CE0F5"/>
    <w:rsid w:val="227DF6B0"/>
    <w:rsid w:val="2296EB75"/>
    <w:rsid w:val="229AD45A"/>
    <w:rsid w:val="22A2F4B3"/>
    <w:rsid w:val="22B89994"/>
    <w:rsid w:val="22EBFB00"/>
    <w:rsid w:val="237F8147"/>
    <w:rsid w:val="23BC48CD"/>
    <w:rsid w:val="23DE8CB5"/>
    <w:rsid w:val="23F5F408"/>
    <w:rsid w:val="242D3756"/>
    <w:rsid w:val="24A1DF34"/>
    <w:rsid w:val="24DEA061"/>
    <w:rsid w:val="24F8ADA9"/>
    <w:rsid w:val="250B8BA5"/>
    <w:rsid w:val="25205365"/>
    <w:rsid w:val="253AA823"/>
    <w:rsid w:val="253BB3C7"/>
    <w:rsid w:val="2549B1DD"/>
    <w:rsid w:val="2578B860"/>
    <w:rsid w:val="258A4AD3"/>
    <w:rsid w:val="25A8323B"/>
    <w:rsid w:val="25BDEF40"/>
    <w:rsid w:val="25C7720C"/>
    <w:rsid w:val="25CB84C4"/>
    <w:rsid w:val="2645D8E0"/>
    <w:rsid w:val="26472D13"/>
    <w:rsid w:val="2649A3FA"/>
    <w:rsid w:val="268DD00E"/>
    <w:rsid w:val="26E320A4"/>
    <w:rsid w:val="271559E5"/>
    <w:rsid w:val="274DC2B1"/>
    <w:rsid w:val="27C40BAD"/>
    <w:rsid w:val="27F28EB2"/>
    <w:rsid w:val="2801B733"/>
    <w:rsid w:val="28051133"/>
    <w:rsid w:val="284F5212"/>
    <w:rsid w:val="285613D3"/>
    <w:rsid w:val="28C98142"/>
    <w:rsid w:val="2913258F"/>
    <w:rsid w:val="291A98EC"/>
    <w:rsid w:val="2926D01B"/>
    <w:rsid w:val="2944AF98"/>
    <w:rsid w:val="298C692D"/>
    <w:rsid w:val="29B4CB89"/>
    <w:rsid w:val="29CD8A06"/>
    <w:rsid w:val="2A24FE13"/>
    <w:rsid w:val="2A2DB1C2"/>
    <w:rsid w:val="2A8134BE"/>
    <w:rsid w:val="2ACDA2DB"/>
    <w:rsid w:val="2AD35F4B"/>
    <w:rsid w:val="2AD82862"/>
    <w:rsid w:val="2AE53AC8"/>
    <w:rsid w:val="2B2F8379"/>
    <w:rsid w:val="2B68538D"/>
    <w:rsid w:val="2B76EB3F"/>
    <w:rsid w:val="2B7E704E"/>
    <w:rsid w:val="2BBFBCB2"/>
    <w:rsid w:val="2BCB498F"/>
    <w:rsid w:val="2BDF9212"/>
    <w:rsid w:val="2BE37267"/>
    <w:rsid w:val="2C41EF63"/>
    <w:rsid w:val="2C5C05E1"/>
    <w:rsid w:val="2C7451EA"/>
    <w:rsid w:val="2C864AD3"/>
    <w:rsid w:val="2CA3E2A8"/>
    <w:rsid w:val="2CD16D65"/>
    <w:rsid w:val="2CD59AF6"/>
    <w:rsid w:val="2D2CDE70"/>
    <w:rsid w:val="2D6B1B3E"/>
    <w:rsid w:val="2D7D1338"/>
    <w:rsid w:val="2D83C08D"/>
    <w:rsid w:val="2D89FBE5"/>
    <w:rsid w:val="2D8A8C2B"/>
    <w:rsid w:val="2DA3D015"/>
    <w:rsid w:val="2DAF4583"/>
    <w:rsid w:val="2DB2AD5A"/>
    <w:rsid w:val="2DC534B4"/>
    <w:rsid w:val="2DD066BE"/>
    <w:rsid w:val="2DD1C6BA"/>
    <w:rsid w:val="2DD666BE"/>
    <w:rsid w:val="2DE75B5C"/>
    <w:rsid w:val="2DEEC9FB"/>
    <w:rsid w:val="2DF71092"/>
    <w:rsid w:val="2DFED8BC"/>
    <w:rsid w:val="2E1121CD"/>
    <w:rsid w:val="2E282FC1"/>
    <w:rsid w:val="2E50E98C"/>
    <w:rsid w:val="2EB8E684"/>
    <w:rsid w:val="2ECC0364"/>
    <w:rsid w:val="2F0D4E38"/>
    <w:rsid w:val="2F1C80CA"/>
    <w:rsid w:val="2F5A1498"/>
    <w:rsid w:val="2F634F75"/>
    <w:rsid w:val="2F8E714E"/>
    <w:rsid w:val="2FAA699D"/>
    <w:rsid w:val="2FCB2FCC"/>
    <w:rsid w:val="2FF5D781"/>
    <w:rsid w:val="3032991A"/>
    <w:rsid w:val="30336C3F"/>
    <w:rsid w:val="303A2253"/>
    <w:rsid w:val="303A7B8B"/>
    <w:rsid w:val="307A9B4F"/>
    <w:rsid w:val="30F7A52B"/>
    <w:rsid w:val="30FC6036"/>
    <w:rsid w:val="31106174"/>
    <w:rsid w:val="31386CF6"/>
    <w:rsid w:val="3139CE11"/>
    <w:rsid w:val="3188CB23"/>
    <w:rsid w:val="319AA992"/>
    <w:rsid w:val="319C3C7F"/>
    <w:rsid w:val="31A54478"/>
    <w:rsid w:val="31CE6735"/>
    <w:rsid w:val="321975D1"/>
    <w:rsid w:val="3225C6F4"/>
    <w:rsid w:val="32420186"/>
    <w:rsid w:val="32BEC4F1"/>
    <w:rsid w:val="32E1E0CB"/>
    <w:rsid w:val="32E460D7"/>
    <w:rsid w:val="331F1E56"/>
    <w:rsid w:val="3334FA05"/>
    <w:rsid w:val="333F301D"/>
    <w:rsid w:val="335E0593"/>
    <w:rsid w:val="3366BA66"/>
    <w:rsid w:val="338F51FF"/>
    <w:rsid w:val="33E13999"/>
    <w:rsid w:val="340A60C4"/>
    <w:rsid w:val="341BD828"/>
    <w:rsid w:val="34234FA9"/>
    <w:rsid w:val="345536E8"/>
    <w:rsid w:val="345BEBAE"/>
    <w:rsid w:val="34952BB8"/>
    <w:rsid w:val="34C8C99A"/>
    <w:rsid w:val="34DD1CC6"/>
    <w:rsid w:val="351F8758"/>
    <w:rsid w:val="3539DBF2"/>
    <w:rsid w:val="35739997"/>
    <w:rsid w:val="35B3B920"/>
    <w:rsid w:val="35FD7C67"/>
    <w:rsid w:val="3617FA77"/>
    <w:rsid w:val="3628EC9E"/>
    <w:rsid w:val="3684606D"/>
    <w:rsid w:val="36868139"/>
    <w:rsid w:val="368D7631"/>
    <w:rsid w:val="3696B927"/>
    <w:rsid w:val="36AB07C8"/>
    <w:rsid w:val="36B912DC"/>
    <w:rsid w:val="36D1A3C1"/>
    <w:rsid w:val="36D9F1DC"/>
    <w:rsid w:val="36F5B79E"/>
    <w:rsid w:val="370E103F"/>
    <w:rsid w:val="3755874C"/>
    <w:rsid w:val="375F7428"/>
    <w:rsid w:val="37BF96A8"/>
    <w:rsid w:val="37D6B233"/>
    <w:rsid w:val="37E749EC"/>
    <w:rsid w:val="380E1076"/>
    <w:rsid w:val="38146C13"/>
    <w:rsid w:val="383D5571"/>
    <w:rsid w:val="38577490"/>
    <w:rsid w:val="38734357"/>
    <w:rsid w:val="387AC3D5"/>
    <w:rsid w:val="388C9EB3"/>
    <w:rsid w:val="389C79E1"/>
    <w:rsid w:val="38AF6A32"/>
    <w:rsid w:val="38D5AA51"/>
    <w:rsid w:val="39312089"/>
    <w:rsid w:val="3932C3DC"/>
    <w:rsid w:val="395AAAF0"/>
    <w:rsid w:val="39792F87"/>
    <w:rsid w:val="397B5B90"/>
    <w:rsid w:val="397C7574"/>
    <w:rsid w:val="398262F6"/>
    <w:rsid w:val="3985171A"/>
    <w:rsid w:val="39F9123E"/>
    <w:rsid w:val="3A13C2EA"/>
    <w:rsid w:val="3A531C87"/>
    <w:rsid w:val="3A660BEF"/>
    <w:rsid w:val="3A747ED7"/>
    <w:rsid w:val="3A793FBB"/>
    <w:rsid w:val="3AA80817"/>
    <w:rsid w:val="3AB2BED7"/>
    <w:rsid w:val="3AE68B75"/>
    <w:rsid w:val="3AEC3006"/>
    <w:rsid w:val="3B10CF06"/>
    <w:rsid w:val="3BAF303D"/>
    <w:rsid w:val="3C0C4D97"/>
    <w:rsid w:val="3C333F11"/>
    <w:rsid w:val="3C3CEF05"/>
    <w:rsid w:val="3C8A3C11"/>
    <w:rsid w:val="3C964146"/>
    <w:rsid w:val="3CA4C311"/>
    <w:rsid w:val="3CC68369"/>
    <w:rsid w:val="3D237BA0"/>
    <w:rsid w:val="3D6B017B"/>
    <w:rsid w:val="3D79D5E6"/>
    <w:rsid w:val="3D8DBB5A"/>
    <w:rsid w:val="3D9F8B85"/>
    <w:rsid w:val="3DF71385"/>
    <w:rsid w:val="3E033021"/>
    <w:rsid w:val="3E372FD6"/>
    <w:rsid w:val="3E3FD7FE"/>
    <w:rsid w:val="3E5196F4"/>
    <w:rsid w:val="3E8D5C62"/>
    <w:rsid w:val="3E8D9988"/>
    <w:rsid w:val="3EA1E7F3"/>
    <w:rsid w:val="3EE838D9"/>
    <w:rsid w:val="3F18ED0C"/>
    <w:rsid w:val="3F37C480"/>
    <w:rsid w:val="3FBAADE5"/>
    <w:rsid w:val="3FC686D5"/>
    <w:rsid w:val="3FD14B1D"/>
    <w:rsid w:val="3FD54DED"/>
    <w:rsid w:val="3FE7B1ED"/>
    <w:rsid w:val="3FE910B1"/>
    <w:rsid w:val="4054DA03"/>
    <w:rsid w:val="405B4C6B"/>
    <w:rsid w:val="408DD950"/>
    <w:rsid w:val="4097B949"/>
    <w:rsid w:val="414B626D"/>
    <w:rsid w:val="414C4DA9"/>
    <w:rsid w:val="416FD38C"/>
    <w:rsid w:val="41EFBF97"/>
    <w:rsid w:val="421530D2"/>
    <w:rsid w:val="423282EE"/>
    <w:rsid w:val="426223AF"/>
    <w:rsid w:val="428E8DE6"/>
    <w:rsid w:val="42A78C8F"/>
    <w:rsid w:val="42ACFF50"/>
    <w:rsid w:val="42B4FB45"/>
    <w:rsid w:val="42BB8C2E"/>
    <w:rsid w:val="42BB9D65"/>
    <w:rsid w:val="42C62771"/>
    <w:rsid w:val="42C7EFD7"/>
    <w:rsid w:val="42CD36D3"/>
    <w:rsid w:val="42DD2DF0"/>
    <w:rsid w:val="42E7A09D"/>
    <w:rsid w:val="42FF9A25"/>
    <w:rsid w:val="4302CC72"/>
    <w:rsid w:val="430D1C0E"/>
    <w:rsid w:val="430E9843"/>
    <w:rsid w:val="43237F24"/>
    <w:rsid w:val="43351380"/>
    <w:rsid w:val="434547D4"/>
    <w:rsid w:val="43E2F23E"/>
    <w:rsid w:val="4404DAFB"/>
    <w:rsid w:val="441CFD49"/>
    <w:rsid w:val="442702A4"/>
    <w:rsid w:val="44280B56"/>
    <w:rsid w:val="44419B41"/>
    <w:rsid w:val="4446B064"/>
    <w:rsid w:val="449D6F9B"/>
    <w:rsid w:val="45351EEB"/>
    <w:rsid w:val="4539BBC8"/>
    <w:rsid w:val="4540FC39"/>
    <w:rsid w:val="454E5350"/>
    <w:rsid w:val="457B19DF"/>
    <w:rsid w:val="45962D86"/>
    <w:rsid w:val="45A222B3"/>
    <w:rsid w:val="45BAAE29"/>
    <w:rsid w:val="45DF55F2"/>
    <w:rsid w:val="45E7ACF3"/>
    <w:rsid w:val="45E80B74"/>
    <w:rsid w:val="4660C1B3"/>
    <w:rsid w:val="4683E5C8"/>
    <w:rsid w:val="468877AC"/>
    <w:rsid w:val="469B90D8"/>
    <w:rsid w:val="46C401CE"/>
    <w:rsid w:val="46CBDA95"/>
    <w:rsid w:val="46CBEC5E"/>
    <w:rsid w:val="46D2C898"/>
    <w:rsid w:val="46E85201"/>
    <w:rsid w:val="470B0111"/>
    <w:rsid w:val="471E7FEF"/>
    <w:rsid w:val="472B564F"/>
    <w:rsid w:val="472F959A"/>
    <w:rsid w:val="475CB463"/>
    <w:rsid w:val="476D755D"/>
    <w:rsid w:val="47843911"/>
    <w:rsid w:val="4797DA72"/>
    <w:rsid w:val="47AB8A0F"/>
    <w:rsid w:val="47F0C641"/>
    <w:rsid w:val="47F2BBAB"/>
    <w:rsid w:val="481CD78C"/>
    <w:rsid w:val="487761A2"/>
    <w:rsid w:val="4897ABEF"/>
    <w:rsid w:val="48B975C0"/>
    <w:rsid w:val="48DE11DF"/>
    <w:rsid w:val="491B0C4A"/>
    <w:rsid w:val="49399AFF"/>
    <w:rsid w:val="496832D1"/>
    <w:rsid w:val="49A3FC7A"/>
    <w:rsid w:val="49B05FDB"/>
    <w:rsid w:val="49B36631"/>
    <w:rsid w:val="4A334FBB"/>
    <w:rsid w:val="4A407ABE"/>
    <w:rsid w:val="4A635588"/>
    <w:rsid w:val="4A724C85"/>
    <w:rsid w:val="4A9ED653"/>
    <w:rsid w:val="4AED88D7"/>
    <w:rsid w:val="4B2BABD2"/>
    <w:rsid w:val="4B588852"/>
    <w:rsid w:val="4B5E16DF"/>
    <w:rsid w:val="4B88ECAF"/>
    <w:rsid w:val="4B96B19E"/>
    <w:rsid w:val="4B9E3760"/>
    <w:rsid w:val="4BA1C925"/>
    <w:rsid w:val="4BA6FDE7"/>
    <w:rsid w:val="4BED3680"/>
    <w:rsid w:val="4C2DDEDF"/>
    <w:rsid w:val="4C31FB2C"/>
    <w:rsid w:val="4C3A0443"/>
    <w:rsid w:val="4C7273BF"/>
    <w:rsid w:val="4CABE931"/>
    <w:rsid w:val="4CAFA060"/>
    <w:rsid w:val="4D720171"/>
    <w:rsid w:val="4DA79B78"/>
    <w:rsid w:val="4DA7ED11"/>
    <w:rsid w:val="4DF4D08B"/>
    <w:rsid w:val="4E2949E8"/>
    <w:rsid w:val="4E975D85"/>
    <w:rsid w:val="4EB8F1DF"/>
    <w:rsid w:val="4EECC194"/>
    <w:rsid w:val="4F00A7E0"/>
    <w:rsid w:val="4F18A873"/>
    <w:rsid w:val="4F4799AB"/>
    <w:rsid w:val="4F4D99A4"/>
    <w:rsid w:val="4F5D5F6C"/>
    <w:rsid w:val="4F893F92"/>
    <w:rsid w:val="4F912BAB"/>
    <w:rsid w:val="4FB11716"/>
    <w:rsid w:val="4FB88A39"/>
    <w:rsid w:val="4FC0391F"/>
    <w:rsid w:val="4FC74B00"/>
    <w:rsid w:val="4FD4ED1C"/>
    <w:rsid w:val="4FE938C2"/>
    <w:rsid w:val="50004D92"/>
    <w:rsid w:val="50248D03"/>
    <w:rsid w:val="5028218C"/>
    <w:rsid w:val="502A2C47"/>
    <w:rsid w:val="505C8CE2"/>
    <w:rsid w:val="505F9B88"/>
    <w:rsid w:val="50650725"/>
    <w:rsid w:val="50B296DD"/>
    <w:rsid w:val="50DCA983"/>
    <w:rsid w:val="50E4C8E1"/>
    <w:rsid w:val="50FA5BE6"/>
    <w:rsid w:val="51574814"/>
    <w:rsid w:val="51630BB4"/>
    <w:rsid w:val="517FADBB"/>
    <w:rsid w:val="51927D24"/>
    <w:rsid w:val="5194B86B"/>
    <w:rsid w:val="5199AA32"/>
    <w:rsid w:val="51BC8E7C"/>
    <w:rsid w:val="5207BACB"/>
    <w:rsid w:val="5235A1B3"/>
    <w:rsid w:val="5237CEF0"/>
    <w:rsid w:val="5262DEA3"/>
    <w:rsid w:val="5283E2F5"/>
    <w:rsid w:val="52B24362"/>
    <w:rsid w:val="5301032A"/>
    <w:rsid w:val="53145B0B"/>
    <w:rsid w:val="531561F7"/>
    <w:rsid w:val="533CD574"/>
    <w:rsid w:val="53450BA3"/>
    <w:rsid w:val="53791479"/>
    <w:rsid w:val="53B34954"/>
    <w:rsid w:val="53B9D03B"/>
    <w:rsid w:val="53BD795E"/>
    <w:rsid w:val="53F562EB"/>
    <w:rsid w:val="541D8789"/>
    <w:rsid w:val="54FC5BE0"/>
    <w:rsid w:val="55173ABA"/>
    <w:rsid w:val="5538C09B"/>
    <w:rsid w:val="55647394"/>
    <w:rsid w:val="55678A99"/>
    <w:rsid w:val="55B3796C"/>
    <w:rsid w:val="55BB5028"/>
    <w:rsid w:val="55C64487"/>
    <w:rsid w:val="55DDE6F7"/>
    <w:rsid w:val="56445BB0"/>
    <w:rsid w:val="5655A26C"/>
    <w:rsid w:val="56B8A92C"/>
    <w:rsid w:val="56B9D154"/>
    <w:rsid w:val="56C89498"/>
    <w:rsid w:val="56CC6BAE"/>
    <w:rsid w:val="57005DD8"/>
    <w:rsid w:val="5706BC71"/>
    <w:rsid w:val="573639F9"/>
    <w:rsid w:val="5781BAFE"/>
    <w:rsid w:val="57DA72CE"/>
    <w:rsid w:val="581C506C"/>
    <w:rsid w:val="5884005E"/>
    <w:rsid w:val="58CE6658"/>
    <w:rsid w:val="58F81110"/>
    <w:rsid w:val="592F5C16"/>
    <w:rsid w:val="596A69FD"/>
    <w:rsid w:val="597FA385"/>
    <w:rsid w:val="59A51E74"/>
    <w:rsid w:val="59AA1098"/>
    <w:rsid w:val="59E4DB8B"/>
    <w:rsid w:val="59E4F0BD"/>
    <w:rsid w:val="59F9FDBC"/>
    <w:rsid w:val="5A28CAE4"/>
    <w:rsid w:val="5A6BC58A"/>
    <w:rsid w:val="5A826990"/>
    <w:rsid w:val="5AB91BDB"/>
    <w:rsid w:val="5AC4648E"/>
    <w:rsid w:val="5AD327DC"/>
    <w:rsid w:val="5B18B39C"/>
    <w:rsid w:val="5B3A68CA"/>
    <w:rsid w:val="5B3BF4E8"/>
    <w:rsid w:val="5B565036"/>
    <w:rsid w:val="5B574C15"/>
    <w:rsid w:val="5B9F1455"/>
    <w:rsid w:val="5BAB40E9"/>
    <w:rsid w:val="5BB12246"/>
    <w:rsid w:val="5BEFB352"/>
    <w:rsid w:val="5C0229F6"/>
    <w:rsid w:val="5C08763B"/>
    <w:rsid w:val="5C41DAAB"/>
    <w:rsid w:val="5C78CCAD"/>
    <w:rsid w:val="5C7D758B"/>
    <w:rsid w:val="5CA5C22A"/>
    <w:rsid w:val="5CBA7B39"/>
    <w:rsid w:val="5D0D255C"/>
    <w:rsid w:val="5D19D432"/>
    <w:rsid w:val="5DAC23FC"/>
    <w:rsid w:val="5E066EC4"/>
    <w:rsid w:val="5E2583BC"/>
    <w:rsid w:val="5E34F5CA"/>
    <w:rsid w:val="5E47ECAB"/>
    <w:rsid w:val="5E732AD8"/>
    <w:rsid w:val="5E77C881"/>
    <w:rsid w:val="5E82A163"/>
    <w:rsid w:val="5EC37B5C"/>
    <w:rsid w:val="5EDEBDAD"/>
    <w:rsid w:val="5EF6AA0B"/>
    <w:rsid w:val="5F17758A"/>
    <w:rsid w:val="5F3A51FE"/>
    <w:rsid w:val="5F42CC95"/>
    <w:rsid w:val="5F5854FC"/>
    <w:rsid w:val="5F5C3A71"/>
    <w:rsid w:val="5F8D9AD6"/>
    <w:rsid w:val="5F9589DF"/>
    <w:rsid w:val="5FB61171"/>
    <w:rsid w:val="5FB8507D"/>
    <w:rsid w:val="5FEFFBDB"/>
    <w:rsid w:val="5FF3865C"/>
    <w:rsid w:val="60014DC2"/>
    <w:rsid w:val="604C3DF5"/>
    <w:rsid w:val="605FCB4C"/>
    <w:rsid w:val="609F0195"/>
    <w:rsid w:val="60ABC280"/>
    <w:rsid w:val="60C12B68"/>
    <w:rsid w:val="60D5DEBA"/>
    <w:rsid w:val="60E42355"/>
    <w:rsid w:val="61105F38"/>
    <w:rsid w:val="614A94BC"/>
    <w:rsid w:val="614B0547"/>
    <w:rsid w:val="615FFD78"/>
    <w:rsid w:val="61FF7B7D"/>
    <w:rsid w:val="621ABAB6"/>
    <w:rsid w:val="622B5BBE"/>
    <w:rsid w:val="6245D65F"/>
    <w:rsid w:val="624C145A"/>
    <w:rsid w:val="62575ED4"/>
    <w:rsid w:val="6259A446"/>
    <w:rsid w:val="627B5091"/>
    <w:rsid w:val="62877081"/>
    <w:rsid w:val="62A4123E"/>
    <w:rsid w:val="62D4EEB8"/>
    <w:rsid w:val="62DD2575"/>
    <w:rsid w:val="630B3DE7"/>
    <w:rsid w:val="633841F7"/>
    <w:rsid w:val="633C0FA9"/>
    <w:rsid w:val="635876D2"/>
    <w:rsid w:val="6374C87B"/>
    <w:rsid w:val="63C01FE8"/>
    <w:rsid w:val="63C2B360"/>
    <w:rsid w:val="63EA48AE"/>
    <w:rsid w:val="63F3DF27"/>
    <w:rsid w:val="6426FC2E"/>
    <w:rsid w:val="64347E19"/>
    <w:rsid w:val="6438EC87"/>
    <w:rsid w:val="644213F3"/>
    <w:rsid w:val="64440238"/>
    <w:rsid w:val="644900E2"/>
    <w:rsid w:val="644AB49C"/>
    <w:rsid w:val="644C7EEE"/>
    <w:rsid w:val="645FCD79"/>
    <w:rsid w:val="646D3D02"/>
    <w:rsid w:val="6480D5E5"/>
    <w:rsid w:val="64A92640"/>
    <w:rsid w:val="64C714DE"/>
    <w:rsid w:val="652C7AA9"/>
    <w:rsid w:val="6546FAC6"/>
    <w:rsid w:val="6553E4B0"/>
    <w:rsid w:val="655A2B50"/>
    <w:rsid w:val="6567E2A3"/>
    <w:rsid w:val="656DBEAF"/>
    <w:rsid w:val="65702D02"/>
    <w:rsid w:val="657E8915"/>
    <w:rsid w:val="6583B6AC"/>
    <w:rsid w:val="65CA4918"/>
    <w:rsid w:val="65CB2450"/>
    <w:rsid w:val="6610277D"/>
    <w:rsid w:val="6639F4EA"/>
    <w:rsid w:val="66591443"/>
    <w:rsid w:val="668C78BB"/>
    <w:rsid w:val="66A9EC63"/>
    <w:rsid w:val="66D29896"/>
    <w:rsid w:val="66FB85CD"/>
    <w:rsid w:val="6721388B"/>
    <w:rsid w:val="672447F9"/>
    <w:rsid w:val="67410A96"/>
    <w:rsid w:val="67754DB4"/>
    <w:rsid w:val="679215C6"/>
    <w:rsid w:val="681BAAE1"/>
    <w:rsid w:val="682A2182"/>
    <w:rsid w:val="685CCAFC"/>
    <w:rsid w:val="6863DC4C"/>
    <w:rsid w:val="686E0A48"/>
    <w:rsid w:val="687A1D28"/>
    <w:rsid w:val="68A5C124"/>
    <w:rsid w:val="68A9AFA4"/>
    <w:rsid w:val="68B37997"/>
    <w:rsid w:val="68F096E9"/>
    <w:rsid w:val="68FC0A09"/>
    <w:rsid w:val="69074ACE"/>
    <w:rsid w:val="695958D7"/>
    <w:rsid w:val="69A866E5"/>
    <w:rsid w:val="69C18A45"/>
    <w:rsid w:val="69EF2729"/>
    <w:rsid w:val="6A0001D3"/>
    <w:rsid w:val="6A07FF3A"/>
    <w:rsid w:val="6A2480D1"/>
    <w:rsid w:val="6A437659"/>
    <w:rsid w:val="6A45FC7B"/>
    <w:rsid w:val="6A523B80"/>
    <w:rsid w:val="6A6B80AF"/>
    <w:rsid w:val="6A76728E"/>
    <w:rsid w:val="6ACA49A0"/>
    <w:rsid w:val="6AEB5394"/>
    <w:rsid w:val="6AFD4CEF"/>
    <w:rsid w:val="6B076E63"/>
    <w:rsid w:val="6B081FFA"/>
    <w:rsid w:val="6B62601C"/>
    <w:rsid w:val="6BB58E3A"/>
    <w:rsid w:val="6BB702A6"/>
    <w:rsid w:val="6BE20AB0"/>
    <w:rsid w:val="6C103A73"/>
    <w:rsid w:val="6C37A886"/>
    <w:rsid w:val="6C37F24F"/>
    <w:rsid w:val="6C8968C5"/>
    <w:rsid w:val="6CB61A6C"/>
    <w:rsid w:val="6CDE319D"/>
    <w:rsid w:val="6CE071B2"/>
    <w:rsid w:val="6D0A01AB"/>
    <w:rsid w:val="6D8B2AC6"/>
    <w:rsid w:val="6DB9E844"/>
    <w:rsid w:val="6DCB8F21"/>
    <w:rsid w:val="6DE614DA"/>
    <w:rsid w:val="6DE6E068"/>
    <w:rsid w:val="6E3A78AF"/>
    <w:rsid w:val="6E3C772F"/>
    <w:rsid w:val="6E5359E2"/>
    <w:rsid w:val="6E56502B"/>
    <w:rsid w:val="6E699576"/>
    <w:rsid w:val="6E6D3AC8"/>
    <w:rsid w:val="6E832A42"/>
    <w:rsid w:val="6E84EAC9"/>
    <w:rsid w:val="6EAB2866"/>
    <w:rsid w:val="6EADB9F0"/>
    <w:rsid w:val="6EAFCF89"/>
    <w:rsid w:val="6EF25CBF"/>
    <w:rsid w:val="6F078EC0"/>
    <w:rsid w:val="6F194961"/>
    <w:rsid w:val="6F2583F0"/>
    <w:rsid w:val="6F3FCDF5"/>
    <w:rsid w:val="6F835D83"/>
    <w:rsid w:val="6F911A83"/>
    <w:rsid w:val="6F9C8FF0"/>
    <w:rsid w:val="6FA06313"/>
    <w:rsid w:val="7036124D"/>
    <w:rsid w:val="7051B2F4"/>
    <w:rsid w:val="706B419B"/>
    <w:rsid w:val="70960EF4"/>
    <w:rsid w:val="70BA5AC1"/>
    <w:rsid w:val="70CB329F"/>
    <w:rsid w:val="70DB7940"/>
    <w:rsid w:val="71199FE5"/>
    <w:rsid w:val="711A7FB9"/>
    <w:rsid w:val="714A37FB"/>
    <w:rsid w:val="71CBB0F8"/>
    <w:rsid w:val="71E21950"/>
    <w:rsid w:val="71E94150"/>
    <w:rsid w:val="71EF42A1"/>
    <w:rsid w:val="720F439E"/>
    <w:rsid w:val="722B10DA"/>
    <w:rsid w:val="722DD87C"/>
    <w:rsid w:val="72608B6D"/>
    <w:rsid w:val="72B68CC0"/>
    <w:rsid w:val="72C7C2AD"/>
    <w:rsid w:val="72FD8D88"/>
    <w:rsid w:val="735EA9A8"/>
    <w:rsid w:val="738DFD48"/>
    <w:rsid w:val="738F9339"/>
    <w:rsid w:val="73A1C0E0"/>
    <w:rsid w:val="73BEE9F4"/>
    <w:rsid w:val="740C1C2E"/>
    <w:rsid w:val="74105666"/>
    <w:rsid w:val="741802EE"/>
    <w:rsid w:val="7427B21F"/>
    <w:rsid w:val="7459080B"/>
    <w:rsid w:val="74CDA232"/>
    <w:rsid w:val="74EC065D"/>
    <w:rsid w:val="74FE3E41"/>
    <w:rsid w:val="751ECD5A"/>
    <w:rsid w:val="756E36D8"/>
    <w:rsid w:val="757784FC"/>
    <w:rsid w:val="7577FC69"/>
    <w:rsid w:val="757DCDBB"/>
    <w:rsid w:val="75B290AD"/>
    <w:rsid w:val="75C1271E"/>
    <w:rsid w:val="75EE4471"/>
    <w:rsid w:val="75F7CDC0"/>
    <w:rsid w:val="760E6734"/>
    <w:rsid w:val="761F5291"/>
    <w:rsid w:val="763489B4"/>
    <w:rsid w:val="763AB5D4"/>
    <w:rsid w:val="764B6BB1"/>
    <w:rsid w:val="765D32A5"/>
    <w:rsid w:val="76778A41"/>
    <w:rsid w:val="7699C788"/>
    <w:rsid w:val="771AE6C1"/>
    <w:rsid w:val="7758674D"/>
    <w:rsid w:val="776325FB"/>
    <w:rsid w:val="776F34E2"/>
    <w:rsid w:val="7784EFFE"/>
    <w:rsid w:val="77D5A898"/>
    <w:rsid w:val="77D72949"/>
    <w:rsid w:val="77EB407B"/>
    <w:rsid w:val="7811E692"/>
    <w:rsid w:val="781E46D5"/>
    <w:rsid w:val="78200ADB"/>
    <w:rsid w:val="782BC386"/>
    <w:rsid w:val="78497B45"/>
    <w:rsid w:val="789E76B6"/>
    <w:rsid w:val="79144495"/>
    <w:rsid w:val="7923B069"/>
    <w:rsid w:val="79441326"/>
    <w:rsid w:val="79591F5C"/>
    <w:rsid w:val="7962C4E1"/>
    <w:rsid w:val="79658A18"/>
    <w:rsid w:val="7990469F"/>
    <w:rsid w:val="79939552"/>
    <w:rsid w:val="79E1CFF3"/>
    <w:rsid w:val="79E25FB6"/>
    <w:rsid w:val="7A08B730"/>
    <w:rsid w:val="7A27B1E6"/>
    <w:rsid w:val="7A7803B3"/>
    <w:rsid w:val="7A7D6499"/>
    <w:rsid w:val="7AB8A895"/>
    <w:rsid w:val="7AC07C7E"/>
    <w:rsid w:val="7ADFE387"/>
    <w:rsid w:val="7AEF3164"/>
    <w:rsid w:val="7AF31497"/>
    <w:rsid w:val="7AFEFF36"/>
    <w:rsid w:val="7B28F056"/>
    <w:rsid w:val="7BDC0E44"/>
    <w:rsid w:val="7C60D46C"/>
    <w:rsid w:val="7C70696B"/>
    <w:rsid w:val="7C91660D"/>
    <w:rsid w:val="7CABEF86"/>
    <w:rsid w:val="7CE32B1D"/>
    <w:rsid w:val="7CE5F72A"/>
    <w:rsid w:val="7CF1827F"/>
    <w:rsid w:val="7D2D827D"/>
    <w:rsid w:val="7D5AB5D5"/>
    <w:rsid w:val="7D7992EE"/>
    <w:rsid w:val="7D9279FD"/>
    <w:rsid w:val="7DBDF692"/>
    <w:rsid w:val="7DBFA011"/>
    <w:rsid w:val="7DCC4CAD"/>
    <w:rsid w:val="7DEE54C6"/>
    <w:rsid w:val="7E062447"/>
    <w:rsid w:val="7E1878B3"/>
    <w:rsid w:val="7E2FA50C"/>
    <w:rsid w:val="7E405F52"/>
    <w:rsid w:val="7E41DE2F"/>
    <w:rsid w:val="7E828E70"/>
    <w:rsid w:val="7E88F894"/>
    <w:rsid w:val="7E9BBD5E"/>
    <w:rsid w:val="7EAEC078"/>
    <w:rsid w:val="7EB5124C"/>
    <w:rsid w:val="7EC31C34"/>
    <w:rsid w:val="7EE6021C"/>
    <w:rsid w:val="7F2696B0"/>
    <w:rsid w:val="7F8CB3C6"/>
    <w:rsid w:val="7FDF4878"/>
    <w:rsid w:val="7FFA9804"/>
    <w:rsid w:val="7FFE8854"/>
    <w:rsid w:val="7FFFB6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3120A6"/>
  <w15:chartTrackingRefBased/>
  <w15:docId w15:val="{7660FEE8-3FFD-4846-B04C-79442FFD8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22D0"/>
    <w:pPr>
      <w:tabs>
        <w:tab w:val="left" w:pos="567"/>
      </w:tabs>
      <w:spacing w:before="120" w:after="0" w:line="254" w:lineRule="auto"/>
    </w:pPr>
    <w:rPr>
      <w:rFonts w:ascii="Open Sans Light" w:hAnsi="Open Sans Light"/>
      <w:sz w:val="20"/>
    </w:rPr>
  </w:style>
  <w:style w:type="paragraph" w:styleId="Heading1">
    <w:name w:val="heading 1"/>
    <w:basedOn w:val="Normal"/>
    <w:next w:val="Normal"/>
    <w:link w:val="Heading1Char"/>
    <w:uiPriority w:val="9"/>
    <w:qFormat/>
    <w:rsid w:val="00FE22D0"/>
    <w:pPr>
      <w:keepNext/>
      <w:widowControl w:val="0"/>
      <w:spacing w:line="240" w:lineRule="auto"/>
      <w:outlineLvl w:val="0"/>
    </w:pPr>
    <w:rPr>
      <w:rFonts w:ascii="Montserrat Ultra Light" w:eastAsiaTheme="majorEastAsia" w:hAnsi="Montserrat Ultra Light" w:cstheme="majorBidi"/>
      <w:b/>
      <w:bCs/>
      <w:color w:val="004563"/>
      <w:sz w:val="56"/>
      <w:szCs w:val="28"/>
    </w:rPr>
  </w:style>
  <w:style w:type="paragraph" w:styleId="Heading2">
    <w:name w:val="heading 2"/>
    <w:basedOn w:val="Normal"/>
    <w:next w:val="Heading3"/>
    <w:link w:val="Heading2Char"/>
    <w:uiPriority w:val="9"/>
    <w:qFormat/>
    <w:rsid w:val="0054491E"/>
    <w:pPr>
      <w:keepNext/>
      <w:widowControl w:val="0"/>
      <w:spacing w:after="120" w:line="240" w:lineRule="auto"/>
      <w:outlineLvl w:val="1"/>
    </w:pPr>
    <w:rPr>
      <w:rFonts w:ascii="Montserrat Ultra Light" w:eastAsiaTheme="majorEastAsia" w:hAnsi="Montserrat Ultra Light" w:cstheme="majorBidi"/>
      <w:b/>
      <w:bCs/>
      <w:color w:val="004563"/>
      <w:sz w:val="52"/>
      <w:szCs w:val="26"/>
    </w:rPr>
  </w:style>
  <w:style w:type="paragraph" w:styleId="Heading3">
    <w:name w:val="heading 3"/>
    <w:basedOn w:val="Normal"/>
    <w:next w:val="Heading4"/>
    <w:link w:val="Heading3Char"/>
    <w:uiPriority w:val="9"/>
    <w:qFormat/>
    <w:rsid w:val="001537AD"/>
    <w:pPr>
      <w:keepNext/>
      <w:widowControl w:val="0"/>
      <w:spacing w:before="240" w:line="240" w:lineRule="auto"/>
      <w:outlineLvl w:val="2"/>
    </w:pPr>
    <w:rPr>
      <w:rFonts w:ascii="Montserrat Extra Bold" w:eastAsiaTheme="majorEastAsia" w:hAnsi="Montserrat Extra Bold" w:cstheme="majorBidi"/>
      <w:bCs/>
      <w:color w:val="004563"/>
      <w:sz w:val="32"/>
    </w:rPr>
  </w:style>
  <w:style w:type="paragraph" w:styleId="Heading4">
    <w:name w:val="heading 4"/>
    <w:basedOn w:val="Normal"/>
    <w:next w:val="Heading5"/>
    <w:link w:val="Heading4Char"/>
    <w:uiPriority w:val="9"/>
    <w:qFormat/>
    <w:rsid w:val="00FE22D0"/>
    <w:pPr>
      <w:keepNext/>
      <w:widowControl w:val="0"/>
      <w:spacing w:before="240" w:line="240" w:lineRule="auto"/>
      <w:outlineLvl w:val="3"/>
    </w:pPr>
    <w:rPr>
      <w:rFonts w:ascii="Montserrat Semi Bold" w:eastAsiaTheme="majorEastAsia" w:hAnsi="Montserrat Semi Bold" w:cstheme="majorBidi"/>
      <w:bCs/>
      <w:iCs/>
      <w:color w:val="006991"/>
      <w:sz w:val="28"/>
    </w:rPr>
  </w:style>
  <w:style w:type="paragraph" w:styleId="Heading5">
    <w:name w:val="heading 5"/>
    <w:basedOn w:val="Normal"/>
    <w:next w:val="Heading6"/>
    <w:link w:val="Heading5Char"/>
    <w:uiPriority w:val="9"/>
    <w:qFormat/>
    <w:rsid w:val="00FE22D0"/>
    <w:pPr>
      <w:keepNext/>
      <w:tabs>
        <w:tab w:val="clear" w:pos="567"/>
      </w:tabs>
      <w:outlineLvl w:val="4"/>
    </w:pPr>
    <w:rPr>
      <w:rFonts w:ascii="Montserrat Semi Bold" w:eastAsiaTheme="majorEastAsia" w:hAnsi="Montserrat Semi Bold" w:cstheme="majorBidi"/>
      <w:color w:val="636466"/>
      <w:sz w:val="24"/>
    </w:rPr>
  </w:style>
  <w:style w:type="paragraph" w:styleId="Heading6">
    <w:name w:val="heading 6"/>
    <w:basedOn w:val="Normal"/>
    <w:next w:val="Normal"/>
    <w:link w:val="Heading6Char"/>
    <w:uiPriority w:val="9"/>
    <w:qFormat/>
    <w:rsid w:val="00FE22D0"/>
    <w:pPr>
      <w:keepNext/>
      <w:keepLines/>
      <w:outlineLvl w:val="5"/>
    </w:pPr>
    <w:rPr>
      <w:rFonts w:ascii="Montserrat Semi Bold" w:eastAsiaTheme="majorEastAsia" w:hAnsi="Montserrat Semi Bold" w:cstheme="majorBidi"/>
      <w:i/>
      <w:iCs/>
      <w:color w:val="636466"/>
    </w:rPr>
  </w:style>
  <w:style w:type="paragraph" w:styleId="Heading7">
    <w:name w:val="heading 7"/>
    <w:basedOn w:val="Heading5"/>
    <w:next w:val="Normal"/>
    <w:link w:val="Heading7Char"/>
    <w:uiPriority w:val="9"/>
    <w:semiHidden/>
    <w:rsid w:val="00201B3A"/>
    <w:pPr>
      <w:keepLines/>
      <w:spacing w:before="200"/>
      <w:outlineLvl w:val="6"/>
    </w:pPr>
    <w:rPr>
      <w:i/>
      <w:iCs/>
      <w:color w:val="939598"/>
      <w:sz w:val="20"/>
    </w:rPr>
  </w:style>
  <w:style w:type="paragraph" w:styleId="Heading8">
    <w:name w:val="heading 8"/>
    <w:aliases w:val="(Do not use),(Sub-section Nos)"/>
    <w:basedOn w:val="Normal"/>
    <w:next w:val="Normal"/>
    <w:semiHidden/>
    <w:rsid w:val="00765BA8"/>
    <w:pPr>
      <w:numPr>
        <w:ilvl w:val="7"/>
        <w:numId w:val="1"/>
      </w:numPr>
      <w:spacing w:before="240" w:after="60"/>
      <w:outlineLvl w:val="7"/>
    </w:pPr>
    <w:rPr>
      <w:rFonts w:ascii="MS Gothic" w:hAnsi="MS Gothic"/>
      <w:i/>
      <w:szCs w:val="20"/>
    </w:rPr>
  </w:style>
  <w:style w:type="paragraph" w:styleId="Heading9">
    <w:name w:val="heading 9"/>
    <w:aliases w:val="Heading 9 (Do not use),(Subsubsection Nos)"/>
    <w:basedOn w:val="Normal"/>
    <w:next w:val="Normal"/>
    <w:semiHidden/>
    <w:rsid w:val="00765BA8"/>
    <w:pPr>
      <w:numPr>
        <w:ilvl w:val="8"/>
        <w:numId w:val="1"/>
      </w:numPr>
      <w:spacing w:before="240" w:after="60"/>
      <w:outlineLvl w:val="8"/>
    </w:pPr>
    <w:rPr>
      <w:rFonts w:ascii="MS Gothic" w:hAnsi="MS Gothic"/>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cationtitle1">
    <w:name w:val="Publication title 1"/>
    <w:basedOn w:val="Normal"/>
    <w:next w:val="Normal"/>
    <w:rsid w:val="00D520FA"/>
    <w:pPr>
      <w:spacing w:line="240" w:lineRule="auto"/>
      <w:jc w:val="center"/>
    </w:pPr>
    <w:rPr>
      <w:rFonts w:ascii="Montserrat ExtraBold" w:hAnsi="Montserrat ExtraBold"/>
      <w:color w:val="004563"/>
      <w:sz w:val="60"/>
    </w:rPr>
  </w:style>
  <w:style w:type="paragraph" w:styleId="Caption">
    <w:name w:val="caption"/>
    <w:basedOn w:val="Normal"/>
    <w:next w:val="Normal"/>
    <w:link w:val="CaptionChar"/>
    <w:qFormat/>
    <w:rsid w:val="00FE22D0"/>
    <w:pPr>
      <w:keepNext/>
      <w:keepLines/>
      <w:tabs>
        <w:tab w:val="clear" w:pos="567"/>
        <w:tab w:val="left" w:pos="1134"/>
        <w:tab w:val="left" w:pos="1418"/>
      </w:tabs>
      <w:spacing w:before="240" w:after="120" w:line="240" w:lineRule="auto"/>
      <w:ind w:left="1134" w:hanging="1134"/>
    </w:pPr>
    <w:rPr>
      <w:rFonts w:ascii="Montserrat Ultra Light" w:hAnsi="Montserrat Ultra Light"/>
      <w:b/>
      <w:bCs/>
      <w:szCs w:val="20"/>
    </w:rPr>
  </w:style>
  <w:style w:type="paragraph" w:customStyle="1" w:styleId="Publicationtitle2">
    <w:name w:val="Publication title 2"/>
    <w:basedOn w:val="Publicationtitle1"/>
    <w:next w:val="Normal"/>
    <w:rsid w:val="00D520FA"/>
    <w:pPr>
      <w:spacing w:before="0"/>
    </w:pPr>
    <w:rPr>
      <w:rFonts w:ascii="Tahoma" w:hAnsi="Tahoma"/>
      <w:b/>
      <w:color w:val="60B5D7"/>
      <w:sz w:val="52"/>
    </w:rPr>
  </w:style>
  <w:style w:type="paragraph" w:customStyle="1" w:styleId="Publicationtitle3">
    <w:name w:val="Publication title 3"/>
    <w:basedOn w:val="Publicationtitle2"/>
    <w:next w:val="Normal"/>
    <w:rsid w:val="00D520FA"/>
    <w:rPr>
      <w:b w:val="0"/>
      <w:color w:val="004563"/>
    </w:rPr>
  </w:style>
  <w:style w:type="paragraph" w:customStyle="1" w:styleId="CGCTableFootnote">
    <w:name w:val="CGC Table Footnote"/>
    <w:basedOn w:val="Normal"/>
    <w:next w:val="Normal"/>
    <w:link w:val="CGCTableFootnoteChar"/>
    <w:qFormat/>
    <w:rsid w:val="00EB1A5D"/>
    <w:pPr>
      <w:tabs>
        <w:tab w:val="clear" w:pos="567"/>
        <w:tab w:val="left" w:pos="851"/>
      </w:tabs>
      <w:spacing w:before="0" w:line="240" w:lineRule="auto"/>
      <w:ind w:left="851" w:hanging="851"/>
    </w:pPr>
    <w:rPr>
      <w:szCs w:val="24"/>
    </w:rPr>
  </w:style>
  <w:style w:type="paragraph" w:customStyle="1" w:styleId="CGCTableHeading">
    <w:name w:val="CGC Table Heading"/>
    <w:basedOn w:val="Normal"/>
    <w:next w:val="Normal"/>
    <w:link w:val="CGCTableHeadingChar"/>
    <w:rsid w:val="00EB01F1"/>
    <w:pPr>
      <w:keepNext/>
      <w:keepLines/>
      <w:tabs>
        <w:tab w:val="clear" w:pos="567"/>
        <w:tab w:val="left" w:pos="1134"/>
        <w:tab w:val="left" w:pos="1420"/>
      </w:tabs>
      <w:spacing w:before="0" w:line="240" w:lineRule="auto"/>
    </w:pPr>
    <w:rPr>
      <w:rFonts w:ascii="Open Sans Semibold" w:hAnsi="Open Sans Semibold"/>
      <w:color w:val="FFFFFF" w:themeColor="background1"/>
      <w:sz w:val="16"/>
      <w:szCs w:val="20"/>
    </w:rPr>
  </w:style>
  <w:style w:type="paragraph" w:customStyle="1" w:styleId="TableRowNormal">
    <w:name w:val="TableRowNormal"/>
    <w:basedOn w:val="Normal"/>
    <w:rsid w:val="00765BA8"/>
    <w:pPr>
      <w:keepNext/>
      <w:keepLines/>
      <w:tabs>
        <w:tab w:val="left" w:pos="475"/>
        <w:tab w:val="left" w:pos="1440"/>
        <w:tab w:val="left" w:pos="2160"/>
        <w:tab w:val="left" w:pos="2880"/>
      </w:tabs>
      <w:spacing w:before="60" w:after="60" w:line="200" w:lineRule="atLeast"/>
      <w:ind w:left="144" w:hanging="144"/>
      <w:jc w:val="right"/>
    </w:pPr>
    <w:rPr>
      <w:szCs w:val="20"/>
    </w:rPr>
  </w:style>
  <w:style w:type="paragraph" w:customStyle="1" w:styleId="CGCTableStub">
    <w:name w:val="CGC Table Stub"/>
    <w:basedOn w:val="Normal"/>
    <w:link w:val="CGCTableStubChar"/>
    <w:rsid w:val="00D46F93"/>
    <w:pPr>
      <w:keepNext/>
      <w:keepLines/>
      <w:tabs>
        <w:tab w:val="left" w:pos="284"/>
      </w:tabs>
      <w:spacing w:before="60" w:after="60" w:line="200" w:lineRule="atLeast"/>
    </w:pPr>
    <w:rPr>
      <w:rFonts w:asciiTheme="minorHAnsi" w:hAnsiTheme="minorHAnsi"/>
      <w:szCs w:val="20"/>
    </w:rPr>
  </w:style>
  <w:style w:type="paragraph" w:customStyle="1" w:styleId="CGCTableheader">
    <w:name w:val="CGC Table header"/>
    <w:basedOn w:val="Normal"/>
    <w:next w:val="Normal"/>
    <w:rsid w:val="00364DB3"/>
    <w:pPr>
      <w:spacing w:before="0" w:line="240" w:lineRule="auto"/>
    </w:pPr>
    <w:rPr>
      <w:rFonts w:ascii="Symbol" w:hAnsi="Symbol" w:cs="Symbol"/>
      <w:color w:val="FFFFFF" w:themeColor="background1"/>
      <w:sz w:val="16"/>
    </w:rPr>
  </w:style>
  <w:style w:type="character" w:styleId="FootnoteReference">
    <w:name w:val="footnote reference"/>
    <w:basedOn w:val="DefaultParagraphFont"/>
    <w:qFormat/>
    <w:rsid w:val="00D46F93"/>
    <w:rPr>
      <w:vertAlign w:val="superscript"/>
    </w:rPr>
  </w:style>
  <w:style w:type="paragraph" w:customStyle="1" w:styleId="CGCTablesubhead1">
    <w:name w:val="CGC Table subhead1"/>
    <w:basedOn w:val="Normal"/>
    <w:rsid w:val="000818DF"/>
    <w:pPr>
      <w:spacing w:before="0" w:line="240" w:lineRule="auto"/>
    </w:pPr>
    <w:rPr>
      <w:rFonts w:ascii="Open Sans Semibold" w:hAnsi="Open Sans Semibold"/>
      <w:sz w:val="16"/>
    </w:rPr>
  </w:style>
  <w:style w:type="paragraph" w:styleId="DocumentMap">
    <w:name w:val="Document Map"/>
    <w:basedOn w:val="Normal"/>
    <w:rsid w:val="00765BA8"/>
    <w:pPr>
      <w:shd w:val="clear" w:color="auto" w:fill="000080"/>
    </w:pPr>
    <w:rPr>
      <w:rFonts w:ascii="Open Sans Semibold" w:hAnsi="Open Sans Semibold" w:cs="Open Sans Semibold"/>
      <w:szCs w:val="20"/>
    </w:rPr>
  </w:style>
  <w:style w:type="paragraph" w:styleId="ListParagraph">
    <w:name w:val="List Paragraph"/>
    <w:basedOn w:val="Normal"/>
    <w:uiPriority w:val="34"/>
    <w:rsid w:val="006E1B81"/>
    <w:pPr>
      <w:ind w:left="720"/>
      <w:contextualSpacing/>
    </w:pPr>
  </w:style>
  <w:style w:type="paragraph" w:styleId="Footer">
    <w:name w:val="footer"/>
    <w:basedOn w:val="Normal"/>
    <w:link w:val="FooterChar"/>
    <w:uiPriority w:val="99"/>
    <w:unhideWhenUsed/>
    <w:rsid w:val="00BF27FD"/>
    <w:pPr>
      <w:tabs>
        <w:tab w:val="clear" w:pos="567"/>
        <w:tab w:val="center" w:pos="4513"/>
        <w:tab w:val="right" w:pos="9026"/>
      </w:tabs>
      <w:spacing w:before="0" w:line="240" w:lineRule="auto"/>
      <w:jc w:val="right"/>
    </w:pPr>
    <w:rPr>
      <w:rFonts w:ascii="Montserrat Ultra Light" w:hAnsi="Montserrat Ultra Light"/>
      <w:color w:val="004563"/>
    </w:rPr>
  </w:style>
  <w:style w:type="paragraph" w:styleId="FootnoteText">
    <w:name w:val="footnote text"/>
    <w:basedOn w:val="Normal"/>
    <w:link w:val="FootnoteTextChar"/>
    <w:qFormat/>
    <w:rsid w:val="00FF122D"/>
    <w:pPr>
      <w:tabs>
        <w:tab w:val="clear" w:pos="567"/>
        <w:tab w:val="left" w:pos="680"/>
      </w:tabs>
      <w:spacing w:before="40" w:line="240" w:lineRule="auto"/>
      <w:ind w:left="113" w:hanging="113"/>
    </w:pPr>
    <w:rPr>
      <w:sz w:val="14"/>
      <w:szCs w:val="20"/>
    </w:rPr>
  </w:style>
  <w:style w:type="paragraph" w:styleId="Header">
    <w:name w:val="header"/>
    <w:basedOn w:val="Normal"/>
    <w:link w:val="HeaderChar"/>
    <w:uiPriority w:val="99"/>
    <w:unhideWhenUsed/>
    <w:rsid w:val="00ED04CE"/>
    <w:pPr>
      <w:tabs>
        <w:tab w:val="clear" w:pos="567"/>
        <w:tab w:val="center" w:pos="4513"/>
        <w:tab w:val="right" w:pos="9026"/>
      </w:tabs>
      <w:spacing w:line="240" w:lineRule="auto"/>
    </w:pPr>
    <w:rPr>
      <w:rFonts w:ascii="Montserrat Ultra Light" w:hAnsi="Montserrat Ultra Light"/>
      <w:b/>
      <w:color w:val="004563"/>
    </w:rPr>
  </w:style>
  <w:style w:type="character" w:styleId="Hyperlink">
    <w:name w:val="Hyperlink"/>
    <w:basedOn w:val="DefaultParagraphFont"/>
    <w:uiPriority w:val="99"/>
    <w:unhideWhenUsed/>
    <w:qFormat/>
    <w:rsid w:val="00FE22D0"/>
    <w:rPr>
      <w:color w:val="006991"/>
      <w:u w:val="single"/>
    </w:rPr>
  </w:style>
  <w:style w:type="paragraph" w:styleId="List">
    <w:name w:val="List"/>
    <w:basedOn w:val="Normal"/>
    <w:rsid w:val="003A27BB"/>
    <w:pPr>
      <w:spacing w:line="300" w:lineRule="atLeast"/>
    </w:pPr>
  </w:style>
  <w:style w:type="paragraph" w:styleId="MacroText">
    <w:name w:val="macro"/>
    <w:rsid w:val="00765BA8"/>
    <w:pPr>
      <w:tabs>
        <w:tab w:val="left" w:pos="480"/>
        <w:tab w:val="left" w:pos="960"/>
        <w:tab w:val="left" w:pos="1440"/>
        <w:tab w:val="left" w:pos="1920"/>
        <w:tab w:val="left" w:pos="2400"/>
        <w:tab w:val="left" w:pos="2880"/>
        <w:tab w:val="left" w:pos="3360"/>
        <w:tab w:val="left" w:pos="3840"/>
        <w:tab w:val="left" w:pos="4320"/>
      </w:tabs>
      <w:spacing w:after="80" w:line="320" w:lineRule="atLeast"/>
    </w:pPr>
    <w:rPr>
      <w:rFonts w:ascii="Open Sans Light" w:hAnsi="Open Sans Light" w:cs="Open Sans Light"/>
    </w:rPr>
  </w:style>
  <w:style w:type="character" w:styleId="PageNumber">
    <w:name w:val="page number"/>
    <w:basedOn w:val="DefaultParagraphFont"/>
    <w:rsid w:val="00F3399C"/>
    <w:rPr>
      <w:rFonts w:ascii="Tahoma" w:hAnsi="Tahoma"/>
      <w:color w:val="004563"/>
      <w:sz w:val="20"/>
    </w:rPr>
  </w:style>
  <w:style w:type="paragraph" w:customStyle="1" w:styleId="Single">
    <w:name w:val="Single"/>
    <w:basedOn w:val="Normal"/>
    <w:next w:val="Normal"/>
    <w:rsid w:val="00765BA8"/>
    <w:pPr>
      <w:spacing w:line="240" w:lineRule="auto"/>
    </w:pPr>
  </w:style>
  <w:style w:type="table" w:styleId="TableGrid">
    <w:name w:val="Table Grid"/>
    <w:basedOn w:val="TableNormal"/>
    <w:uiPriority w:val="39"/>
    <w:rsid w:val="00622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GCTablesubhead2">
    <w:name w:val="CGC Table subhead2"/>
    <w:basedOn w:val="Normal"/>
    <w:rsid w:val="00364DB3"/>
    <w:pPr>
      <w:spacing w:before="0" w:line="240" w:lineRule="auto"/>
    </w:pPr>
    <w:rPr>
      <w:rFonts w:ascii="Symbol" w:hAnsi="Symbol"/>
      <w:sz w:val="16"/>
    </w:rPr>
  </w:style>
  <w:style w:type="paragraph" w:customStyle="1" w:styleId="TableRowUnits">
    <w:name w:val="TableRowUnits"/>
    <w:basedOn w:val="Normal"/>
    <w:rsid w:val="00765BA8"/>
    <w:pPr>
      <w:keepNext/>
      <w:keepLines/>
      <w:tabs>
        <w:tab w:val="left" w:pos="475"/>
        <w:tab w:val="left" w:pos="1440"/>
        <w:tab w:val="left" w:pos="2160"/>
        <w:tab w:val="left" w:pos="2880"/>
      </w:tabs>
      <w:spacing w:line="240" w:lineRule="auto"/>
      <w:jc w:val="right"/>
    </w:pPr>
    <w:rPr>
      <w:szCs w:val="20"/>
    </w:rPr>
  </w:style>
  <w:style w:type="paragraph" w:styleId="TOAHeading">
    <w:name w:val="toa heading"/>
    <w:basedOn w:val="Normal"/>
    <w:next w:val="Normal"/>
    <w:rsid w:val="003A27BB"/>
    <w:rPr>
      <w:rFonts w:cs="Arial"/>
      <w:b/>
      <w:bCs/>
    </w:rPr>
  </w:style>
  <w:style w:type="paragraph" w:styleId="TOC1">
    <w:name w:val="toc 1"/>
    <w:basedOn w:val="Normal"/>
    <w:next w:val="Normal"/>
    <w:uiPriority w:val="39"/>
    <w:rsid w:val="00AF0A89"/>
    <w:pPr>
      <w:tabs>
        <w:tab w:val="clear" w:pos="567"/>
        <w:tab w:val="right" w:pos="8942"/>
      </w:tabs>
      <w:ind w:left="113"/>
    </w:pPr>
    <w:rPr>
      <w:rFonts w:ascii="Open Sans" w:hAnsi="Open Sans"/>
      <w:b/>
      <w:bCs/>
      <w:color w:val="636466"/>
      <w:szCs w:val="20"/>
    </w:rPr>
  </w:style>
  <w:style w:type="paragraph" w:styleId="TOC2">
    <w:name w:val="toc 2"/>
    <w:basedOn w:val="Normal"/>
    <w:next w:val="Normal"/>
    <w:rsid w:val="00364DB3"/>
    <w:pPr>
      <w:tabs>
        <w:tab w:val="clear" w:pos="567"/>
        <w:tab w:val="right" w:pos="8942"/>
      </w:tabs>
      <w:ind w:left="113"/>
    </w:pPr>
    <w:rPr>
      <w:rFonts w:ascii="Cambria" w:hAnsi="Cambria"/>
      <w:color w:val="636466"/>
      <w:szCs w:val="20"/>
    </w:rPr>
  </w:style>
  <w:style w:type="paragraph" w:styleId="TOC3">
    <w:name w:val="toc 3"/>
    <w:basedOn w:val="Normal"/>
    <w:next w:val="Normal"/>
    <w:uiPriority w:val="39"/>
    <w:rsid w:val="00AF0A89"/>
    <w:pPr>
      <w:tabs>
        <w:tab w:val="clear" w:pos="567"/>
        <w:tab w:val="right" w:pos="8942"/>
      </w:tabs>
      <w:spacing w:before="80"/>
      <w:ind w:left="397"/>
    </w:pPr>
    <w:rPr>
      <w:iCs/>
      <w:color w:val="636466"/>
    </w:rPr>
  </w:style>
  <w:style w:type="paragraph" w:styleId="TOC4">
    <w:name w:val="toc 4"/>
    <w:basedOn w:val="Normal"/>
    <w:next w:val="Normal"/>
    <w:uiPriority w:val="39"/>
    <w:rsid w:val="00F3399C"/>
    <w:pPr>
      <w:tabs>
        <w:tab w:val="clear" w:pos="567"/>
        <w:tab w:val="right" w:pos="8942"/>
      </w:tabs>
      <w:spacing w:line="276" w:lineRule="auto"/>
      <w:ind w:left="680"/>
    </w:pPr>
    <w:rPr>
      <w:i/>
      <w:color w:val="636466"/>
    </w:rPr>
  </w:style>
  <w:style w:type="paragraph" w:styleId="TOC5">
    <w:name w:val="toc 5"/>
    <w:basedOn w:val="Normal"/>
    <w:next w:val="Normal"/>
    <w:rsid w:val="00F3399C"/>
    <w:pPr>
      <w:tabs>
        <w:tab w:val="clear" w:pos="567"/>
      </w:tabs>
      <w:ind w:left="964"/>
    </w:pPr>
    <w:rPr>
      <w:color w:val="636466"/>
      <w:sz w:val="18"/>
      <w:szCs w:val="18"/>
    </w:rPr>
  </w:style>
  <w:style w:type="paragraph" w:styleId="TOC6">
    <w:name w:val="toc 6"/>
    <w:basedOn w:val="Normal"/>
    <w:next w:val="Normal"/>
    <w:rsid w:val="00F3399C"/>
    <w:pPr>
      <w:tabs>
        <w:tab w:val="clear" w:pos="567"/>
      </w:tabs>
      <w:ind w:left="964"/>
    </w:pPr>
    <w:rPr>
      <w:i/>
      <w:color w:val="636466"/>
      <w:sz w:val="18"/>
      <w:szCs w:val="18"/>
    </w:rPr>
  </w:style>
  <w:style w:type="character" w:customStyle="1" w:styleId="Heading1Char">
    <w:name w:val="Heading 1 Char"/>
    <w:basedOn w:val="DefaultParagraphFont"/>
    <w:link w:val="Heading1"/>
    <w:uiPriority w:val="9"/>
    <w:rsid w:val="00FE22D0"/>
    <w:rPr>
      <w:rFonts w:ascii="Montserrat Ultra Light" w:eastAsiaTheme="majorEastAsia" w:hAnsi="Montserrat Ultra Light" w:cstheme="majorBidi"/>
      <w:b/>
      <w:bCs/>
      <w:color w:val="004563"/>
      <w:sz w:val="56"/>
      <w:szCs w:val="28"/>
    </w:rPr>
  </w:style>
  <w:style w:type="character" w:customStyle="1" w:styleId="Heading2Char">
    <w:name w:val="Heading 2 Char"/>
    <w:basedOn w:val="DefaultParagraphFont"/>
    <w:link w:val="Heading2"/>
    <w:uiPriority w:val="9"/>
    <w:rsid w:val="0054491E"/>
    <w:rPr>
      <w:rFonts w:ascii="Montserrat Ultra Light" w:eastAsiaTheme="majorEastAsia" w:hAnsi="Montserrat Ultra Light" w:cstheme="majorBidi"/>
      <w:b/>
      <w:bCs/>
      <w:color w:val="004563"/>
      <w:sz w:val="52"/>
      <w:szCs w:val="26"/>
    </w:rPr>
  </w:style>
  <w:style w:type="character" w:customStyle="1" w:styleId="Heading3Char">
    <w:name w:val="Heading 3 Char"/>
    <w:basedOn w:val="DefaultParagraphFont"/>
    <w:link w:val="Heading3"/>
    <w:uiPriority w:val="9"/>
    <w:rsid w:val="001537AD"/>
    <w:rPr>
      <w:rFonts w:ascii="Montserrat Extra Bold" w:eastAsiaTheme="majorEastAsia" w:hAnsi="Montserrat Extra Bold" w:cstheme="majorBidi"/>
      <w:bCs/>
      <w:color w:val="004563"/>
      <w:sz w:val="32"/>
    </w:rPr>
  </w:style>
  <w:style w:type="character" w:customStyle="1" w:styleId="Heading4Char">
    <w:name w:val="Heading 4 Char"/>
    <w:basedOn w:val="DefaultParagraphFont"/>
    <w:link w:val="Heading4"/>
    <w:uiPriority w:val="9"/>
    <w:rsid w:val="00FE22D0"/>
    <w:rPr>
      <w:rFonts w:ascii="Montserrat Semi Bold" w:eastAsiaTheme="majorEastAsia" w:hAnsi="Montserrat Semi Bold" w:cstheme="majorBidi"/>
      <w:bCs/>
      <w:iCs/>
      <w:color w:val="006991"/>
      <w:sz w:val="28"/>
    </w:rPr>
  </w:style>
  <w:style w:type="character" w:customStyle="1" w:styleId="Heading5Char">
    <w:name w:val="Heading 5 Char"/>
    <w:basedOn w:val="DefaultParagraphFont"/>
    <w:link w:val="Heading5"/>
    <w:uiPriority w:val="9"/>
    <w:rsid w:val="00FE22D0"/>
    <w:rPr>
      <w:rFonts w:ascii="Montserrat Semi Bold" w:eastAsiaTheme="majorEastAsia" w:hAnsi="Montserrat Semi Bold" w:cstheme="majorBidi"/>
      <w:color w:val="636466"/>
      <w:sz w:val="24"/>
    </w:rPr>
  </w:style>
  <w:style w:type="paragraph" w:styleId="TOCHeading">
    <w:name w:val="TOC Heading"/>
    <w:basedOn w:val="Heading1"/>
    <w:next w:val="Normal"/>
    <w:uiPriority w:val="39"/>
    <w:semiHidden/>
    <w:unhideWhenUsed/>
    <w:qFormat/>
    <w:rsid w:val="00FE22D0"/>
    <w:pPr>
      <w:keepLines/>
      <w:spacing w:before="480" w:line="320" w:lineRule="atLeast"/>
      <w:outlineLvl w:val="9"/>
    </w:pPr>
    <w:rPr>
      <w:rFonts w:asciiTheme="majorHAnsi" w:hAnsiTheme="majorHAnsi"/>
      <w:caps/>
      <w:color w:val="365F91" w:themeColor="accent1" w:themeShade="BF"/>
      <w:sz w:val="28"/>
    </w:rPr>
  </w:style>
  <w:style w:type="character" w:customStyle="1" w:styleId="FooterChar">
    <w:name w:val="Footer Char"/>
    <w:basedOn w:val="DefaultParagraphFont"/>
    <w:link w:val="Footer"/>
    <w:uiPriority w:val="99"/>
    <w:rsid w:val="00BF27FD"/>
    <w:rPr>
      <w:rFonts w:ascii="Montserrat Ultra Light" w:hAnsi="Montserrat Ultra Light"/>
      <w:color w:val="004563"/>
      <w:sz w:val="20"/>
    </w:rPr>
  </w:style>
  <w:style w:type="character" w:customStyle="1" w:styleId="HeaderChar">
    <w:name w:val="Header Char"/>
    <w:basedOn w:val="DefaultParagraphFont"/>
    <w:link w:val="Header"/>
    <w:uiPriority w:val="99"/>
    <w:rsid w:val="00ED04CE"/>
    <w:rPr>
      <w:rFonts w:ascii="Montserrat Ultra Light" w:hAnsi="Montserrat Ultra Light"/>
      <w:b/>
      <w:color w:val="004563"/>
      <w:sz w:val="20"/>
    </w:rPr>
  </w:style>
  <w:style w:type="paragraph" w:customStyle="1" w:styleId="CGCDataCaption">
    <w:name w:val="CGC Data Caption"/>
    <w:basedOn w:val="CGCTableFootnote"/>
    <w:next w:val="Normal"/>
    <w:link w:val="DataCaptionChar"/>
    <w:rsid w:val="00622669"/>
  </w:style>
  <w:style w:type="character" w:customStyle="1" w:styleId="CaptionChar">
    <w:name w:val="Caption Char"/>
    <w:basedOn w:val="DefaultParagraphFont"/>
    <w:link w:val="Caption"/>
    <w:rsid w:val="00FE22D0"/>
    <w:rPr>
      <w:rFonts w:ascii="Montserrat Ultra Light" w:hAnsi="Montserrat Ultra Light"/>
      <w:b/>
      <w:bCs/>
      <w:sz w:val="20"/>
      <w:szCs w:val="20"/>
    </w:rPr>
  </w:style>
  <w:style w:type="character" w:customStyle="1" w:styleId="DataCaptionChar">
    <w:name w:val="Data Caption Char"/>
    <w:basedOn w:val="DefaultParagraphFont"/>
    <w:link w:val="CGCDataCaption"/>
    <w:rsid w:val="00622669"/>
    <w:rPr>
      <w:sz w:val="20"/>
      <w:szCs w:val="24"/>
    </w:rPr>
  </w:style>
  <w:style w:type="character" w:customStyle="1" w:styleId="FootnoteTextChar">
    <w:name w:val="Footnote Text Char"/>
    <w:basedOn w:val="DefaultParagraphFont"/>
    <w:link w:val="FootnoteText"/>
    <w:rsid w:val="00FF122D"/>
    <w:rPr>
      <w:rFonts w:ascii="Open Sans Light" w:hAnsi="Open Sans Light"/>
      <w:sz w:val="14"/>
      <w:szCs w:val="20"/>
    </w:rPr>
  </w:style>
  <w:style w:type="character" w:customStyle="1" w:styleId="Heading6Char">
    <w:name w:val="Heading 6 Char"/>
    <w:basedOn w:val="DefaultParagraphFont"/>
    <w:link w:val="Heading6"/>
    <w:uiPriority w:val="9"/>
    <w:rsid w:val="00FE22D0"/>
    <w:rPr>
      <w:rFonts w:ascii="Montserrat Semi Bold" w:eastAsiaTheme="majorEastAsia" w:hAnsi="Montserrat Semi Bold" w:cstheme="majorBidi"/>
      <w:i/>
      <w:iCs/>
      <w:color w:val="636466"/>
      <w:sz w:val="20"/>
    </w:rPr>
  </w:style>
  <w:style w:type="character" w:customStyle="1" w:styleId="Heading7Char">
    <w:name w:val="Heading 7 Char"/>
    <w:basedOn w:val="DefaultParagraphFont"/>
    <w:link w:val="Heading7"/>
    <w:uiPriority w:val="9"/>
    <w:semiHidden/>
    <w:rsid w:val="00201B3A"/>
    <w:rPr>
      <w:rFonts w:ascii="Montserrat Semi Bold" w:eastAsiaTheme="majorEastAsia" w:hAnsi="Montserrat Semi Bold" w:cstheme="majorBidi"/>
      <w:i/>
      <w:iCs/>
      <w:color w:val="939598"/>
      <w:sz w:val="20"/>
    </w:rPr>
  </w:style>
  <w:style w:type="paragraph" w:customStyle="1" w:styleId="CGCParaNumber">
    <w:name w:val="CGC Para Number"/>
    <w:basedOn w:val="Normal"/>
    <w:qFormat/>
    <w:rsid w:val="00FE22D0"/>
    <w:pPr>
      <w:numPr>
        <w:numId w:val="2"/>
      </w:numPr>
    </w:pPr>
  </w:style>
  <w:style w:type="paragraph" w:customStyle="1" w:styleId="CGCBullet1">
    <w:name w:val="CGC Bullet 1"/>
    <w:basedOn w:val="Normal"/>
    <w:qFormat/>
    <w:rsid w:val="001E6148"/>
    <w:pPr>
      <w:numPr>
        <w:numId w:val="3"/>
      </w:numPr>
      <w:ind w:left="924" w:hanging="357"/>
    </w:pPr>
  </w:style>
  <w:style w:type="paragraph" w:customStyle="1" w:styleId="CGCBullet2">
    <w:name w:val="CGC Bullet 2"/>
    <w:basedOn w:val="Normal"/>
    <w:autoRedefine/>
    <w:qFormat/>
    <w:rsid w:val="001E01A7"/>
    <w:pPr>
      <w:numPr>
        <w:numId w:val="4"/>
      </w:numPr>
      <w:ind w:left="1208" w:hanging="357"/>
    </w:pPr>
  </w:style>
  <w:style w:type="paragraph" w:customStyle="1" w:styleId="CGCBullet3">
    <w:name w:val="CGC Bullet 3"/>
    <w:basedOn w:val="Normal"/>
    <w:qFormat/>
    <w:rsid w:val="00FE22D0"/>
    <w:pPr>
      <w:numPr>
        <w:numId w:val="5"/>
      </w:numPr>
    </w:pPr>
  </w:style>
  <w:style w:type="paragraph" w:customStyle="1" w:styleId="CGCQuoteText">
    <w:name w:val="CGC Quote Text"/>
    <w:basedOn w:val="Normal"/>
    <w:next w:val="Normal"/>
    <w:qFormat/>
    <w:rsid w:val="00F3399C"/>
    <w:pPr>
      <w:spacing w:after="120"/>
      <w:ind w:left="1418" w:right="1134"/>
    </w:pPr>
  </w:style>
  <w:style w:type="paragraph" w:customStyle="1" w:styleId="CGCQuoteBullet">
    <w:name w:val="CGC Quote Bullet"/>
    <w:basedOn w:val="CGCQuoteText"/>
    <w:next w:val="Normal"/>
    <w:rsid w:val="00F3399C"/>
    <w:pPr>
      <w:numPr>
        <w:numId w:val="6"/>
      </w:numPr>
      <w:spacing w:after="0"/>
      <w:ind w:right="1418"/>
    </w:pPr>
  </w:style>
  <w:style w:type="paragraph" w:customStyle="1" w:styleId="CGCTablerow">
    <w:name w:val="CGC Table row"/>
    <w:basedOn w:val="Normal"/>
    <w:qFormat/>
    <w:rsid w:val="00E633CE"/>
    <w:pPr>
      <w:keepNext/>
      <w:keepLines/>
      <w:spacing w:before="0" w:line="240" w:lineRule="auto"/>
    </w:pPr>
    <w:rPr>
      <w:sz w:val="16"/>
    </w:rPr>
  </w:style>
  <w:style w:type="paragraph" w:customStyle="1" w:styleId="CGCTablenote">
    <w:name w:val="CGC Table note"/>
    <w:basedOn w:val="Normal"/>
    <w:next w:val="Normal"/>
    <w:qFormat/>
    <w:rsid w:val="00CF0DFD"/>
    <w:pPr>
      <w:tabs>
        <w:tab w:val="clear" w:pos="567"/>
        <w:tab w:val="left" w:pos="680"/>
      </w:tabs>
      <w:spacing w:before="40" w:line="240" w:lineRule="auto"/>
      <w:ind w:left="567" w:hanging="567"/>
    </w:pPr>
    <w:rPr>
      <w:sz w:val="14"/>
    </w:rPr>
  </w:style>
  <w:style w:type="character" w:customStyle="1" w:styleId="CGCTableHeadingChar">
    <w:name w:val="CGC Table Heading Char"/>
    <w:basedOn w:val="DefaultParagraphFont"/>
    <w:link w:val="CGCTableHeading"/>
    <w:rsid w:val="00EB01F1"/>
    <w:rPr>
      <w:rFonts w:ascii="Open Sans Semibold" w:hAnsi="Open Sans Semibold"/>
      <w:color w:val="FFFFFF" w:themeColor="background1"/>
      <w:sz w:val="16"/>
      <w:szCs w:val="20"/>
    </w:rPr>
  </w:style>
  <w:style w:type="character" w:customStyle="1" w:styleId="CGCTableStubChar">
    <w:name w:val="CGC Table Stub Char"/>
    <w:basedOn w:val="DefaultParagraphFont"/>
    <w:link w:val="CGCTableStub"/>
    <w:rsid w:val="00D46F93"/>
    <w:rPr>
      <w:sz w:val="20"/>
      <w:szCs w:val="20"/>
    </w:rPr>
  </w:style>
  <w:style w:type="paragraph" w:styleId="NoSpacing">
    <w:name w:val="No Spacing"/>
    <w:link w:val="NoSpacingChar"/>
    <w:uiPriority w:val="1"/>
    <w:qFormat/>
    <w:rsid w:val="00E95729"/>
    <w:pPr>
      <w:tabs>
        <w:tab w:val="left" w:pos="567"/>
      </w:tabs>
      <w:spacing w:after="0" w:line="240" w:lineRule="auto"/>
    </w:pPr>
    <w:rPr>
      <w:rFonts w:ascii="Open Sans Light" w:hAnsi="Open Sans Light"/>
      <w:sz w:val="20"/>
    </w:rPr>
  </w:style>
  <w:style w:type="character" w:customStyle="1" w:styleId="NoSpacingChar">
    <w:name w:val="No Spacing Char"/>
    <w:basedOn w:val="DefaultParagraphFont"/>
    <w:link w:val="NoSpacing"/>
    <w:uiPriority w:val="1"/>
    <w:rsid w:val="00E95729"/>
    <w:rPr>
      <w:rFonts w:ascii="Open Sans Light" w:hAnsi="Open Sans Light"/>
      <w:sz w:val="20"/>
    </w:rPr>
  </w:style>
  <w:style w:type="character" w:customStyle="1" w:styleId="CGCTableFootnoteChar">
    <w:name w:val="CGC Table Footnote Char"/>
    <w:basedOn w:val="DefaultParagraphFont"/>
    <w:link w:val="CGCTableFootnote"/>
    <w:rsid w:val="00EB1A5D"/>
    <w:rPr>
      <w:rFonts w:ascii="Open Sans Light" w:hAnsi="Open Sans Light"/>
      <w:sz w:val="20"/>
      <w:szCs w:val="24"/>
    </w:rPr>
  </w:style>
  <w:style w:type="paragraph" w:customStyle="1" w:styleId="CGCTabletitle">
    <w:name w:val="CGC Table title"/>
    <w:basedOn w:val="Normal"/>
    <w:next w:val="Normal"/>
    <w:rsid w:val="00165998"/>
    <w:pPr>
      <w:spacing w:before="240" w:after="120" w:line="240" w:lineRule="auto"/>
    </w:pPr>
    <w:rPr>
      <w:rFonts w:ascii="Tahoma" w:hAnsi="Tahoma"/>
      <w:b/>
    </w:rPr>
  </w:style>
  <w:style w:type="paragraph" w:styleId="Title">
    <w:name w:val="Title"/>
    <w:basedOn w:val="Normal"/>
    <w:next w:val="Normal"/>
    <w:link w:val="TitleChar"/>
    <w:uiPriority w:val="10"/>
    <w:rsid w:val="00165998"/>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5998"/>
    <w:rPr>
      <w:rFonts w:asciiTheme="majorHAnsi" w:eastAsiaTheme="majorEastAsia" w:hAnsiTheme="majorHAnsi" w:cstheme="majorBidi"/>
      <w:spacing w:val="-10"/>
      <w:kern w:val="28"/>
      <w:sz w:val="56"/>
      <w:szCs w:val="56"/>
      <w:lang w:val="en-US"/>
    </w:rPr>
  </w:style>
  <w:style w:type="paragraph" w:customStyle="1" w:styleId="TOCtitle">
    <w:name w:val="TOC title"/>
    <w:basedOn w:val="Normal"/>
    <w:next w:val="Normal"/>
    <w:rsid w:val="00165998"/>
    <w:pPr>
      <w:ind w:left="113"/>
    </w:pPr>
    <w:rPr>
      <w:rFonts w:ascii="Montserrat ExtraBold" w:hAnsi="Montserrat ExtraBold"/>
      <w:color w:val="004563"/>
      <w:sz w:val="32"/>
    </w:rPr>
  </w:style>
  <w:style w:type="table" w:customStyle="1" w:styleId="Calendar1">
    <w:name w:val="Calendar 1"/>
    <w:basedOn w:val="TableNormal"/>
    <w:uiPriority w:val="99"/>
    <w:qFormat/>
    <w:rsid w:val="00165998"/>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CommentReference">
    <w:name w:val="annotation reference"/>
    <w:basedOn w:val="DefaultParagraphFont"/>
    <w:semiHidden/>
    <w:unhideWhenUsed/>
    <w:rsid w:val="00165998"/>
    <w:rPr>
      <w:sz w:val="16"/>
      <w:szCs w:val="16"/>
    </w:rPr>
  </w:style>
  <w:style w:type="paragraph" w:styleId="CommentText">
    <w:name w:val="annotation text"/>
    <w:basedOn w:val="Normal"/>
    <w:link w:val="CommentTextChar"/>
    <w:uiPriority w:val="99"/>
    <w:unhideWhenUsed/>
    <w:rsid w:val="00165998"/>
    <w:pPr>
      <w:spacing w:line="240" w:lineRule="auto"/>
    </w:pPr>
    <w:rPr>
      <w:szCs w:val="20"/>
    </w:rPr>
  </w:style>
  <w:style w:type="character" w:customStyle="1" w:styleId="CommentTextChar">
    <w:name w:val="Comment Text Char"/>
    <w:basedOn w:val="DefaultParagraphFont"/>
    <w:link w:val="CommentText"/>
    <w:uiPriority w:val="99"/>
    <w:rsid w:val="00165998"/>
    <w:rPr>
      <w:rFonts w:ascii="Open Sans Light" w:hAnsi="Open Sans Light"/>
      <w:sz w:val="20"/>
      <w:szCs w:val="20"/>
      <w:lang w:val="en-US"/>
    </w:rPr>
  </w:style>
  <w:style w:type="paragraph" w:styleId="CommentSubject">
    <w:name w:val="annotation subject"/>
    <w:basedOn w:val="CommentText"/>
    <w:next w:val="CommentText"/>
    <w:link w:val="CommentSubjectChar"/>
    <w:uiPriority w:val="99"/>
    <w:semiHidden/>
    <w:unhideWhenUsed/>
    <w:rsid w:val="00165998"/>
    <w:rPr>
      <w:b/>
      <w:bCs/>
    </w:rPr>
  </w:style>
  <w:style w:type="character" w:customStyle="1" w:styleId="CommentSubjectChar">
    <w:name w:val="Comment Subject Char"/>
    <w:basedOn w:val="CommentTextChar"/>
    <w:link w:val="CommentSubject"/>
    <w:uiPriority w:val="99"/>
    <w:semiHidden/>
    <w:rsid w:val="00165998"/>
    <w:rPr>
      <w:rFonts w:ascii="Open Sans Light" w:hAnsi="Open Sans Light"/>
      <w:b/>
      <w:bCs/>
      <w:sz w:val="20"/>
      <w:szCs w:val="20"/>
      <w:lang w:val="en-US"/>
    </w:rPr>
  </w:style>
  <w:style w:type="paragraph" w:styleId="BalloonText">
    <w:name w:val="Balloon Text"/>
    <w:basedOn w:val="Normal"/>
    <w:link w:val="BalloonTextChar"/>
    <w:uiPriority w:val="99"/>
    <w:semiHidden/>
    <w:unhideWhenUsed/>
    <w:rsid w:val="00165998"/>
    <w:pPr>
      <w:spacing w:before="0" w:line="240" w:lineRule="auto"/>
    </w:pPr>
    <w:rPr>
      <w:rFonts w:ascii="Cambria Math" w:hAnsi="Cambria Math" w:cs="Cambria Math"/>
      <w:sz w:val="18"/>
      <w:szCs w:val="18"/>
    </w:rPr>
  </w:style>
  <w:style w:type="character" w:customStyle="1" w:styleId="BalloonTextChar">
    <w:name w:val="Balloon Text Char"/>
    <w:basedOn w:val="DefaultParagraphFont"/>
    <w:link w:val="BalloonText"/>
    <w:uiPriority w:val="99"/>
    <w:semiHidden/>
    <w:rsid w:val="00165998"/>
    <w:rPr>
      <w:rFonts w:ascii="Cambria Math" w:hAnsi="Cambria Math" w:cs="Cambria Math"/>
      <w:sz w:val="18"/>
      <w:szCs w:val="18"/>
    </w:rPr>
  </w:style>
  <w:style w:type="character" w:styleId="UnresolvedMention">
    <w:name w:val="Unresolved Mention"/>
    <w:basedOn w:val="DefaultParagraphFont"/>
    <w:uiPriority w:val="99"/>
    <w:unhideWhenUsed/>
    <w:rsid w:val="00165998"/>
    <w:rPr>
      <w:color w:val="605E5C"/>
      <w:shd w:val="clear" w:color="auto" w:fill="E1DFDD"/>
    </w:rPr>
  </w:style>
  <w:style w:type="character" w:styleId="Mention">
    <w:name w:val="Mention"/>
    <w:basedOn w:val="DefaultParagraphFont"/>
    <w:uiPriority w:val="99"/>
    <w:unhideWhenUsed/>
    <w:rsid w:val="00165998"/>
    <w:rPr>
      <w:color w:val="2B579A"/>
      <w:shd w:val="clear" w:color="auto" w:fill="E1DFDD"/>
    </w:rPr>
  </w:style>
  <w:style w:type="paragraph" w:customStyle="1" w:styleId="paragraph">
    <w:name w:val="paragraph"/>
    <w:basedOn w:val="Normal"/>
    <w:rsid w:val="00165998"/>
    <w:pPr>
      <w:tabs>
        <w:tab w:val="clear" w:pos="567"/>
      </w:tabs>
      <w:spacing w:before="100" w:beforeAutospacing="1" w:after="100" w:afterAutospacing="1" w:line="240" w:lineRule="auto"/>
    </w:pPr>
    <w:rPr>
      <w:rFonts w:ascii="MS Mincho" w:eastAsia="MS Mincho" w:hAnsi="MS Mincho" w:cs="MS Mincho"/>
      <w:sz w:val="24"/>
      <w:szCs w:val="24"/>
      <w:lang w:eastAsia="en-AU"/>
    </w:rPr>
  </w:style>
  <w:style w:type="character" w:customStyle="1" w:styleId="normaltextrun">
    <w:name w:val="normaltextrun"/>
    <w:basedOn w:val="DefaultParagraphFont"/>
    <w:rsid w:val="00165998"/>
  </w:style>
  <w:style w:type="character" w:customStyle="1" w:styleId="eop">
    <w:name w:val="eop"/>
    <w:basedOn w:val="DefaultParagraphFont"/>
    <w:rsid w:val="00165998"/>
  </w:style>
  <w:style w:type="character" w:customStyle="1" w:styleId="spellingerror">
    <w:name w:val="spellingerror"/>
    <w:basedOn w:val="DefaultParagraphFont"/>
    <w:rsid w:val="00165998"/>
  </w:style>
  <w:style w:type="paragraph" w:styleId="TOC7">
    <w:name w:val="toc 7"/>
    <w:basedOn w:val="Normal"/>
    <w:next w:val="Normal"/>
    <w:autoRedefine/>
    <w:uiPriority w:val="39"/>
    <w:semiHidden/>
    <w:unhideWhenUsed/>
    <w:rsid w:val="00165998"/>
    <w:pPr>
      <w:tabs>
        <w:tab w:val="clear" w:pos="567"/>
      </w:tabs>
      <w:spacing w:after="100"/>
      <w:ind w:left="1200"/>
    </w:pPr>
  </w:style>
  <w:style w:type="paragraph" w:styleId="TOC8">
    <w:name w:val="toc 8"/>
    <w:basedOn w:val="Normal"/>
    <w:next w:val="Normal"/>
    <w:autoRedefine/>
    <w:uiPriority w:val="39"/>
    <w:semiHidden/>
    <w:unhideWhenUsed/>
    <w:rsid w:val="00165998"/>
    <w:pPr>
      <w:tabs>
        <w:tab w:val="clear" w:pos="567"/>
      </w:tabs>
      <w:spacing w:after="100"/>
      <w:ind w:left="1400"/>
    </w:pPr>
  </w:style>
  <w:style w:type="paragraph" w:styleId="TOC9">
    <w:name w:val="toc 9"/>
    <w:basedOn w:val="Normal"/>
    <w:next w:val="Normal"/>
    <w:autoRedefine/>
    <w:uiPriority w:val="39"/>
    <w:semiHidden/>
    <w:unhideWhenUsed/>
    <w:rsid w:val="00165998"/>
    <w:pPr>
      <w:tabs>
        <w:tab w:val="clear" w:pos="567"/>
      </w:tabs>
      <w:spacing w:after="100"/>
      <w:ind w:left="1600"/>
    </w:pPr>
  </w:style>
  <w:style w:type="paragraph" w:styleId="Revision">
    <w:name w:val="Revision"/>
    <w:hidden/>
    <w:uiPriority w:val="99"/>
    <w:semiHidden/>
    <w:rsid w:val="00165998"/>
    <w:pPr>
      <w:spacing w:after="0" w:line="240" w:lineRule="auto"/>
    </w:pPr>
    <w:rPr>
      <w:rFonts w:ascii="Wingdings" w:hAnsi="Wingdings"/>
      <w:sz w:val="20"/>
      <w:lang w:val="en-US"/>
    </w:rPr>
  </w:style>
  <w:style w:type="paragraph" w:customStyle="1" w:styleId="CGCSubbulletlist">
    <w:name w:val="CGC Sub bullet list"/>
    <w:aliases w:val="CGC List 2"/>
    <w:basedOn w:val="Normal"/>
    <w:rsid w:val="00165998"/>
    <w:pPr>
      <w:tabs>
        <w:tab w:val="clear" w:pos="567"/>
        <w:tab w:val="left" w:pos="1701"/>
      </w:tabs>
      <w:spacing w:before="0" w:after="80" w:line="300" w:lineRule="atLeast"/>
      <w:ind w:left="1134"/>
    </w:pPr>
    <w:rPr>
      <w:rFonts w:asciiTheme="minorHAnsi" w:hAnsiTheme="minorHAnsi"/>
      <w:sz w:val="24"/>
      <w:szCs w:val="20"/>
    </w:rPr>
  </w:style>
  <w:style w:type="character" w:styleId="FollowedHyperlink">
    <w:name w:val="FollowedHyperlink"/>
    <w:basedOn w:val="DefaultParagraphFont"/>
    <w:uiPriority w:val="99"/>
    <w:semiHidden/>
    <w:unhideWhenUsed/>
    <w:rsid w:val="00165998"/>
    <w:rPr>
      <w:color w:val="800080" w:themeColor="followedHyperlink"/>
      <w:u w:val="single"/>
    </w:rPr>
  </w:style>
  <w:style w:type="paragraph" w:styleId="TableofFigures">
    <w:name w:val="table of figures"/>
    <w:basedOn w:val="Normal"/>
    <w:next w:val="Normal"/>
    <w:uiPriority w:val="99"/>
    <w:unhideWhenUsed/>
    <w:rsid w:val="00D44BC2"/>
    <w:pPr>
      <w:tabs>
        <w:tab w:val="clear" w:pos="567"/>
      </w:tabs>
    </w:pPr>
  </w:style>
  <w:style w:type="character" w:styleId="Strong">
    <w:name w:val="Strong"/>
    <w:basedOn w:val="DefaultParagraphFont"/>
    <w:uiPriority w:val="22"/>
    <w:qFormat/>
    <w:rsid w:val="000C7811"/>
    <w:rPr>
      <w:b/>
      <w:bCs/>
    </w:rPr>
  </w:style>
  <w:style w:type="paragraph" w:customStyle="1" w:styleId="StyleSymbolsymbol8ptWhiteRightBefore0ptLinespac">
    <w:name w:val="Style Symbol (symbol) 8 pt White Right Before:  0 pt Line spac..."/>
    <w:basedOn w:val="Normal"/>
    <w:rsid w:val="00BA5AB1"/>
    <w:pPr>
      <w:spacing w:before="0" w:line="240" w:lineRule="auto"/>
      <w:jc w:val="right"/>
    </w:pPr>
    <w:rPr>
      <w:rFonts w:ascii="Montserrat Ultra Light" w:eastAsia="Times New Roman" w:hAnsi="Montserrat Ultra Light" w:cs="Times New Roman"/>
      <w:b/>
      <w:color w:val="636466"/>
      <w:sz w:val="16"/>
      <w:szCs w:val="20"/>
    </w:rPr>
  </w:style>
  <w:style w:type="paragraph" w:styleId="NormalWeb">
    <w:name w:val="Normal (Web)"/>
    <w:basedOn w:val="Normal"/>
    <w:semiHidden/>
    <w:unhideWhenUsed/>
    <w:rsid w:val="0089361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71671">
      <w:bodyDiv w:val="1"/>
      <w:marLeft w:val="0"/>
      <w:marRight w:val="0"/>
      <w:marTop w:val="0"/>
      <w:marBottom w:val="0"/>
      <w:divBdr>
        <w:top w:val="none" w:sz="0" w:space="0" w:color="auto"/>
        <w:left w:val="none" w:sz="0" w:space="0" w:color="auto"/>
        <w:bottom w:val="none" w:sz="0" w:space="0" w:color="auto"/>
        <w:right w:val="none" w:sz="0" w:space="0" w:color="auto"/>
      </w:divBdr>
    </w:div>
    <w:div w:id="35082644">
      <w:bodyDiv w:val="1"/>
      <w:marLeft w:val="0"/>
      <w:marRight w:val="0"/>
      <w:marTop w:val="0"/>
      <w:marBottom w:val="0"/>
      <w:divBdr>
        <w:top w:val="none" w:sz="0" w:space="0" w:color="auto"/>
        <w:left w:val="none" w:sz="0" w:space="0" w:color="auto"/>
        <w:bottom w:val="none" w:sz="0" w:space="0" w:color="auto"/>
        <w:right w:val="none" w:sz="0" w:space="0" w:color="auto"/>
      </w:divBdr>
    </w:div>
    <w:div w:id="45154799">
      <w:bodyDiv w:val="1"/>
      <w:marLeft w:val="0"/>
      <w:marRight w:val="0"/>
      <w:marTop w:val="0"/>
      <w:marBottom w:val="0"/>
      <w:divBdr>
        <w:top w:val="none" w:sz="0" w:space="0" w:color="auto"/>
        <w:left w:val="none" w:sz="0" w:space="0" w:color="auto"/>
        <w:bottom w:val="none" w:sz="0" w:space="0" w:color="auto"/>
        <w:right w:val="none" w:sz="0" w:space="0" w:color="auto"/>
      </w:divBdr>
    </w:div>
    <w:div w:id="45643378">
      <w:bodyDiv w:val="1"/>
      <w:marLeft w:val="0"/>
      <w:marRight w:val="0"/>
      <w:marTop w:val="0"/>
      <w:marBottom w:val="0"/>
      <w:divBdr>
        <w:top w:val="none" w:sz="0" w:space="0" w:color="auto"/>
        <w:left w:val="none" w:sz="0" w:space="0" w:color="auto"/>
        <w:bottom w:val="none" w:sz="0" w:space="0" w:color="auto"/>
        <w:right w:val="none" w:sz="0" w:space="0" w:color="auto"/>
      </w:divBdr>
    </w:div>
    <w:div w:id="47657578">
      <w:bodyDiv w:val="1"/>
      <w:marLeft w:val="0"/>
      <w:marRight w:val="0"/>
      <w:marTop w:val="0"/>
      <w:marBottom w:val="0"/>
      <w:divBdr>
        <w:top w:val="none" w:sz="0" w:space="0" w:color="auto"/>
        <w:left w:val="none" w:sz="0" w:space="0" w:color="auto"/>
        <w:bottom w:val="none" w:sz="0" w:space="0" w:color="auto"/>
        <w:right w:val="none" w:sz="0" w:space="0" w:color="auto"/>
      </w:divBdr>
    </w:div>
    <w:div w:id="78017116">
      <w:bodyDiv w:val="1"/>
      <w:marLeft w:val="0"/>
      <w:marRight w:val="0"/>
      <w:marTop w:val="0"/>
      <w:marBottom w:val="0"/>
      <w:divBdr>
        <w:top w:val="none" w:sz="0" w:space="0" w:color="auto"/>
        <w:left w:val="none" w:sz="0" w:space="0" w:color="auto"/>
        <w:bottom w:val="none" w:sz="0" w:space="0" w:color="auto"/>
        <w:right w:val="none" w:sz="0" w:space="0" w:color="auto"/>
      </w:divBdr>
    </w:div>
    <w:div w:id="85539899">
      <w:bodyDiv w:val="1"/>
      <w:marLeft w:val="0"/>
      <w:marRight w:val="0"/>
      <w:marTop w:val="0"/>
      <w:marBottom w:val="0"/>
      <w:divBdr>
        <w:top w:val="none" w:sz="0" w:space="0" w:color="auto"/>
        <w:left w:val="none" w:sz="0" w:space="0" w:color="auto"/>
        <w:bottom w:val="none" w:sz="0" w:space="0" w:color="auto"/>
        <w:right w:val="none" w:sz="0" w:space="0" w:color="auto"/>
      </w:divBdr>
    </w:div>
    <w:div w:id="98835656">
      <w:bodyDiv w:val="1"/>
      <w:marLeft w:val="0"/>
      <w:marRight w:val="0"/>
      <w:marTop w:val="0"/>
      <w:marBottom w:val="0"/>
      <w:divBdr>
        <w:top w:val="none" w:sz="0" w:space="0" w:color="auto"/>
        <w:left w:val="none" w:sz="0" w:space="0" w:color="auto"/>
        <w:bottom w:val="none" w:sz="0" w:space="0" w:color="auto"/>
        <w:right w:val="none" w:sz="0" w:space="0" w:color="auto"/>
      </w:divBdr>
    </w:div>
    <w:div w:id="128406385">
      <w:bodyDiv w:val="1"/>
      <w:marLeft w:val="0"/>
      <w:marRight w:val="0"/>
      <w:marTop w:val="0"/>
      <w:marBottom w:val="0"/>
      <w:divBdr>
        <w:top w:val="none" w:sz="0" w:space="0" w:color="auto"/>
        <w:left w:val="none" w:sz="0" w:space="0" w:color="auto"/>
        <w:bottom w:val="none" w:sz="0" w:space="0" w:color="auto"/>
        <w:right w:val="none" w:sz="0" w:space="0" w:color="auto"/>
      </w:divBdr>
    </w:div>
    <w:div w:id="146089699">
      <w:bodyDiv w:val="1"/>
      <w:marLeft w:val="0"/>
      <w:marRight w:val="0"/>
      <w:marTop w:val="0"/>
      <w:marBottom w:val="0"/>
      <w:divBdr>
        <w:top w:val="none" w:sz="0" w:space="0" w:color="auto"/>
        <w:left w:val="none" w:sz="0" w:space="0" w:color="auto"/>
        <w:bottom w:val="none" w:sz="0" w:space="0" w:color="auto"/>
        <w:right w:val="none" w:sz="0" w:space="0" w:color="auto"/>
      </w:divBdr>
    </w:div>
    <w:div w:id="152375401">
      <w:bodyDiv w:val="1"/>
      <w:marLeft w:val="0"/>
      <w:marRight w:val="0"/>
      <w:marTop w:val="0"/>
      <w:marBottom w:val="0"/>
      <w:divBdr>
        <w:top w:val="none" w:sz="0" w:space="0" w:color="auto"/>
        <w:left w:val="none" w:sz="0" w:space="0" w:color="auto"/>
        <w:bottom w:val="none" w:sz="0" w:space="0" w:color="auto"/>
        <w:right w:val="none" w:sz="0" w:space="0" w:color="auto"/>
      </w:divBdr>
    </w:div>
    <w:div w:id="166096915">
      <w:bodyDiv w:val="1"/>
      <w:marLeft w:val="0"/>
      <w:marRight w:val="0"/>
      <w:marTop w:val="0"/>
      <w:marBottom w:val="0"/>
      <w:divBdr>
        <w:top w:val="none" w:sz="0" w:space="0" w:color="auto"/>
        <w:left w:val="none" w:sz="0" w:space="0" w:color="auto"/>
        <w:bottom w:val="none" w:sz="0" w:space="0" w:color="auto"/>
        <w:right w:val="none" w:sz="0" w:space="0" w:color="auto"/>
      </w:divBdr>
    </w:div>
    <w:div w:id="216358189">
      <w:bodyDiv w:val="1"/>
      <w:marLeft w:val="0"/>
      <w:marRight w:val="0"/>
      <w:marTop w:val="0"/>
      <w:marBottom w:val="0"/>
      <w:divBdr>
        <w:top w:val="none" w:sz="0" w:space="0" w:color="auto"/>
        <w:left w:val="none" w:sz="0" w:space="0" w:color="auto"/>
        <w:bottom w:val="none" w:sz="0" w:space="0" w:color="auto"/>
        <w:right w:val="none" w:sz="0" w:space="0" w:color="auto"/>
      </w:divBdr>
      <w:divsChild>
        <w:div w:id="239294380">
          <w:marLeft w:val="0"/>
          <w:marRight w:val="0"/>
          <w:marTop w:val="0"/>
          <w:marBottom w:val="0"/>
          <w:divBdr>
            <w:top w:val="none" w:sz="0" w:space="0" w:color="auto"/>
            <w:left w:val="none" w:sz="0" w:space="0" w:color="auto"/>
            <w:bottom w:val="none" w:sz="0" w:space="0" w:color="auto"/>
            <w:right w:val="none" w:sz="0" w:space="0" w:color="auto"/>
          </w:divBdr>
        </w:div>
      </w:divsChild>
    </w:div>
    <w:div w:id="232587859">
      <w:bodyDiv w:val="1"/>
      <w:marLeft w:val="0"/>
      <w:marRight w:val="0"/>
      <w:marTop w:val="0"/>
      <w:marBottom w:val="0"/>
      <w:divBdr>
        <w:top w:val="none" w:sz="0" w:space="0" w:color="auto"/>
        <w:left w:val="none" w:sz="0" w:space="0" w:color="auto"/>
        <w:bottom w:val="none" w:sz="0" w:space="0" w:color="auto"/>
        <w:right w:val="none" w:sz="0" w:space="0" w:color="auto"/>
      </w:divBdr>
    </w:div>
    <w:div w:id="237714164">
      <w:bodyDiv w:val="1"/>
      <w:marLeft w:val="0"/>
      <w:marRight w:val="0"/>
      <w:marTop w:val="0"/>
      <w:marBottom w:val="0"/>
      <w:divBdr>
        <w:top w:val="none" w:sz="0" w:space="0" w:color="auto"/>
        <w:left w:val="none" w:sz="0" w:space="0" w:color="auto"/>
        <w:bottom w:val="none" w:sz="0" w:space="0" w:color="auto"/>
        <w:right w:val="none" w:sz="0" w:space="0" w:color="auto"/>
      </w:divBdr>
    </w:div>
    <w:div w:id="242957967">
      <w:bodyDiv w:val="1"/>
      <w:marLeft w:val="0"/>
      <w:marRight w:val="0"/>
      <w:marTop w:val="0"/>
      <w:marBottom w:val="0"/>
      <w:divBdr>
        <w:top w:val="none" w:sz="0" w:space="0" w:color="auto"/>
        <w:left w:val="none" w:sz="0" w:space="0" w:color="auto"/>
        <w:bottom w:val="none" w:sz="0" w:space="0" w:color="auto"/>
        <w:right w:val="none" w:sz="0" w:space="0" w:color="auto"/>
      </w:divBdr>
    </w:div>
    <w:div w:id="246115688">
      <w:bodyDiv w:val="1"/>
      <w:marLeft w:val="0"/>
      <w:marRight w:val="0"/>
      <w:marTop w:val="0"/>
      <w:marBottom w:val="0"/>
      <w:divBdr>
        <w:top w:val="none" w:sz="0" w:space="0" w:color="auto"/>
        <w:left w:val="none" w:sz="0" w:space="0" w:color="auto"/>
        <w:bottom w:val="none" w:sz="0" w:space="0" w:color="auto"/>
        <w:right w:val="none" w:sz="0" w:space="0" w:color="auto"/>
      </w:divBdr>
    </w:div>
    <w:div w:id="248734119">
      <w:bodyDiv w:val="1"/>
      <w:marLeft w:val="0"/>
      <w:marRight w:val="0"/>
      <w:marTop w:val="0"/>
      <w:marBottom w:val="0"/>
      <w:divBdr>
        <w:top w:val="none" w:sz="0" w:space="0" w:color="auto"/>
        <w:left w:val="none" w:sz="0" w:space="0" w:color="auto"/>
        <w:bottom w:val="none" w:sz="0" w:space="0" w:color="auto"/>
        <w:right w:val="none" w:sz="0" w:space="0" w:color="auto"/>
      </w:divBdr>
    </w:div>
    <w:div w:id="272592990">
      <w:bodyDiv w:val="1"/>
      <w:marLeft w:val="0"/>
      <w:marRight w:val="0"/>
      <w:marTop w:val="0"/>
      <w:marBottom w:val="0"/>
      <w:divBdr>
        <w:top w:val="none" w:sz="0" w:space="0" w:color="auto"/>
        <w:left w:val="none" w:sz="0" w:space="0" w:color="auto"/>
        <w:bottom w:val="none" w:sz="0" w:space="0" w:color="auto"/>
        <w:right w:val="none" w:sz="0" w:space="0" w:color="auto"/>
      </w:divBdr>
    </w:div>
    <w:div w:id="282543910">
      <w:bodyDiv w:val="1"/>
      <w:marLeft w:val="0"/>
      <w:marRight w:val="0"/>
      <w:marTop w:val="0"/>
      <w:marBottom w:val="0"/>
      <w:divBdr>
        <w:top w:val="none" w:sz="0" w:space="0" w:color="auto"/>
        <w:left w:val="none" w:sz="0" w:space="0" w:color="auto"/>
        <w:bottom w:val="none" w:sz="0" w:space="0" w:color="auto"/>
        <w:right w:val="none" w:sz="0" w:space="0" w:color="auto"/>
      </w:divBdr>
    </w:div>
    <w:div w:id="287978036">
      <w:bodyDiv w:val="1"/>
      <w:marLeft w:val="0"/>
      <w:marRight w:val="0"/>
      <w:marTop w:val="0"/>
      <w:marBottom w:val="0"/>
      <w:divBdr>
        <w:top w:val="none" w:sz="0" w:space="0" w:color="auto"/>
        <w:left w:val="none" w:sz="0" w:space="0" w:color="auto"/>
        <w:bottom w:val="none" w:sz="0" w:space="0" w:color="auto"/>
        <w:right w:val="none" w:sz="0" w:space="0" w:color="auto"/>
      </w:divBdr>
    </w:div>
    <w:div w:id="301733977">
      <w:bodyDiv w:val="1"/>
      <w:marLeft w:val="0"/>
      <w:marRight w:val="0"/>
      <w:marTop w:val="0"/>
      <w:marBottom w:val="0"/>
      <w:divBdr>
        <w:top w:val="none" w:sz="0" w:space="0" w:color="auto"/>
        <w:left w:val="none" w:sz="0" w:space="0" w:color="auto"/>
        <w:bottom w:val="none" w:sz="0" w:space="0" w:color="auto"/>
        <w:right w:val="none" w:sz="0" w:space="0" w:color="auto"/>
      </w:divBdr>
    </w:div>
    <w:div w:id="309527077">
      <w:bodyDiv w:val="1"/>
      <w:marLeft w:val="0"/>
      <w:marRight w:val="0"/>
      <w:marTop w:val="0"/>
      <w:marBottom w:val="0"/>
      <w:divBdr>
        <w:top w:val="none" w:sz="0" w:space="0" w:color="auto"/>
        <w:left w:val="none" w:sz="0" w:space="0" w:color="auto"/>
        <w:bottom w:val="none" w:sz="0" w:space="0" w:color="auto"/>
        <w:right w:val="none" w:sz="0" w:space="0" w:color="auto"/>
      </w:divBdr>
    </w:div>
    <w:div w:id="324742276">
      <w:bodyDiv w:val="1"/>
      <w:marLeft w:val="0"/>
      <w:marRight w:val="0"/>
      <w:marTop w:val="0"/>
      <w:marBottom w:val="0"/>
      <w:divBdr>
        <w:top w:val="none" w:sz="0" w:space="0" w:color="auto"/>
        <w:left w:val="none" w:sz="0" w:space="0" w:color="auto"/>
        <w:bottom w:val="none" w:sz="0" w:space="0" w:color="auto"/>
        <w:right w:val="none" w:sz="0" w:space="0" w:color="auto"/>
      </w:divBdr>
    </w:div>
    <w:div w:id="327905392">
      <w:bodyDiv w:val="1"/>
      <w:marLeft w:val="0"/>
      <w:marRight w:val="0"/>
      <w:marTop w:val="0"/>
      <w:marBottom w:val="0"/>
      <w:divBdr>
        <w:top w:val="none" w:sz="0" w:space="0" w:color="auto"/>
        <w:left w:val="none" w:sz="0" w:space="0" w:color="auto"/>
        <w:bottom w:val="none" w:sz="0" w:space="0" w:color="auto"/>
        <w:right w:val="none" w:sz="0" w:space="0" w:color="auto"/>
      </w:divBdr>
    </w:div>
    <w:div w:id="364796795">
      <w:bodyDiv w:val="1"/>
      <w:marLeft w:val="0"/>
      <w:marRight w:val="0"/>
      <w:marTop w:val="0"/>
      <w:marBottom w:val="0"/>
      <w:divBdr>
        <w:top w:val="none" w:sz="0" w:space="0" w:color="auto"/>
        <w:left w:val="none" w:sz="0" w:space="0" w:color="auto"/>
        <w:bottom w:val="none" w:sz="0" w:space="0" w:color="auto"/>
        <w:right w:val="none" w:sz="0" w:space="0" w:color="auto"/>
      </w:divBdr>
    </w:div>
    <w:div w:id="370764551">
      <w:bodyDiv w:val="1"/>
      <w:marLeft w:val="0"/>
      <w:marRight w:val="0"/>
      <w:marTop w:val="0"/>
      <w:marBottom w:val="0"/>
      <w:divBdr>
        <w:top w:val="none" w:sz="0" w:space="0" w:color="auto"/>
        <w:left w:val="none" w:sz="0" w:space="0" w:color="auto"/>
        <w:bottom w:val="none" w:sz="0" w:space="0" w:color="auto"/>
        <w:right w:val="none" w:sz="0" w:space="0" w:color="auto"/>
      </w:divBdr>
    </w:div>
    <w:div w:id="372660007">
      <w:bodyDiv w:val="1"/>
      <w:marLeft w:val="0"/>
      <w:marRight w:val="0"/>
      <w:marTop w:val="0"/>
      <w:marBottom w:val="0"/>
      <w:divBdr>
        <w:top w:val="none" w:sz="0" w:space="0" w:color="auto"/>
        <w:left w:val="none" w:sz="0" w:space="0" w:color="auto"/>
        <w:bottom w:val="none" w:sz="0" w:space="0" w:color="auto"/>
        <w:right w:val="none" w:sz="0" w:space="0" w:color="auto"/>
      </w:divBdr>
    </w:div>
    <w:div w:id="391734640">
      <w:bodyDiv w:val="1"/>
      <w:marLeft w:val="0"/>
      <w:marRight w:val="0"/>
      <w:marTop w:val="0"/>
      <w:marBottom w:val="0"/>
      <w:divBdr>
        <w:top w:val="none" w:sz="0" w:space="0" w:color="auto"/>
        <w:left w:val="none" w:sz="0" w:space="0" w:color="auto"/>
        <w:bottom w:val="none" w:sz="0" w:space="0" w:color="auto"/>
        <w:right w:val="none" w:sz="0" w:space="0" w:color="auto"/>
      </w:divBdr>
    </w:div>
    <w:div w:id="410472984">
      <w:bodyDiv w:val="1"/>
      <w:marLeft w:val="0"/>
      <w:marRight w:val="0"/>
      <w:marTop w:val="0"/>
      <w:marBottom w:val="0"/>
      <w:divBdr>
        <w:top w:val="none" w:sz="0" w:space="0" w:color="auto"/>
        <w:left w:val="none" w:sz="0" w:space="0" w:color="auto"/>
        <w:bottom w:val="none" w:sz="0" w:space="0" w:color="auto"/>
        <w:right w:val="none" w:sz="0" w:space="0" w:color="auto"/>
      </w:divBdr>
    </w:div>
    <w:div w:id="412090736">
      <w:bodyDiv w:val="1"/>
      <w:marLeft w:val="0"/>
      <w:marRight w:val="0"/>
      <w:marTop w:val="0"/>
      <w:marBottom w:val="0"/>
      <w:divBdr>
        <w:top w:val="none" w:sz="0" w:space="0" w:color="auto"/>
        <w:left w:val="none" w:sz="0" w:space="0" w:color="auto"/>
        <w:bottom w:val="none" w:sz="0" w:space="0" w:color="auto"/>
        <w:right w:val="none" w:sz="0" w:space="0" w:color="auto"/>
      </w:divBdr>
    </w:div>
    <w:div w:id="415320265">
      <w:bodyDiv w:val="1"/>
      <w:marLeft w:val="0"/>
      <w:marRight w:val="0"/>
      <w:marTop w:val="0"/>
      <w:marBottom w:val="0"/>
      <w:divBdr>
        <w:top w:val="none" w:sz="0" w:space="0" w:color="auto"/>
        <w:left w:val="none" w:sz="0" w:space="0" w:color="auto"/>
        <w:bottom w:val="none" w:sz="0" w:space="0" w:color="auto"/>
        <w:right w:val="none" w:sz="0" w:space="0" w:color="auto"/>
      </w:divBdr>
    </w:div>
    <w:div w:id="419453027">
      <w:bodyDiv w:val="1"/>
      <w:marLeft w:val="0"/>
      <w:marRight w:val="0"/>
      <w:marTop w:val="0"/>
      <w:marBottom w:val="0"/>
      <w:divBdr>
        <w:top w:val="none" w:sz="0" w:space="0" w:color="auto"/>
        <w:left w:val="none" w:sz="0" w:space="0" w:color="auto"/>
        <w:bottom w:val="none" w:sz="0" w:space="0" w:color="auto"/>
        <w:right w:val="none" w:sz="0" w:space="0" w:color="auto"/>
      </w:divBdr>
    </w:div>
    <w:div w:id="426770828">
      <w:bodyDiv w:val="1"/>
      <w:marLeft w:val="0"/>
      <w:marRight w:val="0"/>
      <w:marTop w:val="0"/>
      <w:marBottom w:val="0"/>
      <w:divBdr>
        <w:top w:val="none" w:sz="0" w:space="0" w:color="auto"/>
        <w:left w:val="none" w:sz="0" w:space="0" w:color="auto"/>
        <w:bottom w:val="none" w:sz="0" w:space="0" w:color="auto"/>
        <w:right w:val="none" w:sz="0" w:space="0" w:color="auto"/>
      </w:divBdr>
    </w:div>
    <w:div w:id="428165485">
      <w:bodyDiv w:val="1"/>
      <w:marLeft w:val="0"/>
      <w:marRight w:val="0"/>
      <w:marTop w:val="0"/>
      <w:marBottom w:val="0"/>
      <w:divBdr>
        <w:top w:val="none" w:sz="0" w:space="0" w:color="auto"/>
        <w:left w:val="none" w:sz="0" w:space="0" w:color="auto"/>
        <w:bottom w:val="none" w:sz="0" w:space="0" w:color="auto"/>
        <w:right w:val="none" w:sz="0" w:space="0" w:color="auto"/>
      </w:divBdr>
    </w:div>
    <w:div w:id="430899914">
      <w:bodyDiv w:val="1"/>
      <w:marLeft w:val="0"/>
      <w:marRight w:val="0"/>
      <w:marTop w:val="0"/>
      <w:marBottom w:val="0"/>
      <w:divBdr>
        <w:top w:val="none" w:sz="0" w:space="0" w:color="auto"/>
        <w:left w:val="none" w:sz="0" w:space="0" w:color="auto"/>
        <w:bottom w:val="none" w:sz="0" w:space="0" w:color="auto"/>
        <w:right w:val="none" w:sz="0" w:space="0" w:color="auto"/>
      </w:divBdr>
    </w:div>
    <w:div w:id="449512895">
      <w:bodyDiv w:val="1"/>
      <w:marLeft w:val="0"/>
      <w:marRight w:val="0"/>
      <w:marTop w:val="0"/>
      <w:marBottom w:val="0"/>
      <w:divBdr>
        <w:top w:val="none" w:sz="0" w:space="0" w:color="auto"/>
        <w:left w:val="none" w:sz="0" w:space="0" w:color="auto"/>
        <w:bottom w:val="none" w:sz="0" w:space="0" w:color="auto"/>
        <w:right w:val="none" w:sz="0" w:space="0" w:color="auto"/>
      </w:divBdr>
    </w:div>
    <w:div w:id="462893418">
      <w:bodyDiv w:val="1"/>
      <w:marLeft w:val="0"/>
      <w:marRight w:val="0"/>
      <w:marTop w:val="0"/>
      <w:marBottom w:val="0"/>
      <w:divBdr>
        <w:top w:val="none" w:sz="0" w:space="0" w:color="auto"/>
        <w:left w:val="none" w:sz="0" w:space="0" w:color="auto"/>
        <w:bottom w:val="none" w:sz="0" w:space="0" w:color="auto"/>
        <w:right w:val="none" w:sz="0" w:space="0" w:color="auto"/>
      </w:divBdr>
    </w:div>
    <w:div w:id="465205102">
      <w:bodyDiv w:val="1"/>
      <w:marLeft w:val="0"/>
      <w:marRight w:val="0"/>
      <w:marTop w:val="0"/>
      <w:marBottom w:val="0"/>
      <w:divBdr>
        <w:top w:val="none" w:sz="0" w:space="0" w:color="auto"/>
        <w:left w:val="none" w:sz="0" w:space="0" w:color="auto"/>
        <w:bottom w:val="none" w:sz="0" w:space="0" w:color="auto"/>
        <w:right w:val="none" w:sz="0" w:space="0" w:color="auto"/>
      </w:divBdr>
    </w:div>
    <w:div w:id="480197450">
      <w:bodyDiv w:val="1"/>
      <w:marLeft w:val="0"/>
      <w:marRight w:val="0"/>
      <w:marTop w:val="0"/>
      <w:marBottom w:val="0"/>
      <w:divBdr>
        <w:top w:val="none" w:sz="0" w:space="0" w:color="auto"/>
        <w:left w:val="none" w:sz="0" w:space="0" w:color="auto"/>
        <w:bottom w:val="none" w:sz="0" w:space="0" w:color="auto"/>
        <w:right w:val="none" w:sz="0" w:space="0" w:color="auto"/>
      </w:divBdr>
    </w:div>
    <w:div w:id="501051227">
      <w:bodyDiv w:val="1"/>
      <w:marLeft w:val="0"/>
      <w:marRight w:val="0"/>
      <w:marTop w:val="0"/>
      <w:marBottom w:val="0"/>
      <w:divBdr>
        <w:top w:val="none" w:sz="0" w:space="0" w:color="auto"/>
        <w:left w:val="none" w:sz="0" w:space="0" w:color="auto"/>
        <w:bottom w:val="none" w:sz="0" w:space="0" w:color="auto"/>
        <w:right w:val="none" w:sz="0" w:space="0" w:color="auto"/>
      </w:divBdr>
    </w:div>
    <w:div w:id="502286254">
      <w:bodyDiv w:val="1"/>
      <w:marLeft w:val="0"/>
      <w:marRight w:val="0"/>
      <w:marTop w:val="0"/>
      <w:marBottom w:val="0"/>
      <w:divBdr>
        <w:top w:val="none" w:sz="0" w:space="0" w:color="auto"/>
        <w:left w:val="none" w:sz="0" w:space="0" w:color="auto"/>
        <w:bottom w:val="none" w:sz="0" w:space="0" w:color="auto"/>
        <w:right w:val="none" w:sz="0" w:space="0" w:color="auto"/>
      </w:divBdr>
    </w:div>
    <w:div w:id="506332463">
      <w:bodyDiv w:val="1"/>
      <w:marLeft w:val="0"/>
      <w:marRight w:val="0"/>
      <w:marTop w:val="0"/>
      <w:marBottom w:val="0"/>
      <w:divBdr>
        <w:top w:val="none" w:sz="0" w:space="0" w:color="auto"/>
        <w:left w:val="none" w:sz="0" w:space="0" w:color="auto"/>
        <w:bottom w:val="none" w:sz="0" w:space="0" w:color="auto"/>
        <w:right w:val="none" w:sz="0" w:space="0" w:color="auto"/>
      </w:divBdr>
    </w:div>
    <w:div w:id="509491137">
      <w:bodyDiv w:val="1"/>
      <w:marLeft w:val="0"/>
      <w:marRight w:val="0"/>
      <w:marTop w:val="0"/>
      <w:marBottom w:val="0"/>
      <w:divBdr>
        <w:top w:val="none" w:sz="0" w:space="0" w:color="auto"/>
        <w:left w:val="none" w:sz="0" w:space="0" w:color="auto"/>
        <w:bottom w:val="none" w:sz="0" w:space="0" w:color="auto"/>
        <w:right w:val="none" w:sz="0" w:space="0" w:color="auto"/>
      </w:divBdr>
    </w:div>
    <w:div w:id="517087898">
      <w:bodyDiv w:val="1"/>
      <w:marLeft w:val="0"/>
      <w:marRight w:val="0"/>
      <w:marTop w:val="0"/>
      <w:marBottom w:val="0"/>
      <w:divBdr>
        <w:top w:val="none" w:sz="0" w:space="0" w:color="auto"/>
        <w:left w:val="none" w:sz="0" w:space="0" w:color="auto"/>
        <w:bottom w:val="none" w:sz="0" w:space="0" w:color="auto"/>
        <w:right w:val="none" w:sz="0" w:space="0" w:color="auto"/>
      </w:divBdr>
    </w:div>
    <w:div w:id="530186901">
      <w:bodyDiv w:val="1"/>
      <w:marLeft w:val="0"/>
      <w:marRight w:val="0"/>
      <w:marTop w:val="0"/>
      <w:marBottom w:val="0"/>
      <w:divBdr>
        <w:top w:val="none" w:sz="0" w:space="0" w:color="auto"/>
        <w:left w:val="none" w:sz="0" w:space="0" w:color="auto"/>
        <w:bottom w:val="none" w:sz="0" w:space="0" w:color="auto"/>
        <w:right w:val="none" w:sz="0" w:space="0" w:color="auto"/>
      </w:divBdr>
    </w:div>
    <w:div w:id="531113435">
      <w:bodyDiv w:val="1"/>
      <w:marLeft w:val="0"/>
      <w:marRight w:val="0"/>
      <w:marTop w:val="0"/>
      <w:marBottom w:val="0"/>
      <w:divBdr>
        <w:top w:val="none" w:sz="0" w:space="0" w:color="auto"/>
        <w:left w:val="none" w:sz="0" w:space="0" w:color="auto"/>
        <w:bottom w:val="none" w:sz="0" w:space="0" w:color="auto"/>
        <w:right w:val="none" w:sz="0" w:space="0" w:color="auto"/>
      </w:divBdr>
    </w:div>
    <w:div w:id="537619209">
      <w:bodyDiv w:val="1"/>
      <w:marLeft w:val="0"/>
      <w:marRight w:val="0"/>
      <w:marTop w:val="0"/>
      <w:marBottom w:val="0"/>
      <w:divBdr>
        <w:top w:val="none" w:sz="0" w:space="0" w:color="auto"/>
        <w:left w:val="none" w:sz="0" w:space="0" w:color="auto"/>
        <w:bottom w:val="none" w:sz="0" w:space="0" w:color="auto"/>
        <w:right w:val="none" w:sz="0" w:space="0" w:color="auto"/>
      </w:divBdr>
    </w:div>
    <w:div w:id="545602706">
      <w:bodyDiv w:val="1"/>
      <w:marLeft w:val="0"/>
      <w:marRight w:val="0"/>
      <w:marTop w:val="0"/>
      <w:marBottom w:val="0"/>
      <w:divBdr>
        <w:top w:val="none" w:sz="0" w:space="0" w:color="auto"/>
        <w:left w:val="none" w:sz="0" w:space="0" w:color="auto"/>
        <w:bottom w:val="none" w:sz="0" w:space="0" w:color="auto"/>
        <w:right w:val="none" w:sz="0" w:space="0" w:color="auto"/>
      </w:divBdr>
    </w:div>
    <w:div w:id="547255162">
      <w:bodyDiv w:val="1"/>
      <w:marLeft w:val="0"/>
      <w:marRight w:val="0"/>
      <w:marTop w:val="0"/>
      <w:marBottom w:val="0"/>
      <w:divBdr>
        <w:top w:val="none" w:sz="0" w:space="0" w:color="auto"/>
        <w:left w:val="none" w:sz="0" w:space="0" w:color="auto"/>
        <w:bottom w:val="none" w:sz="0" w:space="0" w:color="auto"/>
        <w:right w:val="none" w:sz="0" w:space="0" w:color="auto"/>
      </w:divBdr>
    </w:div>
    <w:div w:id="558706217">
      <w:bodyDiv w:val="1"/>
      <w:marLeft w:val="0"/>
      <w:marRight w:val="0"/>
      <w:marTop w:val="0"/>
      <w:marBottom w:val="0"/>
      <w:divBdr>
        <w:top w:val="none" w:sz="0" w:space="0" w:color="auto"/>
        <w:left w:val="none" w:sz="0" w:space="0" w:color="auto"/>
        <w:bottom w:val="none" w:sz="0" w:space="0" w:color="auto"/>
        <w:right w:val="none" w:sz="0" w:space="0" w:color="auto"/>
      </w:divBdr>
    </w:div>
    <w:div w:id="594479301">
      <w:bodyDiv w:val="1"/>
      <w:marLeft w:val="0"/>
      <w:marRight w:val="0"/>
      <w:marTop w:val="0"/>
      <w:marBottom w:val="0"/>
      <w:divBdr>
        <w:top w:val="none" w:sz="0" w:space="0" w:color="auto"/>
        <w:left w:val="none" w:sz="0" w:space="0" w:color="auto"/>
        <w:bottom w:val="none" w:sz="0" w:space="0" w:color="auto"/>
        <w:right w:val="none" w:sz="0" w:space="0" w:color="auto"/>
      </w:divBdr>
    </w:div>
    <w:div w:id="595525653">
      <w:bodyDiv w:val="1"/>
      <w:marLeft w:val="0"/>
      <w:marRight w:val="0"/>
      <w:marTop w:val="0"/>
      <w:marBottom w:val="0"/>
      <w:divBdr>
        <w:top w:val="none" w:sz="0" w:space="0" w:color="auto"/>
        <w:left w:val="none" w:sz="0" w:space="0" w:color="auto"/>
        <w:bottom w:val="none" w:sz="0" w:space="0" w:color="auto"/>
        <w:right w:val="none" w:sz="0" w:space="0" w:color="auto"/>
      </w:divBdr>
    </w:div>
    <w:div w:id="611547587">
      <w:bodyDiv w:val="1"/>
      <w:marLeft w:val="0"/>
      <w:marRight w:val="0"/>
      <w:marTop w:val="0"/>
      <w:marBottom w:val="0"/>
      <w:divBdr>
        <w:top w:val="none" w:sz="0" w:space="0" w:color="auto"/>
        <w:left w:val="none" w:sz="0" w:space="0" w:color="auto"/>
        <w:bottom w:val="none" w:sz="0" w:space="0" w:color="auto"/>
        <w:right w:val="none" w:sz="0" w:space="0" w:color="auto"/>
      </w:divBdr>
    </w:div>
    <w:div w:id="640617731">
      <w:bodyDiv w:val="1"/>
      <w:marLeft w:val="0"/>
      <w:marRight w:val="0"/>
      <w:marTop w:val="0"/>
      <w:marBottom w:val="0"/>
      <w:divBdr>
        <w:top w:val="none" w:sz="0" w:space="0" w:color="auto"/>
        <w:left w:val="none" w:sz="0" w:space="0" w:color="auto"/>
        <w:bottom w:val="none" w:sz="0" w:space="0" w:color="auto"/>
        <w:right w:val="none" w:sz="0" w:space="0" w:color="auto"/>
      </w:divBdr>
    </w:div>
    <w:div w:id="644355398">
      <w:bodyDiv w:val="1"/>
      <w:marLeft w:val="0"/>
      <w:marRight w:val="0"/>
      <w:marTop w:val="0"/>
      <w:marBottom w:val="0"/>
      <w:divBdr>
        <w:top w:val="none" w:sz="0" w:space="0" w:color="auto"/>
        <w:left w:val="none" w:sz="0" w:space="0" w:color="auto"/>
        <w:bottom w:val="none" w:sz="0" w:space="0" w:color="auto"/>
        <w:right w:val="none" w:sz="0" w:space="0" w:color="auto"/>
      </w:divBdr>
    </w:div>
    <w:div w:id="652493804">
      <w:bodyDiv w:val="1"/>
      <w:marLeft w:val="0"/>
      <w:marRight w:val="0"/>
      <w:marTop w:val="0"/>
      <w:marBottom w:val="0"/>
      <w:divBdr>
        <w:top w:val="none" w:sz="0" w:space="0" w:color="auto"/>
        <w:left w:val="none" w:sz="0" w:space="0" w:color="auto"/>
        <w:bottom w:val="none" w:sz="0" w:space="0" w:color="auto"/>
        <w:right w:val="none" w:sz="0" w:space="0" w:color="auto"/>
      </w:divBdr>
    </w:div>
    <w:div w:id="656685940">
      <w:bodyDiv w:val="1"/>
      <w:marLeft w:val="0"/>
      <w:marRight w:val="0"/>
      <w:marTop w:val="0"/>
      <w:marBottom w:val="0"/>
      <w:divBdr>
        <w:top w:val="none" w:sz="0" w:space="0" w:color="auto"/>
        <w:left w:val="none" w:sz="0" w:space="0" w:color="auto"/>
        <w:bottom w:val="none" w:sz="0" w:space="0" w:color="auto"/>
        <w:right w:val="none" w:sz="0" w:space="0" w:color="auto"/>
      </w:divBdr>
    </w:div>
    <w:div w:id="663974474">
      <w:bodyDiv w:val="1"/>
      <w:marLeft w:val="0"/>
      <w:marRight w:val="0"/>
      <w:marTop w:val="0"/>
      <w:marBottom w:val="0"/>
      <w:divBdr>
        <w:top w:val="none" w:sz="0" w:space="0" w:color="auto"/>
        <w:left w:val="none" w:sz="0" w:space="0" w:color="auto"/>
        <w:bottom w:val="none" w:sz="0" w:space="0" w:color="auto"/>
        <w:right w:val="none" w:sz="0" w:space="0" w:color="auto"/>
      </w:divBdr>
    </w:div>
    <w:div w:id="668337542">
      <w:bodyDiv w:val="1"/>
      <w:marLeft w:val="0"/>
      <w:marRight w:val="0"/>
      <w:marTop w:val="0"/>
      <w:marBottom w:val="0"/>
      <w:divBdr>
        <w:top w:val="none" w:sz="0" w:space="0" w:color="auto"/>
        <w:left w:val="none" w:sz="0" w:space="0" w:color="auto"/>
        <w:bottom w:val="none" w:sz="0" w:space="0" w:color="auto"/>
        <w:right w:val="none" w:sz="0" w:space="0" w:color="auto"/>
      </w:divBdr>
    </w:div>
    <w:div w:id="673534910">
      <w:bodyDiv w:val="1"/>
      <w:marLeft w:val="0"/>
      <w:marRight w:val="0"/>
      <w:marTop w:val="0"/>
      <w:marBottom w:val="0"/>
      <w:divBdr>
        <w:top w:val="none" w:sz="0" w:space="0" w:color="auto"/>
        <w:left w:val="none" w:sz="0" w:space="0" w:color="auto"/>
        <w:bottom w:val="none" w:sz="0" w:space="0" w:color="auto"/>
        <w:right w:val="none" w:sz="0" w:space="0" w:color="auto"/>
      </w:divBdr>
    </w:div>
    <w:div w:id="685013587">
      <w:bodyDiv w:val="1"/>
      <w:marLeft w:val="0"/>
      <w:marRight w:val="0"/>
      <w:marTop w:val="0"/>
      <w:marBottom w:val="0"/>
      <w:divBdr>
        <w:top w:val="none" w:sz="0" w:space="0" w:color="auto"/>
        <w:left w:val="none" w:sz="0" w:space="0" w:color="auto"/>
        <w:bottom w:val="none" w:sz="0" w:space="0" w:color="auto"/>
        <w:right w:val="none" w:sz="0" w:space="0" w:color="auto"/>
      </w:divBdr>
    </w:div>
    <w:div w:id="707949404">
      <w:bodyDiv w:val="1"/>
      <w:marLeft w:val="0"/>
      <w:marRight w:val="0"/>
      <w:marTop w:val="0"/>
      <w:marBottom w:val="0"/>
      <w:divBdr>
        <w:top w:val="none" w:sz="0" w:space="0" w:color="auto"/>
        <w:left w:val="none" w:sz="0" w:space="0" w:color="auto"/>
        <w:bottom w:val="none" w:sz="0" w:space="0" w:color="auto"/>
        <w:right w:val="none" w:sz="0" w:space="0" w:color="auto"/>
      </w:divBdr>
    </w:div>
    <w:div w:id="724640376">
      <w:bodyDiv w:val="1"/>
      <w:marLeft w:val="0"/>
      <w:marRight w:val="0"/>
      <w:marTop w:val="0"/>
      <w:marBottom w:val="0"/>
      <w:divBdr>
        <w:top w:val="none" w:sz="0" w:space="0" w:color="auto"/>
        <w:left w:val="none" w:sz="0" w:space="0" w:color="auto"/>
        <w:bottom w:val="none" w:sz="0" w:space="0" w:color="auto"/>
        <w:right w:val="none" w:sz="0" w:space="0" w:color="auto"/>
      </w:divBdr>
    </w:div>
    <w:div w:id="740830310">
      <w:bodyDiv w:val="1"/>
      <w:marLeft w:val="0"/>
      <w:marRight w:val="0"/>
      <w:marTop w:val="0"/>
      <w:marBottom w:val="0"/>
      <w:divBdr>
        <w:top w:val="none" w:sz="0" w:space="0" w:color="auto"/>
        <w:left w:val="none" w:sz="0" w:space="0" w:color="auto"/>
        <w:bottom w:val="none" w:sz="0" w:space="0" w:color="auto"/>
        <w:right w:val="none" w:sz="0" w:space="0" w:color="auto"/>
      </w:divBdr>
    </w:div>
    <w:div w:id="756706226">
      <w:bodyDiv w:val="1"/>
      <w:marLeft w:val="0"/>
      <w:marRight w:val="0"/>
      <w:marTop w:val="0"/>
      <w:marBottom w:val="0"/>
      <w:divBdr>
        <w:top w:val="none" w:sz="0" w:space="0" w:color="auto"/>
        <w:left w:val="none" w:sz="0" w:space="0" w:color="auto"/>
        <w:bottom w:val="none" w:sz="0" w:space="0" w:color="auto"/>
        <w:right w:val="none" w:sz="0" w:space="0" w:color="auto"/>
      </w:divBdr>
    </w:div>
    <w:div w:id="760566137">
      <w:bodyDiv w:val="1"/>
      <w:marLeft w:val="0"/>
      <w:marRight w:val="0"/>
      <w:marTop w:val="0"/>
      <w:marBottom w:val="0"/>
      <w:divBdr>
        <w:top w:val="none" w:sz="0" w:space="0" w:color="auto"/>
        <w:left w:val="none" w:sz="0" w:space="0" w:color="auto"/>
        <w:bottom w:val="none" w:sz="0" w:space="0" w:color="auto"/>
        <w:right w:val="none" w:sz="0" w:space="0" w:color="auto"/>
      </w:divBdr>
    </w:div>
    <w:div w:id="775104498">
      <w:bodyDiv w:val="1"/>
      <w:marLeft w:val="0"/>
      <w:marRight w:val="0"/>
      <w:marTop w:val="0"/>
      <w:marBottom w:val="0"/>
      <w:divBdr>
        <w:top w:val="none" w:sz="0" w:space="0" w:color="auto"/>
        <w:left w:val="none" w:sz="0" w:space="0" w:color="auto"/>
        <w:bottom w:val="none" w:sz="0" w:space="0" w:color="auto"/>
        <w:right w:val="none" w:sz="0" w:space="0" w:color="auto"/>
      </w:divBdr>
    </w:div>
    <w:div w:id="776632013">
      <w:bodyDiv w:val="1"/>
      <w:marLeft w:val="0"/>
      <w:marRight w:val="0"/>
      <w:marTop w:val="0"/>
      <w:marBottom w:val="0"/>
      <w:divBdr>
        <w:top w:val="none" w:sz="0" w:space="0" w:color="auto"/>
        <w:left w:val="none" w:sz="0" w:space="0" w:color="auto"/>
        <w:bottom w:val="none" w:sz="0" w:space="0" w:color="auto"/>
        <w:right w:val="none" w:sz="0" w:space="0" w:color="auto"/>
      </w:divBdr>
    </w:div>
    <w:div w:id="779841566">
      <w:bodyDiv w:val="1"/>
      <w:marLeft w:val="0"/>
      <w:marRight w:val="0"/>
      <w:marTop w:val="0"/>
      <w:marBottom w:val="0"/>
      <w:divBdr>
        <w:top w:val="none" w:sz="0" w:space="0" w:color="auto"/>
        <w:left w:val="none" w:sz="0" w:space="0" w:color="auto"/>
        <w:bottom w:val="none" w:sz="0" w:space="0" w:color="auto"/>
        <w:right w:val="none" w:sz="0" w:space="0" w:color="auto"/>
      </w:divBdr>
    </w:div>
    <w:div w:id="784538382">
      <w:bodyDiv w:val="1"/>
      <w:marLeft w:val="0"/>
      <w:marRight w:val="0"/>
      <w:marTop w:val="0"/>
      <w:marBottom w:val="0"/>
      <w:divBdr>
        <w:top w:val="none" w:sz="0" w:space="0" w:color="auto"/>
        <w:left w:val="none" w:sz="0" w:space="0" w:color="auto"/>
        <w:bottom w:val="none" w:sz="0" w:space="0" w:color="auto"/>
        <w:right w:val="none" w:sz="0" w:space="0" w:color="auto"/>
      </w:divBdr>
    </w:div>
    <w:div w:id="788742531">
      <w:bodyDiv w:val="1"/>
      <w:marLeft w:val="0"/>
      <w:marRight w:val="0"/>
      <w:marTop w:val="0"/>
      <w:marBottom w:val="0"/>
      <w:divBdr>
        <w:top w:val="none" w:sz="0" w:space="0" w:color="auto"/>
        <w:left w:val="none" w:sz="0" w:space="0" w:color="auto"/>
        <w:bottom w:val="none" w:sz="0" w:space="0" w:color="auto"/>
        <w:right w:val="none" w:sz="0" w:space="0" w:color="auto"/>
      </w:divBdr>
    </w:div>
    <w:div w:id="791632331">
      <w:bodyDiv w:val="1"/>
      <w:marLeft w:val="0"/>
      <w:marRight w:val="0"/>
      <w:marTop w:val="0"/>
      <w:marBottom w:val="0"/>
      <w:divBdr>
        <w:top w:val="none" w:sz="0" w:space="0" w:color="auto"/>
        <w:left w:val="none" w:sz="0" w:space="0" w:color="auto"/>
        <w:bottom w:val="none" w:sz="0" w:space="0" w:color="auto"/>
        <w:right w:val="none" w:sz="0" w:space="0" w:color="auto"/>
      </w:divBdr>
    </w:div>
    <w:div w:id="812403132">
      <w:bodyDiv w:val="1"/>
      <w:marLeft w:val="0"/>
      <w:marRight w:val="0"/>
      <w:marTop w:val="0"/>
      <w:marBottom w:val="0"/>
      <w:divBdr>
        <w:top w:val="none" w:sz="0" w:space="0" w:color="auto"/>
        <w:left w:val="none" w:sz="0" w:space="0" w:color="auto"/>
        <w:bottom w:val="none" w:sz="0" w:space="0" w:color="auto"/>
        <w:right w:val="none" w:sz="0" w:space="0" w:color="auto"/>
      </w:divBdr>
    </w:div>
    <w:div w:id="836922011">
      <w:bodyDiv w:val="1"/>
      <w:marLeft w:val="0"/>
      <w:marRight w:val="0"/>
      <w:marTop w:val="0"/>
      <w:marBottom w:val="0"/>
      <w:divBdr>
        <w:top w:val="none" w:sz="0" w:space="0" w:color="auto"/>
        <w:left w:val="none" w:sz="0" w:space="0" w:color="auto"/>
        <w:bottom w:val="none" w:sz="0" w:space="0" w:color="auto"/>
        <w:right w:val="none" w:sz="0" w:space="0" w:color="auto"/>
      </w:divBdr>
    </w:div>
    <w:div w:id="837421324">
      <w:bodyDiv w:val="1"/>
      <w:marLeft w:val="0"/>
      <w:marRight w:val="0"/>
      <w:marTop w:val="0"/>
      <w:marBottom w:val="0"/>
      <w:divBdr>
        <w:top w:val="none" w:sz="0" w:space="0" w:color="auto"/>
        <w:left w:val="none" w:sz="0" w:space="0" w:color="auto"/>
        <w:bottom w:val="none" w:sz="0" w:space="0" w:color="auto"/>
        <w:right w:val="none" w:sz="0" w:space="0" w:color="auto"/>
      </w:divBdr>
    </w:div>
    <w:div w:id="837840605">
      <w:bodyDiv w:val="1"/>
      <w:marLeft w:val="0"/>
      <w:marRight w:val="0"/>
      <w:marTop w:val="0"/>
      <w:marBottom w:val="0"/>
      <w:divBdr>
        <w:top w:val="none" w:sz="0" w:space="0" w:color="auto"/>
        <w:left w:val="none" w:sz="0" w:space="0" w:color="auto"/>
        <w:bottom w:val="none" w:sz="0" w:space="0" w:color="auto"/>
        <w:right w:val="none" w:sz="0" w:space="0" w:color="auto"/>
      </w:divBdr>
    </w:div>
    <w:div w:id="839274568">
      <w:bodyDiv w:val="1"/>
      <w:marLeft w:val="0"/>
      <w:marRight w:val="0"/>
      <w:marTop w:val="0"/>
      <w:marBottom w:val="0"/>
      <w:divBdr>
        <w:top w:val="none" w:sz="0" w:space="0" w:color="auto"/>
        <w:left w:val="none" w:sz="0" w:space="0" w:color="auto"/>
        <w:bottom w:val="none" w:sz="0" w:space="0" w:color="auto"/>
        <w:right w:val="none" w:sz="0" w:space="0" w:color="auto"/>
      </w:divBdr>
    </w:div>
    <w:div w:id="850487063">
      <w:bodyDiv w:val="1"/>
      <w:marLeft w:val="0"/>
      <w:marRight w:val="0"/>
      <w:marTop w:val="0"/>
      <w:marBottom w:val="0"/>
      <w:divBdr>
        <w:top w:val="none" w:sz="0" w:space="0" w:color="auto"/>
        <w:left w:val="none" w:sz="0" w:space="0" w:color="auto"/>
        <w:bottom w:val="none" w:sz="0" w:space="0" w:color="auto"/>
        <w:right w:val="none" w:sz="0" w:space="0" w:color="auto"/>
      </w:divBdr>
    </w:div>
    <w:div w:id="857737238">
      <w:bodyDiv w:val="1"/>
      <w:marLeft w:val="0"/>
      <w:marRight w:val="0"/>
      <w:marTop w:val="0"/>
      <w:marBottom w:val="0"/>
      <w:divBdr>
        <w:top w:val="none" w:sz="0" w:space="0" w:color="auto"/>
        <w:left w:val="none" w:sz="0" w:space="0" w:color="auto"/>
        <w:bottom w:val="none" w:sz="0" w:space="0" w:color="auto"/>
        <w:right w:val="none" w:sz="0" w:space="0" w:color="auto"/>
      </w:divBdr>
    </w:div>
    <w:div w:id="893001300">
      <w:bodyDiv w:val="1"/>
      <w:marLeft w:val="0"/>
      <w:marRight w:val="0"/>
      <w:marTop w:val="0"/>
      <w:marBottom w:val="0"/>
      <w:divBdr>
        <w:top w:val="none" w:sz="0" w:space="0" w:color="auto"/>
        <w:left w:val="none" w:sz="0" w:space="0" w:color="auto"/>
        <w:bottom w:val="none" w:sz="0" w:space="0" w:color="auto"/>
        <w:right w:val="none" w:sz="0" w:space="0" w:color="auto"/>
      </w:divBdr>
    </w:div>
    <w:div w:id="912392406">
      <w:bodyDiv w:val="1"/>
      <w:marLeft w:val="0"/>
      <w:marRight w:val="0"/>
      <w:marTop w:val="0"/>
      <w:marBottom w:val="0"/>
      <w:divBdr>
        <w:top w:val="none" w:sz="0" w:space="0" w:color="auto"/>
        <w:left w:val="none" w:sz="0" w:space="0" w:color="auto"/>
        <w:bottom w:val="none" w:sz="0" w:space="0" w:color="auto"/>
        <w:right w:val="none" w:sz="0" w:space="0" w:color="auto"/>
      </w:divBdr>
    </w:div>
    <w:div w:id="917010990">
      <w:bodyDiv w:val="1"/>
      <w:marLeft w:val="0"/>
      <w:marRight w:val="0"/>
      <w:marTop w:val="0"/>
      <w:marBottom w:val="0"/>
      <w:divBdr>
        <w:top w:val="none" w:sz="0" w:space="0" w:color="auto"/>
        <w:left w:val="none" w:sz="0" w:space="0" w:color="auto"/>
        <w:bottom w:val="none" w:sz="0" w:space="0" w:color="auto"/>
        <w:right w:val="none" w:sz="0" w:space="0" w:color="auto"/>
      </w:divBdr>
    </w:div>
    <w:div w:id="941835945">
      <w:bodyDiv w:val="1"/>
      <w:marLeft w:val="0"/>
      <w:marRight w:val="0"/>
      <w:marTop w:val="0"/>
      <w:marBottom w:val="0"/>
      <w:divBdr>
        <w:top w:val="none" w:sz="0" w:space="0" w:color="auto"/>
        <w:left w:val="none" w:sz="0" w:space="0" w:color="auto"/>
        <w:bottom w:val="none" w:sz="0" w:space="0" w:color="auto"/>
        <w:right w:val="none" w:sz="0" w:space="0" w:color="auto"/>
      </w:divBdr>
    </w:div>
    <w:div w:id="945816872">
      <w:bodyDiv w:val="1"/>
      <w:marLeft w:val="0"/>
      <w:marRight w:val="0"/>
      <w:marTop w:val="0"/>
      <w:marBottom w:val="0"/>
      <w:divBdr>
        <w:top w:val="none" w:sz="0" w:space="0" w:color="auto"/>
        <w:left w:val="none" w:sz="0" w:space="0" w:color="auto"/>
        <w:bottom w:val="none" w:sz="0" w:space="0" w:color="auto"/>
        <w:right w:val="none" w:sz="0" w:space="0" w:color="auto"/>
      </w:divBdr>
    </w:div>
    <w:div w:id="948590292">
      <w:bodyDiv w:val="1"/>
      <w:marLeft w:val="0"/>
      <w:marRight w:val="0"/>
      <w:marTop w:val="0"/>
      <w:marBottom w:val="0"/>
      <w:divBdr>
        <w:top w:val="none" w:sz="0" w:space="0" w:color="auto"/>
        <w:left w:val="none" w:sz="0" w:space="0" w:color="auto"/>
        <w:bottom w:val="none" w:sz="0" w:space="0" w:color="auto"/>
        <w:right w:val="none" w:sz="0" w:space="0" w:color="auto"/>
      </w:divBdr>
    </w:div>
    <w:div w:id="984428211">
      <w:bodyDiv w:val="1"/>
      <w:marLeft w:val="0"/>
      <w:marRight w:val="0"/>
      <w:marTop w:val="0"/>
      <w:marBottom w:val="0"/>
      <w:divBdr>
        <w:top w:val="none" w:sz="0" w:space="0" w:color="auto"/>
        <w:left w:val="none" w:sz="0" w:space="0" w:color="auto"/>
        <w:bottom w:val="none" w:sz="0" w:space="0" w:color="auto"/>
        <w:right w:val="none" w:sz="0" w:space="0" w:color="auto"/>
      </w:divBdr>
    </w:div>
    <w:div w:id="997612217">
      <w:bodyDiv w:val="1"/>
      <w:marLeft w:val="0"/>
      <w:marRight w:val="0"/>
      <w:marTop w:val="0"/>
      <w:marBottom w:val="0"/>
      <w:divBdr>
        <w:top w:val="none" w:sz="0" w:space="0" w:color="auto"/>
        <w:left w:val="none" w:sz="0" w:space="0" w:color="auto"/>
        <w:bottom w:val="none" w:sz="0" w:space="0" w:color="auto"/>
        <w:right w:val="none" w:sz="0" w:space="0" w:color="auto"/>
      </w:divBdr>
    </w:div>
    <w:div w:id="999886217">
      <w:bodyDiv w:val="1"/>
      <w:marLeft w:val="0"/>
      <w:marRight w:val="0"/>
      <w:marTop w:val="0"/>
      <w:marBottom w:val="0"/>
      <w:divBdr>
        <w:top w:val="none" w:sz="0" w:space="0" w:color="auto"/>
        <w:left w:val="none" w:sz="0" w:space="0" w:color="auto"/>
        <w:bottom w:val="none" w:sz="0" w:space="0" w:color="auto"/>
        <w:right w:val="none" w:sz="0" w:space="0" w:color="auto"/>
      </w:divBdr>
    </w:div>
    <w:div w:id="1002466180">
      <w:bodyDiv w:val="1"/>
      <w:marLeft w:val="0"/>
      <w:marRight w:val="0"/>
      <w:marTop w:val="0"/>
      <w:marBottom w:val="0"/>
      <w:divBdr>
        <w:top w:val="none" w:sz="0" w:space="0" w:color="auto"/>
        <w:left w:val="none" w:sz="0" w:space="0" w:color="auto"/>
        <w:bottom w:val="none" w:sz="0" w:space="0" w:color="auto"/>
        <w:right w:val="none" w:sz="0" w:space="0" w:color="auto"/>
      </w:divBdr>
    </w:div>
    <w:div w:id="1009600514">
      <w:bodyDiv w:val="1"/>
      <w:marLeft w:val="0"/>
      <w:marRight w:val="0"/>
      <w:marTop w:val="0"/>
      <w:marBottom w:val="0"/>
      <w:divBdr>
        <w:top w:val="none" w:sz="0" w:space="0" w:color="auto"/>
        <w:left w:val="none" w:sz="0" w:space="0" w:color="auto"/>
        <w:bottom w:val="none" w:sz="0" w:space="0" w:color="auto"/>
        <w:right w:val="none" w:sz="0" w:space="0" w:color="auto"/>
      </w:divBdr>
    </w:div>
    <w:div w:id="1011028098">
      <w:bodyDiv w:val="1"/>
      <w:marLeft w:val="0"/>
      <w:marRight w:val="0"/>
      <w:marTop w:val="0"/>
      <w:marBottom w:val="0"/>
      <w:divBdr>
        <w:top w:val="none" w:sz="0" w:space="0" w:color="auto"/>
        <w:left w:val="none" w:sz="0" w:space="0" w:color="auto"/>
        <w:bottom w:val="none" w:sz="0" w:space="0" w:color="auto"/>
        <w:right w:val="none" w:sz="0" w:space="0" w:color="auto"/>
      </w:divBdr>
    </w:div>
    <w:div w:id="1025251590">
      <w:bodyDiv w:val="1"/>
      <w:marLeft w:val="0"/>
      <w:marRight w:val="0"/>
      <w:marTop w:val="0"/>
      <w:marBottom w:val="0"/>
      <w:divBdr>
        <w:top w:val="none" w:sz="0" w:space="0" w:color="auto"/>
        <w:left w:val="none" w:sz="0" w:space="0" w:color="auto"/>
        <w:bottom w:val="none" w:sz="0" w:space="0" w:color="auto"/>
        <w:right w:val="none" w:sz="0" w:space="0" w:color="auto"/>
      </w:divBdr>
    </w:div>
    <w:div w:id="1037662519">
      <w:bodyDiv w:val="1"/>
      <w:marLeft w:val="0"/>
      <w:marRight w:val="0"/>
      <w:marTop w:val="0"/>
      <w:marBottom w:val="0"/>
      <w:divBdr>
        <w:top w:val="none" w:sz="0" w:space="0" w:color="auto"/>
        <w:left w:val="none" w:sz="0" w:space="0" w:color="auto"/>
        <w:bottom w:val="none" w:sz="0" w:space="0" w:color="auto"/>
        <w:right w:val="none" w:sz="0" w:space="0" w:color="auto"/>
      </w:divBdr>
    </w:div>
    <w:div w:id="1039475804">
      <w:bodyDiv w:val="1"/>
      <w:marLeft w:val="0"/>
      <w:marRight w:val="0"/>
      <w:marTop w:val="0"/>
      <w:marBottom w:val="0"/>
      <w:divBdr>
        <w:top w:val="none" w:sz="0" w:space="0" w:color="auto"/>
        <w:left w:val="none" w:sz="0" w:space="0" w:color="auto"/>
        <w:bottom w:val="none" w:sz="0" w:space="0" w:color="auto"/>
        <w:right w:val="none" w:sz="0" w:space="0" w:color="auto"/>
      </w:divBdr>
    </w:div>
    <w:div w:id="1041244021">
      <w:bodyDiv w:val="1"/>
      <w:marLeft w:val="0"/>
      <w:marRight w:val="0"/>
      <w:marTop w:val="0"/>
      <w:marBottom w:val="0"/>
      <w:divBdr>
        <w:top w:val="none" w:sz="0" w:space="0" w:color="auto"/>
        <w:left w:val="none" w:sz="0" w:space="0" w:color="auto"/>
        <w:bottom w:val="none" w:sz="0" w:space="0" w:color="auto"/>
        <w:right w:val="none" w:sz="0" w:space="0" w:color="auto"/>
      </w:divBdr>
    </w:div>
    <w:div w:id="1067802705">
      <w:bodyDiv w:val="1"/>
      <w:marLeft w:val="0"/>
      <w:marRight w:val="0"/>
      <w:marTop w:val="0"/>
      <w:marBottom w:val="0"/>
      <w:divBdr>
        <w:top w:val="none" w:sz="0" w:space="0" w:color="auto"/>
        <w:left w:val="none" w:sz="0" w:space="0" w:color="auto"/>
        <w:bottom w:val="none" w:sz="0" w:space="0" w:color="auto"/>
        <w:right w:val="none" w:sz="0" w:space="0" w:color="auto"/>
      </w:divBdr>
    </w:div>
    <w:div w:id="1079208177">
      <w:bodyDiv w:val="1"/>
      <w:marLeft w:val="0"/>
      <w:marRight w:val="0"/>
      <w:marTop w:val="0"/>
      <w:marBottom w:val="0"/>
      <w:divBdr>
        <w:top w:val="none" w:sz="0" w:space="0" w:color="auto"/>
        <w:left w:val="none" w:sz="0" w:space="0" w:color="auto"/>
        <w:bottom w:val="none" w:sz="0" w:space="0" w:color="auto"/>
        <w:right w:val="none" w:sz="0" w:space="0" w:color="auto"/>
      </w:divBdr>
    </w:div>
    <w:div w:id="1086152922">
      <w:bodyDiv w:val="1"/>
      <w:marLeft w:val="0"/>
      <w:marRight w:val="0"/>
      <w:marTop w:val="0"/>
      <w:marBottom w:val="0"/>
      <w:divBdr>
        <w:top w:val="none" w:sz="0" w:space="0" w:color="auto"/>
        <w:left w:val="none" w:sz="0" w:space="0" w:color="auto"/>
        <w:bottom w:val="none" w:sz="0" w:space="0" w:color="auto"/>
        <w:right w:val="none" w:sz="0" w:space="0" w:color="auto"/>
      </w:divBdr>
    </w:div>
    <w:div w:id="1098450406">
      <w:bodyDiv w:val="1"/>
      <w:marLeft w:val="0"/>
      <w:marRight w:val="0"/>
      <w:marTop w:val="0"/>
      <w:marBottom w:val="0"/>
      <w:divBdr>
        <w:top w:val="none" w:sz="0" w:space="0" w:color="auto"/>
        <w:left w:val="none" w:sz="0" w:space="0" w:color="auto"/>
        <w:bottom w:val="none" w:sz="0" w:space="0" w:color="auto"/>
        <w:right w:val="none" w:sz="0" w:space="0" w:color="auto"/>
      </w:divBdr>
    </w:div>
    <w:div w:id="1103695781">
      <w:bodyDiv w:val="1"/>
      <w:marLeft w:val="0"/>
      <w:marRight w:val="0"/>
      <w:marTop w:val="0"/>
      <w:marBottom w:val="0"/>
      <w:divBdr>
        <w:top w:val="none" w:sz="0" w:space="0" w:color="auto"/>
        <w:left w:val="none" w:sz="0" w:space="0" w:color="auto"/>
        <w:bottom w:val="none" w:sz="0" w:space="0" w:color="auto"/>
        <w:right w:val="none" w:sz="0" w:space="0" w:color="auto"/>
      </w:divBdr>
    </w:div>
    <w:div w:id="1108308136">
      <w:bodyDiv w:val="1"/>
      <w:marLeft w:val="0"/>
      <w:marRight w:val="0"/>
      <w:marTop w:val="0"/>
      <w:marBottom w:val="0"/>
      <w:divBdr>
        <w:top w:val="none" w:sz="0" w:space="0" w:color="auto"/>
        <w:left w:val="none" w:sz="0" w:space="0" w:color="auto"/>
        <w:bottom w:val="none" w:sz="0" w:space="0" w:color="auto"/>
        <w:right w:val="none" w:sz="0" w:space="0" w:color="auto"/>
      </w:divBdr>
    </w:div>
    <w:div w:id="1115830111">
      <w:bodyDiv w:val="1"/>
      <w:marLeft w:val="0"/>
      <w:marRight w:val="0"/>
      <w:marTop w:val="0"/>
      <w:marBottom w:val="0"/>
      <w:divBdr>
        <w:top w:val="none" w:sz="0" w:space="0" w:color="auto"/>
        <w:left w:val="none" w:sz="0" w:space="0" w:color="auto"/>
        <w:bottom w:val="none" w:sz="0" w:space="0" w:color="auto"/>
        <w:right w:val="none" w:sz="0" w:space="0" w:color="auto"/>
      </w:divBdr>
    </w:div>
    <w:div w:id="1128665905">
      <w:bodyDiv w:val="1"/>
      <w:marLeft w:val="0"/>
      <w:marRight w:val="0"/>
      <w:marTop w:val="0"/>
      <w:marBottom w:val="0"/>
      <w:divBdr>
        <w:top w:val="none" w:sz="0" w:space="0" w:color="auto"/>
        <w:left w:val="none" w:sz="0" w:space="0" w:color="auto"/>
        <w:bottom w:val="none" w:sz="0" w:space="0" w:color="auto"/>
        <w:right w:val="none" w:sz="0" w:space="0" w:color="auto"/>
      </w:divBdr>
    </w:div>
    <w:div w:id="1135414708">
      <w:bodyDiv w:val="1"/>
      <w:marLeft w:val="0"/>
      <w:marRight w:val="0"/>
      <w:marTop w:val="0"/>
      <w:marBottom w:val="0"/>
      <w:divBdr>
        <w:top w:val="none" w:sz="0" w:space="0" w:color="auto"/>
        <w:left w:val="none" w:sz="0" w:space="0" w:color="auto"/>
        <w:bottom w:val="none" w:sz="0" w:space="0" w:color="auto"/>
        <w:right w:val="none" w:sz="0" w:space="0" w:color="auto"/>
      </w:divBdr>
    </w:div>
    <w:div w:id="1139767853">
      <w:bodyDiv w:val="1"/>
      <w:marLeft w:val="0"/>
      <w:marRight w:val="0"/>
      <w:marTop w:val="0"/>
      <w:marBottom w:val="0"/>
      <w:divBdr>
        <w:top w:val="none" w:sz="0" w:space="0" w:color="auto"/>
        <w:left w:val="none" w:sz="0" w:space="0" w:color="auto"/>
        <w:bottom w:val="none" w:sz="0" w:space="0" w:color="auto"/>
        <w:right w:val="none" w:sz="0" w:space="0" w:color="auto"/>
      </w:divBdr>
    </w:div>
    <w:div w:id="1158308410">
      <w:bodyDiv w:val="1"/>
      <w:marLeft w:val="0"/>
      <w:marRight w:val="0"/>
      <w:marTop w:val="0"/>
      <w:marBottom w:val="0"/>
      <w:divBdr>
        <w:top w:val="none" w:sz="0" w:space="0" w:color="auto"/>
        <w:left w:val="none" w:sz="0" w:space="0" w:color="auto"/>
        <w:bottom w:val="none" w:sz="0" w:space="0" w:color="auto"/>
        <w:right w:val="none" w:sz="0" w:space="0" w:color="auto"/>
      </w:divBdr>
    </w:div>
    <w:div w:id="1179201810">
      <w:bodyDiv w:val="1"/>
      <w:marLeft w:val="0"/>
      <w:marRight w:val="0"/>
      <w:marTop w:val="0"/>
      <w:marBottom w:val="0"/>
      <w:divBdr>
        <w:top w:val="none" w:sz="0" w:space="0" w:color="auto"/>
        <w:left w:val="none" w:sz="0" w:space="0" w:color="auto"/>
        <w:bottom w:val="none" w:sz="0" w:space="0" w:color="auto"/>
        <w:right w:val="none" w:sz="0" w:space="0" w:color="auto"/>
      </w:divBdr>
    </w:div>
    <w:div w:id="1179350546">
      <w:bodyDiv w:val="1"/>
      <w:marLeft w:val="0"/>
      <w:marRight w:val="0"/>
      <w:marTop w:val="0"/>
      <w:marBottom w:val="0"/>
      <w:divBdr>
        <w:top w:val="none" w:sz="0" w:space="0" w:color="auto"/>
        <w:left w:val="none" w:sz="0" w:space="0" w:color="auto"/>
        <w:bottom w:val="none" w:sz="0" w:space="0" w:color="auto"/>
        <w:right w:val="none" w:sz="0" w:space="0" w:color="auto"/>
      </w:divBdr>
    </w:div>
    <w:div w:id="1200824840">
      <w:bodyDiv w:val="1"/>
      <w:marLeft w:val="0"/>
      <w:marRight w:val="0"/>
      <w:marTop w:val="0"/>
      <w:marBottom w:val="0"/>
      <w:divBdr>
        <w:top w:val="none" w:sz="0" w:space="0" w:color="auto"/>
        <w:left w:val="none" w:sz="0" w:space="0" w:color="auto"/>
        <w:bottom w:val="none" w:sz="0" w:space="0" w:color="auto"/>
        <w:right w:val="none" w:sz="0" w:space="0" w:color="auto"/>
      </w:divBdr>
    </w:div>
    <w:div w:id="1207451697">
      <w:bodyDiv w:val="1"/>
      <w:marLeft w:val="0"/>
      <w:marRight w:val="0"/>
      <w:marTop w:val="0"/>
      <w:marBottom w:val="0"/>
      <w:divBdr>
        <w:top w:val="none" w:sz="0" w:space="0" w:color="auto"/>
        <w:left w:val="none" w:sz="0" w:space="0" w:color="auto"/>
        <w:bottom w:val="none" w:sz="0" w:space="0" w:color="auto"/>
        <w:right w:val="none" w:sz="0" w:space="0" w:color="auto"/>
      </w:divBdr>
    </w:div>
    <w:div w:id="1207453293">
      <w:bodyDiv w:val="1"/>
      <w:marLeft w:val="0"/>
      <w:marRight w:val="0"/>
      <w:marTop w:val="0"/>
      <w:marBottom w:val="0"/>
      <w:divBdr>
        <w:top w:val="none" w:sz="0" w:space="0" w:color="auto"/>
        <w:left w:val="none" w:sz="0" w:space="0" w:color="auto"/>
        <w:bottom w:val="none" w:sz="0" w:space="0" w:color="auto"/>
        <w:right w:val="none" w:sz="0" w:space="0" w:color="auto"/>
      </w:divBdr>
    </w:div>
    <w:div w:id="1208490160">
      <w:bodyDiv w:val="1"/>
      <w:marLeft w:val="0"/>
      <w:marRight w:val="0"/>
      <w:marTop w:val="0"/>
      <w:marBottom w:val="0"/>
      <w:divBdr>
        <w:top w:val="none" w:sz="0" w:space="0" w:color="auto"/>
        <w:left w:val="none" w:sz="0" w:space="0" w:color="auto"/>
        <w:bottom w:val="none" w:sz="0" w:space="0" w:color="auto"/>
        <w:right w:val="none" w:sz="0" w:space="0" w:color="auto"/>
      </w:divBdr>
    </w:div>
    <w:div w:id="1229536849">
      <w:bodyDiv w:val="1"/>
      <w:marLeft w:val="0"/>
      <w:marRight w:val="0"/>
      <w:marTop w:val="0"/>
      <w:marBottom w:val="0"/>
      <w:divBdr>
        <w:top w:val="none" w:sz="0" w:space="0" w:color="auto"/>
        <w:left w:val="none" w:sz="0" w:space="0" w:color="auto"/>
        <w:bottom w:val="none" w:sz="0" w:space="0" w:color="auto"/>
        <w:right w:val="none" w:sz="0" w:space="0" w:color="auto"/>
      </w:divBdr>
    </w:div>
    <w:div w:id="1231499274">
      <w:bodyDiv w:val="1"/>
      <w:marLeft w:val="0"/>
      <w:marRight w:val="0"/>
      <w:marTop w:val="0"/>
      <w:marBottom w:val="0"/>
      <w:divBdr>
        <w:top w:val="none" w:sz="0" w:space="0" w:color="auto"/>
        <w:left w:val="none" w:sz="0" w:space="0" w:color="auto"/>
        <w:bottom w:val="none" w:sz="0" w:space="0" w:color="auto"/>
        <w:right w:val="none" w:sz="0" w:space="0" w:color="auto"/>
      </w:divBdr>
    </w:div>
    <w:div w:id="1234122956">
      <w:bodyDiv w:val="1"/>
      <w:marLeft w:val="0"/>
      <w:marRight w:val="0"/>
      <w:marTop w:val="0"/>
      <w:marBottom w:val="0"/>
      <w:divBdr>
        <w:top w:val="none" w:sz="0" w:space="0" w:color="auto"/>
        <w:left w:val="none" w:sz="0" w:space="0" w:color="auto"/>
        <w:bottom w:val="none" w:sz="0" w:space="0" w:color="auto"/>
        <w:right w:val="none" w:sz="0" w:space="0" w:color="auto"/>
      </w:divBdr>
    </w:div>
    <w:div w:id="1250964179">
      <w:bodyDiv w:val="1"/>
      <w:marLeft w:val="0"/>
      <w:marRight w:val="0"/>
      <w:marTop w:val="0"/>
      <w:marBottom w:val="0"/>
      <w:divBdr>
        <w:top w:val="none" w:sz="0" w:space="0" w:color="auto"/>
        <w:left w:val="none" w:sz="0" w:space="0" w:color="auto"/>
        <w:bottom w:val="none" w:sz="0" w:space="0" w:color="auto"/>
        <w:right w:val="none" w:sz="0" w:space="0" w:color="auto"/>
      </w:divBdr>
    </w:div>
    <w:div w:id="1258246403">
      <w:bodyDiv w:val="1"/>
      <w:marLeft w:val="0"/>
      <w:marRight w:val="0"/>
      <w:marTop w:val="0"/>
      <w:marBottom w:val="0"/>
      <w:divBdr>
        <w:top w:val="none" w:sz="0" w:space="0" w:color="auto"/>
        <w:left w:val="none" w:sz="0" w:space="0" w:color="auto"/>
        <w:bottom w:val="none" w:sz="0" w:space="0" w:color="auto"/>
        <w:right w:val="none" w:sz="0" w:space="0" w:color="auto"/>
      </w:divBdr>
    </w:div>
    <w:div w:id="1273512490">
      <w:bodyDiv w:val="1"/>
      <w:marLeft w:val="0"/>
      <w:marRight w:val="0"/>
      <w:marTop w:val="0"/>
      <w:marBottom w:val="0"/>
      <w:divBdr>
        <w:top w:val="none" w:sz="0" w:space="0" w:color="auto"/>
        <w:left w:val="none" w:sz="0" w:space="0" w:color="auto"/>
        <w:bottom w:val="none" w:sz="0" w:space="0" w:color="auto"/>
        <w:right w:val="none" w:sz="0" w:space="0" w:color="auto"/>
      </w:divBdr>
    </w:div>
    <w:div w:id="1277982970">
      <w:bodyDiv w:val="1"/>
      <w:marLeft w:val="0"/>
      <w:marRight w:val="0"/>
      <w:marTop w:val="0"/>
      <w:marBottom w:val="0"/>
      <w:divBdr>
        <w:top w:val="none" w:sz="0" w:space="0" w:color="auto"/>
        <w:left w:val="none" w:sz="0" w:space="0" w:color="auto"/>
        <w:bottom w:val="none" w:sz="0" w:space="0" w:color="auto"/>
        <w:right w:val="none" w:sz="0" w:space="0" w:color="auto"/>
      </w:divBdr>
    </w:div>
    <w:div w:id="1286810888">
      <w:bodyDiv w:val="1"/>
      <w:marLeft w:val="0"/>
      <w:marRight w:val="0"/>
      <w:marTop w:val="0"/>
      <w:marBottom w:val="0"/>
      <w:divBdr>
        <w:top w:val="none" w:sz="0" w:space="0" w:color="auto"/>
        <w:left w:val="none" w:sz="0" w:space="0" w:color="auto"/>
        <w:bottom w:val="none" w:sz="0" w:space="0" w:color="auto"/>
        <w:right w:val="none" w:sz="0" w:space="0" w:color="auto"/>
      </w:divBdr>
    </w:div>
    <w:div w:id="1290741875">
      <w:bodyDiv w:val="1"/>
      <w:marLeft w:val="0"/>
      <w:marRight w:val="0"/>
      <w:marTop w:val="0"/>
      <w:marBottom w:val="0"/>
      <w:divBdr>
        <w:top w:val="none" w:sz="0" w:space="0" w:color="auto"/>
        <w:left w:val="none" w:sz="0" w:space="0" w:color="auto"/>
        <w:bottom w:val="none" w:sz="0" w:space="0" w:color="auto"/>
        <w:right w:val="none" w:sz="0" w:space="0" w:color="auto"/>
      </w:divBdr>
    </w:div>
    <w:div w:id="1297101240">
      <w:bodyDiv w:val="1"/>
      <w:marLeft w:val="0"/>
      <w:marRight w:val="0"/>
      <w:marTop w:val="0"/>
      <w:marBottom w:val="0"/>
      <w:divBdr>
        <w:top w:val="none" w:sz="0" w:space="0" w:color="auto"/>
        <w:left w:val="none" w:sz="0" w:space="0" w:color="auto"/>
        <w:bottom w:val="none" w:sz="0" w:space="0" w:color="auto"/>
        <w:right w:val="none" w:sz="0" w:space="0" w:color="auto"/>
      </w:divBdr>
    </w:div>
    <w:div w:id="1308047693">
      <w:bodyDiv w:val="1"/>
      <w:marLeft w:val="0"/>
      <w:marRight w:val="0"/>
      <w:marTop w:val="0"/>
      <w:marBottom w:val="0"/>
      <w:divBdr>
        <w:top w:val="none" w:sz="0" w:space="0" w:color="auto"/>
        <w:left w:val="none" w:sz="0" w:space="0" w:color="auto"/>
        <w:bottom w:val="none" w:sz="0" w:space="0" w:color="auto"/>
        <w:right w:val="none" w:sz="0" w:space="0" w:color="auto"/>
      </w:divBdr>
    </w:div>
    <w:div w:id="1326055721">
      <w:bodyDiv w:val="1"/>
      <w:marLeft w:val="0"/>
      <w:marRight w:val="0"/>
      <w:marTop w:val="0"/>
      <w:marBottom w:val="0"/>
      <w:divBdr>
        <w:top w:val="none" w:sz="0" w:space="0" w:color="auto"/>
        <w:left w:val="none" w:sz="0" w:space="0" w:color="auto"/>
        <w:bottom w:val="none" w:sz="0" w:space="0" w:color="auto"/>
        <w:right w:val="none" w:sz="0" w:space="0" w:color="auto"/>
      </w:divBdr>
    </w:div>
    <w:div w:id="1333874046">
      <w:bodyDiv w:val="1"/>
      <w:marLeft w:val="0"/>
      <w:marRight w:val="0"/>
      <w:marTop w:val="0"/>
      <w:marBottom w:val="0"/>
      <w:divBdr>
        <w:top w:val="none" w:sz="0" w:space="0" w:color="auto"/>
        <w:left w:val="none" w:sz="0" w:space="0" w:color="auto"/>
        <w:bottom w:val="none" w:sz="0" w:space="0" w:color="auto"/>
        <w:right w:val="none" w:sz="0" w:space="0" w:color="auto"/>
      </w:divBdr>
    </w:div>
    <w:div w:id="1348797624">
      <w:bodyDiv w:val="1"/>
      <w:marLeft w:val="0"/>
      <w:marRight w:val="0"/>
      <w:marTop w:val="0"/>
      <w:marBottom w:val="0"/>
      <w:divBdr>
        <w:top w:val="none" w:sz="0" w:space="0" w:color="auto"/>
        <w:left w:val="none" w:sz="0" w:space="0" w:color="auto"/>
        <w:bottom w:val="none" w:sz="0" w:space="0" w:color="auto"/>
        <w:right w:val="none" w:sz="0" w:space="0" w:color="auto"/>
      </w:divBdr>
    </w:div>
    <w:div w:id="1401514452">
      <w:bodyDiv w:val="1"/>
      <w:marLeft w:val="0"/>
      <w:marRight w:val="0"/>
      <w:marTop w:val="0"/>
      <w:marBottom w:val="0"/>
      <w:divBdr>
        <w:top w:val="none" w:sz="0" w:space="0" w:color="auto"/>
        <w:left w:val="none" w:sz="0" w:space="0" w:color="auto"/>
        <w:bottom w:val="none" w:sz="0" w:space="0" w:color="auto"/>
        <w:right w:val="none" w:sz="0" w:space="0" w:color="auto"/>
      </w:divBdr>
    </w:div>
    <w:div w:id="1407797158">
      <w:bodyDiv w:val="1"/>
      <w:marLeft w:val="0"/>
      <w:marRight w:val="0"/>
      <w:marTop w:val="0"/>
      <w:marBottom w:val="0"/>
      <w:divBdr>
        <w:top w:val="none" w:sz="0" w:space="0" w:color="auto"/>
        <w:left w:val="none" w:sz="0" w:space="0" w:color="auto"/>
        <w:bottom w:val="none" w:sz="0" w:space="0" w:color="auto"/>
        <w:right w:val="none" w:sz="0" w:space="0" w:color="auto"/>
      </w:divBdr>
      <w:divsChild>
        <w:div w:id="547186387">
          <w:marLeft w:val="0"/>
          <w:marRight w:val="0"/>
          <w:marTop w:val="0"/>
          <w:marBottom w:val="0"/>
          <w:divBdr>
            <w:top w:val="none" w:sz="0" w:space="0" w:color="auto"/>
            <w:left w:val="none" w:sz="0" w:space="0" w:color="auto"/>
            <w:bottom w:val="none" w:sz="0" w:space="0" w:color="auto"/>
            <w:right w:val="none" w:sz="0" w:space="0" w:color="auto"/>
          </w:divBdr>
        </w:div>
      </w:divsChild>
    </w:div>
    <w:div w:id="1413699826">
      <w:bodyDiv w:val="1"/>
      <w:marLeft w:val="0"/>
      <w:marRight w:val="0"/>
      <w:marTop w:val="0"/>
      <w:marBottom w:val="0"/>
      <w:divBdr>
        <w:top w:val="none" w:sz="0" w:space="0" w:color="auto"/>
        <w:left w:val="none" w:sz="0" w:space="0" w:color="auto"/>
        <w:bottom w:val="none" w:sz="0" w:space="0" w:color="auto"/>
        <w:right w:val="none" w:sz="0" w:space="0" w:color="auto"/>
      </w:divBdr>
    </w:div>
    <w:div w:id="1427072572">
      <w:bodyDiv w:val="1"/>
      <w:marLeft w:val="0"/>
      <w:marRight w:val="0"/>
      <w:marTop w:val="0"/>
      <w:marBottom w:val="0"/>
      <w:divBdr>
        <w:top w:val="none" w:sz="0" w:space="0" w:color="auto"/>
        <w:left w:val="none" w:sz="0" w:space="0" w:color="auto"/>
        <w:bottom w:val="none" w:sz="0" w:space="0" w:color="auto"/>
        <w:right w:val="none" w:sz="0" w:space="0" w:color="auto"/>
      </w:divBdr>
    </w:div>
    <w:div w:id="1427580351">
      <w:bodyDiv w:val="1"/>
      <w:marLeft w:val="0"/>
      <w:marRight w:val="0"/>
      <w:marTop w:val="0"/>
      <w:marBottom w:val="0"/>
      <w:divBdr>
        <w:top w:val="none" w:sz="0" w:space="0" w:color="auto"/>
        <w:left w:val="none" w:sz="0" w:space="0" w:color="auto"/>
        <w:bottom w:val="none" w:sz="0" w:space="0" w:color="auto"/>
        <w:right w:val="none" w:sz="0" w:space="0" w:color="auto"/>
      </w:divBdr>
    </w:div>
    <w:div w:id="1442066942">
      <w:bodyDiv w:val="1"/>
      <w:marLeft w:val="0"/>
      <w:marRight w:val="0"/>
      <w:marTop w:val="0"/>
      <w:marBottom w:val="0"/>
      <w:divBdr>
        <w:top w:val="none" w:sz="0" w:space="0" w:color="auto"/>
        <w:left w:val="none" w:sz="0" w:space="0" w:color="auto"/>
        <w:bottom w:val="none" w:sz="0" w:space="0" w:color="auto"/>
        <w:right w:val="none" w:sz="0" w:space="0" w:color="auto"/>
      </w:divBdr>
    </w:div>
    <w:div w:id="1448502948">
      <w:bodyDiv w:val="1"/>
      <w:marLeft w:val="0"/>
      <w:marRight w:val="0"/>
      <w:marTop w:val="0"/>
      <w:marBottom w:val="0"/>
      <w:divBdr>
        <w:top w:val="none" w:sz="0" w:space="0" w:color="auto"/>
        <w:left w:val="none" w:sz="0" w:space="0" w:color="auto"/>
        <w:bottom w:val="none" w:sz="0" w:space="0" w:color="auto"/>
        <w:right w:val="none" w:sz="0" w:space="0" w:color="auto"/>
      </w:divBdr>
    </w:div>
    <w:div w:id="1460950292">
      <w:bodyDiv w:val="1"/>
      <w:marLeft w:val="0"/>
      <w:marRight w:val="0"/>
      <w:marTop w:val="0"/>
      <w:marBottom w:val="0"/>
      <w:divBdr>
        <w:top w:val="none" w:sz="0" w:space="0" w:color="auto"/>
        <w:left w:val="none" w:sz="0" w:space="0" w:color="auto"/>
        <w:bottom w:val="none" w:sz="0" w:space="0" w:color="auto"/>
        <w:right w:val="none" w:sz="0" w:space="0" w:color="auto"/>
      </w:divBdr>
    </w:div>
    <w:div w:id="1473332315">
      <w:bodyDiv w:val="1"/>
      <w:marLeft w:val="0"/>
      <w:marRight w:val="0"/>
      <w:marTop w:val="0"/>
      <w:marBottom w:val="0"/>
      <w:divBdr>
        <w:top w:val="none" w:sz="0" w:space="0" w:color="auto"/>
        <w:left w:val="none" w:sz="0" w:space="0" w:color="auto"/>
        <w:bottom w:val="none" w:sz="0" w:space="0" w:color="auto"/>
        <w:right w:val="none" w:sz="0" w:space="0" w:color="auto"/>
      </w:divBdr>
    </w:div>
    <w:div w:id="1482190647">
      <w:bodyDiv w:val="1"/>
      <w:marLeft w:val="0"/>
      <w:marRight w:val="0"/>
      <w:marTop w:val="0"/>
      <w:marBottom w:val="0"/>
      <w:divBdr>
        <w:top w:val="none" w:sz="0" w:space="0" w:color="auto"/>
        <w:left w:val="none" w:sz="0" w:space="0" w:color="auto"/>
        <w:bottom w:val="none" w:sz="0" w:space="0" w:color="auto"/>
        <w:right w:val="none" w:sz="0" w:space="0" w:color="auto"/>
      </w:divBdr>
      <w:divsChild>
        <w:div w:id="1018046469">
          <w:marLeft w:val="0"/>
          <w:marRight w:val="0"/>
          <w:marTop w:val="0"/>
          <w:marBottom w:val="0"/>
          <w:divBdr>
            <w:top w:val="none" w:sz="0" w:space="0" w:color="auto"/>
            <w:left w:val="none" w:sz="0" w:space="0" w:color="auto"/>
            <w:bottom w:val="none" w:sz="0" w:space="0" w:color="auto"/>
            <w:right w:val="none" w:sz="0" w:space="0" w:color="auto"/>
          </w:divBdr>
        </w:div>
      </w:divsChild>
    </w:div>
    <w:div w:id="1494178588">
      <w:bodyDiv w:val="1"/>
      <w:marLeft w:val="0"/>
      <w:marRight w:val="0"/>
      <w:marTop w:val="0"/>
      <w:marBottom w:val="0"/>
      <w:divBdr>
        <w:top w:val="none" w:sz="0" w:space="0" w:color="auto"/>
        <w:left w:val="none" w:sz="0" w:space="0" w:color="auto"/>
        <w:bottom w:val="none" w:sz="0" w:space="0" w:color="auto"/>
        <w:right w:val="none" w:sz="0" w:space="0" w:color="auto"/>
      </w:divBdr>
    </w:div>
    <w:div w:id="1501771936">
      <w:bodyDiv w:val="1"/>
      <w:marLeft w:val="0"/>
      <w:marRight w:val="0"/>
      <w:marTop w:val="0"/>
      <w:marBottom w:val="0"/>
      <w:divBdr>
        <w:top w:val="none" w:sz="0" w:space="0" w:color="auto"/>
        <w:left w:val="none" w:sz="0" w:space="0" w:color="auto"/>
        <w:bottom w:val="none" w:sz="0" w:space="0" w:color="auto"/>
        <w:right w:val="none" w:sz="0" w:space="0" w:color="auto"/>
      </w:divBdr>
    </w:div>
    <w:div w:id="1512261488">
      <w:bodyDiv w:val="1"/>
      <w:marLeft w:val="0"/>
      <w:marRight w:val="0"/>
      <w:marTop w:val="0"/>
      <w:marBottom w:val="0"/>
      <w:divBdr>
        <w:top w:val="none" w:sz="0" w:space="0" w:color="auto"/>
        <w:left w:val="none" w:sz="0" w:space="0" w:color="auto"/>
        <w:bottom w:val="none" w:sz="0" w:space="0" w:color="auto"/>
        <w:right w:val="none" w:sz="0" w:space="0" w:color="auto"/>
      </w:divBdr>
    </w:div>
    <w:div w:id="1513835799">
      <w:bodyDiv w:val="1"/>
      <w:marLeft w:val="0"/>
      <w:marRight w:val="0"/>
      <w:marTop w:val="0"/>
      <w:marBottom w:val="0"/>
      <w:divBdr>
        <w:top w:val="none" w:sz="0" w:space="0" w:color="auto"/>
        <w:left w:val="none" w:sz="0" w:space="0" w:color="auto"/>
        <w:bottom w:val="none" w:sz="0" w:space="0" w:color="auto"/>
        <w:right w:val="none" w:sz="0" w:space="0" w:color="auto"/>
      </w:divBdr>
    </w:div>
    <w:div w:id="1521241143">
      <w:bodyDiv w:val="1"/>
      <w:marLeft w:val="0"/>
      <w:marRight w:val="0"/>
      <w:marTop w:val="0"/>
      <w:marBottom w:val="0"/>
      <w:divBdr>
        <w:top w:val="none" w:sz="0" w:space="0" w:color="auto"/>
        <w:left w:val="none" w:sz="0" w:space="0" w:color="auto"/>
        <w:bottom w:val="none" w:sz="0" w:space="0" w:color="auto"/>
        <w:right w:val="none" w:sz="0" w:space="0" w:color="auto"/>
      </w:divBdr>
    </w:div>
    <w:div w:id="1524706462">
      <w:bodyDiv w:val="1"/>
      <w:marLeft w:val="0"/>
      <w:marRight w:val="0"/>
      <w:marTop w:val="0"/>
      <w:marBottom w:val="0"/>
      <w:divBdr>
        <w:top w:val="none" w:sz="0" w:space="0" w:color="auto"/>
        <w:left w:val="none" w:sz="0" w:space="0" w:color="auto"/>
        <w:bottom w:val="none" w:sz="0" w:space="0" w:color="auto"/>
        <w:right w:val="none" w:sz="0" w:space="0" w:color="auto"/>
      </w:divBdr>
    </w:div>
    <w:div w:id="1541821327">
      <w:bodyDiv w:val="1"/>
      <w:marLeft w:val="0"/>
      <w:marRight w:val="0"/>
      <w:marTop w:val="0"/>
      <w:marBottom w:val="0"/>
      <w:divBdr>
        <w:top w:val="none" w:sz="0" w:space="0" w:color="auto"/>
        <w:left w:val="none" w:sz="0" w:space="0" w:color="auto"/>
        <w:bottom w:val="none" w:sz="0" w:space="0" w:color="auto"/>
        <w:right w:val="none" w:sz="0" w:space="0" w:color="auto"/>
      </w:divBdr>
    </w:div>
    <w:div w:id="1546529057">
      <w:bodyDiv w:val="1"/>
      <w:marLeft w:val="0"/>
      <w:marRight w:val="0"/>
      <w:marTop w:val="0"/>
      <w:marBottom w:val="0"/>
      <w:divBdr>
        <w:top w:val="none" w:sz="0" w:space="0" w:color="auto"/>
        <w:left w:val="none" w:sz="0" w:space="0" w:color="auto"/>
        <w:bottom w:val="none" w:sz="0" w:space="0" w:color="auto"/>
        <w:right w:val="none" w:sz="0" w:space="0" w:color="auto"/>
      </w:divBdr>
    </w:div>
    <w:div w:id="1546868559">
      <w:bodyDiv w:val="1"/>
      <w:marLeft w:val="0"/>
      <w:marRight w:val="0"/>
      <w:marTop w:val="0"/>
      <w:marBottom w:val="0"/>
      <w:divBdr>
        <w:top w:val="none" w:sz="0" w:space="0" w:color="auto"/>
        <w:left w:val="none" w:sz="0" w:space="0" w:color="auto"/>
        <w:bottom w:val="none" w:sz="0" w:space="0" w:color="auto"/>
        <w:right w:val="none" w:sz="0" w:space="0" w:color="auto"/>
      </w:divBdr>
    </w:div>
    <w:div w:id="1547378402">
      <w:bodyDiv w:val="1"/>
      <w:marLeft w:val="0"/>
      <w:marRight w:val="0"/>
      <w:marTop w:val="0"/>
      <w:marBottom w:val="0"/>
      <w:divBdr>
        <w:top w:val="none" w:sz="0" w:space="0" w:color="auto"/>
        <w:left w:val="none" w:sz="0" w:space="0" w:color="auto"/>
        <w:bottom w:val="none" w:sz="0" w:space="0" w:color="auto"/>
        <w:right w:val="none" w:sz="0" w:space="0" w:color="auto"/>
      </w:divBdr>
    </w:div>
    <w:div w:id="1552184156">
      <w:bodyDiv w:val="1"/>
      <w:marLeft w:val="0"/>
      <w:marRight w:val="0"/>
      <w:marTop w:val="0"/>
      <w:marBottom w:val="0"/>
      <w:divBdr>
        <w:top w:val="none" w:sz="0" w:space="0" w:color="auto"/>
        <w:left w:val="none" w:sz="0" w:space="0" w:color="auto"/>
        <w:bottom w:val="none" w:sz="0" w:space="0" w:color="auto"/>
        <w:right w:val="none" w:sz="0" w:space="0" w:color="auto"/>
      </w:divBdr>
    </w:div>
    <w:div w:id="1559432664">
      <w:bodyDiv w:val="1"/>
      <w:marLeft w:val="0"/>
      <w:marRight w:val="0"/>
      <w:marTop w:val="0"/>
      <w:marBottom w:val="0"/>
      <w:divBdr>
        <w:top w:val="none" w:sz="0" w:space="0" w:color="auto"/>
        <w:left w:val="none" w:sz="0" w:space="0" w:color="auto"/>
        <w:bottom w:val="none" w:sz="0" w:space="0" w:color="auto"/>
        <w:right w:val="none" w:sz="0" w:space="0" w:color="auto"/>
      </w:divBdr>
    </w:div>
    <w:div w:id="1583371098">
      <w:bodyDiv w:val="1"/>
      <w:marLeft w:val="0"/>
      <w:marRight w:val="0"/>
      <w:marTop w:val="0"/>
      <w:marBottom w:val="0"/>
      <w:divBdr>
        <w:top w:val="none" w:sz="0" w:space="0" w:color="auto"/>
        <w:left w:val="none" w:sz="0" w:space="0" w:color="auto"/>
        <w:bottom w:val="none" w:sz="0" w:space="0" w:color="auto"/>
        <w:right w:val="none" w:sz="0" w:space="0" w:color="auto"/>
      </w:divBdr>
    </w:div>
    <w:div w:id="1596983601">
      <w:bodyDiv w:val="1"/>
      <w:marLeft w:val="0"/>
      <w:marRight w:val="0"/>
      <w:marTop w:val="0"/>
      <w:marBottom w:val="0"/>
      <w:divBdr>
        <w:top w:val="none" w:sz="0" w:space="0" w:color="auto"/>
        <w:left w:val="none" w:sz="0" w:space="0" w:color="auto"/>
        <w:bottom w:val="none" w:sz="0" w:space="0" w:color="auto"/>
        <w:right w:val="none" w:sz="0" w:space="0" w:color="auto"/>
      </w:divBdr>
    </w:div>
    <w:div w:id="1597593865">
      <w:bodyDiv w:val="1"/>
      <w:marLeft w:val="0"/>
      <w:marRight w:val="0"/>
      <w:marTop w:val="0"/>
      <w:marBottom w:val="0"/>
      <w:divBdr>
        <w:top w:val="none" w:sz="0" w:space="0" w:color="auto"/>
        <w:left w:val="none" w:sz="0" w:space="0" w:color="auto"/>
        <w:bottom w:val="none" w:sz="0" w:space="0" w:color="auto"/>
        <w:right w:val="none" w:sz="0" w:space="0" w:color="auto"/>
      </w:divBdr>
    </w:div>
    <w:div w:id="1604457499">
      <w:bodyDiv w:val="1"/>
      <w:marLeft w:val="0"/>
      <w:marRight w:val="0"/>
      <w:marTop w:val="0"/>
      <w:marBottom w:val="0"/>
      <w:divBdr>
        <w:top w:val="none" w:sz="0" w:space="0" w:color="auto"/>
        <w:left w:val="none" w:sz="0" w:space="0" w:color="auto"/>
        <w:bottom w:val="none" w:sz="0" w:space="0" w:color="auto"/>
        <w:right w:val="none" w:sz="0" w:space="0" w:color="auto"/>
      </w:divBdr>
    </w:div>
    <w:div w:id="1634746269">
      <w:bodyDiv w:val="1"/>
      <w:marLeft w:val="0"/>
      <w:marRight w:val="0"/>
      <w:marTop w:val="0"/>
      <w:marBottom w:val="0"/>
      <w:divBdr>
        <w:top w:val="none" w:sz="0" w:space="0" w:color="auto"/>
        <w:left w:val="none" w:sz="0" w:space="0" w:color="auto"/>
        <w:bottom w:val="none" w:sz="0" w:space="0" w:color="auto"/>
        <w:right w:val="none" w:sz="0" w:space="0" w:color="auto"/>
      </w:divBdr>
    </w:div>
    <w:div w:id="1637756204">
      <w:bodyDiv w:val="1"/>
      <w:marLeft w:val="0"/>
      <w:marRight w:val="0"/>
      <w:marTop w:val="0"/>
      <w:marBottom w:val="0"/>
      <w:divBdr>
        <w:top w:val="none" w:sz="0" w:space="0" w:color="auto"/>
        <w:left w:val="none" w:sz="0" w:space="0" w:color="auto"/>
        <w:bottom w:val="none" w:sz="0" w:space="0" w:color="auto"/>
        <w:right w:val="none" w:sz="0" w:space="0" w:color="auto"/>
      </w:divBdr>
    </w:div>
    <w:div w:id="1637833002">
      <w:bodyDiv w:val="1"/>
      <w:marLeft w:val="0"/>
      <w:marRight w:val="0"/>
      <w:marTop w:val="0"/>
      <w:marBottom w:val="0"/>
      <w:divBdr>
        <w:top w:val="none" w:sz="0" w:space="0" w:color="auto"/>
        <w:left w:val="none" w:sz="0" w:space="0" w:color="auto"/>
        <w:bottom w:val="none" w:sz="0" w:space="0" w:color="auto"/>
        <w:right w:val="none" w:sz="0" w:space="0" w:color="auto"/>
      </w:divBdr>
    </w:div>
    <w:div w:id="1639215662">
      <w:bodyDiv w:val="1"/>
      <w:marLeft w:val="0"/>
      <w:marRight w:val="0"/>
      <w:marTop w:val="0"/>
      <w:marBottom w:val="0"/>
      <w:divBdr>
        <w:top w:val="none" w:sz="0" w:space="0" w:color="auto"/>
        <w:left w:val="none" w:sz="0" w:space="0" w:color="auto"/>
        <w:bottom w:val="none" w:sz="0" w:space="0" w:color="auto"/>
        <w:right w:val="none" w:sz="0" w:space="0" w:color="auto"/>
      </w:divBdr>
    </w:div>
    <w:div w:id="1656371909">
      <w:bodyDiv w:val="1"/>
      <w:marLeft w:val="0"/>
      <w:marRight w:val="0"/>
      <w:marTop w:val="0"/>
      <w:marBottom w:val="0"/>
      <w:divBdr>
        <w:top w:val="none" w:sz="0" w:space="0" w:color="auto"/>
        <w:left w:val="none" w:sz="0" w:space="0" w:color="auto"/>
        <w:bottom w:val="none" w:sz="0" w:space="0" w:color="auto"/>
        <w:right w:val="none" w:sz="0" w:space="0" w:color="auto"/>
      </w:divBdr>
    </w:div>
    <w:div w:id="1658797990">
      <w:bodyDiv w:val="1"/>
      <w:marLeft w:val="0"/>
      <w:marRight w:val="0"/>
      <w:marTop w:val="0"/>
      <w:marBottom w:val="0"/>
      <w:divBdr>
        <w:top w:val="none" w:sz="0" w:space="0" w:color="auto"/>
        <w:left w:val="none" w:sz="0" w:space="0" w:color="auto"/>
        <w:bottom w:val="none" w:sz="0" w:space="0" w:color="auto"/>
        <w:right w:val="none" w:sz="0" w:space="0" w:color="auto"/>
      </w:divBdr>
    </w:div>
    <w:div w:id="1692951630">
      <w:bodyDiv w:val="1"/>
      <w:marLeft w:val="0"/>
      <w:marRight w:val="0"/>
      <w:marTop w:val="0"/>
      <w:marBottom w:val="0"/>
      <w:divBdr>
        <w:top w:val="none" w:sz="0" w:space="0" w:color="auto"/>
        <w:left w:val="none" w:sz="0" w:space="0" w:color="auto"/>
        <w:bottom w:val="none" w:sz="0" w:space="0" w:color="auto"/>
        <w:right w:val="none" w:sz="0" w:space="0" w:color="auto"/>
      </w:divBdr>
    </w:div>
    <w:div w:id="1697929572">
      <w:bodyDiv w:val="1"/>
      <w:marLeft w:val="0"/>
      <w:marRight w:val="0"/>
      <w:marTop w:val="0"/>
      <w:marBottom w:val="0"/>
      <w:divBdr>
        <w:top w:val="none" w:sz="0" w:space="0" w:color="auto"/>
        <w:left w:val="none" w:sz="0" w:space="0" w:color="auto"/>
        <w:bottom w:val="none" w:sz="0" w:space="0" w:color="auto"/>
        <w:right w:val="none" w:sz="0" w:space="0" w:color="auto"/>
      </w:divBdr>
    </w:div>
    <w:div w:id="1701085074">
      <w:bodyDiv w:val="1"/>
      <w:marLeft w:val="0"/>
      <w:marRight w:val="0"/>
      <w:marTop w:val="0"/>
      <w:marBottom w:val="0"/>
      <w:divBdr>
        <w:top w:val="none" w:sz="0" w:space="0" w:color="auto"/>
        <w:left w:val="none" w:sz="0" w:space="0" w:color="auto"/>
        <w:bottom w:val="none" w:sz="0" w:space="0" w:color="auto"/>
        <w:right w:val="none" w:sz="0" w:space="0" w:color="auto"/>
      </w:divBdr>
    </w:div>
    <w:div w:id="1714646317">
      <w:bodyDiv w:val="1"/>
      <w:marLeft w:val="0"/>
      <w:marRight w:val="0"/>
      <w:marTop w:val="0"/>
      <w:marBottom w:val="0"/>
      <w:divBdr>
        <w:top w:val="none" w:sz="0" w:space="0" w:color="auto"/>
        <w:left w:val="none" w:sz="0" w:space="0" w:color="auto"/>
        <w:bottom w:val="none" w:sz="0" w:space="0" w:color="auto"/>
        <w:right w:val="none" w:sz="0" w:space="0" w:color="auto"/>
      </w:divBdr>
    </w:div>
    <w:div w:id="1723629433">
      <w:bodyDiv w:val="1"/>
      <w:marLeft w:val="0"/>
      <w:marRight w:val="0"/>
      <w:marTop w:val="0"/>
      <w:marBottom w:val="0"/>
      <w:divBdr>
        <w:top w:val="none" w:sz="0" w:space="0" w:color="auto"/>
        <w:left w:val="none" w:sz="0" w:space="0" w:color="auto"/>
        <w:bottom w:val="none" w:sz="0" w:space="0" w:color="auto"/>
        <w:right w:val="none" w:sz="0" w:space="0" w:color="auto"/>
      </w:divBdr>
    </w:div>
    <w:div w:id="1731270386">
      <w:bodyDiv w:val="1"/>
      <w:marLeft w:val="0"/>
      <w:marRight w:val="0"/>
      <w:marTop w:val="0"/>
      <w:marBottom w:val="0"/>
      <w:divBdr>
        <w:top w:val="none" w:sz="0" w:space="0" w:color="auto"/>
        <w:left w:val="none" w:sz="0" w:space="0" w:color="auto"/>
        <w:bottom w:val="none" w:sz="0" w:space="0" w:color="auto"/>
        <w:right w:val="none" w:sz="0" w:space="0" w:color="auto"/>
      </w:divBdr>
      <w:divsChild>
        <w:div w:id="495340875">
          <w:marLeft w:val="0"/>
          <w:marRight w:val="0"/>
          <w:marTop w:val="0"/>
          <w:marBottom w:val="0"/>
          <w:divBdr>
            <w:top w:val="none" w:sz="0" w:space="0" w:color="auto"/>
            <w:left w:val="none" w:sz="0" w:space="0" w:color="auto"/>
            <w:bottom w:val="none" w:sz="0" w:space="0" w:color="auto"/>
            <w:right w:val="none" w:sz="0" w:space="0" w:color="auto"/>
          </w:divBdr>
        </w:div>
      </w:divsChild>
    </w:div>
    <w:div w:id="1731416684">
      <w:bodyDiv w:val="1"/>
      <w:marLeft w:val="0"/>
      <w:marRight w:val="0"/>
      <w:marTop w:val="0"/>
      <w:marBottom w:val="0"/>
      <w:divBdr>
        <w:top w:val="none" w:sz="0" w:space="0" w:color="auto"/>
        <w:left w:val="none" w:sz="0" w:space="0" w:color="auto"/>
        <w:bottom w:val="none" w:sz="0" w:space="0" w:color="auto"/>
        <w:right w:val="none" w:sz="0" w:space="0" w:color="auto"/>
      </w:divBdr>
    </w:div>
    <w:div w:id="1731687228">
      <w:bodyDiv w:val="1"/>
      <w:marLeft w:val="0"/>
      <w:marRight w:val="0"/>
      <w:marTop w:val="0"/>
      <w:marBottom w:val="0"/>
      <w:divBdr>
        <w:top w:val="none" w:sz="0" w:space="0" w:color="auto"/>
        <w:left w:val="none" w:sz="0" w:space="0" w:color="auto"/>
        <w:bottom w:val="none" w:sz="0" w:space="0" w:color="auto"/>
        <w:right w:val="none" w:sz="0" w:space="0" w:color="auto"/>
      </w:divBdr>
    </w:div>
    <w:div w:id="1734156867">
      <w:bodyDiv w:val="1"/>
      <w:marLeft w:val="0"/>
      <w:marRight w:val="0"/>
      <w:marTop w:val="0"/>
      <w:marBottom w:val="0"/>
      <w:divBdr>
        <w:top w:val="none" w:sz="0" w:space="0" w:color="auto"/>
        <w:left w:val="none" w:sz="0" w:space="0" w:color="auto"/>
        <w:bottom w:val="none" w:sz="0" w:space="0" w:color="auto"/>
        <w:right w:val="none" w:sz="0" w:space="0" w:color="auto"/>
      </w:divBdr>
    </w:div>
    <w:div w:id="1734161868">
      <w:bodyDiv w:val="1"/>
      <w:marLeft w:val="0"/>
      <w:marRight w:val="0"/>
      <w:marTop w:val="0"/>
      <w:marBottom w:val="0"/>
      <w:divBdr>
        <w:top w:val="none" w:sz="0" w:space="0" w:color="auto"/>
        <w:left w:val="none" w:sz="0" w:space="0" w:color="auto"/>
        <w:bottom w:val="none" w:sz="0" w:space="0" w:color="auto"/>
        <w:right w:val="none" w:sz="0" w:space="0" w:color="auto"/>
      </w:divBdr>
    </w:div>
    <w:div w:id="1750693866">
      <w:bodyDiv w:val="1"/>
      <w:marLeft w:val="0"/>
      <w:marRight w:val="0"/>
      <w:marTop w:val="0"/>
      <w:marBottom w:val="0"/>
      <w:divBdr>
        <w:top w:val="none" w:sz="0" w:space="0" w:color="auto"/>
        <w:left w:val="none" w:sz="0" w:space="0" w:color="auto"/>
        <w:bottom w:val="none" w:sz="0" w:space="0" w:color="auto"/>
        <w:right w:val="none" w:sz="0" w:space="0" w:color="auto"/>
      </w:divBdr>
    </w:div>
    <w:div w:id="1752701367">
      <w:bodyDiv w:val="1"/>
      <w:marLeft w:val="0"/>
      <w:marRight w:val="0"/>
      <w:marTop w:val="0"/>
      <w:marBottom w:val="0"/>
      <w:divBdr>
        <w:top w:val="none" w:sz="0" w:space="0" w:color="auto"/>
        <w:left w:val="none" w:sz="0" w:space="0" w:color="auto"/>
        <w:bottom w:val="none" w:sz="0" w:space="0" w:color="auto"/>
        <w:right w:val="none" w:sz="0" w:space="0" w:color="auto"/>
      </w:divBdr>
    </w:div>
    <w:div w:id="1777216131">
      <w:bodyDiv w:val="1"/>
      <w:marLeft w:val="0"/>
      <w:marRight w:val="0"/>
      <w:marTop w:val="0"/>
      <w:marBottom w:val="0"/>
      <w:divBdr>
        <w:top w:val="none" w:sz="0" w:space="0" w:color="auto"/>
        <w:left w:val="none" w:sz="0" w:space="0" w:color="auto"/>
        <w:bottom w:val="none" w:sz="0" w:space="0" w:color="auto"/>
        <w:right w:val="none" w:sz="0" w:space="0" w:color="auto"/>
      </w:divBdr>
    </w:div>
    <w:div w:id="1783332063">
      <w:bodyDiv w:val="1"/>
      <w:marLeft w:val="0"/>
      <w:marRight w:val="0"/>
      <w:marTop w:val="0"/>
      <w:marBottom w:val="0"/>
      <w:divBdr>
        <w:top w:val="none" w:sz="0" w:space="0" w:color="auto"/>
        <w:left w:val="none" w:sz="0" w:space="0" w:color="auto"/>
        <w:bottom w:val="none" w:sz="0" w:space="0" w:color="auto"/>
        <w:right w:val="none" w:sz="0" w:space="0" w:color="auto"/>
      </w:divBdr>
    </w:div>
    <w:div w:id="1794711253">
      <w:bodyDiv w:val="1"/>
      <w:marLeft w:val="0"/>
      <w:marRight w:val="0"/>
      <w:marTop w:val="0"/>
      <w:marBottom w:val="0"/>
      <w:divBdr>
        <w:top w:val="none" w:sz="0" w:space="0" w:color="auto"/>
        <w:left w:val="none" w:sz="0" w:space="0" w:color="auto"/>
        <w:bottom w:val="none" w:sz="0" w:space="0" w:color="auto"/>
        <w:right w:val="none" w:sz="0" w:space="0" w:color="auto"/>
      </w:divBdr>
    </w:div>
    <w:div w:id="1813866709">
      <w:bodyDiv w:val="1"/>
      <w:marLeft w:val="0"/>
      <w:marRight w:val="0"/>
      <w:marTop w:val="0"/>
      <w:marBottom w:val="0"/>
      <w:divBdr>
        <w:top w:val="none" w:sz="0" w:space="0" w:color="auto"/>
        <w:left w:val="none" w:sz="0" w:space="0" w:color="auto"/>
        <w:bottom w:val="none" w:sz="0" w:space="0" w:color="auto"/>
        <w:right w:val="none" w:sz="0" w:space="0" w:color="auto"/>
      </w:divBdr>
    </w:div>
    <w:div w:id="1819296835">
      <w:bodyDiv w:val="1"/>
      <w:marLeft w:val="0"/>
      <w:marRight w:val="0"/>
      <w:marTop w:val="0"/>
      <w:marBottom w:val="0"/>
      <w:divBdr>
        <w:top w:val="none" w:sz="0" w:space="0" w:color="auto"/>
        <w:left w:val="none" w:sz="0" w:space="0" w:color="auto"/>
        <w:bottom w:val="none" w:sz="0" w:space="0" w:color="auto"/>
        <w:right w:val="none" w:sz="0" w:space="0" w:color="auto"/>
      </w:divBdr>
    </w:div>
    <w:div w:id="1824202514">
      <w:bodyDiv w:val="1"/>
      <w:marLeft w:val="0"/>
      <w:marRight w:val="0"/>
      <w:marTop w:val="0"/>
      <w:marBottom w:val="0"/>
      <w:divBdr>
        <w:top w:val="none" w:sz="0" w:space="0" w:color="auto"/>
        <w:left w:val="none" w:sz="0" w:space="0" w:color="auto"/>
        <w:bottom w:val="none" w:sz="0" w:space="0" w:color="auto"/>
        <w:right w:val="none" w:sz="0" w:space="0" w:color="auto"/>
      </w:divBdr>
    </w:div>
    <w:div w:id="1830172846">
      <w:bodyDiv w:val="1"/>
      <w:marLeft w:val="0"/>
      <w:marRight w:val="0"/>
      <w:marTop w:val="0"/>
      <w:marBottom w:val="0"/>
      <w:divBdr>
        <w:top w:val="none" w:sz="0" w:space="0" w:color="auto"/>
        <w:left w:val="none" w:sz="0" w:space="0" w:color="auto"/>
        <w:bottom w:val="none" w:sz="0" w:space="0" w:color="auto"/>
        <w:right w:val="none" w:sz="0" w:space="0" w:color="auto"/>
      </w:divBdr>
    </w:div>
    <w:div w:id="1837912113">
      <w:bodyDiv w:val="1"/>
      <w:marLeft w:val="0"/>
      <w:marRight w:val="0"/>
      <w:marTop w:val="0"/>
      <w:marBottom w:val="0"/>
      <w:divBdr>
        <w:top w:val="none" w:sz="0" w:space="0" w:color="auto"/>
        <w:left w:val="none" w:sz="0" w:space="0" w:color="auto"/>
        <w:bottom w:val="none" w:sz="0" w:space="0" w:color="auto"/>
        <w:right w:val="none" w:sz="0" w:space="0" w:color="auto"/>
      </w:divBdr>
    </w:div>
    <w:div w:id="1843857045">
      <w:bodyDiv w:val="1"/>
      <w:marLeft w:val="0"/>
      <w:marRight w:val="0"/>
      <w:marTop w:val="0"/>
      <w:marBottom w:val="0"/>
      <w:divBdr>
        <w:top w:val="none" w:sz="0" w:space="0" w:color="auto"/>
        <w:left w:val="none" w:sz="0" w:space="0" w:color="auto"/>
        <w:bottom w:val="none" w:sz="0" w:space="0" w:color="auto"/>
        <w:right w:val="none" w:sz="0" w:space="0" w:color="auto"/>
      </w:divBdr>
    </w:div>
    <w:div w:id="1847787530">
      <w:bodyDiv w:val="1"/>
      <w:marLeft w:val="0"/>
      <w:marRight w:val="0"/>
      <w:marTop w:val="0"/>
      <w:marBottom w:val="0"/>
      <w:divBdr>
        <w:top w:val="none" w:sz="0" w:space="0" w:color="auto"/>
        <w:left w:val="none" w:sz="0" w:space="0" w:color="auto"/>
        <w:bottom w:val="none" w:sz="0" w:space="0" w:color="auto"/>
        <w:right w:val="none" w:sz="0" w:space="0" w:color="auto"/>
      </w:divBdr>
    </w:div>
    <w:div w:id="1848204129">
      <w:bodyDiv w:val="1"/>
      <w:marLeft w:val="0"/>
      <w:marRight w:val="0"/>
      <w:marTop w:val="0"/>
      <w:marBottom w:val="0"/>
      <w:divBdr>
        <w:top w:val="none" w:sz="0" w:space="0" w:color="auto"/>
        <w:left w:val="none" w:sz="0" w:space="0" w:color="auto"/>
        <w:bottom w:val="none" w:sz="0" w:space="0" w:color="auto"/>
        <w:right w:val="none" w:sz="0" w:space="0" w:color="auto"/>
      </w:divBdr>
    </w:div>
    <w:div w:id="1849908859">
      <w:bodyDiv w:val="1"/>
      <w:marLeft w:val="0"/>
      <w:marRight w:val="0"/>
      <w:marTop w:val="0"/>
      <w:marBottom w:val="0"/>
      <w:divBdr>
        <w:top w:val="none" w:sz="0" w:space="0" w:color="auto"/>
        <w:left w:val="none" w:sz="0" w:space="0" w:color="auto"/>
        <w:bottom w:val="none" w:sz="0" w:space="0" w:color="auto"/>
        <w:right w:val="none" w:sz="0" w:space="0" w:color="auto"/>
      </w:divBdr>
    </w:div>
    <w:div w:id="1865047200">
      <w:bodyDiv w:val="1"/>
      <w:marLeft w:val="0"/>
      <w:marRight w:val="0"/>
      <w:marTop w:val="0"/>
      <w:marBottom w:val="0"/>
      <w:divBdr>
        <w:top w:val="none" w:sz="0" w:space="0" w:color="auto"/>
        <w:left w:val="none" w:sz="0" w:space="0" w:color="auto"/>
        <w:bottom w:val="none" w:sz="0" w:space="0" w:color="auto"/>
        <w:right w:val="none" w:sz="0" w:space="0" w:color="auto"/>
      </w:divBdr>
    </w:div>
    <w:div w:id="1874686810">
      <w:bodyDiv w:val="1"/>
      <w:marLeft w:val="0"/>
      <w:marRight w:val="0"/>
      <w:marTop w:val="0"/>
      <w:marBottom w:val="0"/>
      <w:divBdr>
        <w:top w:val="none" w:sz="0" w:space="0" w:color="auto"/>
        <w:left w:val="none" w:sz="0" w:space="0" w:color="auto"/>
        <w:bottom w:val="none" w:sz="0" w:space="0" w:color="auto"/>
        <w:right w:val="none" w:sz="0" w:space="0" w:color="auto"/>
      </w:divBdr>
    </w:div>
    <w:div w:id="1888179894">
      <w:bodyDiv w:val="1"/>
      <w:marLeft w:val="0"/>
      <w:marRight w:val="0"/>
      <w:marTop w:val="0"/>
      <w:marBottom w:val="0"/>
      <w:divBdr>
        <w:top w:val="none" w:sz="0" w:space="0" w:color="auto"/>
        <w:left w:val="none" w:sz="0" w:space="0" w:color="auto"/>
        <w:bottom w:val="none" w:sz="0" w:space="0" w:color="auto"/>
        <w:right w:val="none" w:sz="0" w:space="0" w:color="auto"/>
      </w:divBdr>
    </w:div>
    <w:div w:id="1915966706">
      <w:bodyDiv w:val="1"/>
      <w:marLeft w:val="0"/>
      <w:marRight w:val="0"/>
      <w:marTop w:val="0"/>
      <w:marBottom w:val="0"/>
      <w:divBdr>
        <w:top w:val="none" w:sz="0" w:space="0" w:color="auto"/>
        <w:left w:val="none" w:sz="0" w:space="0" w:color="auto"/>
        <w:bottom w:val="none" w:sz="0" w:space="0" w:color="auto"/>
        <w:right w:val="none" w:sz="0" w:space="0" w:color="auto"/>
      </w:divBdr>
    </w:div>
    <w:div w:id="1922982453">
      <w:bodyDiv w:val="1"/>
      <w:marLeft w:val="0"/>
      <w:marRight w:val="0"/>
      <w:marTop w:val="0"/>
      <w:marBottom w:val="0"/>
      <w:divBdr>
        <w:top w:val="none" w:sz="0" w:space="0" w:color="auto"/>
        <w:left w:val="none" w:sz="0" w:space="0" w:color="auto"/>
        <w:bottom w:val="none" w:sz="0" w:space="0" w:color="auto"/>
        <w:right w:val="none" w:sz="0" w:space="0" w:color="auto"/>
      </w:divBdr>
    </w:div>
    <w:div w:id="1924141364">
      <w:bodyDiv w:val="1"/>
      <w:marLeft w:val="0"/>
      <w:marRight w:val="0"/>
      <w:marTop w:val="0"/>
      <w:marBottom w:val="0"/>
      <w:divBdr>
        <w:top w:val="none" w:sz="0" w:space="0" w:color="auto"/>
        <w:left w:val="none" w:sz="0" w:space="0" w:color="auto"/>
        <w:bottom w:val="none" w:sz="0" w:space="0" w:color="auto"/>
        <w:right w:val="none" w:sz="0" w:space="0" w:color="auto"/>
      </w:divBdr>
    </w:div>
    <w:div w:id="1941329633">
      <w:bodyDiv w:val="1"/>
      <w:marLeft w:val="0"/>
      <w:marRight w:val="0"/>
      <w:marTop w:val="0"/>
      <w:marBottom w:val="0"/>
      <w:divBdr>
        <w:top w:val="none" w:sz="0" w:space="0" w:color="auto"/>
        <w:left w:val="none" w:sz="0" w:space="0" w:color="auto"/>
        <w:bottom w:val="none" w:sz="0" w:space="0" w:color="auto"/>
        <w:right w:val="none" w:sz="0" w:space="0" w:color="auto"/>
      </w:divBdr>
    </w:div>
    <w:div w:id="1954555315">
      <w:bodyDiv w:val="1"/>
      <w:marLeft w:val="0"/>
      <w:marRight w:val="0"/>
      <w:marTop w:val="0"/>
      <w:marBottom w:val="0"/>
      <w:divBdr>
        <w:top w:val="none" w:sz="0" w:space="0" w:color="auto"/>
        <w:left w:val="none" w:sz="0" w:space="0" w:color="auto"/>
        <w:bottom w:val="none" w:sz="0" w:space="0" w:color="auto"/>
        <w:right w:val="none" w:sz="0" w:space="0" w:color="auto"/>
      </w:divBdr>
    </w:div>
    <w:div w:id="1986734768">
      <w:bodyDiv w:val="1"/>
      <w:marLeft w:val="0"/>
      <w:marRight w:val="0"/>
      <w:marTop w:val="0"/>
      <w:marBottom w:val="0"/>
      <w:divBdr>
        <w:top w:val="none" w:sz="0" w:space="0" w:color="auto"/>
        <w:left w:val="none" w:sz="0" w:space="0" w:color="auto"/>
        <w:bottom w:val="none" w:sz="0" w:space="0" w:color="auto"/>
        <w:right w:val="none" w:sz="0" w:space="0" w:color="auto"/>
      </w:divBdr>
    </w:div>
    <w:div w:id="2000305259">
      <w:bodyDiv w:val="1"/>
      <w:marLeft w:val="0"/>
      <w:marRight w:val="0"/>
      <w:marTop w:val="0"/>
      <w:marBottom w:val="0"/>
      <w:divBdr>
        <w:top w:val="none" w:sz="0" w:space="0" w:color="auto"/>
        <w:left w:val="none" w:sz="0" w:space="0" w:color="auto"/>
        <w:bottom w:val="none" w:sz="0" w:space="0" w:color="auto"/>
        <w:right w:val="none" w:sz="0" w:space="0" w:color="auto"/>
      </w:divBdr>
    </w:div>
    <w:div w:id="2022126291">
      <w:bodyDiv w:val="1"/>
      <w:marLeft w:val="0"/>
      <w:marRight w:val="0"/>
      <w:marTop w:val="0"/>
      <w:marBottom w:val="0"/>
      <w:divBdr>
        <w:top w:val="none" w:sz="0" w:space="0" w:color="auto"/>
        <w:left w:val="none" w:sz="0" w:space="0" w:color="auto"/>
        <w:bottom w:val="none" w:sz="0" w:space="0" w:color="auto"/>
        <w:right w:val="none" w:sz="0" w:space="0" w:color="auto"/>
      </w:divBdr>
    </w:div>
    <w:div w:id="2032687355">
      <w:bodyDiv w:val="1"/>
      <w:marLeft w:val="0"/>
      <w:marRight w:val="0"/>
      <w:marTop w:val="0"/>
      <w:marBottom w:val="0"/>
      <w:divBdr>
        <w:top w:val="none" w:sz="0" w:space="0" w:color="auto"/>
        <w:left w:val="none" w:sz="0" w:space="0" w:color="auto"/>
        <w:bottom w:val="none" w:sz="0" w:space="0" w:color="auto"/>
        <w:right w:val="none" w:sz="0" w:space="0" w:color="auto"/>
      </w:divBdr>
    </w:div>
    <w:div w:id="2045860048">
      <w:bodyDiv w:val="1"/>
      <w:marLeft w:val="0"/>
      <w:marRight w:val="0"/>
      <w:marTop w:val="0"/>
      <w:marBottom w:val="0"/>
      <w:divBdr>
        <w:top w:val="none" w:sz="0" w:space="0" w:color="auto"/>
        <w:left w:val="none" w:sz="0" w:space="0" w:color="auto"/>
        <w:bottom w:val="none" w:sz="0" w:space="0" w:color="auto"/>
        <w:right w:val="none" w:sz="0" w:space="0" w:color="auto"/>
      </w:divBdr>
    </w:div>
    <w:div w:id="2047757803">
      <w:bodyDiv w:val="1"/>
      <w:marLeft w:val="0"/>
      <w:marRight w:val="0"/>
      <w:marTop w:val="0"/>
      <w:marBottom w:val="0"/>
      <w:divBdr>
        <w:top w:val="none" w:sz="0" w:space="0" w:color="auto"/>
        <w:left w:val="none" w:sz="0" w:space="0" w:color="auto"/>
        <w:bottom w:val="none" w:sz="0" w:space="0" w:color="auto"/>
        <w:right w:val="none" w:sz="0" w:space="0" w:color="auto"/>
      </w:divBdr>
    </w:div>
    <w:div w:id="2049060240">
      <w:bodyDiv w:val="1"/>
      <w:marLeft w:val="0"/>
      <w:marRight w:val="0"/>
      <w:marTop w:val="0"/>
      <w:marBottom w:val="0"/>
      <w:divBdr>
        <w:top w:val="none" w:sz="0" w:space="0" w:color="auto"/>
        <w:left w:val="none" w:sz="0" w:space="0" w:color="auto"/>
        <w:bottom w:val="none" w:sz="0" w:space="0" w:color="auto"/>
        <w:right w:val="none" w:sz="0" w:space="0" w:color="auto"/>
      </w:divBdr>
    </w:div>
    <w:div w:id="2064324635">
      <w:bodyDiv w:val="1"/>
      <w:marLeft w:val="0"/>
      <w:marRight w:val="0"/>
      <w:marTop w:val="0"/>
      <w:marBottom w:val="0"/>
      <w:divBdr>
        <w:top w:val="none" w:sz="0" w:space="0" w:color="auto"/>
        <w:left w:val="none" w:sz="0" w:space="0" w:color="auto"/>
        <w:bottom w:val="none" w:sz="0" w:space="0" w:color="auto"/>
        <w:right w:val="none" w:sz="0" w:space="0" w:color="auto"/>
      </w:divBdr>
    </w:div>
    <w:div w:id="2107460687">
      <w:bodyDiv w:val="1"/>
      <w:marLeft w:val="0"/>
      <w:marRight w:val="0"/>
      <w:marTop w:val="0"/>
      <w:marBottom w:val="0"/>
      <w:divBdr>
        <w:top w:val="none" w:sz="0" w:space="0" w:color="auto"/>
        <w:left w:val="none" w:sz="0" w:space="0" w:color="auto"/>
        <w:bottom w:val="none" w:sz="0" w:space="0" w:color="auto"/>
        <w:right w:val="none" w:sz="0" w:space="0" w:color="auto"/>
      </w:divBdr>
    </w:div>
    <w:div w:id="213451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footer" Target="footer2.xml"/><Relationship Id="rId42" Type="http://schemas.openxmlformats.org/officeDocument/2006/relationships/header" Target="header13.xml"/><Relationship Id="rId47" Type="http://schemas.openxmlformats.org/officeDocument/2006/relationships/image" Target="media/image8.emf"/><Relationship Id="rId63" Type="http://schemas.openxmlformats.org/officeDocument/2006/relationships/header" Target="header20.xml"/><Relationship Id="rId68" Type="http://schemas.openxmlformats.org/officeDocument/2006/relationships/image" Target="media/image17.emf"/><Relationship Id="rId84" Type="http://schemas.openxmlformats.org/officeDocument/2006/relationships/header" Target="header32.xml"/><Relationship Id="rId89" Type="http://schemas.openxmlformats.org/officeDocument/2006/relationships/header" Target="header35.xml"/><Relationship Id="rId112" Type="http://schemas.openxmlformats.org/officeDocument/2006/relationships/footer" Target="footer20.xml"/><Relationship Id="rId16" Type="http://schemas.openxmlformats.org/officeDocument/2006/relationships/hyperlink" Target="mailto:secretary@cgc.gov.au" TargetMode="External"/><Relationship Id="rId107" Type="http://schemas.openxmlformats.org/officeDocument/2006/relationships/footer" Target="footer18.xml"/><Relationship Id="rId11" Type="http://schemas.openxmlformats.org/officeDocument/2006/relationships/image" Target="media/image1.png"/><Relationship Id="rId32" Type="http://schemas.openxmlformats.org/officeDocument/2006/relationships/image" Target="media/image5.png"/><Relationship Id="rId37" Type="http://schemas.openxmlformats.org/officeDocument/2006/relationships/header" Target="header8.xml"/><Relationship Id="rId53" Type="http://schemas.openxmlformats.org/officeDocument/2006/relationships/image" Target="media/image9.png"/><Relationship Id="rId58" Type="http://schemas.openxmlformats.org/officeDocument/2006/relationships/image" Target="media/image14.emf"/><Relationship Id="rId74" Type="http://schemas.openxmlformats.org/officeDocument/2006/relationships/header" Target="header25.xml"/><Relationship Id="rId79" Type="http://schemas.openxmlformats.org/officeDocument/2006/relationships/image" Target="media/image20.emf"/><Relationship Id="rId102" Type="http://schemas.openxmlformats.org/officeDocument/2006/relationships/footer" Target="footer17.xml"/><Relationship Id="rId5" Type="http://schemas.openxmlformats.org/officeDocument/2006/relationships/numbering" Target="numbering.xml"/><Relationship Id="rId90" Type="http://schemas.openxmlformats.org/officeDocument/2006/relationships/header" Target="header36.xml"/><Relationship Id="rId95" Type="http://schemas.openxmlformats.org/officeDocument/2006/relationships/footer" Target="footer15.xml"/><Relationship Id="rId22" Type="http://schemas.openxmlformats.org/officeDocument/2006/relationships/image" Target="media/image3.png"/><Relationship Id="rId27" Type="http://schemas.openxmlformats.org/officeDocument/2006/relationships/footer" Target="footer4.xml"/><Relationship Id="rId43" Type="http://schemas.openxmlformats.org/officeDocument/2006/relationships/header" Target="header14.xml"/><Relationship Id="rId48" Type="http://schemas.openxmlformats.org/officeDocument/2006/relationships/header" Target="header17.xml"/><Relationship Id="rId64" Type="http://schemas.openxmlformats.org/officeDocument/2006/relationships/footer" Target="footer11.xml"/><Relationship Id="rId69" Type="http://schemas.openxmlformats.org/officeDocument/2006/relationships/header" Target="header23.xml"/><Relationship Id="rId113" Type="http://schemas.openxmlformats.org/officeDocument/2006/relationships/fontTable" Target="fontTable.xml"/><Relationship Id="rId80" Type="http://schemas.openxmlformats.org/officeDocument/2006/relationships/header" Target="header29.xml"/><Relationship Id="rId85" Type="http://schemas.openxmlformats.org/officeDocument/2006/relationships/image" Target="media/image22.emf"/><Relationship Id="rId12" Type="http://schemas.openxmlformats.org/officeDocument/2006/relationships/hyperlink" Target="https://creativecommons.org/licenses/by/4.0/" TargetMode="External"/><Relationship Id="rId17" Type="http://schemas.openxmlformats.org/officeDocument/2006/relationships/hyperlink" Target="http://www.cgc.gov.au" TargetMode="External"/><Relationship Id="rId33" Type="http://schemas.openxmlformats.org/officeDocument/2006/relationships/image" Target="media/image6.png"/><Relationship Id="rId38" Type="http://schemas.openxmlformats.org/officeDocument/2006/relationships/header" Target="header9.xml"/><Relationship Id="rId59" Type="http://schemas.openxmlformats.org/officeDocument/2006/relationships/image" Target="media/image15.emf"/><Relationship Id="rId103" Type="http://schemas.openxmlformats.org/officeDocument/2006/relationships/hyperlink" Target="https://www.cgc.gov.au/" TargetMode="External"/><Relationship Id="rId108" Type="http://schemas.openxmlformats.org/officeDocument/2006/relationships/hyperlink" Target="http://www.cgc.gov.au" TargetMode="External"/><Relationship Id="rId54" Type="http://schemas.openxmlformats.org/officeDocument/2006/relationships/image" Target="media/image10.emf"/><Relationship Id="rId70" Type="http://schemas.openxmlformats.org/officeDocument/2006/relationships/footer" Target="footer12.xml"/><Relationship Id="rId75" Type="http://schemas.openxmlformats.org/officeDocument/2006/relationships/header" Target="header26.xml"/><Relationship Id="rId91" Type="http://schemas.openxmlformats.org/officeDocument/2006/relationships/image" Target="media/image24.emf"/><Relationship Id="rId96" Type="http://schemas.openxmlformats.org/officeDocument/2006/relationships/hyperlink" Target="https://www.cgc.gov.au/inquiries/2021-updat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pmc.gov.au/government/commonwealth-coat-arms/" TargetMode="External"/><Relationship Id="rId23" Type="http://schemas.microsoft.com/office/2007/relationships/hdphoto" Target="media/hdphoto1.wdp"/><Relationship Id="rId28" Type="http://schemas.openxmlformats.org/officeDocument/2006/relationships/header" Target="header5.xml"/><Relationship Id="rId36" Type="http://schemas.openxmlformats.org/officeDocument/2006/relationships/footer" Target="footer6.xml"/><Relationship Id="rId49" Type="http://schemas.openxmlformats.org/officeDocument/2006/relationships/footer" Target="footer8.xml"/><Relationship Id="rId57" Type="http://schemas.openxmlformats.org/officeDocument/2006/relationships/image" Target="media/image13.png"/><Relationship Id="rId106" Type="http://schemas.openxmlformats.org/officeDocument/2006/relationships/header" Target="header44.xm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header" Target="header15.xml"/><Relationship Id="rId52" Type="http://schemas.openxmlformats.org/officeDocument/2006/relationships/hyperlink" Target="https://www.cgc.gov.au/" TargetMode="External"/><Relationship Id="rId60" Type="http://schemas.openxmlformats.org/officeDocument/2006/relationships/hyperlink" Target="https://www.cgc.gov.au" TargetMode="External"/><Relationship Id="rId65" Type="http://schemas.openxmlformats.org/officeDocument/2006/relationships/image" Target="media/image16.emf"/><Relationship Id="rId73" Type="http://schemas.openxmlformats.org/officeDocument/2006/relationships/image" Target="media/image18.emf"/><Relationship Id="rId78" Type="http://schemas.openxmlformats.org/officeDocument/2006/relationships/header" Target="header28.xml"/><Relationship Id="rId81" Type="http://schemas.openxmlformats.org/officeDocument/2006/relationships/header" Target="header30.xml"/><Relationship Id="rId86" Type="http://schemas.openxmlformats.org/officeDocument/2006/relationships/header" Target="header33.xml"/><Relationship Id="rId94" Type="http://schemas.openxmlformats.org/officeDocument/2006/relationships/header" Target="header38.xml"/><Relationship Id="rId99" Type="http://schemas.openxmlformats.org/officeDocument/2006/relationships/footer" Target="footer16.xml"/><Relationship Id="rId101" Type="http://schemas.openxmlformats.org/officeDocument/2006/relationships/header" Target="header4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reativecommons.org/licenses/by/4.0/legalcode" TargetMode="External"/><Relationship Id="rId18" Type="http://schemas.openxmlformats.org/officeDocument/2006/relationships/header" Target="header1.xml"/><Relationship Id="rId39" Type="http://schemas.openxmlformats.org/officeDocument/2006/relationships/header" Target="header10.xml"/><Relationship Id="rId109" Type="http://schemas.openxmlformats.org/officeDocument/2006/relationships/header" Target="header45.xml"/><Relationship Id="rId34" Type="http://schemas.openxmlformats.org/officeDocument/2006/relationships/image" Target="media/image7.png"/><Relationship Id="rId50" Type="http://schemas.openxmlformats.org/officeDocument/2006/relationships/header" Target="header18.xml"/><Relationship Id="rId55" Type="http://schemas.openxmlformats.org/officeDocument/2006/relationships/image" Target="media/image11.emf"/><Relationship Id="rId76" Type="http://schemas.openxmlformats.org/officeDocument/2006/relationships/image" Target="media/image19.emf"/><Relationship Id="rId97" Type="http://schemas.openxmlformats.org/officeDocument/2006/relationships/header" Target="header39.xml"/><Relationship Id="rId104" Type="http://schemas.openxmlformats.org/officeDocument/2006/relationships/hyperlink" Target="https://www.cgc.gov.au/" TargetMode="External"/><Relationship Id="rId7" Type="http://schemas.openxmlformats.org/officeDocument/2006/relationships/settings" Target="settings.xml"/><Relationship Id="rId71" Type="http://schemas.openxmlformats.org/officeDocument/2006/relationships/header" Target="header24.xml"/><Relationship Id="rId92" Type="http://schemas.openxmlformats.org/officeDocument/2006/relationships/header" Target="header37.xm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header" Target="header3.xml"/><Relationship Id="rId40" Type="http://schemas.openxmlformats.org/officeDocument/2006/relationships/header" Target="header11.xml"/><Relationship Id="rId45" Type="http://schemas.openxmlformats.org/officeDocument/2006/relationships/header" Target="header16.xml"/><Relationship Id="rId66" Type="http://schemas.openxmlformats.org/officeDocument/2006/relationships/header" Target="header21.xml"/><Relationship Id="rId87" Type="http://schemas.openxmlformats.org/officeDocument/2006/relationships/header" Target="header34.xml"/><Relationship Id="rId110" Type="http://schemas.openxmlformats.org/officeDocument/2006/relationships/footer" Target="footer19.xml"/><Relationship Id="rId115" Type="http://schemas.microsoft.com/office/2019/05/relationships/documenttasks" Target="documenttasks/documenttasks1.xml"/><Relationship Id="rId61" Type="http://schemas.openxmlformats.org/officeDocument/2006/relationships/header" Target="header19.xml"/><Relationship Id="rId82" Type="http://schemas.openxmlformats.org/officeDocument/2006/relationships/image" Target="media/image21.emf"/><Relationship Id="rId19" Type="http://schemas.openxmlformats.org/officeDocument/2006/relationships/footer" Target="footer1.xml"/><Relationship Id="rId14" Type="http://schemas.openxmlformats.org/officeDocument/2006/relationships/image" Target="media/image2.png"/><Relationship Id="rId30" Type="http://schemas.openxmlformats.org/officeDocument/2006/relationships/header" Target="header6.xml"/><Relationship Id="rId35" Type="http://schemas.openxmlformats.org/officeDocument/2006/relationships/header" Target="header7.xml"/><Relationship Id="rId56" Type="http://schemas.openxmlformats.org/officeDocument/2006/relationships/image" Target="media/image12.emf"/><Relationship Id="rId77" Type="http://schemas.openxmlformats.org/officeDocument/2006/relationships/header" Target="header27.xml"/><Relationship Id="rId100" Type="http://schemas.openxmlformats.org/officeDocument/2006/relationships/header" Target="header41.xml"/><Relationship Id="rId105" Type="http://schemas.openxmlformats.org/officeDocument/2006/relationships/header" Target="header43.xml"/><Relationship Id="rId8" Type="http://schemas.openxmlformats.org/officeDocument/2006/relationships/webSettings" Target="webSettings.xml"/><Relationship Id="rId51" Type="http://schemas.openxmlformats.org/officeDocument/2006/relationships/footer" Target="footer9.xml"/><Relationship Id="rId72" Type="http://schemas.openxmlformats.org/officeDocument/2006/relationships/footer" Target="footer13.xml"/><Relationship Id="rId93" Type="http://schemas.openxmlformats.org/officeDocument/2006/relationships/footer" Target="footer14.xml"/><Relationship Id="rId98" Type="http://schemas.openxmlformats.org/officeDocument/2006/relationships/header" Target="header40.xm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footer" Target="footer7.xml"/><Relationship Id="rId67" Type="http://schemas.openxmlformats.org/officeDocument/2006/relationships/header" Target="header22.xml"/><Relationship Id="rId20" Type="http://schemas.openxmlformats.org/officeDocument/2006/relationships/header" Target="header2.xml"/><Relationship Id="rId41" Type="http://schemas.openxmlformats.org/officeDocument/2006/relationships/header" Target="header12.xml"/><Relationship Id="rId62" Type="http://schemas.openxmlformats.org/officeDocument/2006/relationships/footer" Target="footer10.xml"/><Relationship Id="rId83" Type="http://schemas.openxmlformats.org/officeDocument/2006/relationships/header" Target="header31.xml"/><Relationship Id="rId88" Type="http://schemas.openxmlformats.org/officeDocument/2006/relationships/image" Target="media/image23.emf"/><Relationship Id="rId111" Type="http://schemas.openxmlformats.org/officeDocument/2006/relationships/header" Target="header46.xml"/></Relationships>
</file>

<file path=word/documenttasks/documenttasks1.xml><?xml version="1.0" encoding="utf-8"?>
<t:Tasks xmlns:t="http://schemas.microsoft.com/office/tasks/2019/documenttasks" xmlns:oel="http://schemas.microsoft.com/office/2019/extlst">
  <t:Task id="{780E2E68-B35D-477E-8BCA-5E6500C44D36}">
    <t:Anchor>
      <t:Comment id="599520563"/>
    </t:Anchor>
    <t:History>
      <t:Event id="{5793DC56-DF3E-4AA5-BACA-F7051F45213E}" time="2021-01-27T03:25:21Z">
        <t:Attribution userId="S::marc.boisseau@cgc.gov.au::cd40be0c-02d0-4545-8924-843696930fac" userProvider="AD" userName="Marc Boisseau"/>
        <t:Anchor>
          <t:Comment id="569599463"/>
        </t:Anchor>
        <t:Create/>
      </t:Event>
      <t:Event id="{B612A91E-FAC5-4333-B7B3-40803CEDC938}" time="2021-01-27T03:25:21Z">
        <t:Attribution userId="S::marc.boisseau@cgc.gov.au::cd40be0c-02d0-4545-8924-843696930fac" userProvider="AD" userName="Marc Boisseau"/>
        <t:Anchor>
          <t:Comment id="569599463"/>
        </t:Anchor>
        <t:Assign userId="S::Jeffrey.Evans@cgc.gov.au::a91e3ae1-0dcd-44e8-9dc8-99b8c382853b" userProvider="AD" userName="Jeffrey Evans"/>
      </t:Event>
      <t:Event id="{A8C1EF84-CBF1-4B4C-9FF4-C555F9C27D71}" time="2021-01-27T03:25:21Z">
        <t:Attribution userId="S::marc.boisseau@cgc.gov.au::cd40be0c-02d0-4545-8924-843696930fac" userProvider="AD" userName="Marc Boisseau"/>
        <t:Anchor>
          <t:Comment id="569599463"/>
        </t:Anchor>
        <t:SetTitle title="@Jeffrey Evans @Dermot Doherty Please see Tony's commen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43D68F53E1BD4E9ECEBD00E85D966D" ma:contentTypeVersion="6" ma:contentTypeDescription="Create a new document." ma:contentTypeScope="" ma:versionID="71c6065bf8e40a47664c5aa93b8031da">
  <xsd:schema xmlns:xsd="http://www.w3.org/2001/XMLSchema" xmlns:xs="http://www.w3.org/2001/XMLSchema" xmlns:p="http://schemas.microsoft.com/office/2006/metadata/properties" xmlns:ns2="21a828ce-1c6d-4919-9a14-089f126d13b4" xmlns:ns3="2a8e6efc-e215-41f5-8ffc-7ca1f51f808a" targetNamespace="http://schemas.microsoft.com/office/2006/metadata/properties" ma:root="true" ma:fieldsID="87a0c277ab3b79337e00fe611ba969bf" ns2:_="" ns3:_="">
    <xsd:import namespace="21a828ce-1c6d-4919-9a14-089f126d13b4"/>
    <xsd:import namespace="2a8e6efc-e215-41f5-8ffc-7ca1f51f80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a828ce-1c6d-4919-9a14-089f126d13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8e6efc-e215-41f5-8ffc-7ca1f51f808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a8e6efc-e215-41f5-8ffc-7ca1f51f808a">
      <UserInfo>
        <DisplayName>Kathleen Morris</DisplayName>
        <AccountId>46</AccountId>
        <AccountType/>
      </UserInfo>
      <UserInfo>
        <DisplayName>Annie Abello</DisplayName>
        <AccountId>23</AccountId>
        <AccountType/>
      </UserInfo>
      <UserInfo>
        <DisplayName>Ben Crabb</DisplayName>
        <AccountId>17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A510A-BC9D-4AA7-99A0-0DBE94744A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a828ce-1c6d-4919-9a14-089f126d13b4"/>
    <ds:schemaRef ds:uri="2a8e6efc-e215-41f5-8ffc-7ca1f51f8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7247B9-DC7A-4931-A8B9-5A2D42499EB8}">
  <ds:schemaRefs>
    <ds:schemaRef ds:uri="http://schemas.microsoft.com/office/2006/metadata/properties"/>
    <ds:schemaRef ds:uri="http://schemas.microsoft.com/office/infopath/2007/PartnerControls"/>
    <ds:schemaRef ds:uri="2a8e6efc-e215-41f5-8ffc-7ca1f51f808a"/>
  </ds:schemaRefs>
</ds:datastoreItem>
</file>

<file path=customXml/itemProps3.xml><?xml version="1.0" encoding="utf-8"?>
<ds:datastoreItem xmlns:ds="http://schemas.openxmlformats.org/officeDocument/2006/customXml" ds:itemID="{147DC0BD-0046-43E8-A919-B750A1A34B2A}">
  <ds:schemaRefs>
    <ds:schemaRef ds:uri="http://schemas.microsoft.com/sharepoint/v3/contenttype/forms"/>
  </ds:schemaRefs>
</ds:datastoreItem>
</file>

<file path=customXml/itemProps4.xml><?xml version="1.0" encoding="utf-8"?>
<ds:datastoreItem xmlns:ds="http://schemas.openxmlformats.org/officeDocument/2006/customXml" ds:itemID="{55F3C216-B9BF-4B67-9C0D-5EF088290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25320</Words>
  <Characters>144330</Characters>
  <Application>Microsoft Office Word</Application>
  <DocSecurity>2</DocSecurity>
  <Lines>1202</Lines>
  <Paragraphs>338</Paragraphs>
  <ScaleCrop>false</ScaleCrop>
  <HeadingPairs>
    <vt:vector size="2" baseType="variant">
      <vt:variant>
        <vt:lpstr>Title</vt:lpstr>
      </vt:variant>
      <vt:variant>
        <vt:i4>1</vt:i4>
      </vt:variant>
    </vt:vector>
  </HeadingPairs>
  <TitlesOfParts>
    <vt:vector size="1" baseType="lpstr">
      <vt:lpstr>2021 Update report</vt:lpstr>
    </vt:vector>
  </TitlesOfParts>
  <Company/>
  <LinksUpToDate>false</LinksUpToDate>
  <CharactersWithSpaces>169312</CharactersWithSpaces>
  <SharedDoc>false</SharedDoc>
  <HLinks>
    <vt:vector size="444" baseType="variant">
      <vt:variant>
        <vt:i4>7602221</vt:i4>
      </vt:variant>
      <vt:variant>
        <vt:i4>654</vt:i4>
      </vt:variant>
      <vt:variant>
        <vt:i4>0</vt:i4>
      </vt:variant>
      <vt:variant>
        <vt:i4>5</vt:i4>
      </vt:variant>
      <vt:variant>
        <vt:lpwstr>http://www.cgc.gov.au/</vt:lpwstr>
      </vt:variant>
      <vt:variant>
        <vt:lpwstr/>
      </vt:variant>
      <vt:variant>
        <vt:i4>3473456</vt:i4>
      </vt:variant>
      <vt:variant>
        <vt:i4>651</vt:i4>
      </vt:variant>
      <vt:variant>
        <vt:i4>0</vt:i4>
      </vt:variant>
      <vt:variant>
        <vt:i4>5</vt:i4>
      </vt:variant>
      <vt:variant>
        <vt:lpwstr>https://www.cgc.gov.au/</vt:lpwstr>
      </vt:variant>
      <vt:variant>
        <vt:lpwstr/>
      </vt:variant>
      <vt:variant>
        <vt:i4>3473456</vt:i4>
      </vt:variant>
      <vt:variant>
        <vt:i4>648</vt:i4>
      </vt:variant>
      <vt:variant>
        <vt:i4>0</vt:i4>
      </vt:variant>
      <vt:variant>
        <vt:i4>5</vt:i4>
      </vt:variant>
      <vt:variant>
        <vt:lpwstr>https://www.cgc.gov.au/</vt:lpwstr>
      </vt:variant>
      <vt:variant>
        <vt:lpwstr/>
      </vt:variant>
      <vt:variant>
        <vt:i4>458840</vt:i4>
      </vt:variant>
      <vt:variant>
        <vt:i4>597</vt:i4>
      </vt:variant>
      <vt:variant>
        <vt:i4>0</vt:i4>
      </vt:variant>
      <vt:variant>
        <vt:i4>5</vt:i4>
      </vt:variant>
      <vt:variant>
        <vt:lpwstr>https://www.cgc.gov.au/inquiries/2021-update</vt:lpwstr>
      </vt:variant>
      <vt:variant>
        <vt:lpwstr/>
      </vt:variant>
      <vt:variant>
        <vt:i4>3473456</vt:i4>
      </vt:variant>
      <vt:variant>
        <vt:i4>537</vt:i4>
      </vt:variant>
      <vt:variant>
        <vt:i4>0</vt:i4>
      </vt:variant>
      <vt:variant>
        <vt:i4>5</vt:i4>
      </vt:variant>
      <vt:variant>
        <vt:lpwstr>https://www.cgc.gov.au/</vt:lpwstr>
      </vt:variant>
      <vt:variant>
        <vt:lpwstr/>
      </vt:variant>
      <vt:variant>
        <vt:i4>3473456</vt:i4>
      </vt:variant>
      <vt:variant>
        <vt:i4>435</vt:i4>
      </vt:variant>
      <vt:variant>
        <vt:i4>0</vt:i4>
      </vt:variant>
      <vt:variant>
        <vt:i4>5</vt:i4>
      </vt:variant>
      <vt:variant>
        <vt:lpwstr>https://www.cgc.gov.au/</vt:lpwstr>
      </vt:variant>
      <vt:variant>
        <vt:lpwstr/>
      </vt:variant>
      <vt:variant>
        <vt:i4>1507377</vt:i4>
      </vt:variant>
      <vt:variant>
        <vt:i4>389</vt:i4>
      </vt:variant>
      <vt:variant>
        <vt:i4>0</vt:i4>
      </vt:variant>
      <vt:variant>
        <vt:i4>5</vt:i4>
      </vt:variant>
      <vt:variant>
        <vt:lpwstr/>
      </vt:variant>
      <vt:variant>
        <vt:lpwstr>_Toc65050575</vt:lpwstr>
      </vt:variant>
      <vt:variant>
        <vt:i4>1441841</vt:i4>
      </vt:variant>
      <vt:variant>
        <vt:i4>383</vt:i4>
      </vt:variant>
      <vt:variant>
        <vt:i4>0</vt:i4>
      </vt:variant>
      <vt:variant>
        <vt:i4>5</vt:i4>
      </vt:variant>
      <vt:variant>
        <vt:lpwstr/>
      </vt:variant>
      <vt:variant>
        <vt:lpwstr>_Toc65050574</vt:lpwstr>
      </vt:variant>
      <vt:variant>
        <vt:i4>1114161</vt:i4>
      </vt:variant>
      <vt:variant>
        <vt:i4>377</vt:i4>
      </vt:variant>
      <vt:variant>
        <vt:i4>0</vt:i4>
      </vt:variant>
      <vt:variant>
        <vt:i4>5</vt:i4>
      </vt:variant>
      <vt:variant>
        <vt:lpwstr/>
      </vt:variant>
      <vt:variant>
        <vt:lpwstr>_Toc65050573</vt:lpwstr>
      </vt:variant>
      <vt:variant>
        <vt:i4>1048625</vt:i4>
      </vt:variant>
      <vt:variant>
        <vt:i4>371</vt:i4>
      </vt:variant>
      <vt:variant>
        <vt:i4>0</vt:i4>
      </vt:variant>
      <vt:variant>
        <vt:i4>5</vt:i4>
      </vt:variant>
      <vt:variant>
        <vt:lpwstr/>
      </vt:variant>
      <vt:variant>
        <vt:lpwstr>_Toc65050572</vt:lpwstr>
      </vt:variant>
      <vt:variant>
        <vt:i4>1245233</vt:i4>
      </vt:variant>
      <vt:variant>
        <vt:i4>365</vt:i4>
      </vt:variant>
      <vt:variant>
        <vt:i4>0</vt:i4>
      </vt:variant>
      <vt:variant>
        <vt:i4>5</vt:i4>
      </vt:variant>
      <vt:variant>
        <vt:lpwstr/>
      </vt:variant>
      <vt:variant>
        <vt:lpwstr>_Toc65050571</vt:lpwstr>
      </vt:variant>
      <vt:variant>
        <vt:i4>1179697</vt:i4>
      </vt:variant>
      <vt:variant>
        <vt:i4>359</vt:i4>
      </vt:variant>
      <vt:variant>
        <vt:i4>0</vt:i4>
      </vt:variant>
      <vt:variant>
        <vt:i4>5</vt:i4>
      </vt:variant>
      <vt:variant>
        <vt:lpwstr/>
      </vt:variant>
      <vt:variant>
        <vt:lpwstr>_Toc65050570</vt:lpwstr>
      </vt:variant>
      <vt:variant>
        <vt:i4>1769520</vt:i4>
      </vt:variant>
      <vt:variant>
        <vt:i4>353</vt:i4>
      </vt:variant>
      <vt:variant>
        <vt:i4>0</vt:i4>
      </vt:variant>
      <vt:variant>
        <vt:i4>5</vt:i4>
      </vt:variant>
      <vt:variant>
        <vt:lpwstr/>
      </vt:variant>
      <vt:variant>
        <vt:lpwstr>_Toc65050569</vt:lpwstr>
      </vt:variant>
      <vt:variant>
        <vt:i4>1703984</vt:i4>
      </vt:variant>
      <vt:variant>
        <vt:i4>347</vt:i4>
      </vt:variant>
      <vt:variant>
        <vt:i4>0</vt:i4>
      </vt:variant>
      <vt:variant>
        <vt:i4>5</vt:i4>
      </vt:variant>
      <vt:variant>
        <vt:lpwstr/>
      </vt:variant>
      <vt:variant>
        <vt:lpwstr>_Toc65050568</vt:lpwstr>
      </vt:variant>
      <vt:variant>
        <vt:i4>1376304</vt:i4>
      </vt:variant>
      <vt:variant>
        <vt:i4>341</vt:i4>
      </vt:variant>
      <vt:variant>
        <vt:i4>0</vt:i4>
      </vt:variant>
      <vt:variant>
        <vt:i4>5</vt:i4>
      </vt:variant>
      <vt:variant>
        <vt:lpwstr/>
      </vt:variant>
      <vt:variant>
        <vt:lpwstr>_Toc65050567</vt:lpwstr>
      </vt:variant>
      <vt:variant>
        <vt:i4>1310768</vt:i4>
      </vt:variant>
      <vt:variant>
        <vt:i4>335</vt:i4>
      </vt:variant>
      <vt:variant>
        <vt:i4>0</vt:i4>
      </vt:variant>
      <vt:variant>
        <vt:i4>5</vt:i4>
      </vt:variant>
      <vt:variant>
        <vt:lpwstr/>
      </vt:variant>
      <vt:variant>
        <vt:lpwstr>_Toc65050566</vt:lpwstr>
      </vt:variant>
      <vt:variant>
        <vt:i4>1507376</vt:i4>
      </vt:variant>
      <vt:variant>
        <vt:i4>329</vt:i4>
      </vt:variant>
      <vt:variant>
        <vt:i4>0</vt:i4>
      </vt:variant>
      <vt:variant>
        <vt:i4>5</vt:i4>
      </vt:variant>
      <vt:variant>
        <vt:lpwstr/>
      </vt:variant>
      <vt:variant>
        <vt:lpwstr>_Toc65050565</vt:lpwstr>
      </vt:variant>
      <vt:variant>
        <vt:i4>1441840</vt:i4>
      </vt:variant>
      <vt:variant>
        <vt:i4>323</vt:i4>
      </vt:variant>
      <vt:variant>
        <vt:i4>0</vt:i4>
      </vt:variant>
      <vt:variant>
        <vt:i4>5</vt:i4>
      </vt:variant>
      <vt:variant>
        <vt:lpwstr/>
      </vt:variant>
      <vt:variant>
        <vt:lpwstr>_Toc65050564</vt:lpwstr>
      </vt:variant>
      <vt:variant>
        <vt:i4>1114160</vt:i4>
      </vt:variant>
      <vt:variant>
        <vt:i4>317</vt:i4>
      </vt:variant>
      <vt:variant>
        <vt:i4>0</vt:i4>
      </vt:variant>
      <vt:variant>
        <vt:i4>5</vt:i4>
      </vt:variant>
      <vt:variant>
        <vt:lpwstr/>
      </vt:variant>
      <vt:variant>
        <vt:lpwstr>_Toc65050563</vt:lpwstr>
      </vt:variant>
      <vt:variant>
        <vt:i4>1048624</vt:i4>
      </vt:variant>
      <vt:variant>
        <vt:i4>311</vt:i4>
      </vt:variant>
      <vt:variant>
        <vt:i4>0</vt:i4>
      </vt:variant>
      <vt:variant>
        <vt:i4>5</vt:i4>
      </vt:variant>
      <vt:variant>
        <vt:lpwstr/>
      </vt:variant>
      <vt:variant>
        <vt:lpwstr>_Toc65050562</vt:lpwstr>
      </vt:variant>
      <vt:variant>
        <vt:i4>1245232</vt:i4>
      </vt:variant>
      <vt:variant>
        <vt:i4>305</vt:i4>
      </vt:variant>
      <vt:variant>
        <vt:i4>0</vt:i4>
      </vt:variant>
      <vt:variant>
        <vt:i4>5</vt:i4>
      </vt:variant>
      <vt:variant>
        <vt:lpwstr/>
      </vt:variant>
      <vt:variant>
        <vt:lpwstr>_Toc65050561</vt:lpwstr>
      </vt:variant>
      <vt:variant>
        <vt:i4>1179696</vt:i4>
      </vt:variant>
      <vt:variant>
        <vt:i4>299</vt:i4>
      </vt:variant>
      <vt:variant>
        <vt:i4>0</vt:i4>
      </vt:variant>
      <vt:variant>
        <vt:i4>5</vt:i4>
      </vt:variant>
      <vt:variant>
        <vt:lpwstr/>
      </vt:variant>
      <vt:variant>
        <vt:lpwstr>_Toc65050560</vt:lpwstr>
      </vt:variant>
      <vt:variant>
        <vt:i4>1769523</vt:i4>
      </vt:variant>
      <vt:variant>
        <vt:i4>293</vt:i4>
      </vt:variant>
      <vt:variant>
        <vt:i4>0</vt:i4>
      </vt:variant>
      <vt:variant>
        <vt:i4>5</vt:i4>
      </vt:variant>
      <vt:variant>
        <vt:lpwstr/>
      </vt:variant>
      <vt:variant>
        <vt:lpwstr>_Toc65050559</vt:lpwstr>
      </vt:variant>
      <vt:variant>
        <vt:i4>1703987</vt:i4>
      </vt:variant>
      <vt:variant>
        <vt:i4>287</vt:i4>
      </vt:variant>
      <vt:variant>
        <vt:i4>0</vt:i4>
      </vt:variant>
      <vt:variant>
        <vt:i4>5</vt:i4>
      </vt:variant>
      <vt:variant>
        <vt:lpwstr/>
      </vt:variant>
      <vt:variant>
        <vt:lpwstr>_Toc65050558</vt:lpwstr>
      </vt:variant>
      <vt:variant>
        <vt:i4>1376307</vt:i4>
      </vt:variant>
      <vt:variant>
        <vt:i4>281</vt:i4>
      </vt:variant>
      <vt:variant>
        <vt:i4>0</vt:i4>
      </vt:variant>
      <vt:variant>
        <vt:i4>5</vt:i4>
      </vt:variant>
      <vt:variant>
        <vt:lpwstr/>
      </vt:variant>
      <vt:variant>
        <vt:lpwstr>_Toc65050557</vt:lpwstr>
      </vt:variant>
      <vt:variant>
        <vt:i4>1310771</vt:i4>
      </vt:variant>
      <vt:variant>
        <vt:i4>275</vt:i4>
      </vt:variant>
      <vt:variant>
        <vt:i4>0</vt:i4>
      </vt:variant>
      <vt:variant>
        <vt:i4>5</vt:i4>
      </vt:variant>
      <vt:variant>
        <vt:lpwstr/>
      </vt:variant>
      <vt:variant>
        <vt:lpwstr>_Toc65050556</vt:lpwstr>
      </vt:variant>
      <vt:variant>
        <vt:i4>1507379</vt:i4>
      </vt:variant>
      <vt:variant>
        <vt:i4>269</vt:i4>
      </vt:variant>
      <vt:variant>
        <vt:i4>0</vt:i4>
      </vt:variant>
      <vt:variant>
        <vt:i4>5</vt:i4>
      </vt:variant>
      <vt:variant>
        <vt:lpwstr/>
      </vt:variant>
      <vt:variant>
        <vt:lpwstr>_Toc65050555</vt:lpwstr>
      </vt:variant>
      <vt:variant>
        <vt:i4>1441843</vt:i4>
      </vt:variant>
      <vt:variant>
        <vt:i4>263</vt:i4>
      </vt:variant>
      <vt:variant>
        <vt:i4>0</vt:i4>
      </vt:variant>
      <vt:variant>
        <vt:i4>5</vt:i4>
      </vt:variant>
      <vt:variant>
        <vt:lpwstr/>
      </vt:variant>
      <vt:variant>
        <vt:lpwstr>_Toc65050554</vt:lpwstr>
      </vt:variant>
      <vt:variant>
        <vt:i4>1114163</vt:i4>
      </vt:variant>
      <vt:variant>
        <vt:i4>257</vt:i4>
      </vt:variant>
      <vt:variant>
        <vt:i4>0</vt:i4>
      </vt:variant>
      <vt:variant>
        <vt:i4>5</vt:i4>
      </vt:variant>
      <vt:variant>
        <vt:lpwstr/>
      </vt:variant>
      <vt:variant>
        <vt:lpwstr>_Toc65050553</vt:lpwstr>
      </vt:variant>
      <vt:variant>
        <vt:i4>1048627</vt:i4>
      </vt:variant>
      <vt:variant>
        <vt:i4>251</vt:i4>
      </vt:variant>
      <vt:variant>
        <vt:i4>0</vt:i4>
      </vt:variant>
      <vt:variant>
        <vt:i4>5</vt:i4>
      </vt:variant>
      <vt:variant>
        <vt:lpwstr/>
      </vt:variant>
      <vt:variant>
        <vt:lpwstr>_Toc65050552</vt:lpwstr>
      </vt:variant>
      <vt:variant>
        <vt:i4>1245235</vt:i4>
      </vt:variant>
      <vt:variant>
        <vt:i4>245</vt:i4>
      </vt:variant>
      <vt:variant>
        <vt:i4>0</vt:i4>
      </vt:variant>
      <vt:variant>
        <vt:i4>5</vt:i4>
      </vt:variant>
      <vt:variant>
        <vt:lpwstr/>
      </vt:variant>
      <vt:variant>
        <vt:lpwstr>_Toc65050551</vt:lpwstr>
      </vt:variant>
      <vt:variant>
        <vt:i4>1179699</vt:i4>
      </vt:variant>
      <vt:variant>
        <vt:i4>239</vt:i4>
      </vt:variant>
      <vt:variant>
        <vt:i4>0</vt:i4>
      </vt:variant>
      <vt:variant>
        <vt:i4>5</vt:i4>
      </vt:variant>
      <vt:variant>
        <vt:lpwstr/>
      </vt:variant>
      <vt:variant>
        <vt:lpwstr>_Toc65050550</vt:lpwstr>
      </vt:variant>
      <vt:variant>
        <vt:i4>1769522</vt:i4>
      </vt:variant>
      <vt:variant>
        <vt:i4>233</vt:i4>
      </vt:variant>
      <vt:variant>
        <vt:i4>0</vt:i4>
      </vt:variant>
      <vt:variant>
        <vt:i4>5</vt:i4>
      </vt:variant>
      <vt:variant>
        <vt:lpwstr/>
      </vt:variant>
      <vt:variant>
        <vt:lpwstr>_Toc65050549</vt:lpwstr>
      </vt:variant>
      <vt:variant>
        <vt:i4>1703986</vt:i4>
      </vt:variant>
      <vt:variant>
        <vt:i4>227</vt:i4>
      </vt:variant>
      <vt:variant>
        <vt:i4>0</vt:i4>
      </vt:variant>
      <vt:variant>
        <vt:i4>5</vt:i4>
      </vt:variant>
      <vt:variant>
        <vt:lpwstr/>
      </vt:variant>
      <vt:variant>
        <vt:lpwstr>_Toc65050548</vt:lpwstr>
      </vt:variant>
      <vt:variant>
        <vt:i4>1376306</vt:i4>
      </vt:variant>
      <vt:variant>
        <vt:i4>221</vt:i4>
      </vt:variant>
      <vt:variant>
        <vt:i4>0</vt:i4>
      </vt:variant>
      <vt:variant>
        <vt:i4>5</vt:i4>
      </vt:variant>
      <vt:variant>
        <vt:lpwstr/>
      </vt:variant>
      <vt:variant>
        <vt:lpwstr>_Toc65050547</vt:lpwstr>
      </vt:variant>
      <vt:variant>
        <vt:i4>1310770</vt:i4>
      </vt:variant>
      <vt:variant>
        <vt:i4>215</vt:i4>
      </vt:variant>
      <vt:variant>
        <vt:i4>0</vt:i4>
      </vt:variant>
      <vt:variant>
        <vt:i4>5</vt:i4>
      </vt:variant>
      <vt:variant>
        <vt:lpwstr/>
      </vt:variant>
      <vt:variant>
        <vt:lpwstr>_Toc65050546</vt:lpwstr>
      </vt:variant>
      <vt:variant>
        <vt:i4>1507378</vt:i4>
      </vt:variant>
      <vt:variant>
        <vt:i4>209</vt:i4>
      </vt:variant>
      <vt:variant>
        <vt:i4>0</vt:i4>
      </vt:variant>
      <vt:variant>
        <vt:i4>5</vt:i4>
      </vt:variant>
      <vt:variant>
        <vt:lpwstr/>
      </vt:variant>
      <vt:variant>
        <vt:lpwstr>_Toc65050545</vt:lpwstr>
      </vt:variant>
      <vt:variant>
        <vt:i4>1441842</vt:i4>
      </vt:variant>
      <vt:variant>
        <vt:i4>203</vt:i4>
      </vt:variant>
      <vt:variant>
        <vt:i4>0</vt:i4>
      </vt:variant>
      <vt:variant>
        <vt:i4>5</vt:i4>
      </vt:variant>
      <vt:variant>
        <vt:lpwstr/>
      </vt:variant>
      <vt:variant>
        <vt:lpwstr>_Toc65050544</vt:lpwstr>
      </vt:variant>
      <vt:variant>
        <vt:i4>1114162</vt:i4>
      </vt:variant>
      <vt:variant>
        <vt:i4>197</vt:i4>
      </vt:variant>
      <vt:variant>
        <vt:i4>0</vt:i4>
      </vt:variant>
      <vt:variant>
        <vt:i4>5</vt:i4>
      </vt:variant>
      <vt:variant>
        <vt:lpwstr/>
      </vt:variant>
      <vt:variant>
        <vt:lpwstr>_Toc65050543</vt:lpwstr>
      </vt:variant>
      <vt:variant>
        <vt:i4>1048626</vt:i4>
      </vt:variant>
      <vt:variant>
        <vt:i4>191</vt:i4>
      </vt:variant>
      <vt:variant>
        <vt:i4>0</vt:i4>
      </vt:variant>
      <vt:variant>
        <vt:i4>5</vt:i4>
      </vt:variant>
      <vt:variant>
        <vt:lpwstr/>
      </vt:variant>
      <vt:variant>
        <vt:lpwstr>_Toc65050542</vt:lpwstr>
      </vt:variant>
      <vt:variant>
        <vt:i4>1245234</vt:i4>
      </vt:variant>
      <vt:variant>
        <vt:i4>185</vt:i4>
      </vt:variant>
      <vt:variant>
        <vt:i4>0</vt:i4>
      </vt:variant>
      <vt:variant>
        <vt:i4>5</vt:i4>
      </vt:variant>
      <vt:variant>
        <vt:lpwstr/>
      </vt:variant>
      <vt:variant>
        <vt:lpwstr>_Toc65050541</vt:lpwstr>
      </vt:variant>
      <vt:variant>
        <vt:i4>1179698</vt:i4>
      </vt:variant>
      <vt:variant>
        <vt:i4>179</vt:i4>
      </vt:variant>
      <vt:variant>
        <vt:i4>0</vt:i4>
      </vt:variant>
      <vt:variant>
        <vt:i4>5</vt:i4>
      </vt:variant>
      <vt:variant>
        <vt:lpwstr/>
      </vt:variant>
      <vt:variant>
        <vt:lpwstr>_Toc65050540</vt:lpwstr>
      </vt:variant>
      <vt:variant>
        <vt:i4>1769525</vt:i4>
      </vt:variant>
      <vt:variant>
        <vt:i4>173</vt:i4>
      </vt:variant>
      <vt:variant>
        <vt:i4>0</vt:i4>
      </vt:variant>
      <vt:variant>
        <vt:i4>5</vt:i4>
      </vt:variant>
      <vt:variant>
        <vt:lpwstr/>
      </vt:variant>
      <vt:variant>
        <vt:lpwstr>_Toc65050539</vt:lpwstr>
      </vt:variant>
      <vt:variant>
        <vt:i4>1703989</vt:i4>
      </vt:variant>
      <vt:variant>
        <vt:i4>167</vt:i4>
      </vt:variant>
      <vt:variant>
        <vt:i4>0</vt:i4>
      </vt:variant>
      <vt:variant>
        <vt:i4>5</vt:i4>
      </vt:variant>
      <vt:variant>
        <vt:lpwstr/>
      </vt:variant>
      <vt:variant>
        <vt:lpwstr>_Toc65050538</vt:lpwstr>
      </vt:variant>
      <vt:variant>
        <vt:i4>1376309</vt:i4>
      </vt:variant>
      <vt:variant>
        <vt:i4>161</vt:i4>
      </vt:variant>
      <vt:variant>
        <vt:i4>0</vt:i4>
      </vt:variant>
      <vt:variant>
        <vt:i4>5</vt:i4>
      </vt:variant>
      <vt:variant>
        <vt:lpwstr/>
      </vt:variant>
      <vt:variant>
        <vt:lpwstr>_Toc65050537</vt:lpwstr>
      </vt:variant>
      <vt:variant>
        <vt:i4>1310773</vt:i4>
      </vt:variant>
      <vt:variant>
        <vt:i4>155</vt:i4>
      </vt:variant>
      <vt:variant>
        <vt:i4>0</vt:i4>
      </vt:variant>
      <vt:variant>
        <vt:i4>5</vt:i4>
      </vt:variant>
      <vt:variant>
        <vt:lpwstr/>
      </vt:variant>
      <vt:variant>
        <vt:lpwstr>_Toc65050536</vt:lpwstr>
      </vt:variant>
      <vt:variant>
        <vt:i4>1507381</vt:i4>
      </vt:variant>
      <vt:variant>
        <vt:i4>149</vt:i4>
      </vt:variant>
      <vt:variant>
        <vt:i4>0</vt:i4>
      </vt:variant>
      <vt:variant>
        <vt:i4>5</vt:i4>
      </vt:variant>
      <vt:variant>
        <vt:lpwstr/>
      </vt:variant>
      <vt:variant>
        <vt:lpwstr>_Toc65050535</vt:lpwstr>
      </vt:variant>
      <vt:variant>
        <vt:i4>1441845</vt:i4>
      </vt:variant>
      <vt:variant>
        <vt:i4>143</vt:i4>
      </vt:variant>
      <vt:variant>
        <vt:i4>0</vt:i4>
      </vt:variant>
      <vt:variant>
        <vt:i4>5</vt:i4>
      </vt:variant>
      <vt:variant>
        <vt:lpwstr/>
      </vt:variant>
      <vt:variant>
        <vt:lpwstr>_Toc65050534</vt:lpwstr>
      </vt:variant>
      <vt:variant>
        <vt:i4>1114165</vt:i4>
      </vt:variant>
      <vt:variant>
        <vt:i4>137</vt:i4>
      </vt:variant>
      <vt:variant>
        <vt:i4>0</vt:i4>
      </vt:variant>
      <vt:variant>
        <vt:i4>5</vt:i4>
      </vt:variant>
      <vt:variant>
        <vt:lpwstr/>
      </vt:variant>
      <vt:variant>
        <vt:lpwstr>_Toc65050533</vt:lpwstr>
      </vt:variant>
      <vt:variant>
        <vt:i4>1048629</vt:i4>
      </vt:variant>
      <vt:variant>
        <vt:i4>131</vt:i4>
      </vt:variant>
      <vt:variant>
        <vt:i4>0</vt:i4>
      </vt:variant>
      <vt:variant>
        <vt:i4>5</vt:i4>
      </vt:variant>
      <vt:variant>
        <vt:lpwstr/>
      </vt:variant>
      <vt:variant>
        <vt:lpwstr>_Toc65050532</vt:lpwstr>
      </vt:variant>
      <vt:variant>
        <vt:i4>1245237</vt:i4>
      </vt:variant>
      <vt:variant>
        <vt:i4>125</vt:i4>
      </vt:variant>
      <vt:variant>
        <vt:i4>0</vt:i4>
      </vt:variant>
      <vt:variant>
        <vt:i4>5</vt:i4>
      </vt:variant>
      <vt:variant>
        <vt:lpwstr/>
      </vt:variant>
      <vt:variant>
        <vt:lpwstr>_Toc65050531</vt:lpwstr>
      </vt:variant>
      <vt:variant>
        <vt:i4>1179701</vt:i4>
      </vt:variant>
      <vt:variant>
        <vt:i4>119</vt:i4>
      </vt:variant>
      <vt:variant>
        <vt:i4>0</vt:i4>
      </vt:variant>
      <vt:variant>
        <vt:i4>5</vt:i4>
      </vt:variant>
      <vt:variant>
        <vt:lpwstr/>
      </vt:variant>
      <vt:variant>
        <vt:lpwstr>_Toc65050530</vt:lpwstr>
      </vt:variant>
      <vt:variant>
        <vt:i4>1769524</vt:i4>
      </vt:variant>
      <vt:variant>
        <vt:i4>113</vt:i4>
      </vt:variant>
      <vt:variant>
        <vt:i4>0</vt:i4>
      </vt:variant>
      <vt:variant>
        <vt:i4>5</vt:i4>
      </vt:variant>
      <vt:variant>
        <vt:lpwstr/>
      </vt:variant>
      <vt:variant>
        <vt:lpwstr>_Toc65050529</vt:lpwstr>
      </vt:variant>
      <vt:variant>
        <vt:i4>1703988</vt:i4>
      </vt:variant>
      <vt:variant>
        <vt:i4>107</vt:i4>
      </vt:variant>
      <vt:variant>
        <vt:i4>0</vt:i4>
      </vt:variant>
      <vt:variant>
        <vt:i4>5</vt:i4>
      </vt:variant>
      <vt:variant>
        <vt:lpwstr/>
      </vt:variant>
      <vt:variant>
        <vt:lpwstr>_Toc65050528</vt:lpwstr>
      </vt:variant>
      <vt:variant>
        <vt:i4>1376308</vt:i4>
      </vt:variant>
      <vt:variant>
        <vt:i4>101</vt:i4>
      </vt:variant>
      <vt:variant>
        <vt:i4>0</vt:i4>
      </vt:variant>
      <vt:variant>
        <vt:i4>5</vt:i4>
      </vt:variant>
      <vt:variant>
        <vt:lpwstr/>
      </vt:variant>
      <vt:variant>
        <vt:lpwstr>_Toc65050527</vt:lpwstr>
      </vt:variant>
      <vt:variant>
        <vt:i4>1310772</vt:i4>
      </vt:variant>
      <vt:variant>
        <vt:i4>95</vt:i4>
      </vt:variant>
      <vt:variant>
        <vt:i4>0</vt:i4>
      </vt:variant>
      <vt:variant>
        <vt:i4>5</vt:i4>
      </vt:variant>
      <vt:variant>
        <vt:lpwstr/>
      </vt:variant>
      <vt:variant>
        <vt:lpwstr>_Toc65050526</vt:lpwstr>
      </vt:variant>
      <vt:variant>
        <vt:i4>1507380</vt:i4>
      </vt:variant>
      <vt:variant>
        <vt:i4>89</vt:i4>
      </vt:variant>
      <vt:variant>
        <vt:i4>0</vt:i4>
      </vt:variant>
      <vt:variant>
        <vt:i4>5</vt:i4>
      </vt:variant>
      <vt:variant>
        <vt:lpwstr/>
      </vt:variant>
      <vt:variant>
        <vt:lpwstr>_Toc65050525</vt:lpwstr>
      </vt:variant>
      <vt:variant>
        <vt:i4>1441844</vt:i4>
      </vt:variant>
      <vt:variant>
        <vt:i4>83</vt:i4>
      </vt:variant>
      <vt:variant>
        <vt:i4>0</vt:i4>
      </vt:variant>
      <vt:variant>
        <vt:i4>5</vt:i4>
      </vt:variant>
      <vt:variant>
        <vt:lpwstr/>
      </vt:variant>
      <vt:variant>
        <vt:lpwstr>_Toc65050524</vt:lpwstr>
      </vt:variant>
      <vt:variant>
        <vt:i4>1114164</vt:i4>
      </vt:variant>
      <vt:variant>
        <vt:i4>77</vt:i4>
      </vt:variant>
      <vt:variant>
        <vt:i4>0</vt:i4>
      </vt:variant>
      <vt:variant>
        <vt:i4>5</vt:i4>
      </vt:variant>
      <vt:variant>
        <vt:lpwstr/>
      </vt:variant>
      <vt:variant>
        <vt:lpwstr>_Toc65050523</vt:lpwstr>
      </vt:variant>
      <vt:variant>
        <vt:i4>1048628</vt:i4>
      </vt:variant>
      <vt:variant>
        <vt:i4>71</vt:i4>
      </vt:variant>
      <vt:variant>
        <vt:i4>0</vt:i4>
      </vt:variant>
      <vt:variant>
        <vt:i4>5</vt:i4>
      </vt:variant>
      <vt:variant>
        <vt:lpwstr/>
      </vt:variant>
      <vt:variant>
        <vt:lpwstr>_Toc65050522</vt:lpwstr>
      </vt:variant>
      <vt:variant>
        <vt:i4>1245236</vt:i4>
      </vt:variant>
      <vt:variant>
        <vt:i4>65</vt:i4>
      </vt:variant>
      <vt:variant>
        <vt:i4>0</vt:i4>
      </vt:variant>
      <vt:variant>
        <vt:i4>5</vt:i4>
      </vt:variant>
      <vt:variant>
        <vt:lpwstr/>
      </vt:variant>
      <vt:variant>
        <vt:lpwstr>_Toc65050521</vt:lpwstr>
      </vt:variant>
      <vt:variant>
        <vt:i4>1179700</vt:i4>
      </vt:variant>
      <vt:variant>
        <vt:i4>59</vt:i4>
      </vt:variant>
      <vt:variant>
        <vt:i4>0</vt:i4>
      </vt:variant>
      <vt:variant>
        <vt:i4>5</vt:i4>
      </vt:variant>
      <vt:variant>
        <vt:lpwstr/>
      </vt:variant>
      <vt:variant>
        <vt:lpwstr>_Toc65050520</vt:lpwstr>
      </vt:variant>
      <vt:variant>
        <vt:i4>1769527</vt:i4>
      </vt:variant>
      <vt:variant>
        <vt:i4>53</vt:i4>
      </vt:variant>
      <vt:variant>
        <vt:i4>0</vt:i4>
      </vt:variant>
      <vt:variant>
        <vt:i4>5</vt:i4>
      </vt:variant>
      <vt:variant>
        <vt:lpwstr/>
      </vt:variant>
      <vt:variant>
        <vt:lpwstr>_Toc65050519</vt:lpwstr>
      </vt:variant>
      <vt:variant>
        <vt:i4>1703991</vt:i4>
      </vt:variant>
      <vt:variant>
        <vt:i4>47</vt:i4>
      </vt:variant>
      <vt:variant>
        <vt:i4>0</vt:i4>
      </vt:variant>
      <vt:variant>
        <vt:i4>5</vt:i4>
      </vt:variant>
      <vt:variant>
        <vt:lpwstr/>
      </vt:variant>
      <vt:variant>
        <vt:lpwstr>_Toc65050518</vt:lpwstr>
      </vt:variant>
      <vt:variant>
        <vt:i4>1376311</vt:i4>
      </vt:variant>
      <vt:variant>
        <vt:i4>41</vt:i4>
      </vt:variant>
      <vt:variant>
        <vt:i4>0</vt:i4>
      </vt:variant>
      <vt:variant>
        <vt:i4>5</vt:i4>
      </vt:variant>
      <vt:variant>
        <vt:lpwstr/>
      </vt:variant>
      <vt:variant>
        <vt:lpwstr>_Toc65050517</vt:lpwstr>
      </vt:variant>
      <vt:variant>
        <vt:i4>1310775</vt:i4>
      </vt:variant>
      <vt:variant>
        <vt:i4>35</vt:i4>
      </vt:variant>
      <vt:variant>
        <vt:i4>0</vt:i4>
      </vt:variant>
      <vt:variant>
        <vt:i4>5</vt:i4>
      </vt:variant>
      <vt:variant>
        <vt:lpwstr/>
      </vt:variant>
      <vt:variant>
        <vt:lpwstr>_Toc65050516</vt:lpwstr>
      </vt:variant>
      <vt:variant>
        <vt:i4>1507383</vt:i4>
      </vt:variant>
      <vt:variant>
        <vt:i4>29</vt:i4>
      </vt:variant>
      <vt:variant>
        <vt:i4>0</vt:i4>
      </vt:variant>
      <vt:variant>
        <vt:i4>5</vt:i4>
      </vt:variant>
      <vt:variant>
        <vt:lpwstr/>
      </vt:variant>
      <vt:variant>
        <vt:lpwstr>_Toc65050515</vt:lpwstr>
      </vt:variant>
      <vt:variant>
        <vt:i4>1441847</vt:i4>
      </vt:variant>
      <vt:variant>
        <vt:i4>23</vt:i4>
      </vt:variant>
      <vt:variant>
        <vt:i4>0</vt:i4>
      </vt:variant>
      <vt:variant>
        <vt:i4>5</vt:i4>
      </vt:variant>
      <vt:variant>
        <vt:lpwstr/>
      </vt:variant>
      <vt:variant>
        <vt:lpwstr>_Toc65050514</vt:lpwstr>
      </vt:variant>
      <vt:variant>
        <vt:i4>1114167</vt:i4>
      </vt:variant>
      <vt:variant>
        <vt:i4>17</vt:i4>
      </vt:variant>
      <vt:variant>
        <vt:i4>0</vt:i4>
      </vt:variant>
      <vt:variant>
        <vt:i4>5</vt:i4>
      </vt:variant>
      <vt:variant>
        <vt:lpwstr/>
      </vt:variant>
      <vt:variant>
        <vt:lpwstr>_Toc65050513</vt:lpwstr>
      </vt:variant>
      <vt:variant>
        <vt:i4>7602221</vt:i4>
      </vt:variant>
      <vt:variant>
        <vt:i4>12</vt:i4>
      </vt:variant>
      <vt:variant>
        <vt:i4>0</vt:i4>
      </vt:variant>
      <vt:variant>
        <vt:i4>5</vt:i4>
      </vt:variant>
      <vt:variant>
        <vt:lpwstr>http://www.cgc.gov.au/</vt:lpwstr>
      </vt:variant>
      <vt:variant>
        <vt:lpwstr/>
      </vt:variant>
      <vt:variant>
        <vt:i4>8323091</vt:i4>
      </vt:variant>
      <vt:variant>
        <vt:i4>9</vt:i4>
      </vt:variant>
      <vt:variant>
        <vt:i4>0</vt:i4>
      </vt:variant>
      <vt:variant>
        <vt:i4>5</vt:i4>
      </vt:variant>
      <vt:variant>
        <vt:lpwstr>mailto:secretary@cgc.gov.au</vt:lpwstr>
      </vt:variant>
      <vt:variant>
        <vt:lpwstr/>
      </vt:variant>
      <vt:variant>
        <vt:i4>5439552</vt:i4>
      </vt:variant>
      <vt:variant>
        <vt:i4>6</vt:i4>
      </vt:variant>
      <vt:variant>
        <vt:i4>0</vt:i4>
      </vt:variant>
      <vt:variant>
        <vt:i4>5</vt:i4>
      </vt:variant>
      <vt:variant>
        <vt:lpwstr>https://www.pmc.gov.au/government/commonwealth-coat-arms/</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Update report</dc:title>
  <dc:subject/>
  <dc:creator>Marc Boisseau</dc:creator>
  <cp:keywords/>
  <dc:description/>
  <cp:lastModifiedBy>Deborah Fleming</cp:lastModifiedBy>
  <cp:revision>3</cp:revision>
  <cp:lastPrinted>2021-03-02T03:14:00Z</cp:lastPrinted>
  <dcterms:created xsi:type="dcterms:W3CDTF">2021-03-02T03:14:00Z</dcterms:created>
  <dcterms:modified xsi:type="dcterms:W3CDTF">2021-03-02T03:14:00Z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0x0101001043D68F53E1BD4E9ECEBD00E85D966D</vt:lpwstr>
  </property>
</Properties>
</file>