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81D" w:rsidRDefault="00E335C3" w:rsidP="00E335C3">
      <w:pPr>
        <w:pStyle w:val="Heading2"/>
      </w:pPr>
      <w:bookmarkStart w:id="0" w:name="_GoBack"/>
      <w:bookmarkEnd w:id="0"/>
      <w:r>
        <w:t>Appropriately assessing the Indigenous population</w:t>
      </w:r>
    </w:p>
    <w:p w:rsidR="00DA1ACC" w:rsidRDefault="00693131" w:rsidP="00322DBB">
      <w:pPr>
        <w:pStyle w:val="CGCNumberedPara"/>
      </w:pPr>
      <w:r>
        <w:t xml:space="preserve">Thanks for the submissions on priority issues, in particular the comments on how we should </w:t>
      </w:r>
      <w:r w:rsidR="00DA1ACC" w:rsidRPr="00310701">
        <w:t xml:space="preserve">develop methods to appropriately capture the changing characteristics of the </w:t>
      </w:r>
      <w:r w:rsidR="00DA1ACC">
        <w:t xml:space="preserve">Indigenous </w:t>
      </w:r>
      <w:r w:rsidR="00DA1ACC" w:rsidRPr="00310701">
        <w:t>population</w:t>
      </w:r>
    </w:p>
    <w:p w:rsidR="00322DBB" w:rsidRPr="00095F99" w:rsidRDefault="00322DBB" w:rsidP="00322DBB">
      <w:pPr>
        <w:pStyle w:val="CGCNumberedPara"/>
      </w:pPr>
      <w:r>
        <w:t xml:space="preserve">We have previously engaged with you on this issue, most significantly through </w:t>
      </w:r>
      <w:r w:rsidRPr="0047784C">
        <w:rPr>
          <w:i/>
        </w:rPr>
        <w:t>CGC 2012-04 Relative Indigenous Disadvantage</w:t>
      </w:r>
      <w:r w:rsidR="00095F99">
        <w:rPr>
          <w:i/>
        </w:rPr>
        <w:t xml:space="preserve">. </w:t>
      </w:r>
      <w:r w:rsidR="00095F99" w:rsidRPr="00095F99">
        <w:t>This</w:t>
      </w:r>
      <w:r w:rsidR="00095F99">
        <w:rPr>
          <w:i/>
        </w:rPr>
        <w:t xml:space="preserve"> </w:t>
      </w:r>
      <w:r w:rsidR="00095F99">
        <w:t>focused on the possibility of using one of three broad approaches. This has been framework for consideration by most States.</w:t>
      </w:r>
    </w:p>
    <w:p w:rsidR="00322DBB" w:rsidRDefault="00322DBB" w:rsidP="00322DBB">
      <w:pPr>
        <w:pStyle w:val="Heading3"/>
      </w:pPr>
      <w:bookmarkStart w:id="1" w:name="_Toc363477233"/>
      <w:r>
        <w:t>State views</w:t>
      </w:r>
    </w:p>
    <w:p w:rsidR="00322DBB" w:rsidRPr="00BB5A33" w:rsidRDefault="00322DBB" w:rsidP="00322DBB">
      <w:pPr>
        <w:pStyle w:val="Heading4"/>
      </w:pPr>
      <w:bookmarkStart w:id="2" w:name="_Toc363477235"/>
      <w:bookmarkEnd w:id="1"/>
      <w:r>
        <w:t>A proxy of residual disadvantage</w:t>
      </w:r>
      <w:bookmarkEnd w:id="2"/>
    </w:p>
    <w:p w:rsidR="00322DBB" w:rsidRPr="007E7E30" w:rsidRDefault="00322DBB" w:rsidP="00322DBB">
      <w:pPr>
        <w:pStyle w:val="CGCNumberedPara"/>
        <w:numPr>
          <w:ilvl w:val="1"/>
          <w:numId w:val="3"/>
        </w:numPr>
        <w:rPr>
          <w:szCs w:val="20"/>
        </w:rPr>
      </w:pPr>
      <w:r>
        <w:t xml:space="preserve">In CGC 2012-04, we examined a wide range of potential indicators for this approach. </w:t>
      </w:r>
      <w:r w:rsidR="00E54AF9">
        <w:t>N</w:t>
      </w:r>
      <w:r>
        <w:t xml:space="preserve">o State supported this approach. </w:t>
      </w:r>
    </w:p>
    <w:p w:rsidR="00322DBB" w:rsidRDefault="00322DBB" w:rsidP="00322DBB">
      <w:pPr>
        <w:pStyle w:val="CGCNumberedPara"/>
        <w:numPr>
          <w:ilvl w:val="1"/>
          <w:numId w:val="3"/>
        </w:numPr>
        <w:rPr>
          <w:szCs w:val="20"/>
        </w:rPr>
      </w:pPr>
      <w:r>
        <w:rPr>
          <w:szCs w:val="20"/>
        </w:rPr>
        <w:t xml:space="preserve">Victoria, Queensland and Tasmania most clearly articulated their concerns. They consider it would be virtually impossible to devise a measure which is </w:t>
      </w:r>
      <w:r w:rsidR="00E54AF9">
        <w:rPr>
          <w:szCs w:val="20"/>
        </w:rPr>
        <w:t xml:space="preserve">demonstrably </w:t>
      </w:r>
      <w:r>
        <w:rPr>
          <w:szCs w:val="20"/>
        </w:rPr>
        <w:t>policy neutral. They were also very concerned that even if Indigenous people in one State had a high level of disability in one very narrow area (say</w:t>
      </w:r>
      <w:r w:rsidR="00E54AF9">
        <w:rPr>
          <w:szCs w:val="20"/>
        </w:rPr>
        <w:t>,</w:t>
      </w:r>
      <w:r>
        <w:rPr>
          <w:szCs w:val="20"/>
        </w:rPr>
        <w:t xml:space="preserve"> low birth weight babies), it would be very problematic to extrapolate this and assume that Indigenous people in that State would also have a high level of disability in other broader areas</w:t>
      </w:r>
      <w:r w:rsidR="00E54AF9">
        <w:rPr>
          <w:szCs w:val="20"/>
        </w:rPr>
        <w:t xml:space="preserve"> (say, total health expenditure)</w:t>
      </w:r>
      <w:r>
        <w:rPr>
          <w:szCs w:val="20"/>
        </w:rPr>
        <w:t xml:space="preserve">. </w:t>
      </w:r>
    </w:p>
    <w:p w:rsidR="00E54AF9" w:rsidRDefault="00E54AF9" w:rsidP="00E54AF9">
      <w:pPr>
        <w:pStyle w:val="Heading4"/>
      </w:pPr>
      <w:bookmarkStart w:id="3" w:name="_Toc363477234"/>
      <w:r>
        <w:t>Individual measures</w:t>
      </w:r>
    </w:p>
    <w:p w:rsidR="00E54AF9" w:rsidRDefault="00E54AF9" w:rsidP="00E54AF9">
      <w:pPr>
        <w:pStyle w:val="CGCNumberedPara"/>
        <w:numPr>
          <w:ilvl w:val="1"/>
          <w:numId w:val="3"/>
        </w:numPr>
      </w:pPr>
      <w:r>
        <w:t xml:space="preserve">Victoria and the ACT are concerned that producing </w:t>
      </w:r>
      <w:r w:rsidR="00095F99">
        <w:t xml:space="preserve">even finer </w:t>
      </w:r>
      <w:r>
        <w:t>level</w:t>
      </w:r>
      <w:r w:rsidR="00095F99">
        <w:t>s of</w:t>
      </w:r>
      <w:r>
        <w:t xml:space="preserve"> disaggregation of a very small population group </w:t>
      </w:r>
      <w:r w:rsidR="00095F99">
        <w:t xml:space="preserve">would </w:t>
      </w:r>
      <w:r>
        <w:t xml:space="preserve">lead to greater complexity. They consider that an approach based on datasets that cannot reliably support such disaggregation </w:t>
      </w:r>
      <w:r w:rsidR="00095F99">
        <w:t xml:space="preserve">could lead </w:t>
      </w:r>
      <w:r>
        <w:t xml:space="preserve">to a false sense of precision and </w:t>
      </w:r>
      <w:r w:rsidR="00095F99">
        <w:t xml:space="preserve">would </w:t>
      </w:r>
      <w:r>
        <w:t>not necessarily improve HFE outcomes.</w:t>
      </w:r>
    </w:p>
    <w:p w:rsidR="00E54AF9" w:rsidRDefault="00E54AF9" w:rsidP="00E54AF9">
      <w:pPr>
        <w:pStyle w:val="CGCNumberedPara"/>
        <w:numPr>
          <w:ilvl w:val="1"/>
          <w:numId w:val="3"/>
        </w:numPr>
      </w:pPr>
      <w:r>
        <w:t xml:space="preserve">The Northern Territory considers that this approach may help us to understand the changes in Indigenous identification, but does not </w:t>
      </w:r>
      <w:r w:rsidR="00095F99">
        <w:t xml:space="preserve">say how </w:t>
      </w:r>
      <w:r>
        <w:t xml:space="preserve">this approach </w:t>
      </w:r>
      <w:r w:rsidR="00095F99">
        <w:t xml:space="preserve">could </w:t>
      </w:r>
      <w:r>
        <w:t xml:space="preserve">help us to develop improved assessments. </w:t>
      </w:r>
    </w:p>
    <w:p w:rsidR="00E54AF9" w:rsidRDefault="00E54AF9" w:rsidP="00E54AF9">
      <w:pPr>
        <w:pStyle w:val="CGCNumberedPara"/>
        <w:numPr>
          <w:ilvl w:val="1"/>
          <w:numId w:val="3"/>
        </w:numPr>
      </w:pPr>
      <w:r>
        <w:t>No State has advocate</w:t>
      </w:r>
      <w:r w:rsidR="00095F99">
        <w:t>d this as an approach to meet</w:t>
      </w:r>
      <w:r>
        <w:t xml:space="preserve"> the requirements of the terms of reference. </w:t>
      </w:r>
    </w:p>
    <w:p w:rsidR="00322DBB" w:rsidRPr="007E7E30" w:rsidRDefault="00322DBB" w:rsidP="00322DBB">
      <w:pPr>
        <w:pStyle w:val="Heading4"/>
      </w:pPr>
      <w:r>
        <w:lastRenderedPageBreak/>
        <w:t>Area based measures</w:t>
      </w:r>
      <w:bookmarkEnd w:id="3"/>
    </w:p>
    <w:p w:rsidR="00322DBB" w:rsidRDefault="00322DBB" w:rsidP="00322DBB">
      <w:pPr>
        <w:pStyle w:val="CGCNumberedPara"/>
        <w:numPr>
          <w:ilvl w:val="1"/>
          <w:numId w:val="3"/>
        </w:numPr>
      </w:pPr>
      <w:r>
        <w:t xml:space="preserve">Western Australia is strongly of the view that an Indigenous specific SEIFA type index is the most appropriate way of improving the Indigenous assessment. Queensland also supports examining the possible use of these </w:t>
      </w:r>
      <w:proofErr w:type="gramStart"/>
      <w:r>
        <w:t>type</w:t>
      </w:r>
      <w:proofErr w:type="gramEnd"/>
      <w:r>
        <w:t xml:space="preserve"> of measures. South Australia and the Northern Territory also expressly support area based measures, although not necessarily a SEIFA type index</w:t>
      </w:r>
      <w:r>
        <w:rPr>
          <w:rStyle w:val="FootnoteReference"/>
        </w:rPr>
        <w:footnoteReference w:id="1"/>
      </w:r>
      <w:r>
        <w:t xml:space="preserve">. </w:t>
      </w:r>
    </w:p>
    <w:p w:rsidR="00322DBB" w:rsidRDefault="00322DBB" w:rsidP="00322DBB">
      <w:pPr>
        <w:pStyle w:val="Heading3"/>
      </w:pPr>
      <w:r>
        <w:t xml:space="preserve">CGC </w:t>
      </w:r>
      <w:r w:rsidR="00095F99">
        <w:t xml:space="preserve">staff </w:t>
      </w:r>
      <w:r>
        <w:t>response</w:t>
      </w:r>
    </w:p>
    <w:p w:rsidR="00E34077" w:rsidRDefault="00E335C3" w:rsidP="00E34077">
      <w:pPr>
        <w:pStyle w:val="CGCNumberedPara"/>
      </w:pPr>
      <w:r>
        <w:t xml:space="preserve">We </w:t>
      </w:r>
      <w:r w:rsidR="00095F99">
        <w:t xml:space="preserve">accept </w:t>
      </w:r>
      <w:r>
        <w:t xml:space="preserve">the universal State view that a proxy of residual disadvantage is not a workable solution. We consider that an individual measure approach has drawbacks, but have not yet ruled out that approach. </w:t>
      </w:r>
      <w:r w:rsidR="00E34077">
        <w:t xml:space="preserve">On the basis of State responses, we consider that the approach most likely to produce a </w:t>
      </w:r>
      <w:r w:rsidR="00E54AF9">
        <w:t xml:space="preserve">reliable and </w:t>
      </w:r>
      <w:r w:rsidR="00E34077">
        <w:t xml:space="preserve">acceptable method </w:t>
      </w:r>
      <w:r w:rsidR="00E34077" w:rsidRPr="00310701">
        <w:t xml:space="preserve">to appropriately capture the changing characteristics of the </w:t>
      </w:r>
      <w:r w:rsidR="00E34077">
        <w:t xml:space="preserve">Indigenous </w:t>
      </w:r>
      <w:r w:rsidR="00E34077" w:rsidRPr="00310701">
        <w:t>population</w:t>
      </w:r>
      <w:r w:rsidR="00E34077">
        <w:t xml:space="preserve"> is an area based measure, specifically some form of Indigenous specific SEIFA type index, along the lines recommended by Western Australia. </w:t>
      </w:r>
    </w:p>
    <w:p w:rsidR="00E34077" w:rsidRDefault="00E34077" w:rsidP="00E34077">
      <w:pPr>
        <w:pStyle w:val="CGCNumberedPara"/>
      </w:pPr>
      <w:r>
        <w:t xml:space="preserve">One </w:t>
      </w:r>
      <w:r w:rsidR="00E335C3">
        <w:t xml:space="preserve">possible area based </w:t>
      </w:r>
      <w:r>
        <w:t xml:space="preserve">measure is that developed by the Centre for Aboriginal Economic Policy Research (CAEPR) at the ANU called the Indigenous </w:t>
      </w:r>
      <w:r w:rsidR="005704B7">
        <w:t xml:space="preserve">Relative </w:t>
      </w:r>
      <w:r>
        <w:t>Socio-economic outcomes (IR</w:t>
      </w:r>
      <w:r w:rsidR="005704B7">
        <w:t>SE</w:t>
      </w:r>
      <w:r>
        <w:t>O)</w:t>
      </w:r>
      <w:r w:rsidR="005704B7">
        <w:t xml:space="preserve"> Index</w:t>
      </w:r>
      <w:r>
        <w:t xml:space="preserve">. </w:t>
      </w:r>
    </w:p>
    <w:p w:rsidR="00E34077" w:rsidRDefault="00E34077" w:rsidP="00E34077">
      <w:pPr>
        <w:pStyle w:val="Heading4"/>
      </w:pPr>
      <w:r>
        <w:t xml:space="preserve">How would an Indigenous specific SEIFA </w:t>
      </w:r>
      <w:r w:rsidRPr="00310701">
        <w:t xml:space="preserve">appropriately capture the changing characteristics of the </w:t>
      </w:r>
      <w:r>
        <w:t xml:space="preserve">Indigenous </w:t>
      </w:r>
      <w:r w:rsidRPr="00310701">
        <w:t>population</w:t>
      </w:r>
      <w:r>
        <w:t>?</w:t>
      </w:r>
    </w:p>
    <w:p w:rsidR="00E34077" w:rsidRDefault="00E34077" w:rsidP="00E34077">
      <w:pPr>
        <w:pStyle w:val="CGCNumberedPara"/>
        <w:numPr>
          <w:ilvl w:val="1"/>
          <w:numId w:val="3"/>
        </w:numPr>
      </w:pPr>
      <w:r>
        <w:t xml:space="preserve">There are socio-economic differences between the Indigenous populations in different States. In the 2010 </w:t>
      </w:r>
      <w:r w:rsidR="00095F99">
        <w:t>R</w:t>
      </w:r>
      <w:r>
        <w:t xml:space="preserve">eview, we used SEIFA to capture these differences. </w:t>
      </w:r>
    </w:p>
    <w:p w:rsidR="00E54AF9" w:rsidRDefault="00E34077" w:rsidP="00E34077">
      <w:pPr>
        <w:pStyle w:val="CGCNumberedPara"/>
        <w:numPr>
          <w:ilvl w:val="1"/>
          <w:numId w:val="3"/>
        </w:numPr>
      </w:pPr>
      <w:r>
        <w:t xml:space="preserve">In </w:t>
      </w:r>
      <w:r w:rsidRPr="00E54AF9">
        <w:rPr>
          <w:i/>
        </w:rPr>
        <w:t xml:space="preserve">CGC 2012-03 </w:t>
      </w:r>
      <w:proofErr w:type="gramStart"/>
      <w:r w:rsidRPr="00E54AF9">
        <w:rPr>
          <w:i/>
        </w:rPr>
        <w:t>Measuring</w:t>
      </w:r>
      <w:proofErr w:type="gramEnd"/>
      <w:r w:rsidRPr="00E54AF9">
        <w:rPr>
          <w:i/>
        </w:rPr>
        <w:t xml:space="preserve"> socioeconomic status</w:t>
      </w:r>
      <w:r>
        <w:t>, we considered whether SEIFA was an appropriate measure of socio</w:t>
      </w:r>
      <w:r>
        <w:noBreakHyphen/>
        <w:t>economic status of Indigenous people. We concluded that SEIFA measured socio-economic status for Indigenous people because low SES Indigenous people tend to live in low SEIFA areas, while higher SES Indigenous people tend to live in areas with higher SEIFA scores</w:t>
      </w:r>
      <w:r w:rsidR="00095F99">
        <w:t xml:space="preserve">. This is shown </w:t>
      </w:r>
      <w:r w:rsidR="00E54AF9">
        <w:t xml:space="preserve">in </w:t>
      </w:r>
      <w:r w:rsidR="00E54AF9">
        <w:fldChar w:fldCharType="begin"/>
      </w:r>
      <w:r w:rsidR="00E54AF9">
        <w:instrText xml:space="preserve"> REF _Ref274055026 \h </w:instrText>
      </w:r>
      <w:r w:rsidR="00E54AF9">
        <w:fldChar w:fldCharType="separate"/>
      </w:r>
      <w:r w:rsidR="005B3760">
        <w:t xml:space="preserve">Figure </w:t>
      </w:r>
      <w:r w:rsidR="005B3760">
        <w:rPr>
          <w:noProof/>
        </w:rPr>
        <w:t>1</w:t>
      </w:r>
      <w:r w:rsidR="00E54AF9">
        <w:fldChar w:fldCharType="end"/>
      </w:r>
      <w:r>
        <w:t>.</w:t>
      </w:r>
    </w:p>
    <w:p w:rsidR="00E34077" w:rsidRDefault="00E34077" w:rsidP="00E34077">
      <w:pPr>
        <w:pStyle w:val="CGCNumberedPara"/>
        <w:numPr>
          <w:ilvl w:val="1"/>
          <w:numId w:val="3"/>
        </w:numPr>
      </w:pPr>
      <w:r>
        <w:t>Within a region, low SES Indigenous people will tend to live in lower SES areas than high SES Indigenous people. However, this does not mean that in different States comparable Indigenous people would live in comparable areas.</w:t>
      </w:r>
      <w:r w:rsidR="003C68E5">
        <w:t xml:space="preserve"> </w:t>
      </w:r>
    </w:p>
    <w:p w:rsidR="00E34077" w:rsidRDefault="009C65DA" w:rsidP="00E34077">
      <w:pPr>
        <w:pStyle w:val="CGCNumberedPara"/>
        <w:numPr>
          <w:ilvl w:val="1"/>
          <w:numId w:val="3"/>
        </w:numPr>
      </w:pPr>
      <w:r>
        <w:fldChar w:fldCharType="begin"/>
      </w:r>
      <w:r>
        <w:instrText xml:space="preserve"> REF _Ref274055026 \h </w:instrText>
      </w:r>
      <w:r>
        <w:fldChar w:fldCharType="separate"/>
      </w:r>
      <w:r w:rsidR="005B3760">
        <w:t xml:space="preserve">Figure </w:t>
      </w:r>
      <w:r w:rsidR="005B3760">
        <w:rPr>
          <w:noProof/>
        </w:rPr>
        <w:t>1</w:t>
      </w:r>
      <w:r>
        <w:fldChar w:fldCharType="end"/>
      </w:r>
      <w:r>
        <w:t xml:space="preserve"> also suggests that </w:t>
      </w:r>
      <w:r w:rsidR="00E34077">
        <w:t xml:space="preserve">Indigenous people in Tasmania are considerably less disadvantaged than Indigenous people in an area of Western Australia with a similar SEIFA score. For example, Devonport (Tasmania) and Narrogin (Western Australia) </w:t>
      </w:r>
      <w:r w:rsidR="00E34077">
        <w:lastRenderedPageBreak/>
        <w:t>have SEIFA rankings of around 40 (40% of areas have lower SEIFA scores) but Devonport is among the least disadvantaged Indigenous communities (73% of areas have lower Indigenous relative socio</w:t>
      </w:r>
      <w:r w:rsidR="00E34077">
        <w:noBreakHyphen/>
        <w:t xml:space="preserve">economic outcomes (IRSEO)), while only 23% of Indigenous communities have a lower IRSEO than Narrogin. </w:t>
      </w:r>
    </w:p>
    <w:p w:rsidR="00E34077" w:rsidRDefault="00E34077" w:rsidP="00E34077">
      <w:pPr>
        <w:pStyle w:val="CGCTableHeading"/>
      </w:pPr>
      <w:bookmarkStart w:id="4" w:name="_Ref274055026"/>
      <w:r>
        <w:t xml:space="preserve">Figure </w:t>
      </w:r>
      <w:r w:rsidR="00D902C0">
        <w:fldChar w:fldCharType="begin"/>
      </w:r>
      <w:r w:rsidR="00D902C0">
        <w:instrText xml:space="preserve"> SEQ Figure \* ARABIC </w:instrText>
      </w:r>
      <w:r w:rsidR="00D902C0">
        <w:fldChar w:fldCharType="separate"/>
      </w:r>
      <w:r w:rsidR="005B3760">
        <w:rPr>
          <w:noProof/>
        </w:rPr>
        <w:t>1</w:t>
      </w:r>
      <w:r w:rsidR="00D902C0">
        <w:rPr>
          <w:noProof/>
        </w:rPr>
        <w:fldChar w:fldCharType="end"/>
      </w:r>
      <w:bookmarkEnd w:id="4"/>
      <w:r>
        <w:tab/>
        <w:t>Indigenous socioeconomic rank by SEIFA rank, Indigenous areas, 2006</w:t>
      </w:r>
    </w:p>
    <w:p w:rsidR="00E34077" w:rsidRPr="00A83480" w:rsidRDefault="00E34077" w:rsidP="00E34077">
      <w:pPr>
        <w:pStyle w:val="CGCTableHeading"/>
      </w:pPr>
      <w:r w:rsidRPr="006D11F8">
        <w:rPr>
          <w:noProof/>
          <w:lang w:eastAsia="en-AU"/>
        </w:rPr>
        <w:drawing>
          <wp:inline distT="0" distB="0" distL="0" distR="0" wp14:anchorId="0C662FDA" wp14:editId="474686BA">
            <wp:extent cx="5683885" cy="35628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83885" cy="3562894"/>
                    </a:xfrm>
                    <a:prstGeom prst="rect">
                      <a:avLst/>
                    </a:prstGeom>
                    <a:noFill/>
                    <a:ln>
                      <a:noFill/>
                    </a:ln>
                  </pic:spPr>
                </pic:pic>
              </a:graphicData>
            </a:graphic>
          </wp:inline>
        </w:drawing>
      </w:r>
    </w:p>
    <w:p w:rsidR="00E34077" w:rsidRDefault="00E34077" w:rsidP="00E34077">
      <w:pPr>
        <w:pStyle w:val="CGCTableFootnote"/>
      </w:pPr>
      <w:r>
        <w:t>Source:</w:t>
      </w:r>
      <w:r>
        <w:tab/>
        <w:t xml:space="preserve">Biddle, N. (2009), </w:t>
      </w:r>
      <w:r w:rsidRPr="00B61881">
        <w:t>Ranking Regions: Revising an Index for Relative Indigenous Socioeconomic Outcomes</w:t>
      </w:r>
      <w:r>
        <w:t>, CAEPR Working paper No. 50/2009</w:t>
      </w:r>
    </w:p>
    <w:p w:rsidR="00E34077" w:rsidRPr="00E34077" w:rsidRDefault="003C68E5" w:rsidP="00E34077">
      <w:pPr>
        <w:pStyle w:val="CGCNumberedPara"/>
      </w:pPr>
      <w:r>
        <w:t xml:space="preserve">This </w:t>
      </w:r>
      <w:r w:rsidR="009C65DA">
        <w:t xml:space="preserve">supports </w:t>
      </w:r>
      <w:r>
        <w:t xml:space="preserve">the conclusion that we </w:t>
      </w:r>
      <w:r w:rsidR="009C65DA">
        <w:t xml:space="preserve">reached </w:t>
      </w:r>
      <w:r>
        <w:t xml:space="preserve">in CGC 2012-04, that </w:t>
      </w:r>
      <w:r w:rsidR="0079345A">
        <w:t xml:space="preserve">disaggregating using IRSEO might lead to a more comparable measurement of Indigenous disadvantage across States than </w:t>
      </w:r>
      <w:r>
        <w:t xml:space="preserve">disaggregating the Indigenous population into high and low SES using SEIFA. </w:t>
      </w:r>
    </w:p>
    <w:p w:rsidR="00E34077" w:rsidRDefault="003C68E5" w:rsidP="00E34077">
      <w:pPr>
        <w:pStyle w:val="Heading4"/>
      </w:pPr>
      <w:r>
        <w:t>Policy neutrality</w:t>
      </w:r>
    </w:p>
    <w:p w:rsidR="00322DBB" w:rsidRDefault="00322DBB" w:rsidP="00322DBB">
      <w:pPr>
        <w:pStyle w:val="CGCNumberedPara"/>
        <w:numPr>
          <w:ilvl w:val="1"/>
          <w:numId w:val="3"/>
        </w:numPr>
      </w:pPr>
      <w:r>
        <w:t xml:space="preserve">In </w:t>
      </w:r>
      <w:r w:rsidRPr="0047784C">
        <w:rPr>
          <w:i/>
        </w:rPr>
        <w:t>CGC 2012-04</w:t>
      </w:r>
      <w:r>
        <w:rPr>
          <w:i/>
        </w:rPr>
        <w:t xml:space="preserve"> </w:t>
      </w:r>
      <w:r w:rsidRPr="00322DBB">
        <w:t>we stated</w:t>
      </w:r>
      <w:r>
        <w:rPr>
          <w:i/>
        </w:rPr>
        <w:t xml:space="preserve"> </w:t>
      </w:r>
      <w:r>
        <w:t>that ‘</w:t>
      </w:r>
      <w:proofErr w:type="gramStart"/>
      <w:r w:rsidRPr="00382B7A">
        <w:t>Of</w:t>
      </w:r>
      <w:proofErr w:type="gramEnd"/>
      <w:r w:rsidRPr="00382B7A">
        <w:t xml:space="preserve"> the area-based measures we have considered, IRISO best addresses the issue of differences in </w:t>
      </w:r>
      <w:r>
        <w:t xml:space="preserve">[socioeconomic status] </w:t>
      </w:r>
      <w:r w:rsidRPr="00382B7A">
        <w:t xml:space="preserve">between States. However, </w:t>
      </w:r>
      <w:r>
        <w:t xml:space="preserve">using this geographical classification leads to </w:t>
      </w:r>
      <w:r w:rsidRPr="00382B7A">
        <w:t xml:space="preserve">the prospect of policy contamination. </w:t>
      </w:r>
      <w:r>
        <w:t>With 68% of the Indigenous population in the bottom IRISO quintile living in the Northern Territory, t</w:t>
      </w:r>
      <w:r w:rsidRPr="00382B7A">
        <w:t xml:space="preserve">he Northern Territory policies on expenditure on Indigenous people would have a major influence on the GST allocated to </w:t>
      </w:r>
      <w:r>
        <w:t>it</w:t>
      </w:r>
      <w:r w:rsidRPr="00382B7A">
        <w:t>.</w:t>
      </w:r>
      <w:r>
        <w:t>’</w:t>
      </w:r>
      <w:r w:rsidRPr="00382B7A">
        <w:t xml:space="preserve"> </w:t>
      </w:r>
      <w:r>
        <w:t xml:space="preserve">A couple of States responded to this in their recent submissions. </w:t>
      </w:r>
    </w:p>
    <w:p w:rsidR="00322DBB" w:rsidRDefault="00322DBB" w:rsidP="00322DBB">
      <w:pPr>
        <w:pStyle w:val="CGCNumberedPara"/>
        <w:numPr>
          <w:ilvl w:val="1"/>
          <w:numId w:val="3"/>
        </w:numPr>
      </w:pPr>
      <w:r>
        <w:t xml:space="preserve">We have since discovered that our 68% estimate was </w:t>
      </w:r>
      <w:r w:rsidR="009C65DA">
        <w:t xml:space="preserve">an </w:t>
      </w:r>
      <w:r>
        <w:t>erro</w:t>
      </w:r>
      <w:r w:rsidR="009C65DA">
        <w:t>neous interpretation</w:t>
      </w:r>
      <w:r>
        <w:t xml:space="preserve">. </w:t>
      </w:r>
      <w:r w:rsidR="009C65DA">
        <w:t xml:space="preserve">As </w:t>
      </w:r>
      <w:r w:rsidR="009C65DA">
        <w:fldChar w:fldCharType="begin"/>
      </w:r>
      <w:r w:rsidR="009C65DA">
        <w:instrText xml:space="preserve"> REF _Ref363216433 \h </w:instrText>
      </w:r>
      <w:r w:rsidR="009C65DA">
        <w:fldChar w:fldCharType="separate"/>
      </w:r>
      <w:r w:rsidR="005B3760">
        <w:t xml:space="preserve">Table </w:t>
      </w:r>
      <w:r w:rsidR="005B3760">
        <w:rPr>
          <w:noProof/>
        </w:rPr>
        <w:t>1</w:t>
      </w:r>
      <w:r w:rsidR="009C65DA">
        <w:fldChar w:fldCharType="end"/>
      </w:r>
      <w:r w:rsidR="009C65DA">
        <w:t xml:space="preserve"> shows, </w:t>
      </w:r>
      <w:r>
        <w:t xml:space="preserve">68% of Indigenous people in the Northern Territory were in the most </w:t>
      </w:r>
      <w:r>
        <w:lastRenderedPageBreak/>
        <w:t xml:space="preserve">disadvantaged quintile, </w:t>
      </w:r>
      <w:r w:rsidR="004B1516">
        <w:t>b</w:t>
      </w:r>
      <w:r>
        <w:t>ut only 42% of the most disadvantaged Indigenous nationally are from the Northern Territory</w:t>
      </w:r>
      <w:r w:rsidR="009C65DA">
        <w:t>, 58% live elsewhere</w:t>
      </w:r>
      <w:r w:rsidR="004B1516">
        <w:t>.</w:t>
      </w:r>
      <w:r>
        <w:t xml:space="preserve"> </w:t>
      </w:r>
      <w:r w:rsidR="004B1516">
        <w:t>This reinterpretation has alleviated</w:t>
      </w:r>
      <w:r w:rsidR="0079345A">
        <w:t>, but not removed,</w:t>
      </w:r>
      <w:r w:rsidR="004B1516">
        <w:t xml:space="preserve"> our concern</w:t>
      </w:r>
      <w:r w:rsidR="0079345A">
        <w:t>s</w:t>
      </w:r>
      <w:r w:rsidR="004B1516">
        <w:t xml:space="preserve"> about </w:t>
      </w:r>
      <w:r>
        <w:t>policy contamination</w:t>
      </w:r>
      <w:r w:rsidR="003C68E5">
        <w:t xml:space="preserve">. </w:t>
      </w:r>
      <w:r>
        <w:t xml:space="preserve"> </w:t>
      </w:r>
    </w:p>
    <w:p w:rsidR="00322DBB" w:rsidRDefault="00322DBB" w:rsidP="00322DBB">
      <w:pPr>
        <w:pStyle w:val="Caption"/>
      </w:pPr>
      <w:bookmarkStart w:id="5" w:name="_Ref363216433"/>
      <w:r>
        <w:t xml:space="preserve">Table </w:t>
      </w:r>
      <w:r w:rsidR="00D902C0">
        <w:fldChar w:fldCharType="begin"/>
      </w:r>
      <w:r w:rsidR="00D902C0">
        <w:instrText xml:space="preserve"> SEQ Table \* </w:instrText>
      </w:r>
      <w:r w:rsidR="00D902C0">
        <w:instrText xml:space="preserve">ARABIC </w:instrText>
      </w:r>
      <w:r w:rsidR="00D902C0">
        <w:fldChar w:fldCharType="separate"/>
      </w:r>
      <w:r w:rsidR="005B3760">
        <w:rPr>
          <w:noProof/>
        </w:rPr>
        <w:t>1</w:t>
      </w:r>
      <w:r w:rsidR="00D902C0">
        <w:rPr>
          <w:noProof/>
        </w:rPr>
        <w:fldChar w:fldCharType="end"/>
      </w:r>
      <w:bookmarkEnd w:id="5"/>
      <w:r>
        <w:tab/>
        <w:t>State shares of Indigenous population by IRSEO quintile, 2011</w:t>
      </w:r>
    </w:p>
    <w:tbl>
      <w:tblPr>
        <w:tblW w:w="0" w:type="auto"/>
        <w:tblLayout w:type="fixed"/>
        <w:tblCellMar>
          <w:left w:w="0" w:type="dxa"/>
          <w:right w:w="0" w:type="dxa"/>
        </w:tblCellMar>
        <w:tblLook w:val="0000" w:firstRow="0" w:lastRow="0" w:firstColumn="0" w:lastColumn="0" w:noHBand="0" w:noVBand="0"/>
      </w:tblPr>
      <w:tblGrid>
        <w:gridCol w:w="2357"/>
        <w:gridCol w:w="379"/>
        <w:gridCol w:w="775"/>
        <w:gridCol w:w="775"/>
        <w:gridCol w:w="776"/>
        <w:gridCol w:w="775"/>
        <w:gridCol w:w="775"/>
        <w:gridCol w:w="775"/>
        <w:gridCol w:w="775"/>
        <w:gridCol w:w="776"/>
      </w:tblGrid>
      <w:tr w:rsidR="00322DBB" w:rsidRPr="00F16FFF" w:rsidTr="003C68E5">
        <w:trPr>
          <w:trHeight w:val="312"/>
        </w:trPr>
        <w:tc>
          <w:tcPr>
            <w:tcW w:w="2357" w:type="dxa"/>
            <w:tcBorders>
              <w:top w:val="single" w:sz="6" w:space="0" w:color="auto"/>
              <w:left w:val="nil"/>
              <w:bottom w:val="single" w:sz="6" w:space="0" w:color="auto"/>
              <w:right w:val="nil"/>
            </w:tcBorders>
            <w:vAlign w:val="center"/>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p>
        </w:tc>
        <w:tc>
          <w:tcPr>
            <w:tcW w:w="379" w:type="dxa"/>
            <w:tcBorders>
              <w:top w:val="single" w:sz="6" w:space="0" w:color="auto"/>
              <w:left w:val="nil"/>
              <w:bottom w:val="single" w:sz="6" w:space="0" w:color="auto"/>
              <w:right w:val="nil"/>
            </w:tcBorders>
            <w:vAlign w:val="center"/>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NSW</w:t>
            </w:r>
          </w:p>
        </w:tc>
        <w:tc>
          <w:tcPr>
            <w:tcW w:w="775" w:type="dxa"/>
            <w:tcBorders>
              <w:top w:val="single" w:sz="6" w:space="0" w:color="auto"/>
              <w:left w:val="nil"/>
              <w:bottom w:val="single" w:sz="6" w:space="0" w:color="auto"/>
              <w:right w:val="nil"/>
            </w:tcBorders>
            <w:vAlign w:val="center"/>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Vic</w:t>
            </w:r>
          </w:p>
        </w:tc>
        <w:tc>
          <w:tcPr>
            <w:tcW w:w="775" w:type="dxa"/>
            <w:tcBorders>
              <w:top w:val="single" w:sz="6" w:space="0" w:color="auto"/>
              <w:left w:val="nil"/>
              <w:bottom w:val="single" w:sz="6" w:space="0" w:color="auto"/>
              <w:right w:val="nil"/>
            </w:tcBorders>
            <w:vAlign w:val="center"/>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Qld</w:t>
            </w:r>
          </w:p>
        </w:tc>
        <w:tc>
          <w:tcPr>
            <w:tcW w:w="776" w:type="dxa"/>
            <w:tcBorders>
              <w:top w:val="single" w:sz="6" w:space="0" w:color="auto"/>
              <w:left w:val="nil"/>
              <w:bottom w:val="single" w:sz="6" w:space="0" w:color="auto"/>
              <w:right w:val="nil"/>
            </w:tcBorders>
            <w:vAlign w:val="center"/>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WA</w:t>
            </w:r>
          </w:p>
        </w:tc>
        <w:tc>
          <w:tcPr>
            <w:tcW w:w="775" w:type="dxa"/>
            <w:tcBorders>
              <w:top w:val="single" w:sz="6" w:space="0" w:color="auto"/>
              <w:left w:val="nil"/>
              <w:bottom w:val="single" w:sz="6" w:space="0" w:color="auto"/>
              <w:right w:val="nil"/>
            </w:tcBorders>
            <w:vAlign w:val="center"/>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SA</w:t>
            </w:r>
          </w:p>
        </w:tc>
        <w:tc>
          <w:tcPr>
            <w:tcW w:w="775" w:type="dxa"/>
            <w:tcBorders>
              <w:top w:val="single" w:sz="6" w:space="0" w:color="auto"/>
              <w:left w:val="nil"/>
              <w:bottom w:val="single" w:sz="6" w:space="0" w:color="auto"/>
              <w:right w:val="nil"/>
            </w:tcBorders>
            <w:vAlign w:val="center"/>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proofErr w:type="spellStart"/>
            <w:r w:rsidRPr="00F16FFF">
              <w:rPr>
                <w:rFonts w:ascii="Calibri" w:hAnsi="Calibri" w:cs="Calibri"/>
                <w:color w:val="000000"/>
                <w:sz w:val="18"/>
                <w:szCs w:val="18"/>
              </w:rPr>
              <w:t>Tas</w:t>
            </w:r>
            <w:proofErr w:type="spellEnd"/>
          </w:p>
        </w:tc>
        <w:tc>
          <w:tcPr>
            <w:tcW w:w="775" w:type="dxa"/>
            <w:tcBorders>
              <w:top w:val="single" w:sz="6" w:space="0" w:color="auto"/>
              <w:left w:val="nil"/>
              <w:bottom w:val="single" w:sz="6" w:space="0" w:color="auto"/>
              <w:right w:val="nil"/>
            </w:tcBorders>
            <w:vAlign w:val="center"/>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ACT</w:t>
            </w:r>
          </w:p>
        </w:tc>
        <w:tc>
          <w:tcPr>
            <w:tcW w:w="775" w:type="dxa"/>
            <w:tcBorders>
              <w:top w:val="single" w:sz="6" w:space="0" w:color="auto"/>
              <w:left w:val="nil"/>
              <w:bottom w:val="single" w:sz="6" w:space="0" w:color="auto"/>
              <w:right w:val="nil"/>
            </w:tcBorders>
            <w:vAlign w:val="center"/>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NT</w:t>
            </w:r>
          </w:p>
        </w:tc>
        <w:tc>
          <w:tcPr>
            <w:tcW w:w="776" w:type="dxa"/>
            <w:tcBorders>
              <w:top w:val="single" w:sz="6" w:space="0" w:color="auto"/>
              <w:left w:val="nil"/>
              <w:bottom w:val="single" w:sz="6" w:space="0" w:color="auto"/>
              <w:right w:val="nil"/>
            </w:tcBorders>
            <w:vAlign w:val="center"/>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Total</w:t>
            </w:r>
          </w:p>
        </w:tc>
      </w:tr>
      <w:tr w:rsidR="00322DBB" w:rsidRPr="00F16FFF" w:rsidTr="003C68E5">
        <w:trPr>
          <w:trHeight w:val="254"/>
        </w:trPr>
        <w:tc>
          <w:tcPr>
            <w:tcW w:w="2357" w:type="dxa"/>
            <w:tcBorders>
              <w:top w:val="single" w:sz="6" w:space="0" w:color="auto"/>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p>
        </w:tc>
        <w:tc>
          <w:tcPr>
            <w:tcW w:w="379" w:type="dxa"/>
            <w:tcBorders>
              <w:top w:val="single" w:sz="6" w:space="0" w:color="auto"/>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w:t>
            </w:r>
          </w:p>
        </w:tc>
        <w:tc>
          <w:tcPr>
            <w:tcW w:w="775" w:type="dxa"/>
            <w:tcBorders>
              <w:top w:val="single" w:sz="6" w:space="0" w:color="auto"/>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w:t>
            </w:r>
          </w:p>
        </w:tc>
        <w:tc>
          <w:tcPr>
            <w:tcW w:w="775" w:type="dxa"/>
            <w:tcBorders>
              <w:top w:val="single" w:sz="6" w:space="0" w:color="auto"/>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w:t>
            </w:r>
          </w:p>
        </w:tc>
        <w:tc>
          <w:tcPr>
            <w:tcW w:w="776" w:type="dxa"/>
            <w:tcBorders>
              <w:top w:val="single" w:sz="6" w:space="0" w:color="auto"/>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w:t>
            </w:r>
          </w:p>
        </w:tc>
        <w:tc>
          <w:tcPr>
            <w:tcW w:w="775" w:type="dxa"/>
            <w:tcBorders>
              <w:top w:val="single" w:sz="6" w:space="0" w:color="auto"/>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w:t>
            </w:r>
          </w:p>
        </w:tc>
        <w:tc>
          <w:tcPr>
            <w:tcW w:w="775" w:type="dxa"/>
            <w:tcBorders>
              <w:top w:val="single" w:sz="6" w:space="0" w:color="auto"/>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w:t>
            </w:r>
          </w:p>
        </w:tc>
        <w:tc>
          <w:tcPr>
            <w:tcW w:w="775" w:type="dxa"/>
            <w:tcBorders>
              <w:top w:val="single" w:sz="6" w:space="0" w:color="auto"/>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w:t>
            </w:r>
          </w:p>
        </w:tc>
        <w:tc>
          <w:tcPr>
            <w:tcW w:w="775" w:type="dxa"/>
            <w:tcBorders>
              <w:top w:val="single" w:sz="6" w:space="0" w:color="auto"/>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w:t>
            </w:r>
          </w:p>
        </w:tc>
        <w:tc>
          <w:tcPr>
            <w:tcW w:w="776" w:type="dxa"/>
            <w:tcBorders>
              <w:top w:val="single" w:sz="6" w:space="0" w:color="auto"/>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w:t>
            </w:r>
          </w:p>
        </w:tc>
      </w:tr>
      <w:tr w:rsidR="00322DBB" w:rsidRPr="00F16FFF" w:rsidTr="003C68E5">
        <w:trPr>
          <w:trHeight w:val="312"/>
        </w:trPr>
        <w:tc>
          <w:tcPr>
            <w:tcW w:w="2357"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rPr>
                <w:rFonts w:ascii="Calibri" w:hAnsi="Calibri" w:cs="Calibri"/>
                <w:color w:val="000000"/>
                <w:sz w:val="18"/>
                <w:szCs w:val="18"/>
              </w:rPr>
            </w:pPr>
            <w:r w:rsidRPr="00F16FFF">
              <w:rPr>
                <w:rFonts w:ascii="Calibri" w:hAnsi="Calibri" w:cs="Calibri"/>
                <w:color w:val="000000"/>
                <w:sz w:val="18"/>
                <w:szCs w:val="18"/>
              </w:rPr>
              <w:t>Least disadvantaged</w:t>
            </w:r>
          </w:p>
        </w:tc>
        <w:tc>
          <w:tcPr>
            <w:tcW w:w="379"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23</w:t>
            </w:r>
          </w:p>
        </w:tc>
        <w:tc>
          <w:tcPr>
            <w:tcW w:w="775"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16</w:t>
            </w:r>
          </w:p>
        </w:tc>
        <w:tc>
          <w:tcPr>
            <w:tcW w:w="775"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39</w:t>
            </w:r>
          </w:p>
        </w:tc>
        <w:tc>
          <w:tcPr>
            <w:tcW w:w="776"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1</w:t>
            </w:r>
          </w:p>
        </w:tc>
        <w:tc>
          <w:tcPr>
            <w:tcW w:w="775"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4</w:t>
            </w:r>
          </w:p>
        </w:tc>
        <w:tc>
          <w:tcPr>
            <w:tcW w:w="775"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10</w:t>
            </w:r>
          </w:p>
        </w:tc>
        <w:tc>
          <w:tcPr>
            <w:tcW w:w="775"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5</w:t>
            </w:r>
          </w:p>
        </w:tc>
        <w:tc>
          <w:tcPr>
            <w:tcW w:w="775"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3</w:t>
            </w:r>
          </w:p>
        </w:tc>
        <w:tc>
          <w:tcPr>
            <w:tcW w:w="776"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100</w:t>
            </w:r>
          </w:p>
        </w:tc>
      </w:tr>
      <w:tr w:rsidR="00322DBB" w:rsidRPr="00F16FFF" w:rsidTr="003C68E5">
        <w:trPr>
          <w:trHeight w:val="312"/>
        </w:trPr>
        <w:tc>
          <w:tcPr>
            <w:tcW w:w="2357"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rPr>
                <w:rFonts w:ascii="Calibri" w:hAnsi="Calibri" w:cs="Calibri"/>
                <w:color w:val="000000"/>
                <w:sz w:val="18"/>
                <w:szCs w:val="18"/>
              </w:rPr>
            </w:pPr>
            <w:r w:rsidRPr="00F16FFF">
              <w:rPr>
                <w:rFonts w:ascii="Calibri" w:hAnsi="Calibri" w:cs="Calibri"/>
                <w:color w:val="000000"/>
                <w:sz w:val="18"/>
                <w:szCs w:val="18"/>
              </w:rPr>
              <w:t>2nd least disadvantaged</w:t>
            </w:r>
          </w:p>
        </w:tc>
        <w:tc>
          <w:tcPr>
            <w:tcW w:w="379"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46</w:t>
            </w:r>
          </w:p>
        </w:tc>
        <w:tc>
          <w:tcPr>
            <w:tcW w:w="775"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6</w:t>
            </w:r>
          </w:p>
        </w:tc>
        <w:tc>
          <w:tcPr>
            <w:tcW w:w="775"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25</w:t>
            </w:r>
          </w:p>
        </w:tc>
        <w:tc>
          <w:tcPr>
            <w:tcW w:w="776"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7</w:t>
            </w:r>
          </w:p>
        </w:tc>
        <w:tc>
          <w:tcPr>
            <w:tcW w:w="775"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6</w:t>
            </w:r>
          </w:p>
        </w:tc>
        <w:tc>
          <w:tcPr>
            <w:tcW w:w="775"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7</w:t>
            </w:r>
          </w:p>
        </w:tc>
        <w:tc>
          <w:tcPr>
            <w:tcW w:w="775"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0</w:t>
            </w:r>
          </w:p>
        </w:tc>
        <w:tc>
          <w:tcPr>
            <w:tcW w:w="775"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3</w:t>
            </w:r>
          </w:p>
        </w:tc>
        <w:tc>
          <w:tcPr>
            <w:tcW w:w="776"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100</w:t>
            </w:r>
          </w:p>
        </w:tc>
      </w:tr>
      <w:tr w:rsidR="00322DBB" w:rsidRPr="00F16FFF" w:rsidTr="003C68E5">
        <w:trPr>
          <w:trHeight w:val="312"/>
        </w:trPr>
        <w:tc>
          <w:tcPr>
            <w:tcW w:w="2357"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rPr>
                <w:rFonts w:ascii="Calibri" w:hAnsi="Calibri" w:cs="Calibri"/>
                <w:color w:val="000000"/>
                <w:sz w:val="18"/>
                <w:szCs w:val="18"/>
              </w:rPr>
            </w:pPr>
            <w:r w:rsidRPr="00F16FFF">
              <w:rPr>
                <w:rFonts w:ascii="Calibri" w:hAnsi="Calibri" w:cs="Calibri"/>
                <w:color w:val="000000"/>
                <w:sz w:val="18"/>
                <w:szCs w:val="18"/>
              </w:rPr>
              <w:t>Middle quintile</w:t>
            </w:r>
          </w:p>
        </w:tc>
        <w:tc>
          <w:tcPr>
            <w:tcW w:w="379"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35</w:t>
            </w:r>
          </w:p>
        </w:tc>
        <w:tc>
          <w:tcPr>
            <w:tcW w:w="775"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6</w:t>
            </w:r>
          </w:p>
        </w:tc>
        <w:tc>
          <w:tcPr>
            <w:tcW w:w="775"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30</w:t>
            </w:r>
          </w:p>
        </w:tc>
        <w:tc>
          <w:tcPr>
            <w:tcW w:w="776"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16</w:t>
            </w:r>
          </w:p>
        </w:tc>
        <w:tc>
          <w:tcPr>
            <w:tcW w:w="775"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5</w:t>
            </w:r>
          </w:p>
        </w:tc>
        <w:tc>
          <w:tcPr>
            <w:tcW w:w="775"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2</w:t>
            </w:r>
          </w:p>
        </w:tc>
        <w:tc>
          <w:tcPr>
            <w:tcW w:w="775"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0</w:t>
            </w:r>
          </w:p>
        </w:tc>
        <w:tc>
          <w:tcPr>
            <w:tcW w:w="775"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5</w:t>
            </w:r>
          </w:p>
        </w:tc>
        <w:tc>
          <w:tcPr>
            <w:tcW w:w="776"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100</w:t>
            </w:r>
          </w:p>
        </w:tc>
      </w:tr>
      <w:tr w:rsidR="00322DBB" w:rsidRPr="00F16FFF" w:rsidTr="003C68E5">
        <w:trPr>
          <w:trHeight w:val="312"/>
        </w:trPr>
        <w:tc>
          <w:tcPr>
            <w:tcW w:w="2357"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rPr>
                <w:rFonts w:ascii="Calibri" w:hAnsi="Calibri" w:cs="Calibri"/>
                <w:color w:val="000000"/>
                <w:sz w:val="18"/>
                <w:szCs w:val="18"/>
              </w:rPr>
            </w:pPr>
            <w:r w:rsidRPr="00F16FFF">
              <w:rPr>
                <w:rFonts w:ascii="Calibri" w:hAnsi="Calibri" w:cs="Calibri"/>
                <w:color w:val="000000"/>
                <w:sz w:val="18"/>
                <w:szCs w:val="18"/>
              </w:rPr>
              <w:t>2nd most disadvantaged</w:t>
            </w:r>
          </w:p>
        </w:tc>
        <w:tc>
          <w:tcPr>
            <w:tcW w:w="379"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35</w:t>
            </w:r>
          </w:p>
        </w:tc>
        <w:tc>
          <w:tcPr>
            <w:tcW w:w="775"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5</w:t>
            </w:r>
          </w:p>
        </w:tc>
        <w:tc>
          <w:tcPr>
            <w:tcW w:w="775"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29</w:t>
            </w:r>
          </w:p>
        </w:tc>
        <w:tc>
          <w:tcPr>
            <w:tcW w:w="776"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19</w:t>
            </w:r>
          </w:p>
        </w:tc>
        <w:tc>
          <w:tcPr>
            <w:tcW w:w="775"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6</w:t>
            </w:r>
          </w:p>
        </w:tc>
        <w:tc>
          <w:tcPr>
            <w:tcW w:w="775"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1</w:t>
            </w:r>
          </w:p>
        </w:tc>
        <w:tc>
          <w:tcPr>
            <w:tcW w:w="775"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0</w:t>
            </w:r>
          </w:p>
        </w:tc>
        <w:tc>
          <w:tcPr>
            <w:tcW w:w="775"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4</w:t>
            </w:r>
          </w:p>
        </w:tc>
        <w:tc>
          <w:tcPr>
            <w:tcW w:w="776"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100</w:t>
            </w:r>
          </w:p>
        </w:tc>
      </w:tr>
      <w:tr w:rsidR="00322DBB" w:rsidRPr="00F16FFF" w:rsidTr="003C68E5">
        <w:trPr>
          <w:trHeight w:val="312"/>
        </w:trPr>
        <w:tc>
          <w:tcPr>
            <w:tcW w:w="2357"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rPr>
                <w:rFonts w:ascii="Calibri" w:hAnsi="Calibri" w:cs="Calibri"/>
                <w:color w:val="000000"/>
                <w:sz w:val="18"/>
                <w:szCs w:val="18"/>
              </w:rPr>
            </w:pPr>
            <w:r w:rsidRPr="00F16FFF">
              <w:rPr>
                <w:rFonts w:ascii="Calibri" w:hAnsi="Calibri" w:cs="Calibri"/>
                <w:color w:val="000000"/>
                <w:sz w:val="18"/>
                <w:szCs w:val="18"/>
              </w:rPr>
              <w:t>Most disadvantaged</w:t>
            </w:r>
          </w:p>
        </w:tc>
        <w:tc>
          <w:tcPr>
            <w:tcW w:w="379"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16</w:t>
            </w:r>
          </w:p>
        </w:tc>
        <w:tc>
          <w:tcPr>
            <w:tcW w:w="775"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0</w:t>
            </w:r>
          </w:p>
        </w:tc>
        <w:tc>
          <w:tcPr>
            <w:tcW w:w="775"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18</w:t>
            </w:r>
          </w:p>
        </w:tc>
        <w:tc>
          <w:tcPr>
            <w:tcW w:w="776"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17</w:t>
            </w:r>
          </w:p>
        </w:tc>
        <w:tc>
          <w:tcPr>
            <w:tcW w:w="775"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7</w:t>
            </w:r>
          </w:p>
        </w:tc>
        <w:tc>
          <w:tcPr>
            <w:tcW w:w="775"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0</w:t>
            </w:r>
          </w:p>
        </w:tc>
        <w:tc>
          <w:tcPr>
            <w:tcW w:w="775"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0</w:t>
            </w:r>
          </w:p>
        </w:tc>
        <w:tc>
          <w:tcPr>
            <w:tcW w:w="775"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42</w:t>
            </w:r>
          </w:p>
        </w:tc>
        <w:tc>
          <w:tcPr>
            <w:tcW w:w="776" w:type="dxa"/>
            <w:tcBorders>
              <w:top w:val="nil"/>
              <w:left w:val="nil"/>
              <w:bottom w:val="nil"/>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100</w:t>
            </w:r>
          </w:p>
        </w:tc>
      </w:tr>
      <w:tr w:rsidR="00322DBB" w:rsidRPr="00F16FFF" w:rsidTr="003C68E5">
        <w:trPr>
          <w:trHeight w:val="312"/>
        </w:trPr>
        <w:tc>
          <w:tcPr>
            <w:tcW w:w="2357" w:type="dxa"/>
            <w:tcBorders>
              <w:top w:val="nil"/>
              <w:left w:val="nil"/>
              <w:bottom w:val="single" w:sz="6" w:space="0" w:color="auto"/>
              <w:right w:val="nil"/>
            </w:tcBorders>
          </w:tcPr>
          <w:p w:rsidR="00322DBB" w:rsidRPr="00F16FFF" w:rsidRDefault="00322DBB" w:rsidP="003C68E5">
            <w:pPr>
              <w:keepNext/>
              <w:keepLines/>
              <w:tabs>
                <w:tab w:val="clear" w:pos="567"/>
              </w:tabs>
              <w:autoSpaceDE w:val="0"/>
              <w:autoSpaceDN w:val="0"/>
              <w:adjustRightInd w:val="0"/>
              <w:spacing w:after="0" w:line="240" w:lineRule="auto"/>
              <w:rPr>
                <w:rFonts w:ascii="Calibri" w:hAnsi="Calibri" w:cs="Calibri"/>
                <w:color w:val="000000"/>
                <w:sz w:val="18"/>
                <w:szCs w:val="18"/>
              </w:rPr>
            </w:pPr>
            <w:r w:rsidRPr="00F16FFF">
              <w:rPr>
                <w:rFonts w:ascii="Calibri" w:hAnsi="Calibri" w:cs="Calibri"/>
                <w:color w:val="000000"/>
                <w:sz w:val="18"/>
                <w:szCs w:val="18"/>
              </w:rPr>
              <w:t>Total</w:t>
            </w:r>
          </w:p>
        </w:tc>
        <w:tc>
          <w:tcPr>
            <w:tcW w:w="379" w:type="dxa"/>
            <w:tcBorders>
              <w:top w:val="single" w:sz="6" w:space="0" w:color="auto"/>
              <w:left w:val="nil"/>
              <w:bottom w:val="single" w:sz="6" w:space="0" w:color="auto"/>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31</w:t>
            </w:r>
          </w:p>
        </w:tc>
        <w:tc>
          <w:tcPr>
            <w:tcW w:w="775" w:type="dxa"/>
            <w:tcBorders>
              <w:top w:val="single" w:sz="6" w:space="0" w:color="auto"/>
              <w:left w:val="nil"/>
              <w:bottom w:val="single" w:sz="6" w:space="0" w:color="auto"/>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7</w:t>
            </w:r>
          </w:p>
        </w:tc>
        <w:tc>
          <w:tcPr>
            <w:tcW w:w="775" w:type="dxa"/>
            <w:tcBorders>
              <w:top w:val="single" w:sz="6" w:space="0" w:color="auto"/>
              <w:left w:val="nil"/>
              <w:bottom w:val="single" w:sz="6" w:space="0" w:color="auto"/>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28</w:t>
            </w:r>
          </w:p>
        </w:tc>
        <w:tc>
          <w:tcPr>
            <w:tcW w:w="776" w:type="dxa"/>
            <w:tcBorders>
              <w:top w:val="single" w:sz="6" w:space="0" w:color="auto"/>
              <w:left w:val="nil"/>
              <w:bottom w:val="single" w:sz="6" w:space="0" w:color="auto"/>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12</w:t>
            </w:r>
          </w:p>
        </w:tc>
        <w:tc>
          <w:tcPr>
            <w:tcW w:w="775" w:type="dxa"/>
            <w:tcBorders>
              <w:top w:val="single" w:sz="6" w:space="0" w:color="auto"/>
              <w:left w:val="nil"/>
              <w:bottom w:val="single" w:sz="6" w:space="0" w:color="auto"/>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6</w:t>
            </w:r>
          </w:p>
        </w:tc>
        <w:tc>
          <w:tcPr>
            <w:tcW w:w="775" w:type="dxa"/>
            <w:tcBorders>
              <w:top w:val="single" w:sz="6" w:space="0" w:color="auto"/>
              <w:left w:val="nil"/>
              <w:bottom w:val="single" w:sz="6" w:space="0" w:color="auto"/>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4</w:t>
            </w:r>
          </w:p>
        </w:tc>
        <w:tc>
          <w:tcPr>
            <w:tcW w:w="775" w:type="dxa"/>
            <w:tcBorders>
              <w:top w:val="single" w:sz="6" w:space="0" w:color="auto"/>
              <w:left w:val="nil"/>
              <w:bottom w:val="single" w:sz="6" w:space="0" w:color="auto"/>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1</w:t>
            </w:r>
          </w:p>
        </w:tc>
        <w:tc>
          <w:tcPr>
            <w:tcW w:w="775" w:type="dxa"/>
            <w:tcBorders>
              <w:top w:val="single" w:sz="6" w:space="0" w:color="auto"/>
              <w:left w:val="nil"/>
              <w:bottom w:val="single" w:sz="6" w:space="0" w:color="auto"/>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12</w:t>
            </w:r>
          </w:p>
        </w:tc>
        <w:tc>
          <w:tcPr>
            <w:tcW w:w="776" w:type="dxa"/>
            <w:tcBorders>
              <w:top w:val="single" w:sz="6" w:space="0" w:color="auto"/>
              <w:left w:val="nil"/>
              <w:bottom w:val="single" w:sz="6" w:space="0" w:color="auto"/>
              <w:right w:val="nil"/>
            </w:tcBorders>
          </w:tcPr>
          <w:p w:rsidR="00322DBB" w:rsidRPr="00F16FFF" w:rsidRDefault="00322DBB" w:rsidP="003C68E5">
            <w:pPr>
              <w:keepNext/>
              <w:keepLines/>
              <w:tabs>
                <w:tab w:val="clear" w:pos="567"/>
              </w:tabs>
              <w:autoSpaceDE w:val="0"/>
              <w:autoSpaceDN w:val="0"/>
              <w:adjustRightInd w:val="0"/>
              <w:spacing w:after="0" w:line="240" w:lineRule="auto"/>
              <w:jc w:val="right"/>
              <w:rPr>
                <w:rFonts w:ascii="Calibri" w:hAnsi="Calibri" w:cs="Calibri"/>
                <w:color w:val="000000"/>
                <w:sz w:val="18"/>
                <w:szCs w:val="18"/>
              </w:rPr>
            </w:pPr>
            <w:r w:rsidRPr="00F16FFF">
              <w:rPr>
                <w:rFonts w:ascii="Calibri" w:hAnsi="Calibri" w:cs="Calibri"/>
                <w:color w:val="000000"/>
                <w:sz w:val="18"/>
                <w:szCs w:val="18"/>
              </w:rPr>
              <w:t>100</w:t>
            </w:r>
          </w:p>
        </w:tc>
      </w:tr>
    </w:tbl>
    <w:p w:rsidR="00322DBB" w:rsidRDefault="00322DBB" w:rsidP="00322DBB">
      <w:pPr>
        <w:pStyle w:val="CGCTableFootnote"/>
      </w:pPr>
      <w:r>
        <w:t>Source: ABS ERP</w:t>
      </w:r>
    </w:p>
    <w:p w:rsidR="002D3629" w:rsidRDefault="002D3629" w:rsidP="00B01EDA">
      <w:pPr>
        <w:pStyle w:val="Heading4"/>
      </w:pPr>
      <w:r>
        <w:t>Indigenous and non-Indigenous indexes</w:t>
      </w:r>
    </w:p>
    <w:p w:rsidR="002D3629" w:rsidRDefault="002D3629" w:rsidP="002D3629">
      <w:pPr>
        <w:pStyle w:val="CGCNumberedPara"/>
      </w:pPr>
      <w:r>
        <w:t>If we move to having an Indigenous specific SEIFA, we are then faced with the question of what should we use for the non-Indigenous population. In most areas, the non-Indigenous population represents a large majority the total population, and so SEIFA is a reasonable proxy for the non-Indigenous population’s SES. However, in large parts of the Northern Territory</w:t>
      </w:r>
      <w:r w:rsidR="00CA250D">
        <w:t>, and in other parts of the country,</w:t>
      </w:r>
      <w:r>
        <w:t xml:space="preserve"> this is not the case. As such, we are inclined to use separate Indigenous and non-Indigenous indexes. </w:t>
      </w:r>
    </w:p>
    <w:p w:rsidR="00CA250D" w:rsidRDefault="002D3629" w:rsidP="00CA250D">
      <w:pPr>
        <w:pStyle w:val="CGCNumberedPara"/>
        <w:rPr>
          <w:rStyle w:val="Heading5Char"/>
          <w:b w:val="0"/>
          <w:szCs w:val="24"/>
        </w:rPr>
      </w:pPr>
      <w:r w:rsidRPr="00CA250D">
        <w:rPr>
          <w:rStyle w:val="Heading5Char"/>
          <w:b w:val="0"/>
          <w:szCs w:val="24"/>
        </w:rPr>
        <w:t>CAEPR</w:t>
      </w:r>
      <w:r w:rsidR="00CA250D" w:rsidRPr="00CA250D">
        <w:rPr>
          <w:rStyle w:val="Heading5Char"/>
          <w:b w:val="0"/>
          <w:szCs w:val="24"/>
        </w:rPr>
        <w:t xml:space="preserve"> has produced a</w:t>
      </w:r>
      <w:r w:rsidRPr="00CA250D">
        <w:rPr>
          <w:rStyle w:val="Heading5Char"/>
          <w:b w:val="0"/>
          <w:szCs w:val="24"/>
        </w:rPr>
        <w:t xml:space="preserve"> </w:t>
      </w:r>
      <w:r w:rsidR="00CA250D" w:rsidRPr="00CA250D">
        <w:rPr>
          <w:rStyle w:val="Heading5Char"/>
          <w:b w:val="0"/>
          <w:szCs w:val="24"/>
        </w:rPr>
        <w:t>n</w:t>
      </w:r>
      <w:r w:rsidRPr="00CA250D">
        <w:rPr>
          <w:rStyle w:val="Heading5Char"/>
          <w:b w:val="0"/>
          <w:szCs w:val="24"/>
        </w:rPr>
        <w:t>on-Indigenous Relative Socio-economic outcomes (NIRSEO) Index</w:t>
      </w:r>
      <w:r w:rsidR="00CA250D" w:rsidRPr="00CA250D">
        <w:rPr>
          <w:rStyle w:val="Heading5Char"/>
          <w:b w:val="0"/>
          <w:szCs w:val="24"/>
        </w:rPr>
        <w:t xml:space="preserve">. </w:t>
      </w:r>
      <w:r w:rsidR="00CA250D">
        <w:rPr>
          <w:rStyle w:val="Heading5Char"/>
          <w:b w:val="0"/>
          <w:szCs w:val="24"/>
        </w:rPr>
        <w:t>There is</w:t>
      </w:r>
      <w:r w:rsidR="00E335C3">
        <w:rPr>
          <w:rStyle w:val="Heading5Char"/>
          <w:b w:val="0"/>
          <w:szCs w:val="24"/>
        </w:rPr>
        <w:t xml:space="preserve"> a strong attraction to using an </w:t>
      </w:r>
      <w:r w:rsidR="00CA250D">
        <w:rPr>
          <w:rStyle w:val="Heading5Char"/>
          <w:b w:val="0"/>
          <w:szCs w:val="24"/>
        </w:rPr>
        <w:t>index</w:t>
      </w:r>
      <w:r w:rsidR="00E335C3">
        <w:rPr>
          <w:rStyle w:val="Heading5Char"/>
          <w:b w:val="0"/>
          <w:szCs w:val="24"/>
        </w:rPr>
        <w:t xml:space="preserve"> </w:t>
      </w:r>
      <w:r w:rsidR="00CA250D">
        <w:rPr>
          <w:rStyle w:val="Heading5Char"/>
          <w:b w:val="0"/>
          <w:szCs w:val="24"/>
        </w:rPr>
        <w:t xml:space="preserve">that is readily available. However, </w:t>
      </w:r>
      <w:proofErr w:type="gramStart"/>
      <w:r w:rsidR="00CA250D">
        <w:rPr>
          <w:rStyle w:val="Heading5Char"/>
          <w:b w:val="0"/>
          <w:szCs w:val="24"/>
        </w:rPr>
        <w:t>staff have</w:t>
      </w:r>
      <w:proofErr w:type="gramEnd"/>
      <w:r w:rsidR="00CA250D">
        <w:rPr>
          <w:rStyle w:val="Heading5Char"/>
          <w:b w:val="0"/>
          <w:szCs w:val="24"/>
        </w:rPr>
        <w:t xml:space="preserve"> some concerns with NIRSEO. </w:t>
      </w:r>
    </w:p>
    <w:p w:rsidR="002D3629" w:rsidRDefault="00CA250D" w:rsidP="00CA250D">
      <w:pPr>
        <w:pStyle w:val="CGCNumberedPara"/>
      </w:pPr>
      <w:r w:rsidRPr="00CA250D">
        <w:rPr>
          <w:rStyle w:val="Heading5Char"/>
          <w:b w:val="0"/>
          <w:szCs w:val="24"/>
        </w:rPr>
        <w:t xml:space="preserve">This </w:t>
      </w:r>
      <w:r w:rsidR="00B01EDA" w:rsidRPr="00CA250D">
        <w:t xml:space="preserve">was </w:t>
      </w:r>
      <w:r w:rsidR="002D3629" w:rsidRPr="00CA250D">
        <w:t xml:space="preserve">designed to be used in conjunction with IRSEO. </w:t>
      </w:r>
      <w:r w:rsidR="00B01EDA" w:rsidRPr="00CA250D">
        <w:t xml:space="preserve">Just as SEIFA is built up from Statistical Area 1s (SA1s), NIRSEO is built up from Indigenous areas. The Northern Territory contributes 62 areas to the analysis, while the ACT contributes 3. 20% of the areas in the sample have more than 25% of their population being Indigenous. As such, the nature of non-Indigenous disadvantage in those areas is reflected in the way NIRSEO measures disadvantage for non-Indigenous people. </w:t>
      </w:r>
    </w:p>
    <w:p w:rsidR="00CA250D" w:rsidRPr="00CA250D" w:rsidRDefault="009C65DA" w:rsidP="00CA250D">
      <w:pPr>
        <w:pStyle w:val="CGCNumberedPara"/>
      </w:pPr>
      <w:r>
        <w:t xml:space="preserve">This </w:t>
      </w:r>
      <w:r w:rsidR="00CA250D">
        <w:t>has a potential to introduce errors into our assessment of the impact of socio</w:t>
      </w:r>
      <w:r>
        <w:noBreakHyphen/>
      </w:r>
      <w:r w:rsidR="00CA250D">
        <w:t>economic status</w:t>
      </w:r>
      <w:r>
        <w:t xml:space="preserve"> for the non</w:t>
      </w:r>
      <w:r>
        <w:noBreakHyphen/>
        <w:t>Indigenous population</w:t>
      </w:r>
      <w:r w:rsidR="00CA250D">
        <w:t xml:space="preserve">. </w:t>
      </w:r>
    </w:p>
    <w:p w:rsidR="005704B7" w:rsidRPr="005704B7" w:rsidRDefault="00CA250D" w:rsidP="005704B7">
      <w:pPr>
        <w:pStyle w:val="CGCNumberedPara"/>
        <w:rPr>
          <w:rStyle w:val="Heading5Char"/>
          <w:rFonts w:ascii="Times New Roman" w:hAnsi="Times New Roman" w:cs="Times New Roman"/>
          <w:b w:val="0"/>
          <w:color w:val="000000" w:themeColor="text1"/>
          <w:szCs w:val="24"/>
        </w:rPr>
      </w:pPr>
      <w:r w:rsidRPr="005704B7">
        <w:rPr>
          <w:rStyle w:val="Heading5Char"/>
          <w:b w:val="0"/>
          <w:szCs w:val="24"/>
        </w:rPr>
        <w:t xml:space="preserve">We are also concerned with the variables selected to create NIRSEO. </w:t>
      </w:r>
      <w:r w:rsidR="005704B7" w:rsidRPr="005704B7">
        <w:rPr>
          <w:rStyle w:val="Heading5Char"/>
          <w:b w:val="0"/>
          <w:szCs w:val="24"/>
        </w:rPr>
        <w:t xml:space="preserve">CAEPR chose different variables in IRSEO and NIRSEO </w:t>
      </w:r>
      <w:r w:rsidR="009C65DA">
        <w:rPr>
          <w:rStyle w:val="Heading5Char"/>
          <w:b w:val="0"/>
          <w:szCs w:val="24"/>
        </w:rPr>
        <w:t xml:space="preserve">from </w:t>
      </w:r>
      <w:r w:rsidR="005704B7" w:rsidRPr="005704B7">
        <w:rPr>
          <w:rStyle w:val="Heading5Char"/>
          <w:b w:val="0"/>
          <w:szCs w:val="24"/>
        </w:rPr>
        <w:t>those used in SEIFA, because</w:t>
      </w:r>
      <w:r w:rsidR="005704B7">
        <w:rPr>
          <w:rStyle w:val="Heading5Char"/>
          <w:b w:val="0"/>
          <w:szCs w:val="24"/>
        </w:rPr>
        <w:t>:</w:t>
      </w:r>
    </w:p>
    <w:p w:rsidR="002A07EA" w:rsidRPr="005704B7" w:rsidRDefault="005704B7" w:rsidP="005704B7">
      <w:pPr>
        <w:pStyle w:val="CGCNumberedPara"/>
        <w:tabs>
          <w:tab w:val="clear" w:pos="567"/>
          <w:tab w:val="num" w:pos="993"/>
          <w:tab w:val="left" w:pos="1134"/>
        </w:tabs>
        <w:ind w:left="993" w:hanging="993"/>
        <w:rPr>
          <w:rFonts w:ascii="Times New Roman" w:hAnsi="Times New Roman" w:cs="Times New Roman"/>
          <w:i/>
          <w:color w:val="000000" w:themeColor="text1"/>
        </w:rPr>
      </w:pPr>
      <w:r w:rsidRPr="005704B7">
        <w:rPr>
          <w:rStyle w:val="Heading5Char"/>
          <w:b w:val="0"/>
          <w:i/>
          <w:szCs w:val="24"/>
        </w:rPr>
        <w:t>‘</w:t>
      </w:r>
      <w:r w:rsidR="002A07EA" w:rsidRPr="005704B7">
        <w:rPr>
          <w:rFonts w:ascii="Times New Roman" w:hAnsi="Times New Roman" w:cs="Times New Roman"/>
          <w:i/>
          <w:color w:val="000000" w:themeColor="text1"/>
        </w:rPr>
        <w:t xml:space="preserve">There are variables in the standard SEIFA indices that may not be as relevant or have a different meaning for the Indigenous population compared to the non-Indigenous population. For example, the presence of CDEP programs in a number of areas at the time of the 2011 Census makes the interpretation of the </w:t>
      </w:r>
      <w:r w:rsidR="002A07EA" w:rsidRPr="005704B7">
        <w:rPr>
          <w:rFonts w:ascii="Times New Roman" w:hAnsi="Times New Roman" w:cs="Times New Roman"/>
          <w:i/>
          <w:color w:val="000000" w:themeColor="text1"/>
        </w:rPr>
        <w:lastRenderedPageBreak/>
        <w:t>unemployment rate quite difficult. Alternatively, the cut-offs for some of the variables like income or rent may not reflect the distribution of Indigenous outcomes.</w:t>
      </w:r>
    </w:p>
    <w:p w:rsidR="008C75BE" w:rsidRDefault="005704B7" w:rsidP="00CA250D">
      <w:pPr>
        <w:pStyle w:val="CGCNumberedPara"/>
      </w:pPr>
      <w:r>
        <w:t xml:space="preserve">As such NIRSEO may not be the ideal indicator to use for measuring the socio-economic status of the 97% of the population that are not </w:t>
      </w:r>
      <w:proofErr w:type="gramStart"/>
      <w:r>
        <w:t>Indigenous</w:t>
      </w:r>
      <w:proofErr w:type="gramEnd"/>
      <w:r>
        <w:t>.</w:t>
      </w:r>
      <w:r w:rsidR="008C75BE">
        <w:t xml:space="preserve"> </w:t>
      </w:r>
    </w:p>
    <w:p w:rsidR="002A07EA" w:rsidRDefault="008C75BE" w:rsidP="00CA250D">
      <w:pPr>
        <w:pStyle w:val="CGCNumberedPara"/>
      </w:pPr>
      <w:r>
        <w:t xml:space="preserve">We have begun discussions with the ABS about producing a SEIFA index using data for the non-Indigenous population. </w:t>
      </w:r>
    </w:p>
    <w:p w:rsidR="00DA1ACC" w:rsidRDefault="00DA1ACC" w:rsidP="00DA1ACC">
      <w:pPr>
        <w:pStyle w:val="Heading3"/>
      </w:pPr>
      <w:r>
        <w:t>Consultation</w:t>
      </w:r>
    </w:p>
    <w:p w:rsidR="009C65DA" w:rsidRDefault="00E335C3" w:rsidP="00BB3865">
      <w:pPr>
        <w:pStyle w:val="CGCNumberedPara"/>
      </w:pPr>
      <w:r>
        <w:t xml:space="preserve">We need to progress our work on measuring Indigenous characteristics relatively rapidly. As such, we are </w:t>
      </w:r>
      <w:r w:rsidR="005704B7">
        <w:t>scheduling a teleconference with States for late September</w:t>
      </w:r>
      <w:r>
        <w:t xml:space="preserve"> to gather State views on our proposed approach. However, we welcome any feedback or comments on our options before that meeting</w:t>
      </w:r>
      <w:r w:rsidR="009C65DA">
        <w:t xml:space="preserve"> on our conclusions and general approach so far, as well as specifically on the value of:</w:t>
      </w:r>
    </w:p>
    <w:p w:rsidR="00E335C3" w:rsidRDefault="009C65DA" w:rsidP="009C65DA">
      <w:pPr>
        <w:pStyle w:val="CGCBulletlist"/>
      </w:pPr>
      <w:r>
        <w:t>Separate indigenous and non-Indigenous geographic indexes of socio-economic status</w:t>
      </w:r>
      <w:r w:rsidR="00E335C3">
        <w:t>.</w:t>
      </w:r>
    </w:p>
    <w:p w:rsidR="009C65DA" w:rsidRDefault="009C65DA" w:rsidP="009C65DA">
      <w:pPr>
        <w:pStyle w:val="CGCBulletlist"/>
      </w:pPr>
      <w:r>
        <w:t>The use of CAEPR’s IRSEO index as the Indigenous index</w:t>
      </w:r>
    </w:p>
    <w:p w:rsidR="009C65DA" w:rsidRDefault="008C75BE" w:rsidP="009C65DA">
      <w:pPr>
        <w:pStyle w:val="CGCBulletlist"/>
      </w:pPr>
      <w:r>
        <w:t xml:space="preserve">Using SEIFA, NIRSEO, or an Indigenous specific SEIFA as the non-Indigenous index. </w:t>
      </w:r>
    </w:p>
    <w:p w:rsidR="00EA54BC" w:rsidRDefault="00EA54BC" w:rsidP="00EA54BC">
      <w:pPr>
        <w:pStyle w:val="CGCNumberedPara"/>
      </w:pPr>
      <w:r>
        <w:t>I have attached a draft of the CAEPR paper on IRSEO 2011, along with the index. The 2006 census index paper, and the associated Indigenous and non-Indigenous indexes can be found at:</w:t>
      </w:r>
    </w:p>
    <w:p w:rsidR="00EA54BC" w:rsidRDefault="00D902C0" w:rsidP="00EA54BC">
      <w:pPr>
        <w:pStyle w:val="CGCBulletlist"/>
      </w:pPr>
      <w:hyperlink r:id="rId10" w:history="1">
        <w:r w:rsidR="00EA54BC">
          <w:rPr>
            <w:rStyle w:val="Hyperlink"/>
          </w:rPr>
          <w:t>http://caepr.anu.edu.au/Publications/WP/2009WP50.php</w:t>
        </w:r>
      </w:hyperlink>
    </w:p>
    <w:p w:rsidR="006C64A9" w:rsidRDefault="006C64A9" w:rsidP="006C64A9">
      <w:pPr>
        <w:pStyle w:val="CGCBulletlist"/>
        <w:numPr>
          <w:ilvl w:val="0"/>
          <w:numId w:val="0"/>
        </w:numPr>
        <w:ind w:left="1134" w:hanging="567"/>
      </w:pPr>
    </w:p>
    <w:p w:rsidR="006C64A9" w:rsidRDefault="006C64A9" w:rsidP="006C64A9">
      <w:pPr>
        <w:pStyle w:val="CGCBulletlist"/>
        <w:numPr>
          <w:ilvl w:val="0"/>
          <w:numId w:val="0"/>
        </w:numPr>
        <w:ind w:left="1134" w:hanging="567"/>
      </w:pPr>
    </w:p>
    <w:sectPr w:rsidR="006C64A9" w:rsidSect="0004123E">
      <w:footerReference w:type="default" r:id="rId11"/>
      <w:footerReference w:type="first" r:id="rId12"/>
      <w:pgSz w:w="11899" w:h="16838" w:code="9"/>
      <w:pgMar w:top="1701" w:right="1474" w:bottom="1701" w:left="1474"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45A" w:rsidRDefault="0079345A">
      <w:r>
        <w:separator/>
      </w:r>
    </w:p>
  </w:endnote>
  <w:endnote w:type="continuationSeparator" w:id="0">
    <w:p w:rsidR="0079345A" w:rsidRDefault="00793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45A" w:rsidRPr="0011178C" w:rsidRDefault="0079345A" w:rsidP="003929D2">
    <w:pPr>
      <w:pStyle w:val="Footer"/>
      <w:jc w:val="right"/>
    </w:pPr>
    <w:r>
      <w:fldChar w:fldCharType="begin"/>
    </w:r>
    <w:r>
      <w:instrText xml:space="preserve"> PAGE  \* Arabic  \* MERGEFORMAT </w:instrText>
    </w:r>
    <w:r>
      <w:fldChar w:fldCharType="separate"/>
    </w:r>
    <w:r w:rsidR="00D902C0">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45A" w:rsidRPr="007E487F" w:rsidRDefault="0079345A" w:rsidP="00550E84">
    <w:pPr>
      <w:pStyle w:val="Footer"/>
      <w:tabs>
        <w:tab w:val="clear" w:pos="567"/>
        <w:tab w:val="clear" w:pos="4153"/>
        <w:tab w:val="clear" w:pos="8306"/>
        <w:tab w:val="right" w:pos="8931"/>
      </w:tabs>
      <w:rPr>
        <w:sz w:val="20"/>
        <w:szCs w:val="20"/>
      </w:rPr>
    </w:pPr>
    <w:r w:rsidRPr="0072512A">
      <w:t xml:space="preserve"> </w:t>
    </w:r>
    <w:r w:rsidR="00D902C0">
      <w:fldChar w:fldCharType="begin"/>
    </w:r>
    <w:r w:rsidR="00D902C0">
      <w:instrText xml:space="preserve"> FILENAME  \p  \* MERGEFORMAT </w:instrText>
    </w:r>
    <w:r w:rsidR="00D902C0">
      <w:fldChar w:fldCharType="separate"/>
    </w:r>
    <w:r w:rsidR="00D902C0">
      <w:rPr>
        <w:noProof/>
      </w:rPr>
      <w:t>C:\Users\Jacob.Fell\AppData\Local\Microsoft\Windows\Temporary Internet Files\Content.Outlook\3CH697PQ\Appropriately assessing the Indigenous population (2).docx</w:t>
    </w:r>
    <w:r w:rsidR="00D902C0">
      <w:rPr>
        <w:noProof/>
      </w:rPr>
      <w:fldChar w:fldCharType="end"/>
    </w:r>
    <w:r w:rsidRPr="007E487F">
      <w:rPr>
        <w:sz w:val="20"/>
        <w:szCs w:val="20"/>
      </w:rPr>
      <w:t xml:space="preserve">  </w:t>
    </w:r>
    <w:r>
      <w:rPr>
        <w:sz w:val="20"/>
        <w:szCs w:val="20"/>
      </w:rPr>
      <w:tab/>
    </w:r>
    <w:r>
      <w:fldChar w:fldCharType="begin"/>
    </w:r>
    <w:r>
      <w:instrText xml:space="preserve"> PAGE   \* MERGEFORMAT </w:instrText>
    </w:r>
    <w:r>
      <w:fldChar w:fldCharType="separate"/>
    </w:r>
    <w:r w:rsidR="00D902C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45A" w:rsidRDefault="0079345A">
      <w:r>
        <w:separator/>
      </w:r>
    </w:p>
  </w:footnote>
  <w:footnote w:type="continuationSeparator" w:id="0">
    <w:p w:rsidR="0079345A" w:rsidRDefault="0079345A">
      <w:r>
        <w:continuationSeparator/>
      </w:r>
    </w:p>
  </w:footnote>
  <w:footnote w:id="1">
    <w:p w:rsidR="0079345A" w:rsidRDefault="0079345A" w:rsidP="00322DBB">
      <w:pPr>
        <w:pStyle w:val="FootnoteText"/>
      </w:pPr>
      <w:r>
        <w:rPr>
          <w:rStyle w:val="FootnoteReference"/>
        </w:rPr>
        <w:footnoteRef/>
      </w:r>
      <w:r>
        <w:t xml:space="preserve"> </w:t>
      </w:r>
      <w:r>
        <w:tab/>
        <w:t xml:space="preserve">South Australia recommends attempting a classification of ‘permanently metropolitan’ and ‘non-metropolitan’, while Northern Territory recommends examining a measure based on Indigenous population shares in different areas.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93B1189"/>
    <w:multiLevelType w:val="hybridMultilevel"/>
    <w:tmpl w:val="B71EA6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D517EA6"/>
    <w:multiLevelType w:val="multilevel"/>
    <w:tmpl w:val="2D22BA72"/>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6">
    <w:nsid w:val="77D62F87"/>
    <w:multiLevelType w:val="hybridMultilevel"/>
    <w:tmpl w:val="E454F9EC"/>
    <w:lvl w:ilvl="0" w:tplc="80F48E56">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1"/>
  </w:num>
  <w:num w:numId="4">
    <w:abstractNumId w:val="16"/>
  </w:num>
  <w:num w:numId="5">
    <w:abstractNumId w:val="16"/>
  </w:num>
  <w:num w:numId="6">
    <w:abstractNumId w:val="4"/>
  </w:num>
  <w:num w:numId="7">
    <w:abstractNumId w:val="4"/>
  </w:num>
  <w:num w:numId="8">
    <w:abstractNumId w:val="4"/>
  </w:num>
  <w:num w:numId="9">
    <w:abstractNumId w:val="4"/>
  </w:num>
  <w:num w:numId="10">
    <w:abstractNumId w:val="15"/>
  </w:num>
  <w:num w:numId="11">
    <w:abstractNumId w:val="5"/>
  </w:num>
  <w:num w:numId="12">
    <w:abstractNumId w:val="1"/>
  </w:num>
  <w:num w:numId="13">
    <w:abstractNumId w:val="16"/>
  </w:num>
  <w:num w:numId="14">
    <w:abstractNumId w:val="4"/>
  </w:num>
  <w:num w:numId="15">
    <w:abstractNumId w:val="4"/>
  </w:num>
  <w:num w:numId="16">
    <w:abstractNumId w:val="4"/>
  </w:num>
  <w:num w:numId="17">
    <w:abstractNumId w:val="4"/>
  </w:num>
  <w:num w:numId="18">
    <w:abstractNumId w:val="0"/>
  </w:num>
  <w:num w:numId="19">
    <w:abstractNumId w:val="10"/>
  </w:num>
  <w:num w:numId="20">
    <w:abstractNumId w:val="11"/>
  </w:num>
  <w:num w:numId="21">
    <w:abstractNumId w:val="2"/>
  </w:num>
  <w:num w:numId="22">
    <w:abstractNumId w:val="7"/>
  </w:num>
  <w:num w:numId="23">
    <w:abstractNumId w:val="14"/>
  </w:num>
  <w:num w:numId="24">
    <w:abstractNumId w:val="3"/>
  </w:num>
  <w:num w:numId="25">
    <w:abstractNumId w:val="12"/>
  </w:num>
  <w:num w:numId="26">
    <w:abstractNumId w:val="1"/>
  </w:num>
  <w:num w:numId="27">
    <w:abstractNumId w:val="8"/>
  </w:num>
  <w:num w:numId="28">
    <w:abstractNumId w:val="13"/>
  </w:num>
  <w:num w:numId="29">
    <w:abstractNumId w:val="6"/>
  </w:num>
  <w:num w:numId="30">
    <w:abstractNumId w:val="5"/>
    <w:lvlOverride w:ilvl="0">
      <w:startOverride w:val="1"/>
    </w:lvlOverride>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131"/>
    <w:rsid w:val="00022EA9"/>
    <w:rsid w:val="00024745"/>
    <w:rsid w:val="00032F41"/>
    <w:rsid w:val="0004123E"/>
    <w:rsid w:val="00041748"/>
    <w:rsid w:val="00041E84"/>
    <w:rsid w:val="000424EA"/>
    <w:rsid w:val="00056373"/>
    <w:rsid w:val="000624BB"/>
    <w:rsid w:val="000648E8"/>
    <w:rsid w:val="00093796"/>
    <w:rsid w:val="00095F99"/>
    <w:rsid w:val="000A3898"/>
    <w:rsid w:val="000A52A1"/>
    <w:rsid w:val="000B3557"/>
    <w:rsid w:val="000B64E3"/>
    <w:rsid w:val="000C1C03"/>
    <w:rsid w:val="000D1354"/>
    <w:rsid w:val="000D7C54"/>
    <w:rsid w:val="000E0210"/>
    <w:rsid w:val="000E6AA5"/>
    <w:rsid w:val="000E7F56"/>
    <w:rsid w:val="000F1CDA"/>
    <w:rsid w:val="001039C2"/>
    <w:rsid w:val="0011178C"/>
    <w:rsid w:val="00112CF0"/>
    <w:rsid w:val="001211AB"/>
    <w:rsid w:val="001218B8"/>
    <w:rsid w:val="00124ED1"/>
    <w:rsid w:val="00136497"/>
    <w:rsid w:val="00141BD1"/>
    <w:rsid w:val="00147115"/>
    <w:rsid w:val="001477CE"/>
    <w:rsid w:val="00150343"/>
    <w:rsid w:val="0016723A"/>
    <w:rsid w:val="00171A05"/>
    <w:rsid w:val="00172F3A"/>
    <w:rsid w:val="001730FD"/>
    <w:rsid w:val="00173798"/>
    <w:rsid w:val="00173BE6"/>
    <w:rsid w:val="00173E72"/>
    <w:rsid w:val="001807C0"/>
    <w:rsid w:val="001811DE"/>
    <w:rsid w:val="00187145"/>
    <w:rsid w:val="001B0110"/>
    <w:rsid w:val="001B3048"/>
    <w:rsid w:val="001B696E"/>
    <w:rsid w:val="001B6A56"/>
    <w:rsid w:val="001C469B"/>
    <w:rsid w:val="001C6A71"/>
    <w:rsid w:val="001D638B"/>
    <w:rsid w:val="001D6DFA"/>
    <w:rsid w:val="001E6180"/>
    <w:rsid w:val="001E68FC"/>
    <w:rsid w:val="00204026"/>
    <w:rsid w:val="00212948"/>
    <w:rsid w:val="00217839"/>
    <w:rsid w:val="00225A3B"/>
    <w:rsid w:val="0023081D"/>
    <w:rsid w:val="0023329C"/>
    <w:rsid w:val="00236DC0"/>
    <w:rsid w:val="002373A2"/>
    <w:rsid w:val="00242517"/>
    <w:rsid w:val="0024260B"/>
    <w:rsid w:val="0024401F"/>
    <w:rsid w:val="0024569B"/>
    <w:rsid w:val="00255B5A"/>
    <w:rsid w:val="002671A2"/>
    <w:rsid w:val="00275B68"/>
    <w:rsid w:val="002845EA"/>
    <w:rsid w:val="00286EBE"/>
    <w:rsid w:val="00295B70"/>
    <w:rsid w:val="002A07EA"/>
    <w:rsid w:val="002A2A08"/>
    <w:rsid w:val="002A2D93"/>
    <w:rsid w:val="002A4E42"/>
    <w:rsid w:val="002A77C3"/>
    <w:rsid w:val="002B10B0"/>
    <w:rsid w:val="002B169C"/>
    <w:rsid w:val="002B6EFD"/>
    <w:rsid w:val="002B6F33"/>
    <w:rsid w:val="002B79F0"/>
    <w:rsid w:val="002B7F3E"/>
    <w:rsid w:val="002C1D9C"/>
    <w:rsid w:val="002C366F"/>
    <w:rsid w:val="002C4CA9"/>
    <w:rsid w:val="002D2270"/>
    <w:rsid w:val="002D3629"/>
    <w:rsid w:val="002E25A8"/>
    <w:rsid w:val="002F04DE"/>
    <w:rsid w:val="002F1CD3"/>
    <w:rsid w:val="002F6E28"/>
    <w:rsid w:val="002F7E68"/>
    <w:rsid w:val="00302E5E"/>
    <w:rsid w:val="00307DEF"/>
    <w:rsid w:val="00311D33"/>
    <w:rsid w:val="00313664"/>
    <w:rsid w:val="00314F90"/>
    <w:rsid w:val="00322DBB"/>
    <w:rsid w:val="0033102E"/>
    <w:rsid w:val="00331401"/>
    <w:rsid w:val="00331632"/>
    <w:rsid w:val="00335ED1"/>
    <w:rsid w:val="00337E1E"/>
    <w:rsid w:val="00337EF8"/>
    <w:rsid w:val="00342A60"/>
    <w:rsid w:val="0034379D"/>
    <w:rsid w:val="0034646D"/>
    <w:rsid w:val="00347BE5"/>
    <w:rsid w:val="003522E0"/>
    <w:rsid w:val="0035267F"/>
    <w:rsid w:val="0035580D"/>
    <w:rsid w:val="003639FB"/>
    <w:rsid w:val="00363BF7"/>
    <w:rsid w:val="00382AE5"/>
    <w:rsid w:val="003929D2"/>
    <w:rsid w:val="00393FA5"/>
    <w:rsid w:val="003A27BB"/>
    <w:rsid w:val="003B673D"/>
    <w:rsid w:val="003C2577"/>
    <w:rsid w:val="003C4448"/>
    <w:rsid w:val="003C68E5"/>
    <w:rsid w:val="003D3D91"/>
    <w:rsid w:val="003D4708"/>
    <w:rsid w:val="003D477A"/>
    <w:rsid w:val="003E6615"/>
    <w:rsid w:val="003E79F9"/>
    <w:rsid w:val="003F12E9"/>
    <w:rsid w:val="003F59F4"/>
    <w:rsid w:val="00404DCD"/>
    <w:rsid w:val="004077D6"/>
    <w:rsid w:val="0041115E"/>
    <w:rsid w:val="004121E7"/>
    <w:rsid w:val="00414E51"/>
    <w:rsid w:val="00420F04"/>
    <w:rsid w:val="00423099"/>
    <w:rsid w:val="00424E79"/>
    <w:rsid w:val="0042661C"/>
    <w:rsid w:val="004274B3"/>
    <w:rsid w:val="00443EC1"/>
    <w:rsid w:val="00453264"/>
    <w:rsid w:val="00462B54"/>
    <w:rsid w:val="00472461"/>
    <w:rsid w:val="004809B8"/>
    <w:rsid w:val="004821B9"/>
    <w:rsid w:val="00491D88"/>
    <w:rsid w:val="0049605C"/>
    <w:rsid w:val="004965F7"/>
    <w:rsid w:val="004A7048"/>
    <w:rsid w:val="004B0A0A"/>
    <w:rsid w:val="004B1516"/>
    <w:rsid w:val="004B1C4B"/>
    <w:rsid w:val="004B60CB"/>
    <w:rsid w:val="004C1CB5"/>
    <w:rsid w:val="004E769A"/>
    <w:rsid w:val="00500ACD"/>
    <w:rsid w:val="00504061"/>
    <w:rsid w:val="00505BAE"/>
    <w:rsid w:val="00506956"/>
    <w:rsid w:val="00515380"/>
    <w:rsid w:val="00537A77"/>
    <w:rsid w:val="00541A14"/>
    <w:rsid w:val="00543F9C"/>
    <w:rsid w:val="00546D39"/>
    <w:rsid w:val="00550E84"/>
    <w:rsid w:val="00551368"/>
    <w:rsid w:val="005577B0"/>
    <w:rsid w:val="00562084"/>
    <w:rsid w:val="005704B7"/>
    <w:rsid w:val="00570EED"/>
    <w:rsid w:val="005716FC"/>
    <w:rsid w:val="00575DEF"/>
    <w:rsid w:val="0057686F"/>
    <w:rsid w:val="00583A33"/>
    <w:rsid w:val="005867D2"/>
    <w:rsid w:val="005963CC"/>
    <w:rsid w:val="00596E19"/>
    <w:rsid w:val="005A241E"/>
    <w:rsid w:val="005A6FED"/>
    <w:rsid w:val="005B1BC4"/>
    <w:rsid w:val="005B3760"/>
    <w:rsid w:val="005B6894"/>
    <w:rsid w:val="005C13B2"/>
    <w:rsid w:val="005C27E3"/>
    <w:rsid w:val="005C37CB"/>
    <w:rsid w:val="005C459C"/>
    <w:rsid w:val="005D1A9F"/>
    <w:rsid w:val="005D52FA"/>
    <w:rsid w:val="005D581B"/>
    <w:rsid w:val="005E266F"/>
    <w:rsid w:val="005E5734"/>
    <w:rsid w:val="005E73CE"/>
    <w:rsid w:val="005F07DC"/>
    <w:rsid w:val="005F64FB"/>
    <w:rsid w:val="0060251E"/>
    <w:rsid w:val="00602DDE"/>
    <w:rsid w:val="00611737"/>
    <w:rsid w:val="00614DE8"/>
    <w:rsid w:val="00622FE1"/>
    <w:rsid w:val="0062342B"/>
    <w:rsid w:val="00635027"/>
    <w:rsid w:val="00644A7B"/>
    <w:rsid w:val="006556D9"/>
    <w:rsid w:val="00661C46"/>
    <w:rsid w:val="006652D3"/>
    <w:rsid w:val="00667CF3"/>
    <w:rsid w:val="006769C4"/>
    <w:rsid w:val="00677627"/>
    <w:rsid w:val="00677BD5"/>
    <w:rsid w:val="0068025E"/>
    <w:rsid w:val="00693131"/>
    <w:rsid w:val="00693C87"/>
    <w:rsid w:val="006A05C7"/>
    <w:rsid w:val="006A607B"/>
    <w:rsid w:val="006A6E27"/>
    <w:rsid w:val="006A72B0"/>
    <w:rsid w:val="006B3E4D"/>
    <w:rsid w:val="006C52B9"/>
    <w:rsid w:val="006C64A9"/>
    <w:rsid w:val="006D1DFE"/>
    <w:rsid w:val="006E6BC2"/>
    <w:rsid w:val="006E77BB"/>
    <w:rsid w:val="0070150E"/>
    <w:rsid w:val="00705DB8"/>
    <w:rsid w:val="00711EF3"/>
    <w:rsid w:val="00713225"/>
    <w:rsid w:val="0072512A"/>
    <w:rsid w:val="00731EE6"/>
    <w:rsid w:val="007355A6"/>
    <w:rsid w:val="00740A71"/>
    <w:rsid w:val="007477C5"/>
    <w:rsid w:val="00747938"/>
    <w:rsid w:val="00762AFB"/>
    <w:rsid w:val="00765BA8"/>
    <w:rsid w:val="00766007"/>
    <w:rsid w:val="00770A26"/>
    <w:rsid w:val="0079345A"/>
    <w:rsid w:val="007A1364"/>
    <w:rsid w:val="007A24A0"/>
    <w:rsid w:val="007A4AB2"/>
    <w:rsid w:val="007A5E68"/>
    <w:rsid w:val="007B1BF7"/>
    <w:rsid w:val="007C404B"/>
    <w:rsid w:val="007C4BAE"/>
    <w:rsid w:val="007D1D3B"/>
    <w:rsid w:val="007D5960"/>
    <w:rsid w:val="007E114E"/>
    <w:rsid w:val="007E487F"/>
    <w:rsid w:val="007E4B2D"/>
    <w:rsid w:val="007E587D"/>
    <w:rsid w:val="007E71E9"/>
    <w:rsid w:val="007F1D06"/>
    <w:rsid w:val="008010D7"/>
    <w:rsid w:val="00802367"/>
    <w:rsid w:val="00803443"/>
    <w:rsid w:val="0080680D"/>
    <w:rsid w:val="00812C05"/>
    <w:rsid w:val="0081322A"/>
    <w:rsid w:val="008162AB"/>
    <w:rsid w:val="00843E6F"/>
    <w:rsid w:val="00846E4A"/>
    <w:rsid w:val="00851FB5"/>
    <w:rsid w:val="008647DE"/>
    <w:rsid w:val="00864B95"/>
    <w:rsid w:val="008800D3"/>
    <w:rsid w:val="00886CDD"/>
    <w:rsid w:val="0089214D"/>
    <w:rsid w:val="00893C0D"/>
    <w:rsid w:val="008A20DA"/>
    <w:rsid w:val="008B5C8F"/>
    <w:rsid w:val="008B5F16"/>
    <w:rsid w:val="008B7722"/>
    <w:rsid w:val="008C0E5C"/>
    <w:rsid w:val="008C75BE"/>
    <w:rsid w:val="008D348B"/>
    <w:rsid w:val="008E2BE4"/>
    <w:rsid w:val="008E6B4E"/>
    <w:rsid w:val="008E7970"/>
    <w:rsid w:val="008E7C34"/>
    <w:rsid w:val="008F0C36"/>
    <w:rsid w:val="008F377B"/>
    <w:rsid w:val="00915512"/>
    <w:rsid w:val="009233CC"/>
    <w:rsid w:val="009240D8"/>
    <w:rsid w:val="009360D7"/>
    <w:rsid w:val="009362C9"/>
    <w:rsid w:val="0094626F"/>
    <w:rsid w:val="009462D2"/>
    <w:rsid w:val="009652D5"/>
    <w:rsid w:val="009677F8"/>
    <w:rsid w:val="00971146"/>
    <w:rsid w:val="00972A9A"/>
    <w:rsid w:val="00991675"/>
    <w:rsid w:val="00992008"/>
    <w:rsid w:val="00996409"/>
    <w:rsid w:val="00996D00"/>
    <w:rsid w:val="009A6CF3"/>
    <w:rsid w:val="009B43BF"/>
    <w:rsid w:val="009B4A2D"/>
    <w:rsid w:val="009C1E0B"/>
    <w:rsid w:val="009C65DA"/>
    <w:rsid w:val="009D545A"/>
    <w:rsid w:val="009D6D44"/>
    <w:rsid w:val="009E22FA"/>
    <w:rsid w:val="009E4744"/>
    <w:rsid w:val="009E4EC9"/>
    <w:rsid w:val="009E5D5A"/>
    <w:rsid w:val="009F2262"/>
    <w:rsid w:val="009F4ADA"/>
    <w:rsid w:val="009F6A0D"/>
    <w:rsid w:val="00A07991"/>
    <w:rsid w:val="00A10CDE"/>
    <w:rsid w:val="00A1680D"/>
    <w:rsid w:val="00A23AB0"/>
    <w:rsid w:val="00A266C5"/>
    <w:rsid w:val="00A309C6"/>
    <w:rsid w:val="00A32E4E"/>
    <w:rsid w:val="00A505DE"/>
    <w:rsid w:val="00A5327C"/>
    <w:rsid w:val="00A5721C"/>
    <w:rsid w:val="00A67913"/>
    <w:rsid w:val="00A81A94"/>
    <w:rsid w:val="00A9681E"/>
    <w:rsid w:val="00A96FEA"/>
    <w:rsid w:val="00AA007A"/>
    <w:rsid w:val="00AB073E"/>
    <w:rsid w:val="00AB1A13"/>
    <w:rsid w:val="00AB4E9F"/>
    <w:rsid w:val="00AC210F"/>
    <w:rsid w:val="00AC319E"/>
    <w:rsid w:val="00AE3A1E"/>
    <w:rsid w:val="00AE734F"/>
    <w:rsid w:val="00AF2656"/>
    <w:rsid w:val="00AF6110"/>
    <w:rsid w:val="00AF6AC6"/>
    <w:rsid w:val="00B00611"/>
    <w:rsid w:val="00B01EDA"/>
    <w:rsid w:val="00B04354"/>
    <w:rsid w:val="00B249FC"/>
    <w:rsid w:val="00B317E7"/>
    <w:rsid w:val="00B33A57"/>
    <w:rsid w:val="00B34083"/>
    <w:rsid w:val="00B37728"/>
    <w:rsid w:val="00B45C64"/>
    <w:rsid w:val="00B46A32"/>
    <w:rsid w:val="00B46B29"/>
    <w:rsid w:val="00B53547"/>
    <w:rsid w:val="00B53597"/>
    <w:rsid w:val="00B55D3E"/>
    <w:rsid w:val="00B62590"/>
    <w:rsid w:val="00B6729F"/>
    <w:rsid w:val="00B82627"/>
    <w:rsid w:val="00B90AA7"/>
    <w:rsid w:val="00B94335"/>
    <w:rsid w:val="00BA65E5"/>
    <w:rsid w:val="00BB09DF"/>
    <w:rsid w:val="00BB3865"/>
    <w:rsid w:val="00BB3FC5"/>
    <w:rsid w:val="00BC2B3B"/>
    <w:rsid w:val="00BC4579"/>
    <w:rsid w:val="00BD3D24"/>
    <w:rsid w:val="00C0018A"/>
    <w:rsid w:val="00C00905"/>
    <w:rsid w:val="00C035B5"/>
    <w:rsid w:val="00C11ABD"/>
    <w:rsid w:val="00C14FB2"/>
    <w:rsid w:val="00C176AC"/>
    <w:rsid w:val="00C222F7"/>
    <w:rsid w:val="00C24839"/>
    <w:rsid w:val="00C27C23"/>
    <w:rsid w:val="00C41C84"/>
    <w:rsid w:val="00C554D4"/>
    <w:rsid w:val="00C61B02"/>
    <w:rsid w:val="00C72165"/>
    <w:rsid w:val="00C83041"/>
    <w:rsid w:val="00C90B42"/>
    <w:rsid w:val="00C9475D"/>
    <w:rsid w:val="00C95056"/>
    <w:rsid w:val="00C951FD"/>
    <w:rsid w:val="00CA250D"/>
    <w:rsid w:val="00CA7F28"/>
    <w:rsid w:val="00CB0768"/>
    <w:rsid w:val="00CB131F"/>
    <w:rsid w:val="00CB4DCD"/>
    <w:rsid w:val="00CB4F2D"/>
    <w:rsid w:val="00CC1690"/>
    <w:rsid w:val="00CC665A"/>
    <w:rsid w:val="00CE04A0"/>
    <w:rsid w:val="00CE34DC"/>
    <w:rsid w:val="00D07FB4"/>
    <w:rsid w:val="00D13040"/>
    <w:rsid w:val="00D21FA8"/>
    <w:rsid w:val="00D236B7"/>
    <w:rsid w:val="00D23E48"/>
    <w:rsid w:val="00D244BE"/>
    <w:rsid w:val="00D43096"/>
    <w:rsid w:val="00D46AB2"/>
    <w:rsid w:val="00D656EB"/>
    <w:rsid w:val="00D722B7"/>
    <w:rsid w:val="00D771FD"/>
    <w:rsid w:val="00D7796D"/>
    <w:rsid w:val="00D81B18"/>
    <w:rsid w:val="00D83541"/>
    <w:rsid w:val="00D902C0"/>
    <w:rsid w:val="00D93A16"/>
    <w:rsid w:val="00D9496D"/>
    <w:rsid w:val="00DA0768"/>
    <w:rsid w:val="00DA161A"/>
    <w:rsid w:val="00DA1ACC"/>
    <w:rsid w:val="00DA5A94"/>
    <w:rsid w:val="00DB2355"/>
    <w:rsid w:val="00DB3BB4"/>
    <w:rsid w:val="00DC0F8D"/>
    <w:rsid w:val="00DC2284"/>
    <w:rsid w:val="00DC3CA4"/>
    <w:rsid w:val="00DE4578"/>
    <w:rsid w:val="00DF04EE"/>
    <w:rsid w:val="00DF3E35"/>
    <w:rsid w:val="00E03ED5"/>
    <w:rsid w:val="00E06243"/>
    <w:rsid w:val="00E07169"/>
    <w:rsid w:val="00E1688C"/>
    <w:rsid w:val="00E22665"/>
    <w:rsid w:val="00E30499"/>
    <w:rsid w:val="00E30B51"/>
    <w:rsid w:val="00E324BB"/>
    <w:rsid w:val="00E335C3"/>
    <w:rsid w:val="00E34077"/>
    <w:rsid w:val="00E377E8"/>
    <w:rsid w:val="00E42D9C"/>
    <w:rsid w:val="00E43464"/>
    <w:rsid w:val="00E47A69"/>
    <w:rsid w:val="00E54AF9"/>
    <w:rsid w:val="00E571BB"/>
    <w:rsid w:val="00E74435"/>
    <w:rsid w:val="00E758AD"/>
    <w:rsid w:val="00E77D4E"/>
    <w:rsid w:val="00E91860"/>
    <w:rsid w:val="00E954B7"/>
    <w:rsid w:val="00E96FDB"/>
    <w:rsid w:val="00EA107B"/>
    <w:rsid w:val="00EA54BC"/>
    <w:rsid w:val="00EC16F1"/>
    <w:rsid w:val="00ED05D6"/>
    <w:rsid w:val="00ED0C6F"/>
    <w:rsid w:val="00ED2FCC"/>
    <w:rsid w:val="00EE5F75"/>
    <w:rsid w:val="00EF2722"/>
    <w:rsid w:val="00EF6805"/>
    <w:rsid w:val="00F00508"/>
    <w:rsid w:val="00F01E52"/>
    <w:rsid w:val="00F042DC"/>
    <w:rsid w:val="00F105EA"/>
    <w:rsid w:val="00F11117"/>
    <w:rsid w:val="00F12541"/>
    <w:rsid w:val="00F22035"/>
    <w:rsid w:val="00F22D18"/>
    <w:rsid w:val="00F333A5"/>
    <w:rsid w:val="00F46927"/>
    <w:rsid w:val="00F55854"/>
    <w:rsid w:val="00F56813"/>
    <w:rsid w:val="00F72C93"/>
    <w:rsid w:val="00F80A88"/>
    <w:rsid w:val="00F823F5"/>
    <w:rsid w:val="00F82BC4"/>
    <w:rsid w:val="00F9170D"/>
    <w:rsid w:val="00F9494C"/>
    <w:rsid w:val="00FA15C8"/>
    <w:rsid w:val="00FA2D86"/>
    <w:rsid w:val="00FA348C"/>
    <w:rsid w:val="00FB0AD8"/>
    <w:rsid w:val="00FE2C17"/>
    <w:rsid w:val="00FF0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footer" w:uiPriority="99"/>
    <w:lsdException w:name="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317E7"/>
    <w:pPr>
      <w:tabs>
        <w:tab w:val="left" w:pos="567"/>
      </w:tabs>
      <w:spacing w:after="80" w:line="320" w:lineRule="atLeast"/>
    </w:pPr>
    <w:rPr>
      <w:sz w:val="24"/>
      <w:szCs w:val="24"/>
    </w:rPr>
  </w:style>
  <w:style w:type="paragraph" w:styleId="Heading1">
    <w:name w:val="heading 1"/>
    <w:basedOn w:val="Normal"/>
    <w:next w:val="Heading2"/>
    <w:link w:val="Heading1Char"/>
    <w:qFormat/>
    <w:rsid w:val="00F9170D"/>
    <w:pPr>
      <w:keepNext/>
      <w:pBdr>
        <w:bottom w:val="single" w:sz="6" w:space="1" w:color="auto"/>
      </w:pBdr>
      <w:tabs>
        <w:tab w:val="clear" w:pos="567"/>
      </w:tabs>
      <w:spacing w:before="2400" w:after="200" w:line="240" w:lineRule="auto"/>
      <w:outlineLvl w:val="0"/>
    </w:pPr>
    <w:rPr>
      <w:rFonts w:cs="Arial"/>
      <w:b/>
      <w:bCs/>
      <w:caps/>
      <w:sz w:val="40"/>
      <w:szCs w:val="32"/>
    </w:rPr>
  </w:style>
  <w:style w:type="paragraph" w:styleId="Heading2">
    <w:name w:val="heading 2"/>
    <w:basedOn w:val="Normal"/>
    <w:next w:val="Heading3"/>
    <w:link w:val="Heading2Char"/>
    <w:qFormat/>
    <w:rsid w:val="003A27BB"/>
    <w:pPr>
      <w:keepNext/>
      <w:tabs>
        <w:tab w:val="clear" w:pos="567"/>
      </w:tabs>
      <w:spacing w:after="720" w:line="240" w:lineRule="auto"/>
      <w:outlineLvl w:val="1"/>
    </w:pPr>
    <w:rPr>
      <w:b/>
      <w:caps/>
      <w:color w:val="808080" w:themeColor="background1" w:themeShade="80"/>
      <w:sz w:val="40"/>
      <w:szCs w:val="40"/>
    </w:rPr>
  </w:style>
  <w:style w:type="paragraph" w:styleId="Heading3">
    <w:name w:val="heading 3"/>
    <w:basedOn w:val="Normal"/>
    <w:next w:val="Heading4"/>
    <w:link w:val="Heading3Char"/>
    <w:qFormat/>
    <w:rsid w:val="00F9170D"/>
    <w:pPr>
      <w:keepNext/>
      <w:tabs>
        <w:tab w:val="clear" w:pos="567"/>
      </w:tabs>
      <w:spacing w:before="600" w:after="200" w:line="240" w:lineRule="auto"/>
      <w:outlineLvl w:val="2"/>
    </w:pPr>
    <w:rPr>
      <w:b/>
      <w:caps/>
      <w:szCs w:val="20"/>
    </w:rPr>
  </w:style>
  <w:style w:type="paragraph" w:styleId="Heading4">
    <w:name w:val="heading 4"/>
    <w:basedOn w:val="Normal"/>
    <w:next w:val="CGCNumberedPara"/>
    <w:link w:val="Heading4Char"/>
    <w:qFormat/>
    <w:rsid w:val="00F9170D"/>
    <w:pPr>
      <w:keepNext/>
      <w:tabs>
        <w:tab w:val="clear" w:pos="567"/>
      </w:tabs>
      <w:spacing w:before="300" w:after="40" w:line="240" w:lineRule="auto"/>
      <w:outlineLvl w:val="3"/>
    </w:pPr>
    <w:rPr>
      <w:b/>
      <w:szCs w:val="20"/>
    </w:rPr>
  </w:style>
  <w:style w:type="paragraph" w:styleId="Heading5">
    <w:name w:val="heading 5"/>
    <w:basedOn w:val="Normal"/>
    <w:next w:val="CGCNumberedPara"/>
    <w:link w:val="Heading5Char"/>
    <w:qFormat/>
    <w:rsid w:val="003A27BB"/>
    <w:pPr>
      <w:keepNext/>
      <w:tabs>
        <w:tab w:val="clear" w:pos="567"/>
      </w:tabs>
      <w:spacing w:before="180" w:after="40" w:line="240" w:lineRule="auto"/>
      <w:outlineLvl w:val="4"/>
    </w:pPr>
    <w:rPr>
      <w:b/>
      <w:szCs w:val="20"/>
    </w:rPr>
  </w:style>
  <w:style w:type="paragraph" w:styleId="Heading6">
    <w:name w:val="heading 6"/>
    <w:aliases w:val="(Not In Use), Section heading"/>
    <w:basedOn w:val="Normal"/>
    <w:next w:val="Heading2"/>
    <w:semiHidden/>
    <w:rsid w:val="00765BA8"/>
    <w:pPr>
      <w:keepNext/>
      <w:numPr>
        <w:ilvl w:val="5"/>
        <w:numId w:val="17"/>
      </w:numPr>
      <w:spacing w:before="300" w:after="40" w:line="240" w:lineRule="auto"/>
      <w:outlineLvl w:val="5"/>
    </w:pPr>
    <w:rPr>
      <w:b/>
      <w:iCs/>
      <w:szCs w:val="20"/>
    </w:rPr>
  </w:style>
  <w:style w:type="paragraph" w:styleId="Heading7">
    <w:name w:val="heading 7"/>
    <w:aliases w:val="(Do Not Use),top section heading,(TopSection)"/>
    <w:basedOn w:val="Normal"/>
    <w:next w:val="Heading2"/>
    <w:semiHidden/>
    <w:rsid w:val="00765BA8"/>
    <w:pPr>
      <w:keepNext/>
      <w:numPr>
        <w:ilvl w:val="6"/>
        <w:numId w:val="17"/>
      </w:numPr>
      <w:spacing w:after="40" w:line="240" w:lineRule="auto"/>
      <w:outlineLvl w:val="6"/>
    </w:pPr>
    <w:rPr>
      <w:b/>
      <w:iCs/>
      <w:szCs w:val="20"/>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765BA8"/>
    <w:rPr>
      <w:rFonts w:ascii="Tahoma" w:hAnsi="Tahoma" w:cs="Tahoma"/>
      <w:sz w:val="16"/>
      <w:szCs w:val="16"/>
    </w:rPr>
  </w:style>
  <w:style w:type="paragraph" w:styleId="Caption">
    <w:name w:val="caption"/>
    <w:basedOn w:val="Normal"/>
    <w:next w:val="Normal"/>
    <w:link w:val="CaptionChar"/>
    <w:rsid w:val="00F9170D"/>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
    <w:qFormat/>
    <w:rsid w:val="00B317E7"/>
    <w:pPr>
      <w:numPr>
        <w:numId w:val="10"/>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BB3FC5"/>
    <w:pPr>
      <w:numPr>
        <w:numId w:val="11"/>
      </w:numPr>
      <w:tabs>
        <w:tab w:val="clear" w:pos="567"/>
      </w:tabs>
      <w:spacing w:line="300" w:lineRule="atLeast"/>
      <w:ind w:left="2268" w:hanging="567"/>
    </w:pPr>
    <w:rPr>
      <w:szCs w:val="20"/>
    </w:rPr>
  </w:style>
  <w:style w:type="paragraph" w:customStyle="1" w:styleId="CGCNumberedPara">
    <w:name w:val="CGC Numbered Para"/>
    <w:aliases w:val="CGC Para No"/>
    <w:basedOn w:val="Normal"/>
    <w:link w:val="CGCParaNoChar"/>
    <w:qFormat/>
    <w:rsid w:val="00F9170D"/>
    <w:pPr>
      <w:numPr>
        <w:ilvl w:val="1"/>
        <w:numId w:val="26"/>
      </w:numPr>
      <w:spacing w:before="120"/>
    </w:pPr>
  </w:style>
  <w:style w:type="paragraph" w:customStyle="1" w:styleId="CGCQuotation">
    <w:name w:val="CGC Quotation"/>
    <w:basedOn w:val="Normal"/>
    <w:next w:val="CGCNumberedPara"/>
    <w:rsid w:val="003A27BB"/>
    <w:pPr>
      <w:tabs>
        <w:tab w:val="clear" w:pos="567"/>
      </w:tabs>
      <w:spacing w:before="120" w:after="120" w:line="240" w:lineRule="auto"/>
      <w:ind w:left="1134" w:right="1134"/>
    </w:pPr>
    <w:rPr>
      <w:sz w:val="22"/>
    </w:rPr>
  </w:style>
  <w:style w:type="paragraph" w:customStyle="1" w:styleId="CGCSubbulletlist">
    <w:name w:val="CGC Sub bullet list"/>
    <w:aliases w:val="CGC List 2"/>
    <w:basedOn w:val="Normal"/>
    <w:qFormat/>
    <w:rsid w:val="00B317E7"/>
    <w:pPr>
      <w:numPr>
        <w:numId w:val="13"/>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172F3A"/>
    <w:pPr>
      <w:numPr>
        <w:numId w:val="19"/>
      </w:numPr>
      <w:ind w:right="1134"/>
    </w:pPr>
    <w:rPr>
      <w:sz w:val="22"/>
    </w:rPr>
  </w:style>
  <w:style w:type="paragraph" w:customStyle="1" w:styleId="CGCTableFootnote">
    <w:name w:val="CGC Table Footnote"/>
    <w:basedOn w:val="CGCNumberedPara"/>
    <w:next w:val="NoSpacing"/>
    <w:link w:val="CGCTableFootnoteChar"/>
    <w:qFormat/>
    <w:rsid w:val="00172F3A"/>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C035B5"/>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TableRowNormal"/>
    <w:rsid w:val="00F9170D"/>
    <w:pPr>
      <w:tabs>
        <w:tab w:val="clear" w:pos="475"/>
        <w:tab w:val="clear" w:pos="1440"/>
        <w:tab w:val="clear" w:pos="2160"/>
        <w:tab w:val="clear" w:pos="2880"/>
        <w:tab w:val="left" w:pos="284"/>
      </w:tabs>
      <w:ind w:left="0" w:firstLine="0"/>
      <w:jc w:val="left"/>
    </w:p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rsid w:val="00765BA8"/>
    <w:pPr>
      <w:tabs>
        <w:tab w:val="center" w:pos="4153"/>
        <w:tab w:val="right" w:pos="8306"/>
      </w:tabs>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rsid w:val="00765BA8"/>
    <w:pPr>
      <w:spacing w:after="0" w:line="240" w:lineRule="auto"/>
      <w:ind w:left="567" w:hanging="567"/>
    </w:pPr>
    <w:rPr>
      <w:sz w:val="20"/>
      <w:szCs w:val="20"/>
    </w:rPr>
  </w:style>
  <w:style w:type="paragraph" w:styleId="Header">
    <w:name w:val="header"/>
    <w:basedOn w:val="Normal"/>
    <w:link w:val="HeaderChar"/>
    <w:rsid w:val="00C11ABD"/>
    <w:pPr>
      <w:tabs>
        <w:tab w:val="clear" w:pos="567"/>
      </w:tabs>
    </w:pPr>
    <w:rPr>
      <w:b/>
    </w:r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rsid w:val="00212948"/>
    <w:pPr>
      <w:tabs>
        <w:tab w:val="left" w:pos="1418"/>
        <w:tab w:val="left" w:pos="2268"/>
        <w:tab w:val="left" w:pos="2835"/>
      </w:tabs>
      <w:spacing w:after="80" w:line="3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rsid w:val="00996409"/>
    <w:pPr>
      <w:tabs>
        <w:tab w:val="clear" w:pos="567"/>
        <w:tab w:val="right" w:pos="8942"/>
      </w:tabs>
      <w:spacing w:before="120" w:after="120"/>
    </w:pPr>
    <w:rPr>
      <w:b/>
      <w:bCs/>
      <w:caps/>
      <w:szCs w:val="20"/>
    </w:rPr>
  </w:style>
  <w:style w:type="paragraph" w:styleId="TOC2">
    <w:name w:val="toc 2"/>
    <w:basedOn w:val="Normal"/>
    <w:next w:val="Normal"/>
    <w:rsid w:val="006A72B0"/>
    <w:pPr>
      <w:tabs>
        <w:tab w:val="clear" w:pos="567"/>
        <w:tab w:val="right" w:pos="8942"/>
      </w:tabs>
      <w:spacing w:after="0"/>
      <w:ind w:left="851"/>
    </w:pPr>
    <w:rPr>
      <w:szCs w:val="20"/>
    </w:rPr>
  </w:style>
  <w:style w:type="paragraph" w:styleId="TOC3">
    <w:name w:val="toc 3"/>
    <w:basedOn w:val="Normal"/>
    <w:next w:val="Normal"/>
    <w:rsid w:val="00996409"/>
    <w:pPr>
      <w:tabs>
        <w:tab w:val="clear" w:pos="567"/>
        <w:tab w:val="right" w:pos="8942"/>
      </w:tabs>
      <w:spacing w:after="0"/>
      <w:ind w:left="567"/>
    </w:pPr>
    <w:rPr>
      <w:iCs/>
      <w:caps/>
      <w:szCs w:val="22"/>
    </w:rPr>
  </w:style>
  <w:style w:type="paragraph" w:styleId="TOC4">
    <w:name w:val="toc 4"/>
    <w:basedOn w:val="Normal"/>
    <w:next w:val="Normal"/>
    <w:rsid w:val="00996409"/>
    <w:pPr>
      <w:tabs>
        <w:tab w:val="clear" w:pos="567"/>
        <w:tab w:val="right" w:pos="8942"/>
      </w:tabs>
      <w:spacing w:after="0"/>
      <w:ind w:left="1134"/>
    </w:pPr>
    <w:rPr>
      <w:szCs w:val="22"/>
    </w:r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rsid w:val="00F9170D"/>
    <w:rPr>
      <w:rFonts w:ascii="Times New Roman" w:hAnsi="Times New Roman" w:cs="Arial"/>
      <w:b/>
      <w:bCs/>
      <w:caps/>
      <w:sz w:val="40"/>
      <w:szCs w:val="32"/>
      <w:lang w:eastAsia="en-US"/>
    </w:rPr>
  </w:style>
  <w:style w:type="character" w:customStyle="1" w:styleId="Heading2Char">
    <w:name w:val="Heading 2 Char"/>
    <w:basedOn w:val="DefaultParagraphFont"/>
    <w:link w:val="Heading2"/>
    <w:rsid w:val="003A27BB"/>
    <w:rPr>
      <w:b/>
      <w:caps/>
      <w:color w:val="808080" w:themeColor="background1" w:themeShade="80"/>
      <w:sz w:val="40"/>
      <w:szCs w:val="40"/>
    </w:rPr>
  </w:style>
  <w:style w:type="character" w:customStyle="1" w:styleId="Heading3Char">
    <w:name w:val="Heading 3 Char"/>
    <w:basedOn w:val="DefaultParagraphFont"/>
    <w:link w:val="Heading3"/>
    <w:rsid w:val="00F9170D"/>
    <w:rPr>
      <w:rFonts w:ascii="Times New Roman" w:hAnsi="Times New Roman"/>
      <w:b/>
      <w:caps/>
      <w:szCs w:val="20"/>
      <w:lang w:eastAsia="en-US"/>
    </w:rPr>
  </w:style>
  <w:style w:type="character" w:customStyle="1" w:styleId="Heading4Char">
    <w:name w:val="Heading 4 Char"/>
    <w:basedOn w:val="DefaultParagraphFont"/>
    <w:link w:val="Heading4"/>
    <w:rsid w:val="00F9170D"/>
    <w:rPr>
      <w:rFonts w:ascii="Times New Roman" w:hAnsi="Times New Roman"/>
      <w:b/>
      <w:szCs w:val="20"/>
      <w:lang w:eastAsia="en-US"/>
    </w:rPr>
  </w:style>
  <w:style w:type="character" w:customStyle="1" w:styleId="Heading5Char">
    <w:name w:val="Heading 5 Char"/>
    <w:basedOn w:val="DefaultParagraphFont"/>
    <w:link w:val="Heading5"/>
    <w:rsid w:val="003A27BB"/>
    <w:rPr>
      <w:b/>
      <w:sz w:val="24"/>
      <w:szCs w:val="20"/>
    </w:rPr>
  </w:style>
  <w:style w:type="paragraph" w:styleId="NoSpacing">
    <w:name w:val="No Spacing"/>
    <w:basedOn w:val="Normal"/>
    <w:next w:val="Normal"/>
    <w:link w:val="NoSpacingChar"/>
    <w:uiPriority w:val="1"/>
    <w:qFormat/>
    <w:rsid w:val="00F9170D"/>
    <w:pPr>
      <w:spacing w:after="0" w:line="240" w:lineRule="auto"/>
    </w:pPr>
  </w:style>
  <w:style w:type="character" w:customStyle="1" w:styleId="NoSpacingChar">
    <w:name w:val="No Spacing Char"/>
    <w:basedOn w:val="DefaultParagraphFont"/>
    <w:link w:val="NoSpacing"/>
    <w:uiPriority w:val="1"/>
    <w:rsid w:val="00F9170D"/>
    <w:rPr>
      <w:rFonts w:ascii="Times New Roman" w:hAnsi="Times New Roman"/>
      <w:szCs w:val="24"/>
      <w:lang w:eastAsia="en-US"/>
    </w:rPr>
  </w:style>
  <w:style w:type="paragraph" w:styleId="ListParagraph">
    <w:name w:val="List Paragraph"/>
    <w:basedOn w:val="Normal"/>
    <w:uiPriority w:val="34"/>
    <w:qFormat/>
    <w:rsid w:val="00622FE1"/>
    <w:pPr>
      <w:tabs>
        <w:tab w:val="clear" w:pos="567"/>
      </w:tabs>
      <w:spacing w:line="300" w:lineRule="atLeast"/>
      <w:ind w:left="1134"/>
    </w:pPr>
  </w:style>
  <w:style w:type="paragraph" w:styleId="TOCHeading">
    <w:name w:val="TOC Heading"/>
    <w:basedOn w:val="Heading1"/>
    <w:next w:val="Normal"/>
    <w:uiPriority w:val="39"/>
    <w:semiHidden/>
    <w:unhideWhenUsed/>
    <w:qFormat/>
    <w:rsid w:val="00F9170D"/>
    <w:pPr>
      <w:keepLines/>
      <w:pBdr>
        <w:bottom w:val="none" w:sz="0" w:space="0" w:color="auto"/>
      </w:pBdr>
      <w:tabs>
        <w:tab w:val="left" w:pos="567"/>
      </w:tabs>
      <w:spacing w:before="480" w:after="0" w:line="320" w:lineRule="atLeast"/>
      <w:outlineLvl w:val="9"/>
    </w:pPr>
    <w:rPr>
      <w:rFonts w:asciiTheme="majorHAnsi" w:eastAsiaTheme="majorEastAsia" w:hAnsiTheme="majorHAnsi" w:cstheme="majorBidi"/>
      <w:caps w:val="0"/>
      <w:color w:val="365F91" w:themeColor="accent1" w:themeShade="BF"/>
      <w:sz w:val="28"/>
      <w:szCs w:val="28"/>
    </w:rPr>
  </w:style>
  <w:style w:type="character" w:customStyle="1" w:styleId="FooterChar">
    <w:name w:val="Footer Char"/>
    <w:basedOn w:val="DefaultParagraphFont"/>
    <w:link w:val="Footer"/>
    <w:uiPriority w:val="99"/>
    <w:rsid w:val="00740A71"/>
    <w:rPr>
      <w:rFonts w:ascii="Times New Roman" w:hAnsi="Times New Roman"/>
      <w:szCs w:val="24"/>
    </w:rPr>
  </w:style>
  <w:style w:type="character" w:customStyle="1" w:styleId="HeaderChar">
    <w:name w:val="Header Char"/>
    <w:basedOn w:val="DefaultParagraphFont"/>
    <w:link w:val="Header"/>
    <w:rsid w:val="00C11ABD"/>
    <w:rPr>
      <w:b/>
      <w:sz w:val="24"/>
      <w:szCs w:val="24"/>
    </w:rPr>
  </w:style>
  <w:style w:type="paragraph" w:customStyle="1" w:styleId="CGCDataCaption">
    <w:name w:val="CGC Data Caption"/>
    <w:basedOn w:val="CGCTableFootnote"/>
    <w:next w:val="NoSpacing"/>
    <w:link w:val="DataCaptionChar"/>
    <w:qFormat/>
    <w:rsid w:val="003A27BB"/>
  </w:style>
  <w:style w:type="character" w:customStyle="1" w:styleId="CaptionChar">
    <w:name w:val="Caption Char"/>
    <w:basedOn w:val="DefaultParagraphFont"/>
    <w:link w:val="Caption"/>
    <w:rsid w:val="00331401"/>
    <w:rPr>
      <w:b/>
      <w:bCs/>
      <w:sz w:val="24"/>
      <w:szCs w:val="20"/>
    </w:rPr>
  </w:style>
  <w:style w:type="character" w:customStyle="1" w:styleId="DataCaptionChar">
    <w:name w:val="Data Caption Char"/>
    <w:basedOn w:val="CaptionChar"/>
    <w:link w:val="CGCDataCaption"/>
    <w:rsid w:val="00331401"/>
    <w:rPr>
      <w:b/>
      <w:bCs/>
      <w:sz w:val="24"/>
      <w:szCs w:val="20"/>
    </w:rPr>
  </w:style>
  <w:style w:type="character" w:customStyle="1" w:styleId="CGCParaNoChar">
    <w:name w:val="CGC Para No Char"/>
    <w:aliases w:val="CGC Numbered Para Char"/>
    <w:basedOn w:val="DefaultParagraphFont"/>
    <w:link w:val="CGCNumberedPara"/>
    <w:locked/>
    <w:rsid w:val="00322DBB"/>
    <w:rPr>
      <w:sz w:val="24"/>
      <w:szCs w:val="24"/>
    </w:rPr>
  </w:style>
  <w:style w:type="character" w:customStyle="1" w:styleId="FootnoteTextChar">
    <w:name w:val="Footnote Text Char"/>
    <w:basedOn w:val="DefaultParagraphFont"/>
    <w:link w:val="FootnoteText"/>
    <w:rsid w:val="00322DBB"/>
    <w:rPr>
      <w:sz w:val="20"/>
      <w:szCs w:val="20"/>
    </w:rPr>
  </w:style>
  <w:style w:type="character" w:customStyle="1" w:styleId="CGCTableFootnoteChar">
    <w:name w:val="CGC Table Footnote Char"/>
    <w:basedOn w:val="DefaultParagraphFont"/>
    <w:link w:val="CGCTableFootnote"/>
    <w:locked/>
    <w:rsid w:val="00322DBB"/>
    <w:rPr>
      <w:sz w:val="20"/>
      <w:szCs w:val="24"/>
    </w:rPr>
  </w:style>
  <w:style w:type="character" w:customStyle="1" w:styleId="CGCBulletlistChar">
    <w:name w:val="CGC Bullet list Char"/>
    <w:aliases w:val="CGC List 1 Char,CGC Bullet list Char1"/>
    <w:basedOn w:val="DefaultParagraphFont"/>
    <w:link w:val="CGCBulletlist"/>
    <w:locked/>
    <w:rsid w:val="0057686F"/>
    <w:rPr>
      <w:sz w:val="24"/>
      <w:szCs w:val="20"/>
    </w:rPr>
  </w:style>
  <w:style w:type="character" w:customStyle="1" w:styleId="CGCTableHeadingChar">
    <w:name w:val="CGC Table Heading Char"/>
    <w:basedOn w:val="DefaultParagraphFont"/>
    <w:link w:val="CGCTableHeading"/>
    <w:locked/>
    <w:rsid w:val="00E34077"/>
    <w:rPr>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footer" w:uiPriority="99"/>
    <w:lsdException w:name="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317E7"/>
    <w:pPr>
      <w:tabs>
        <w:tab w:val="left" w:pos="567"/>
      </w:tabs>
      <w:spacing w:after="80" w:line="320" w:lineRule="atLeast"/>
    </w:pPr>
    <w:rPr>
      <w:sz w:val="24"/>
      <w:szCs w:val="24"/>
    </w:rPr>
  </w:style>
  <w:style w:type="paragraph" w:styleId="Heading1">
    <w:name w:val="heading 1"/>
    <w:basedOn w:val="Normal"/>
    <w:next w:val="Heading2"/>
    <w:link w:val="Heading1Char"/>
    <w:qFormat/>
    <w:rsid w:val="00F9170D"/>
    <w:pPr>
      <w:keepNext/>
      <w:pBdr>
        <w:bottom w:val="single" w:sz="6" w:space="1" w:color="auto"/>
      </w:pBdr>
      <w:tabs>
        <w:tab w:val="clear" w:pos="567"/>
      </w:tabs>
      <w:spacing w:before="2400" w:after="200" w:line="240" w:lineRule="auto"/>
      <w:outlineLvl w:val="0"/>
    </w:pPr>
    <w:rPr>
      <w:rFonts w:cs="Arial"/>
      <w:b/>
      <w:bCs/>
      <w:caps/>
      <w:sz w:val="40"/>
      <w:szCs w:val="32"/>
    </w:rPr>
  </w:style>
  <w:style w:type="paragraph" w:styleId="Heading2">
    <w:name w:val="heading 2"/>
    <w:basedOn w:val="Normal"/>
    <w:next w:val="Heading3"/>
    <w:link w:val="Heading2Char"/>
    <w:qFormat/>
    <w:rsid w:val="003A27BB"/>
    <w:pPr>
      <w:keepNext/>
      <w:tabs>
        <w:tab w:val="clear" w:pos="567"/>
      </w:tabs>
      <w:spacing w:after="720" w:line="240" w:lineRule="auto"/>
      <w:outlineLvl w:val="1"/>
    </w:pPr>
    <w:rPr>
      <w:b/>
      <w:caps/>
      <w:color w:val="808080" w:themeColor="background1" w:themeShade="80"/>
      <w:sz w:val="40"/>
      <w:szCs w:val="40"/>
    </w:rPr>
  </w:style>
  <w:style w:type="paragraph" w:styleId="Heading3">
    <w:name w:val="heading 3"/>
    <w:basedOn w:val="Normal"/>
    <w:next w:val="Heading4"/>
    <w:link w:val="Heading3Char"/>
    <w:qFormat/>
    <w:rsid w:val="00F9170D"/>
    <w:pPr>
      <w:keepNext/>
      <w:tabs>
        <w:tab w:val="clear" w:pos="567"/>
      </w:tabs>
      <w:spacing w:before="600" w:after="200" w:line="240" w:lineRule="auto"/>
      <w:outlineLvl w:val="2"/>
    </w:pPr>
    <w:rPr>
      <w:b/>
      <w:caps/>
      <w:szCs w:val="20"/>
    </w:rPr>
  </w:style>
  <w:style w:type="paragraph" w:styleId="Heading4">
    <w:name w:val="heading 4"/>
    <w:basedOn w:val="Normal"/>
    <w:next w:val="CGCNumberedPara"/>
    <w:link w:val="Heading4Char"/>
    <w:qFormat/>
    <w:rsid w:val="00F9170D"/>
    <w:pPr>
      <w:keepNext/>
      <w:tabs>
        <w:tab w:val="clear" w:pos="567"/>
      </w:tabs>
      <w:spacing w:before="300" w:after="40" w:line="240" w:lineRule="auto"/>
      <w:outlineLvl w:val="3"/>
    </w:pPr>
    <w:rPr>
      <w:b/>
      <w:szCs w:val="20"/>
    </w:rPr>
  </w:style>
  <w:style w:type="paragraph" w:styleId="Heading5">
    <w:name w:val="heading 5"/>
    <w:basedOn w:val="Normal"/>
    <w:next w:val="CGCNumberedPara"/>
    <w:link w:val="Heading5Char"/>
    <w:qFormat/>
    <w:rsid w:val="003A27BB"/>
    <w:pPr>
      <w:keepNext/>
      <w:tabs>
        <w:tab w:val="clear" w:pos="567"/>
      </w:tabs>
      <w:spacing w:before="180" w:after="40" w:line="240" w:lineRule="auto"/>
      <w:outlineLvl w:val="4"/>
    </w:pPr>
    <w:rPr>
      <w:b/>
      <w:szCs w:val="20"/>
    </w:rPr>
  </w:style>
  <w:style w:type="paragraph" w:styleId="Heading6">
    <w:name w:val="heading 6"/>
    <w:aliases w:val="(Not In Use), Section heading"/>
    <w:basedOn w:val="Normal"/>
    <w:next w:val="Heading2"/>
    <w:semiHidden/>
    <w:rsid w:val="00765BA8"/>
    <w:pPr>
      <w:keepNext/>
      <w:numPr>
        <w:ilvl w:val="5"/>
        <w:numId w:val="17"/>
      </w:numPr>
      <w:spacing w:before="300" w:after="40" w:line="240" w:lineRule="auto"/>
      <w:outlineLvl w:val="5"/>
    </w:pPr>
    <w:rPr>
      <w:b/>
      <w:iCs/>
      <w:szCs w:val="20"/>
    </w:rPr>
  </w:style>
  <w:style w:type="paragraph" w:styleId="Heading7">
    <w:name w:val="heading 7"/>
    <w:aliases w:val="(Do Not Use),top section heading,(TopSection)"/>
    <w:basedOn w:val="Normal"/>
    <w:next w:val="Heading2"/>
    <w:semiHidden/>
    <w:rsid w:val="00765BA8"/>
    <w:pPr>
      <w:keepNext/>
      <w:numPr>
        <w:ilvl w:val="6"/>
        <w:numId w:val="17"/>
      </w:numPr>
      <w:spacing w:after="40" w:line="240" w:lineRule="auto"/>
      <w:outlineLvl w:val="6"/>
    </w:pPr>
    <w:rPr>
      <w:b/>
      <w:iCs/>
      <w:szCs w:val="20"/>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765BA8"/>
    <w:rPr>
      <w:rFonts w:ascii="Tahoma" w:hAnsi="Tahoma" w:cs="Tahoma"/>
      <w:sz w:val="16"/>
      <w:szCs w:val="16"/>
    </w:rPr>
  </w:style>
  <w:style w:type="paragraph" w:styleId="Caption">
    <w:name w:val="caption"/>
    <w:basedOn w:val="Normal"/>
    <w:next w:val="Normal"/>
    <w:link w:val="CaptionChar"/>
    <w:rsid w:val="00F9170D"/>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
    <w:qFormat/>
    <w:rsid w:val="00B317E7"/>
    <w:pPr>
      <w:numPr>
        <w:numId w:val="10"/>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BB3FC5"/>
    <w:pPr>
      <w:numPr>
        <w:numId w:val="11"/>
      </w:numPr>
      <w:tabs>
        <w:tab w:val="clear" w:pos="567"/>
      </w:tabs>
      <w:spacing w:line="300" w:lineRule="atLeast"/>
      <w:ind w:left="2268" w:hanging="567"/>
    </w:pPr>
    <w:rPr>
      <w:szCs w:val="20"/>
    </w:rPr>
  </w:style>
  <w:style w:type="paragraph" w:customStyle="1" w:styleId="CGCNumberedPara">
    <w:name w:val="CGC Numbered Para"/>
    <w:aliases w:val="CGC Para No"/>
    <w:basedOn w:val="Normal"/>
    <w:link w:val="CGCParaNoChar"/>
    <w:qFormat/>
    <w:rsid w:val="00F9170D"/>
    <w:pPr>
      <w:numPr>
        <w:ilvl w:val="1"/>
        <w:numId w:val="26"/>
      </w:numPr>
      <w:spacing w:before="120"/>
    </w:pPr>
  </w:style>
  <w:style w:type="paragraph" w:customStyle="1" w:styleId="CGCQuotation">
    <w:name w:val="CGC Quotation"/>
    <w:basedOn w:val="Normal"/>
    <w:next w:val="CGCNumberedPara"/>
    <w:rsid w:val="003A27BB"/>
    <w:pPr>
      <w:tabs>
        <w:tab w:val="clear" w:pos="567"/>
      </w:tabs>
      <w:spacing w:before="120" w:after="120" w:line="240" w:lineRule="auto"/>
      <w:ind w:left="1134" w:right="1134"/>
    </w:pPr>
    <w:rPr>
      <w:sz w:val="22"/>
    </w:rPr>
  </w:style>
  <w:style w:type="paragraph" w:customStyle="1" w:styleId="CGCSubbulletlist">
    <w:name w:val="CGC Sub bullet list"/>
    <w:aliases w:val="CGC List 2"/>
    <w:basedOn w:val="Normal"/>
    <w:qFormat/>
    <w:rsid w:val="00B317E7"/>
    <w:pPr>
      <w:numPr>
        <w:numId w:val="13"/>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172F3A"/>
    <w:pPr>
      <w:numPr>
        <w:numId w:val="19"/>
      </w:numPr>
      <w:ind w:right="1134"/>
    </w:pPr>
    <w:rPr>
      <w:sz w:val="22"/>
    </w:rPr>
  </w:style>
  <w:style w:type="paragraph" w:customStyle="1" w:styleId="CGCTableFootnote">
    <w:name w:val="CGC Table Footnote"/>
    <w:basedOn w:val="CGCNumberedPara"/>
    <w:next w:val="NoSpacing"/>
    <w:link w:val="CGCTableFootnoteChar"/>
    <w:qFormat/>
    <w:rsid w:val="00172F3A"/>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C035B5"/>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TableRowNormal"/>
    <w:rsid w:val="00F9170D"/>
    <w:pPr>
      <w:tabs>
        <w:tab w:val="clear" w:pos="475"/>
        <w:tab w:val="clear" w:pos="1440"/>
        <w:tab w:val="clear" w:pos="2160"/>
        <w:tab w:val="clear" w:pos="2880"/>
        <w:tab w:val="left" w:pos="284"/>
      </w:tabs>
      <w:ind w:left="0" w:firstLine="0"/>
      <w:jc w:val="left"/>
    </w:p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rsid w:val="00765BA8"/>
    <w:pPr>
      <w:tabs>
        <w:tab w:val="center" w:pos="4153"/>
        <w:tab w:val="right" w:pos="8306"/>
      </w:tabs>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rsid w:val="00765BA8"/>
    <w:pPr>
      <w:spacing w:after="0" w:line="240" w:lineRule="auto"/>
      <w:ind w:left="567" w:hanging="567"/>
    </w:pPr>
    <w:rPr>
      <w:sz w:val="20"/>
      <w:szCs w:val="20"/>
    </w:rPr>
  </w:style>
  <w:style w:type="paragraph" w:styleId="Header">
    <w:name w:val="header"/>
    <w:basedOn w:val="Normal"/>
    <w:link w:val="HeaderChar"/>
    <w:rsid w:val="00C11ABD"/>
    <w:pPr>
      <w:tabs>
        <w:tab w:val="clear" w:pos="567"/>
      </w:tabs>
    </w:pPr>
    <w:rPr>
      <w:b/>
    </w:r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rsid w:val="00212948"/>
    <w:pPr>
      <w:tabs>
        <w:tab w:val="left" w:pos="1418"/>
        <w:tab w:val="left" w:pos="2268"/>
        <w:tab w:val="left" w:pos="2835"/>
      </w:tabs>
      <w:spacing w:after="80" w:line="3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rsid w:val="00996409"/>
    <w:pPr>
      <w:tabs>
        <w:tab w:val="clear" w:pos="567"/>
        <w:tab w:val="right" w:pos="8942"/>
      </w:tabs>
      <w:spacing w:before="120" w:after="120"/>
    </w:pPr>
    <w:rPr>
      <w:b/>
      <w:bCs/>
      <w:caps/>
      <w:szCs w:val="20"/>
    </w:rPr>
  </w:style>
  <w:style w:type="paragraph" w:styleId="TOC2">
    <w:name w:val="toc 2"/>
    <w:basedOn w:val="Normal"/>
    <w:next w:val="Normal"/>
    <w:rsid w:val="006A72B0"/>
    <w:pPr>
      <w:tabs>
        <w:tab w:val="clear" w:pos="567"/>
        <w:tab w:val="right" w:pos="8942"/>
      </w:tabs>
      <w:spacing w:after="0"/>
      <w:ind w:left="851"/>
    </w:pPr>
    <w:rPr>
      <w:szCs w:val="20"/>
    </w:rPr>
  </w:style>
  <w:style w:type="paragraph" w:styleId="TOC3">
    <w:name w:val="toc 3"/>
    <w:basedOn w:val="Normal"/>
    <w:next w:val="Normal"/>
    <w:rsid w:val="00996409"/>
    <w:pPr>
      <w:tabs>
        <w:tab w:val="clear" w:pos="567"/>
        <w:tab w:val="right" w:pos="8942"/>
      </w:tabs>
      <w:spacing w:after="0"/>
      <w:ind w:left="567"/>
    </w:pPr>
    <w:rPr>
      <w:iCs/>
      <w:caps/>
      <w:szCs w:val="22"/>
    </w:rPr>
  </w:style>
  <w:style w:type="paragraph" w:styleId="TOC4">
    <w:name w:val="toc 4"/>
    <w:basedOn w:val="Normal"/>
    <w:next w:val="Normal"/>
    <w:rsid w:val="00996409"/>
    <w:pPr>
      <w:tabs>
        <w:tab w:val="clear" w:pos="567"/>
        <w:tab w:val="right" w:pos="8942"/>
      </w:tabs>
      <w:spacing w:after="0"/>
      <w:ind w:left="1134"/>
    </w:pPr>
    <w:rPr>
      <w:szCs w:val="22"/>
    </w:r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rsid w:val="00F9170D"/>
    <w:rPr>
      <w:rFonts w:ascii="Times New Roman" w:hAnsi="Times New Roman" w:cs="Arial"/>
      <w:b/>
      <w:bCs/>
      <w:caps/>
      <w:sz w:val="40"/>
      <w:szCs w:val="32"/>
      <w:lang w:eastAsia="en-US"/>
    </w:rPr>
  </w:style>
  <w:style w:type="character" w:customStyle="1" w:styleId="Heading2Char">
    <w:name w:val="Heading 2 Char"/>
    <w:basedOn w:val="DefaultParagraphFont"/>
    <w:link w:val="Heading2"/>
    <w:rsid w:val="003A27BB"/>
    <w:rPr>
      <w:b/>
      <w:caps/>
      <w:color w:val="808080" w:themeColor="background1" w:themeShade="80"/>
      <w:sz w:val="40"/>
      <w:szCs w:val="40"/>
    </w:rPr>
  </w:style>
  <w:style w:type="character" w:customStyle="1" w:styleId="Heading3Char">
    <w:name w:val="Heading 3 Char"/>
    <w:basedOn w:val="DefaultParagraphFont"/>
    <w:link w:val="Heading3"/>
    <w:rsid w:val="00F9170D"/>
    <w:rPr>
      <w:rFonts w:ascii="Times New Roman" w:hAnsi="Times New Roman"/>
      <w:b/>
      <w:caps/>
      <w:szCs w:val="20"/>
      <w:lang w:eastAsia="en-US"/>
    </w:rPr>
  </w:style>
  <w:style w:type="character" w:customStyle="1" w:styleId="Heading4Char">
    <w:name w:val="Heading 4 Char"/>
    <w:basedOn w:val="DefaultParagraphFont"/>
    <w:link w:val="Heading4"/>
    <w:rsid w:val="00F9170D"/>
    <w:rPr>
      <w:rFonts w:ascii="Times New Roman" w:hAnsi="Times New Roman"/>
      <w:b/>
      <w:szCs w:val="20"/>
      <w:lang w:eastAsia="en-US"/>
    </w:rPr>
  </w:style>
  <w:style w:type="character" w:customStyle="1" w:styleId="Heading5Char">
    <w:name w:val="Heading 5 Char"/>
    <w:basedOn w:val="DefaultParagraphFont"/>
    <w:link w:val="Heading5"/>
    <w:rsid w:val="003A27BB"/>
    <w:rPr>
      <w:b/>
      <w:sz w:val="24"/>
      <w:szCs w:val="20"/>
    </w:rPr>
  </w:style>
  <w:style w:type="paragraph" w:styleId="NoSpacing">
    <w:name w:val="No Spacing"/>
    <w:basedOn w:val="Normal"/>
    <w:next w:val="Normal"/>
    <w:link w:val="NoSpacingChar"/>
    <w:uiPriority w:val="1"/>
    <w:qFormat/>
    <w:rsid w:val="00F9170D"/>
    <w:pPr>
      <w:spacing w:after="0" w:line="240" w:lineRule="auto"/>
    </w:pPr>
  </w:style>
  <w:style w:type="character" w:customStyle="1" w:styleId="NoSpacingChar">
    <w:name w:val="No Spacing Char"/>
    <w:basedOn w:val="DefaultParagraphFont"/>
    <w:link w:val="NoSpacing"/>
    <w:uiPriority w:val="1"/>
    <w:rsid w:val="00F9170D"/>
    <w:rPr>
      <w:rFonts w:ascii="Times New Roman" w:hAnsi="Times New Roman"/>
      <w:szCs w:val="24"/>
      <w:lang w:eastAsia="en-US"/>
    </w:rPr>
  </w:style>
  <w:style w:type="paragraph" w:styleId="ListParagraph">
    <w:name w:val="List Paragraph"/>
    <w:basedOn w:val="Normal"/>
    <w:uiPriority w:val="34"/>
    <w:qFormat/>
    <w:rsid w:val="00622FE1"/>
    <w:pPr>
      <w:tabs>
        <w:tab w:val="clear" w:pos="567"/>
      </w:tabs>
      <w:spacing w:line="300" w:lineRule="atLeast"/>
      <w:ind w:left="1134"/>
    </w:pPr>
  </w:style>
  <w:style w:type="paragraph" w:styleId="TOCHeading">
    <w:name w:val="TOC Heading"/>
    <w:basedOn w:val="Heading1"/>
    <w:next w:val="Normal"/>
    <w:uiPriority w:val="39"/>
    <w:semiHidden/>
    <w:unhideWhenUsed/>
    <w:qFormat/>
    <w:rsid w:val="00F9170D"/>
    <w:pPr>
      <w:keepLines/>
      <w:pBdr>
        <w:bottom w:val="none" w:sz="0" w:space="0" w:color="auto"/>
      </w:pBdr>
      <w:tabs>
        <w:tab w:val="left" w:pos="567"/>
      </w:tabs>
      <w:spacing w:before="480" w:after="0" w:line="320" w:lineRule="atLeast"/>
      <w:outlineLvl w:val="9"/>
    </w:pPr>
    <w:rPr>
      <w:rFonts w:asciiTheme="majorHAnsi" w:eastAsiaTheme="majorEastAsia" w:hAnsiTheme="majorHAnsi" w:cstheme="majorBidi"/>
      <w:caps w:val="0"/>
      <w:color w:val="365F91" w:themeColor="accent1" w:themeShade="BF"/>
      <w:sz w:val="28"/>
      <w:szCs w:val="28"/>
    </w:rPr>
  </w:style>
  <w:style w:type="character" w:customStyle="1" w:styleId="FooterChar">
    <w:name w:val="Footer Char"/>
    <w:basedOn w:val="DefaultParagraphFont"/>
    <w:link w:val="Footer"/>
    <w:uiPriority w:val="99"/>
    <w:rsid w:val="00740A71"/>
    <w:rPr>
      <w:rFonts w:ascii="Times New Roman" w:hAnsi="Times New Roman"/>
      <w:szCs w:val="24"/>
    </w:rPr>
  </w:style>
  <w:style w:type="character" w:customStyle="1" w:styleId="HeaderChar">
    <w:name w:val="Header Char"/>
    <w:basedOn w:val="DefaultParagraphFont"/>
    <w:link w:val="Header"/>
    <w:rsid w:val="00C11ABD"/>
    <w:rPr>
      <w:b/>
      <w:sz w:val="24"/>
      <w:szCs w:val="24"/>
    </w:rPr>
  </w:style>
  <w:style w:type="paragraph" w:customStyle="1" w:styleId="CGCDataCaption">
    <w:name w:val="CGC Data Caption"/>
    <w:basedOn w:val="CGCTableFootnote"/>
    <w:next w:val="NoSpacing"/>
    <w:link w:val="DataCaptionChar"/>
    <w:qFormat/>
    <w:rsid w:val="003A27BB"/>
  </w:style>
  <w:style w:type="character" w:customStyle="1" w:styleId="CaptionChar">
    <w:name w:val="Caption Char"/>
    <w:basedOn w:val="DefaultParagraphFont"/>
    <w:link w:val="Caption"/>
    <w:rsid w:val="00331401"/>
    <w:rPr>
      <w:b/>
      <w:bCs/>
      <w:sz w:val="24"/>
      <w:szCs w:val="20"/>
    </w:rPr>
  </w:style>
  <w:style w:type="character" w:customStyle="1" w:styleId="DataCaptionChar">
    <w:name w:val="Data Caption Char"/>
    <w:basedOn w:val="CaptionChar"/>
    <w:link w:val="CGCDataCaption"/>
    <w:rsid w:val="00331401"/>
    <w:rPr>
      <w:b/>
      <w:bCs/>
      <w:sz w:val="24"/>
      <w:szCs w:val="20"/>
    </w:rPr>
  </w:style>
  <w:style w:type="character" w:customStyle="1" w:styleId="CGCParaNoChar">
    <w:name w:val="CGC Para No Char"/>
    <w:aliases w:val="CGC Numbered Para Char"/>
    <w:basedOn w:val="DefaultParagraphFont"/>
    <w:link w:val="CGCNumberedPara"/>
    <w:locked/>
    <w:rsid w:val="00322DBB"/>
    <w:rPr>
      <w:sz w:val="24"/>
      <w:szCs w:val="24"/>
    </w:rPr>
  </w:style>
  <w:style w:type="character" w:customStyle="1" w:styleId="FootnoteTextChar">
    <w:name w:val="Footnote Text Char"/>
    <w:basedOn w:val="DefaultParagraphFont"/>
    <w:link w:val="FootnoteText"/>
    <w:rsid w:val="00322DBB"/>
    <w:rPr>
      <w:sz w:val="20"/>
      <w:szCs w:val="20"/>
    </w:rPr>
  </w:style>
  <w:style w:type="character" w:customStyle="1" w:styleId="CGCTableFootnoteChar">
    <w:name w:val="CGC Table Footnote Char"/>
    <w:basedOn w:val="DefaultParagraphFont"/>
    <w:link w:val="CGCTableFootnote"/>
    <w:locked/>
    <w:rsid w:val="00322DBB"/>
    <w:rPr>
      <w:sz w:val="20"/>
      <w:szCs w:val="24"/>
    </w:rPr>
  </w:style>
  <w:style w:type="character" w:customStyle="1" w:styleId="CGCBulletlistChar">
    <w:name w:val="CGC Bullet list Char"/>
    <w:aliases w:val="CGC List 1 Char,CGC Bullet list Char1"/>
    <w:basedOn w:val="DefaultParagraphFont"/>
    <w:link w:val="CGCBulletlist"/>
    <w:locked/>
    <w:rsid w:val="0057686F"/>
    <w:rPr>
      <w:sz w:val="24"/>
      <w:szCs w:val="20"/>
    </w:rPr>
  </w:style>
  <w:style w:type="character" w:customStyle="1" w:styleId="CGCTableHeadingChar">
    <w:name w:val="CGC Table Heading Char"/>
    <w:basedOn w:val="DefaultParagraphFont"/>
    <w:link w:val="CGCTableHeading"/>
    <w:locked/>
    <w:rsid w:val="00E34077"/>
    <w:rPr>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2897">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95884643">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caepr.anu.edu.au/Publications/WP/2009WP50.php"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58799-44FA-43EE-8E4C-BD95853E3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1500</Words>
  <Characters>8117</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Tim Carlton</dc:creator>
  <cp:lastModifiedBy>Jacob Fell</cp:lastModifiedBy>
  <cp:revision>2</cp:revision>
  <cp:lastPrinted>2013-08-21T01:24:00Z</cp:lastPrinted>
  <dcterms:created xsi:type="dcterms:W3CDTF">2013-08-27T04:09:00Z</dcterms:created>
  <dcterms:modified xsi:type="dcterms:W3CDTF">2013-08-27T04:09:00Z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-1499026915</vt:i4>
  </property>
  <property fmtid="{D5CDD505-2E9C-101B-9397-08002B2CF9AE}" pid="3" name="_NewReviewCycle">
    <vt:lpwstr/>
  </property>
  <property fmtid="{D5CDD505-2E9C-101B-9397-08002B2CF9AE}" pid="4" name="_EmailSubject">
    <vt:lpwstr>Appropriately assessing the Indigenous </vt:lpwstr>
  </property>
  <property fmtid="{D5CDD505-2E9C-101B-9397-08002B2CF9AE}" pid="5" name="_AuthorEmail">
    <vt:lpwstr>Tim.Carlton@cgc.gov.au</vt:lpwstr>
  </property>
  <property fmtid="{D5CDD505-2E9C-101B-9397-08002B2CF9AE}" pid="6" name="_AuthorEmailDisplayName">
    <vt:lpwstr>Tim Carlton</vt:lpwstr>
  </property>
  <property fmtid="{D5CDD505-2E9C-101B-9397-08002B2CF9AE}" pid="7" name="_ReviewingToolsShownOnce">
    <vt:lpwstr/>
  </property>
</Properties>
</file>