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4D" w:rsidRPr="00970E6D" w:rsidRDefault="00BE794D" w:rsidP="00BE794D">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26F84224" wp14:editId="1D0E3672">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r w:rsidRPr="00970E6D">
        <w:rPr>
          <w:b/>
          <w:sz w:val="40"/>
          <w:szCs w:val="40"/>
        </w:rPr>
        <w:t>2015 REVIEW</w:t>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F65E52" w:rsidP="00BE794D">
      <w:pPr>
        <w:tabs>
          <w:tab w:val="clear" w:pos="567"/>
        </w:tabs>
        <w:jc w:val="center"/>
        <w:rPr>
          <w:bCs/>
          <w:sz w:val="40"/>
          <w:szCs w:val="40"/>
        </w:rPr>
      </w:pPr>
      <w:bookmarkStart w:id="6" w:name="_Toc106708731"/>
      <w:r>
        <w:rPr>
          <w:b/>
          <w:sz w:val="40"/>
          <w:szCs w:val="40"/>
        </w:rPr>
        <w:t>SIMPLIFYING THE INTERSTATE WAGES REGRESSION MODEL</w:t>
      </w:r>
      <w:bookmarkEnd w:id="6"/>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r w:rsidRPr="00970E6D">
        <w:rPr>
          <w:b/>
          <w:sz w:val="40"/>
          <w:szCs w:val="40"/>
        </w:rPr>
        <w:t>STAFF DISCUSSION PAPER</w:t>
      </w:r>
      <w:r w:rsidRPr="00970E6D">
        <w:rPr>
          <w:b/>
          <w:sz w:val="40"/>
          <w:szCs w:val="40"/>
        </w:rPr>
        <w:br/>
        <w:t>CGC 201</w:t>
      </w:r>
      <w:r w:rsidR="00F65E52">
        <w:rPr>
          <w:b/>
          <w:sz w:val="40"/>
          <w:szCs w:val="40"/>
        </w:rPr>
        <w:t>4</w:t>
      </w:r>
      <w:r w:rsidRPr="00970E6D">
        <w:rPr>
          <w:b/>
          <w:sz w:val="40"/>
          <w:szCs w:val="40"/>
        </w:rPr>
        <w:t>-</w:t>
      </w:r>
      <w:r w:rsidR="00F65E52">
        <w:rPr>
          <w:b/>
          <w:sz w:val="40"/>
          <w:szCs w:val="40"/>
        </w:rPr>
        <w:t>01-S</w:t>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sz w:val="40"/>
          <w:szCs w:val="40"/>
        </w:rPr>
      </w:pPr>
    </w:p>
    <w:p w:rsidR="00BE794D" w:rsidRPr="00970E6D" w:rsidRDefault="00F65E52" w:rsidP="00BE794D">
      <w:pPr>
        <w:tabs>
          <w:tab w:val="clear" w:pos="567"/>
        </w:tabs>
        <w:jc w:val="right"/>
        <w:rPr>
          <w:b/>
          <w:sz w:val="28"/>
          <w:szCs w:val="28"/>
        </w:rPr>
      </w:pPr>
      <w:r>
        <w:rPr>
          <w:b/>
          <w:sz w:val="28"/>
          <w:szCs w:val="28"/>
        </w:rPr>
        <w:t>MARCH 2014</w:t>
      </w: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E101D4">
          <w:footerReference w:type="default" r:id="rId10"/>
          <w:footerReference w:type="first" r:id="rId11"/>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Pr>
      <w:tblGrid>
        <w:gridCol w:w="2943"/>
        <w:gridCol w:w="6224"/>
      </w:tblGrid>
      <w:tr w:rsidR="00BE794D" w:rsidRPr="00970E6D" w:rsidTr="00A938E1">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A938E1">
            <w:pPr>
              <w:tabs>
                <w:tab w:val="clear" w:pos="567"/>
                <w:tab w:val="clear" w:pos="1418"/>
                <w:tab w:val="clear" w:pos="2268"/>
                <w:tab w:val="clear" w:pos="2835"/>
              </w:tabs>
            </w:pPr>
            <w:r w:rsidRPr="00970E6D">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rsidR="00BE794D" w:rsidRPr="00970E6D" w:rsidRDefault="00150516" w:rsidP="00150516">
            <w:pPr>
              <w:tabs>
                <w:tab w:val="clear" w:pos="567"/>
                <w:tab w:val="clear" w:pos="1418"/>
                <w:tab w:val="clear" w:pos="2268"/>
                <w:tab w:val="clear" w:pos="2835"/>
              </w:tabs>
            </w:pPr>
            <w:r>
              <w:t>27</w:t>
            </w:r>
            <w:r w:rsidR="00BE794D" w:rsidRPr="00970E6D">
              <w:t xml:space="preserve"> </w:t>
            </w:r>
            <w:r>
              <w:t>March</w:t>
            </w:r>
            <w:r w:rsidR="00BE794D" w:rsidRPr="00970E6D">
              <w:t xml:space="preserve"> 20</w:t>
            </w:r>
            <w:r>
              <w:t>14</w:t>
            </w:r>
            <w:r w:rsidR="00BE794D" w:rsidRPr="00970E6D">
              <w:t>x</w:t>
            </w:r>
          </w:p>
        </w:tc>
      </w:tr>
      <w:tr w:rsidR="00BE794D" w:rsidRPr="00970E6D" w:rsidTr="00A938E1">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A938E1">
            <w:pPr>
              <w:tabs>
                <w:tab w:val="clear" w:pos="567"/>
                <w:tab w:val="clear" w:pos="1418"/>
                <w:tab w:val="clear" w:pos="2268"/>
                <w:tab w:val="clear" w:pos="2835"/>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BE794D" w:rsidRPr="00970E6D" w:rsidRDefault="00150516" w:rsidP="00150516">
            <w:pPr>
              <w:tabs>
                <w:tab w:val="clear" w:pos="567"/>
                <w:tab w:val="clear" w:pos="1418"/>
                <w:tab w:val="clear" w:pos="2268"/>
                <w:tab w:val="clear" w:pos="2835"/>
              </w:tabs>
            </w:pPr>
            <w:r>
              <w:t>Tony Nichols</w:t>
            </w:r>
            <w:r w:rsidR="00BE794D" w:rsidRPr="00970E6D">
              <w:t xml:space="preserve">, </w:t>
            </w:r>
            <w:r>
              <w:t>(02) 6229 8833</w:t>
            </w:r>
            <w:r w:rsidR="00BE794D" w:rsidRPr="00970E6D">
              <w:t xml:space="preserve">, </w:t>
            </w:r>
            <w:r>
              <w:t>anthony.nichols@cgc.gov.au</w:t>
            </w:r>
          </w:p>
        </w:tc>
      </w:tr>
      <w:tr w:rsidR="00BE794D" w:rsidRPr="00970E6D" w:rsidTr="00A938E1">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A938E1">
            <w:pPr>
              <w:tabs>
                <w:tab w:val="clear" w:pos="567"/>
                <w:tab w:val="clear" w:pos="1418"/>
                <w:tab w:val="clear" w:pos="2268"/>
                <w:tab w:val="clear" w:pos="2835"/>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514709" w:rsidRDefault="00514709" w:rsidP="00A938E1">
            <w:pPr>
              <w:tabs>
                <w:tab w:val="clear" w:pos="567"/>
                <w:tab w:val="clear" w:pos="1418"/>
                <w:tab w:val="clear" w:pos="2268"/>
                <w:tab w:val="clear" w:pos="2835"/>
              </w:tabs>
            </w:pPr>
            <w:r>
              <w:t xml:space="preserve">Due date: </w:t>
            </w:r>
            <w:r w:rsidR="00150516">
              <w:t>3</w:t>
            </w:r>
            <w:r w:rsidR="00927B3F">
              <w:t>0</w:t>
            </w:r>
            <w:r w:rsidR="00150516">
              <w:t xml:space="preserve"> </w:t>
            </w:r>
            <w:r w:rsidR="00927B3F">
              <w:t>April</w:t>
            </w:r>
            <w:bookmarkStart w:id="7" w:name="_GoBack"/>
            <w:bookmarkEnd w:id="7"/>
            <w:r w:rsidR="00150516">
              <w:t xml:space="preserve"> 2014</w:t>
            </w:r>
            <w:r w:rsidR="00BE794D" w:rsidRPr="00970E6D">
              <w:t>.</w:t>
            </w:r>
          </w:p>
          <w:p w:rsidR="00BE794D" w:rsidRPr="00970E6D" w:rsidRDefault="00BE794D" w:rsidP="00A938E1">
            <w:pPr>
              <w:tabs>
                <w:tab w:val="clear" w:pos="567"/>
                <w:tab w:val="clear" w:pos="1418"/>
                <w:tab w:val="clear" w:pos="2268"/>
                <w:tab w:val="clear" w:pos="2835"/>
              </w:tabs>
            </w:pPr>
            <w:r w:rsidRPr="00970E6D">
              <w:t xml:space="preserve">Submissions should be emailed in Word format to </w:t>
            </w:r>
            <w:hyperlink r:id="rId12" w:history="1">
              <w:r w:rsidRPr="00970E6D">
                <w:rPr>
                  <w:rStyle w:val="Hyperlink"/>
                </w:rPr>
                <w:t>secretary@cgc.gov.au</w:t>
              </w:r>
            </w:hyperlink>
            <w:r w:rsidRPr="00970E6D">
              <w:t xml:space="preserve"> .</w:t>
            </w:r>
          </w:p>
          <w:p w:rsidR="00BE794D" w:rsidRPr="00970E6D" w:rsidRDefault="00BE794D" w:rsidP="00A938E1">
            <w:pPr>
              <w:tabs>
                <w:tab w:val="clear" w:pos="567"/>
                <w:tab w:val="clear" w:pos="1418"/>
                <w:tab w:val="clear" w:pos="2268"/>
                <w:tab w:val="clear" w:pos="2835"/>
              </w:tabs>
            </w:pPr>
            <w:r w:rsidRPr="00970E6D">
              <w:t xml:space="preserve">Submissions of more than </w:t>
            </w:r>
            <w:r>
              <w:t>10</w:t>
            </w:r>
            <w:r w:rsidRPr="00970E6D">
              <w:t xml:space="preserve"> pages in length should include a summary section.</w:t>
            </w:r>
          </w:p>
        </w:tc>
      </w:tr>
      <w:tr w:rsidR="00BE794D" w:rsidRPr="00970E6D" w:rsidTr="00A938E1">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A938E1">
            <w:pPr>
              <w:tabs>
                <w:tab w:val="clear" w:pos="567"/>
                <w:tab w:val="clear" w:pos="1418"/>
                <w:tab w:val="clear" w:pos="2268"/>
                <w:tab w:val="clear" w:pos="2835"/>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BE794D" w:rsidRPr="00CF1294" w:rsidRDefault="00BE794D" w:rsidP="00A938E1">
            <w:pPr>
              <w:tabs>
                <w:tab w:val="clear" w:pos="567"/>
                <w:tab w:val="clear" w:pos="1418"/>
                <w:tab w:val="clear" w:pos="2268"/>
                <w:tab w:val="clear" w:pos="2835"/>
              </w:tabs>
            </w:pPr>
            <w:r w:rsidRPr="00CF1294">
              <w:t xml:space="preserve">It is the commission’s normal practice to make State submissions available on its website under the CC BY licence, allowing free use of content by third parties. </w:t>
            </w:r>
          </w:p>
          <w:p w:rsidR="00BE794D" w:rsidRPr="00CF1294" w:rsidRDefault="00BE794D" w:rsidP="00A938E1">
            <w:pPr>
              <w:tabs>
                <w:tab w:val="clear" w:pos="567"/>
                <w:tab w:val="clear" w:pos="1418"/>
                <w:tab w:val="clear" w:pos="2268"/>
                <w:tab w:val="clear" w:pos="2835"/>
              </w:tabs>
            </w:pPr>
            <w:r w:rsidRPr="00CF1294">
              <w:rPr>
                <w:noProof/>
                <w:lang w:eastAsia="en-AU"/>
              </w:rPr>
              <w:drawing>
                <wp:inline distT="0" distB="0" distL="0" distR="0" wp14:anchorId="454B8550" wp14:editId="7D4615FE">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BE794D" w:rsidRPr="00CF1294" w:rsidRDefault="00BE794D" w:rsidP="00A938E1">
            <w:pPr>
              <w:tabs>
                <w:tab w:val="clear" w:pos="567"/>
                <w:tab w:val="clear" w:pos="1418"/>
                <w:tab w:val="clear" w:pos="2268"/>
                <w:tab w:val="clear" w:pos="2835"/>
              </w:tabs>
            </w:pPr>
            <w:r w:rsidRPr="00CF1294">
              <w:t xml:space="preserve">Further information on the CC BY licence can be found at </w:t>
            </w:r>
            <w:hyperlink r:id="rId14" w:history="1">
              <w:r w:rsidRPr="00CF1294">
                <w:rPr>
                  <w:rStyle w:val="Hyperlink"/>
                </w:rPr>
                <w:t>http://www.creativecommons.org</w:t>
              </w:r>
            </w:hyperlink>
            <w:r w:rsidRPr="00CF1294">
              <w:t xml:space="preserve"> </w:t>
            </w:r>
          </w:p>
          <w:p w:rsidR="00BE794D" w:rsidRPr="00970E6D" w:rsidRDefault="00BE794D" w:rsidP="00A938E1">
            <w:pPr>
              <w:tabs>
                <w:tab w:val="clear" w:pos="567"/>
                <w:tab w:val="clear" w:pos="1418"/>
                <w:tab w:val="clear" w:pos="2268"/>
                <w:tab w:val="clear" w:pos="2835"/>
              </w:tabs>
            </w:pPr>
            <w:r w:rsidRPr="00CF1294">
              <w:t>Confidential material contained in submissions must be clearly identified or included in separate attachment/s, and details provided in the covering email. Identified confidential material will not be published on the commission’s website.</w:t>
            </w:r>
          </w:p>
        </w:tc>
      </w:tr>
    </w:tbl>
    <w:p w:rsidR="00BE794D" w:rsidRPr="00970E6D" w:rsidRDefault="00BE794D" w:rsidP="00BE794D">
      <w:pPr>
        <w:tabs>
          <w:tab w:val="clear" w:pos="567"/>
        </w:tabs>
        <w:sectPr w:rsidR="00BE794D" w:rsidRPr="00970E6D" w:rsidSect="00E101D4">
          <w:headerReference w:type="first" r:id="rId15"/>
          <w:footerReference w:type="first" r:id="rId16"/>
          <w:pgSz w:w="11899" w:h="16838" w:code="9"/>
          <w:pgMar w:top="1701" w:right="1474" w:bottom="1701" w:left="1474" w:header="709" w:footer="709" w:gutter="0"/>
          <w:cols w:space="708"/>
          <w:vAlign w:val="bottom"/>
          <w:titlePg/>
          <w:docGrid w:linePitch="299"/>
        </w:sectPr>
      </w:pPr>
    </w:p>
    <w:p w:rsidR="00BE794D" w:rsidRPr="00970E6D" w:rsidRDefault="00BE794D" w:rsidP="00BE794D">
      <w:pPr>
        <w:pStyle w:val="Heading3"/>
      </w:pPr>
      <w:bookmarkStart w:id="8" w:name="_Toc106707725"/>
      <w:bookmarkStart w:id="9" w:name="_Toc155675935"/>
      <w:bookmarkStart w:id="10" w:name="_Toc174415770"/>
      <w:bookmarkStart w:id="11" w:name="_Toc174415844"/>
      <w:bookmarkStart w:id="12" w:name="_Toc174415935"/>
      <w:bookmarkStart w:id="13" w:name="_Toc174416620"/>
      <w:bookmarkStart w:id="14" w:name="_Toc174416662"/>
      <w:bookmarkStart w:id="15" w:name="_Toc174416675"/>
      <w:bookmarkEnd w:id="0"/>
      <w:bookmarkEnd w:id="1"/>
      <w:bookmarkEnd w:id="2"/>
      <w:bookmarkEnd w:id="3"/>
      <w:bookmarkEnd w:id="4"/>
      <w:bookmarkEnd w:id="5"/>
      <w:r w:rsidRPr="00970E6D">
        <w:lastRenderedPageBreak/>
        <w:t>BACKGROUND</w:t>
      </w:r>
      <w:bookmarkEnd w:id="8"/>
      <w:bookmarkEnd w:id="9"/>
      <w:bookmarkEnd w:id="10"/>
      <w:bookmarkEnd w:id="11"/>
      <w:bookmarkEnd w:id="12"/>
      <w:bookmarkEnd w:id="13"/>
      <w:bookmarkEnd w:id="14"/>
      <w:bookmarkEnd w:id="15"/>
    </w:p>
    <w:p w:rsidR="00150516" w:rsidRDefault="00150516" w:rsidP="00150516">
      <w:pPr>
        <w:pStyle w:val="CGCNumberedPara"/>
      </w:pPr>
      <w:bookmarkStart w:id="16" w:name="_Toc155675723"/>
      <w:bookmarkEnd w:id="16"/>
      <w:r>
        <w:t xml:space="preserve">The Interstate wages regression model used in the 2010 Review aims to measure the relative differences in wage levels between the States. The model uses the Australian Bureau of Statistics (ABS) Survey of Education and Training (SET) to regress the log of private sector earnings on State of employment and other measurable labour market influences.  </w:t>
      </w:r>
    </w:p>
    <w:p w:rsidR="00150516" w:rsidRDefault="00150516" w:rsidP="00150516">
      <w:pPr>
        <w:pStyle w:val="CGCNumberedPara"/>
      </w:pPr>
      <w:r>
        <w:t>The SET allows for potentially dozens of variables to be included in the regression model. Currently the model includes 219 variables. Because the SET includes a relatively large number of observations, the standard errors for each variable are less sensitive to increases in the number of variables.</w:t>
      </w:r>
      <w:r w:rsidR="00514709">
        <w:rPr>
          <w:rStyle w:val="FootnoteReference"/>
        </w:rPr>
        <w:footnoteReference w:id="1"/>
      </w:r>
      <w:r>
        <w:t xml:space="preserve"> However, it is important to ensure each variable retains theoretical relevance and assists in explaining the variation in wages. </w:t>
      </w:r>
    </w:p>
    <w:p w:rsidR="00150516" w:rsidRDefault="00150516" w:rsidP="00150516">
      <w:pPr>
        <w:pStyle w:val="CGCNumberedPara"/>
      </w:pPr>
      <w:r>
        <w:t xml:space="preserve">This paper examines how the regression model used in the 2010 Review can be simplified to include only those variables that have theoretical relevance and provide explanatory power. We also consider how some of the coding can be simplified. Attachment </w:t>
      </w:r>
      <w:r w:rsidR="00514709">
        <w:t>A</w:t>
      </w:r>
      <w:r>
        <w:t xml:space="preserve"> gives the results of the simplified regression.</w:t>
      </w:r>
    </w:p>
    <w:p w:rsidR="00BE794D" w:rsidRPr="00970E6D" w:rsidRDefault="00150516" w:rsidP="00BE794D">
      <w:pPr>
        <w:pStyle w:val="Heading3"/>
      </w:pPr>
      <w:bookmarkStart w:id="17" w:name="_Toc106707726"/>
      <w:bookmarkStart w:id="18" w:name="_Toc155675936"/>
      <w:bookmarkStart w:id="19" w:name="_Toc174415771"/>
      <w:bookmarkStart w:id="20" w:name="_Toc174415845"/>
      <w:bookmarkStart w:id="21" w:name="_Toc174415936"/>
      <w:bookmarkStart w:id="22" w:name="_Toc174416621"/>
      <w:bookmarkStart w:id="23" w:name="_Toc174416663"/>
      <w:bookmarkStart w:id="24" w:name="_Toc174416676"/>
      <w:r>
        <w:t>Proposed adjustments</w:t>
      </w:r>
      <w:bookmarkEnd w:id="17"/>
      <w:bookmarkEnd w:id="18"/>
      <w:bookmarkEnd w:id="19"/>
      <w:bookmarkEnd w:id="20"/>
      <w:bookmarkEnd w:id="21"/>
      <w:bookmarkEnd w:id="22"/>
      <w:bookmarkEnd w:id="23"/>
      <w:bookmarkEnd w:id="24"/>
    </w:p>
    <w:p w:rsidR="00150516" w:rsidRDefault="00150516" w:rsidP="00150516">
      <w:pPr>
        <w:pStyle w:val="CGCNumberedPara"/>
      </w:pPr>
      <w:r>
        <w:t>We have identified a number of areas where the regression model can be simplified and made more transparent. In this section we discuss the impact of reducing the number of variables and how we can adjust how some variables are defined. The GST impacts of the proposed adjustments are shown in the next section (Table 1).</w:t>
      </w:r>
    </w:p>
    <w:p w:rsidR="00150516" w:rsidRDefault="00150516" w:rsidP="00150516">
      <w:pPr>
        <w:pStyle w:val="Heading4"/>
      </w:pPr>
      <w:r>
        <w:t>Remove effects coding and use simple dummy variables</w:t>
      </w:r>
    </w:p>
    <w:p w:rsidR="00150516" w:rsidRDefault="00150516" w:rsidP="00150516">
      <w:pPr>
        <w:pStyle w:val="CGCNumberedPara"/>
      </w:pPr>
      <w:r>
        <w:t>In the 2010 Review, the Interstate wages assessment used effects coding, rather than simple dummy variables, as the method for estimating the variation in interstate wages. Both methods effectively produce the same results. However, the interpretation of results is very different. Unlike simple dummy variables, effects coding calculates the difference from the national average of each State within the regression model.</w:t>
      </w:r>
      <w:r w:rsidR="00514709">
        <w:rPr>
          <w:rStyle w:val="FootnoteReference"/>
        </w:rPr>
        <w:footnoteReference w:id="2"/>
      </w:r>
      <w:r>
        <w:t xml:space="preserve"> The dummy variable method calculates the difference of each State from a reference State (we have used Tasmania as the reference State). A process of standardisation is then used to calculate the deviation from the national average for each State outside the regression model.</w:t>
      </w:r>
    </w:p>
    <w:p w:rsidR="00150516" w:rsidRDefault="00150516" w:rsidP="00150516">
      <w:pPr>
        <w:pStyle w:val="CGCNumberedPara"/>
      </w:pPr>
      <w:r>
        <w:lastRenderedPageBreak/>
        <w:t>The effects coding method was used in the 2010 Review because it was considered simpler to calculate the difference from the national average within the regression model. However, this adds complexity to the regression model and the interpretation of the results is not immediately obvious. For this reason we have decided to use the simple dummy variable approach. This approach produces the same outcome but removes a layer of complexity in the regression coding.</w:t>
      </w:r>
      <w:r w:rsidR="00690B96">
        <w:rPr>
          <w:rStyle w:val="FootnoteReference"/>
        </w:rPr>
        <w:footnoteReference w:id="3"/>
      </w:r>
      <w:r>
        <w:t xml:space="preserve"> </w:t>
      </w:r>
    </w:p>
    <w:p w:rsidR="00150516" w:rsidRDefault="00150516" w:rsidP="00150516">
      <w:pPr>
        <w:pStyle w:val="Heading4"/>
      </w:pPr>
      <w:r>
        <w:t>Remove female interaction variables</w:t>
      </w:r>
    </w:p>
    <w:p w:rsidR="00150516" w:rsidRDefault="00150516" w:rsidP="00150516">
      <w:pPr>
        <w:pStyle w:val="CGCNumberedPara"/>
      </w:pPr>
      <w:r>
        <w:t xml:space="preserve">Interaction variables are commonly used in regression analysis to measure the combined impact of two (or more) variables. For example, the current regression model uses an interaction variable by combining gender and education to test if an undergraduate degree increases wages more for males or females. </w:t>
      </w:r>
    </w:p>
    <w:p w:rsidR="00150516" w:rsidRDefault="00150516" w:rsidP="00150516">
      <w:pPr>
        <w:pStyle w:val="CGCNumberedPara"/>
      </w:pPr>
      <w:r>
        <w:t xml:space="preserve">In fact, the current model includes a female interaction variable for every variable in the model. This nearly doubles the number of variables in the model from 115 to 219. While theoretically there may be differences in the relationship between productivity influences on wages for males and females we have found that the inclusion of female interaction variables only increases the explanatory power of the model by a small amount. The R squared increases from 0.783 to 0.790 when all 114 female interaction variables are included in the model. This suggests they do not explain much of the change in wages but add complexity and potentially decrease the precision of the model. Therefore, </w:t>
      </w:r>
      <w:proofErr w:type="gramStart"/>
      <w:r>
        <w:t>staff propose</w:t>
      </w:r>
      <w:proofErr w:type="gramEnd"/>
      <w:r>
        <w:t xml:space="preserve"> to remove the female interaction variables from the regression model.  </w:t>
      </w:r>
    </w:p>
    <w:p w:rsidR="00150516" w:rsidRDefault="00150516" w:rsidP="00150516">
      <w:pPr>
        <w:pStyle w:val="Heading4"/>
      </w:pPr>
      <w:r>
        <w:t xml:space="preserve">Remove the variable of hours worked less than 15 hours and greater than 60 hours </w:t>
      </w:r>
    </w:p>
    <w:p w:rsidR="00150516" w:rsidRDefault="00150516" w:rsidP="00150516">
      <w:pPr>
        <w:pStyle w:val="CGCNumberedPara"/>
      </w:pPr>
      <w:r>
        <w:t xml:space="preserve">Currently the model measures the impact of the number hours worked by including a variable that is the log of an employee’s continuous number of hours worked per week. The model includes two additional variables that measure the impact of working less than 15 hours and more than 60 hours. We have found that neither of the additional hours worked variables add any explanatory power beyond the information included in the continuous hours worked variable. Therefore, </w:t>
      </w:r>
      <w:proofErr w:type="gramStart"/>
      <w:r>
        <w:t>staff propose</w:t>
      </w:r>
      <w:proofErr w:type="gramEnd"/>
      <w:r>
        <w:t xml:space="preserve"> to remove the less than 15 and more than 60 hours worked variables. </w:t>
      </w:r>
    </w:p>
    <w:p w:rsidR="00150516" w:rsidRDefault="00150516" w:rsidP="00150516">
      <w:pPr>
        <w:pStyle w:val="Heading3"/>
      </w:pPr>
      <w:r>
        <w:lastRenderedPageBreak/>
        <w:t>IMPACT OF PROPOSED ADJUSTMENTS</w:t>
      </w:r>
    </w:p>
    <w:p w:rsidR="00150516" w:rsidRDefault="00150516" w:rsidP="00150516">
      <w:pPr>
        <w:pStyle w:val="CGCNumberedPara"/>
      </w:pPr>
      <w:r>
        <w:t xml:space="preserve">In the 2013 discussion papers to the States, staff proposed a change from using the whole of State wage to assess interstate wage relativities to using capital city wages. We have used capital city wages as the basis for this analysis.  </w:t>
      </w:r>
    </w:p>
    <w:p w:rsidR="00150516" w:rsidRDefault="00AD6FD0" w:rsidP="00150516">
      <w:pPr>
        <w:pStyle w:val="CGCNumberedPara"/>
      </w:pPr>
      <w:r>
        <w:fldChar w:fldCharType="begin"/>
      </w:r>
      <w:r>
        <w:instrText xml:space="preserve"> REF _Ref383690929 \h </w:instrText>
      </w:r>
      <w:r>
        <w:fldChar w:fldCharType="separate"/>
      </w:r>
      <w:r>
        <w:t xml:space="preserve">Figure </w:t>
      </w:r>
      <w:r>
        <w:rPr>
          <w:noProof/>
        </w:rPr>
        <w:t>1</w:t>
      </w:r>
      <w:r>
        <w:fldChar w:fldCharType="end"/>
      </w:r>
      <w:r w:rsidR="00BC32AB">
        <w:t xml:space="preserve"> </w:t>
      </w:r>
      <w:r w:rsidR="00150516">
        <w:t>shows how interstate relative wage levels change with each adjustment to the regression model. The adjustments were made progressively so that removing the under 15 and over 60 hours worked variables includes the impact of the previous adjustments.</w:t>
      </w:r>
    </w:p>
    <w:p w:rsidR="00BE794D" w:rsidRDefault="00150516" w:rsidP="00150516">
      <w:pPr>
        <w:pStyle w:val="CGCTableHeading"/>
      </w:pPr>
      <w:bookmarkStart w:id="25" w:name="_Ref383690929"/>
      <w:r>
        <w:t xml:space="preserve">Figure </w:t>
      </w:r>
      <w:r w:rsidR="00927B3F">
        <w:fldChar w:fldCharType="begin"/>
      </w:r>
      <w:r w:rsidR="00927B3F">
        <w:instrText xml:space="preserve"> SEQ Figure \* ARABIC </w:instrText>
      </w:r>
      <w:r w:rsidR="00927B3F">
        <w:fldChar w:fldCharType="separate"/>
      </w:r>
      <w:r>
        <w:rPr>
          <w:noProof/>
        </w:rPr>
        <w:t>1</w:t>
      </w:r>
      <w:r w:rsidR="00927B3F">
        <w:rPr>
          <w:noProof/>
        </w:rPr>
        <w:fldChar w:fldCharType="end"/>
      </w:r>
      <w:bookmarkEnd w:id="25"/>
      <w:r>
        <w:tab/>
        <w:t>Relative wage levels, SET 2009</w:t>
      </w:r>
    </w:p>
    <w:p w:rsidR="00150516" w:rsidRDefault="00150516" w:rsidP="00514709">
      <w:pPr>
        <w:spacing w:after="0"/>
      </w:pPr>
      <w:r w:rsidRPr="00150516">
        <w:rPr>
          <w:noProof/>
          <w:lang w:eastAsia="en-AU"/>
        </w:rPr>
        <w:drawing>
          <wp:inline distT="0" distB="0" distL="0" distR="0">
            <wp:extent cx="5617210" cy="3562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7210" cy="3562350"/>
                    </a:xfrm>
                    <a:prstGeom prst="rect">
                      <a:avLst/>
                    </a:prstGeom>
                    <a:noFill/>
                    <a:ln>
                      <a:noFill/>
                    </a:ln>
                  </pic:spPr>
                </pic:pic>
              </a:graphicData>
            </a:graphic>
          </wp:inline>
        </w:drawing>
      </w:r>
    </w:p>
    <w:p w:rsidR="00150516" w:rsidRPr="00514709" w:rsidRDefault="00150516" w:rsidP="00514709">
      <w:pPr>
        <w:spacing w:after="120"/>
        <w:rPr>
          <w:sz w:val="20"/>
          <w:szCs w:val="20"/>
        </w:rPr>
      </w:pPr>
      <w:r w:rsidRPr="00514709">
        <w:rPr>
          <w:sz w:val="20"/>
          <w:szCs w:val="20"/>
        </w:rPr>
        <w:t>Source:</w:t>
      </w:r>
      <w:r w:rsidRPr="00514709">
        <w:rPr>
          <w:sz w:val="20"/>
          <w:szCs w:val="20"/>
        </w:rPr>
        <w:tab/>
        <w:t>SET 2009.</w:t>
      </w:r>
    </w:p>
    <w:p w:rsidR="00AD6FD0" w:rsidRPr="00AD6FD0" w:rsidRDefault="00BC32AB" w:rsidP="00AD6FD0">
      <w:pPr>
        <w:pStyle w:val="CGCNumberedPara"/>
      </w:pPr>
      <w:r>
        <w:fldChar w:fldCharType="begin"/>
      </w:r>
      <w:r>
        <w:instrText xml:space="preserve"> REF _Ref383691715 \h </w:instrText>
      </w:r>
      <w:r>
        <w:fldChar w:fldCharType="separate"/>
      </w:r>
      <w:r>
        <w:t xml:space="preserve">Table </w:t>
      </w:r>
      <w:r>
        <w:rPr>
          <w:noProof/>
        </w:rPr>
        <w:t>1</w:t>
      </w:r>
      <w:r>
        <w:fldChar w:fldCharType="end"/>
      </w:r>
      <w:r>
        <w:t xml:space="preserve"> </w:t>
      </w:r>
      <w:r w:rsidR="00AD6FD0" w:rsidRPr="00AD6FD0">
        <w:t xml:space="preserve">shows the impact from adjusting the model on the redistribution from EPC if the changes were applied in the 2014 Update. Changing to the dummy variable approach does not have an impact on the GST distribution. The proposed adjustments increase the impact of the Wages assessment by $7.6 per capita but do not have a material impact for any State. </w:t>
      </w:r>
    </w:p>
    <w:p w:rsidR="00BE794D" w:rsidRDefault="00AD6FD0" w:rsidP="00AD6FD0">
      <w:pPr>
        <w:pStyle w:val="CGCTableHeading"/>
      </w:pPr>
      <w:bookmarkStart w:id="26" w:name="_Ref383691715"/>
      <w:r>
        <w:lastRenderedPageBreak/>
        <w:t xml:space="preserve">Table </w:t>
      </w:r>
      <w:r w:rsidR="00927B3F">
        <w:fldChar w:fldCharType="begin"/>
      </w:r>
      <w:r w:rsidR="00927B3F">
        <w:instrText xml:space="preserve"> SEQ Table \* ARABIC </w:instrText>
      </w:r>
      <w:r w:rsidR="00927B3F">
        <w:fldChar w:fldCharType="separate"/>
      </w:r>
      <w:r>
        <w:rPr>
          <w:noProof/>
        </w:rPr>
        <w:t>1</w:t>
      </w:r>
      <w:r w:rsidR="00927B3F">
        <w:rPr>
          <w:noProof/>
        </w:rPr>
        <w:fldChar w:fldCharType="end"/>
      </w:r>
      <w:bookmarkEnd w:id="26"/>
      <w:r>
        <w:tab/>
        <w:t>Impact from adjusting the model, redistribution from EPC, U2014 (a)</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AD6FD0" w:rsidRPr="00AD6FD0" w:rsidTr="00AD6FD0">
        <w:tc>
          <w:tcPr>
            <w:tcW w:w="1354" w:type="pct"/>
            <w:tcBorders>
              <w:top w:val="single" w:sz="6" w:space="0" w:color="auto"/>
              <w:bottom w:val="single" w:sz="6" w:space="0" w:color="auto"/>
            </w:tcBorders>
            <w:vAlign w:val="bottom"/>
          </w:tcPr>
          <w:p w:rsidR="00AD6FD0" w:rsidRPr="00AD6FD0" w:rsidRDefault="00AD6FD0" w:rsidP="00BE4CDF">
            <w:pPr>
              <w:pStyle w:val="CGCTableStub"/>
              <w:spacing w:line="240" w:lineRule="auto"/>
              <w:ind w:left="142" w:hanging="142"/>
              <w:rPr>
                <w:rFonts w:cstheme="minorHAnsi"/>
                <w:sz w:val="18"/>
                <w:szCs w:val="18"/>
              </w:rPr>
            </w:pP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NSW</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Vic</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Qld</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WA</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SA</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Tas</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ACT</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r w:rsidRPr="00AD6FD0">
              <w:rPr>
                <w:rFonts w:asciiTheme="minorHAnsi" w:hAnsiTheme="minorHAnsi" w:cstheme="minorHAnsi"/>
                <w:sz w:val="18"/>
                <w:szCs w:val="18"/>
              </w:rPr>
              <w:t>NT</w:t>
            </w:r>
          </w:p>
        </w:tc>
        <w:tc>
          <w:tcPr>
            <w:tcW w:w="405" w:type="pct"/>
            <w:tcBorders>
              <w:top w:val="single" w:sz="6" w:space="0" w:color="auto"/>
              <w:bottom w:val="single" w:sz="6" w:space="0" w:color="auto"/>
            </w:tcBorders>
            <w:vAlign w:val="bottom"/>
          </w:tcPr>
          <w:p w:rsidR="00AD6FD0" w:rsidRPr="00AD6FD0" w:rsidRDefault="00AD6FD0" w:rsidP="00BE4CDF">
            <w:pPr>
              <w:pStyle w:val="TableColHeadings"/>
              <w:rPr>
                <w:rFonts w:asciiTheme="minorHAnsi" w:hAnsiTheme="minorHAnsi" w:cstheme="minorHAnsi"/>
                <w:sz w:val="18"/>
                <w:szCs w:val="18"/>
              </w:rPr>
            </w:pPr>
            <w:proofErr w:type="spellStart"/>
            <w:r w:rsidRPr="00AD6FD0">
              <w:rPr>
                <w:rFonts w:asciiTheme="minorHAnsi" w:hAnsiTheme="minorHAnsi" w:cstheme="minorHAnsi"/>
                <w:sz w:val="18"/>
                <w:szCs w:val="18"/>
              </w:rPr>
              <w:t>Redist</w:t>
            </w:r>
            <w:proofErr w:type="spellEnd"/>
            <w:r w:rsidRPr="00AD6FD0">
              <w:rPr>
                <w:rFonts w:asciiTheme="minorHAnsi" w:hAnsiTheme="minorHAnsi" w:cstheme="minorHAnsi"/>
                <w:sz w:val="18"/>
                <w:szCs w:val="18"/>
              </w:rPr>
              <w:t>.</w:t>
            </w:r>
          </w:p>
        </w:tc>
      </w:tr>
      <w:tr w:rsidR="00AD6FD0" w:rsidRPr="00AD6FD0" w:rsidTr="00AD6FD0">
        <w:tc>
          <w:tcPr>
            <w:tcW w:w="1354" w:type="pct"/>
            <w:tcMar>
              <w:top w:w="0" w:type="dxa"/>
              <w:bottom w:w="0" w:type="dxa"/>
            </w:tcMar>
          </w:tcPr>
          <w:p w:rsidR="00AD6FD0" w:rsidRPr="00AD6FD0" w:rsidRDefault="00AD6FD0" w:rsidP="00690B96">
            <w:pPr>
              <w:keepNext/>
              <w:rPr>
                <w:sz w:val="18"/>
                <w:szCs w:val="18"/>
              </w:rPr>
            </w:pP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c>
          <w:tcPr>
            <w:tcW w:w="405" w:type="pct"/>
            <w:tcMar>
              <w:top w:w="0" w:type="dxa"/>
              <w:bottom w:w="0" w:type="dxa"/>
            </w:tcMar>
          </w:tcPr>
          <w:p w:rsidR="00AD6FD0" w:rsidRPr="00AD6FD0" w:rsidRDefault="00AD6FD0" w:rsidP="00690B96">
            <w:pPr>
              <w:keepNext/>
              <w:jc w:val="right"/>
              <w:rPr>
                <w:sz w:val="18"/>
                <w:szCs w:val="18"/>
              </w:rPr>
            </w:pPr>
            <w:r w:rsidRPr="00AD6FD0">
              <w:rPr>
                <w:sz w:val="18"/>
                <w:szCs w:val="18"/>
              </w:rPr>
              <w:t>$pc</w:t>
            </w:r>
          </w:p>
        </w:tc>
      </w:tr>
      <w:tr w:rsidR="00AD6FD0" w:rsidRPr="00AD6FD0" w:rsidTr="00AD6FD0">
        <w:tc>
          <w:tcPr>
            <w:tcW w:w="1354" w:type="pct"/>
          </w:tcPr>
          <w:p w:rsidR="00AD6FD0" w:rsidRPr="00AD6FD0" w:rsidRDefault="00AD6FD0" w:rsidP="00690B96">
            <w:pPr>
              <w:keepNext/>
              <w:rPr>
                <w:sz w:val="18"/>
                <w:szCs w:val="18"/>
              </w:rPr>
            </w:pPr>
            <w:r w:rsidRPr="00AD6FD0">
              <w:rPr>
                <w:sz w:val="18"/>
                <w:szCs w:val="18"/>
              </w:rPr>
              <w:t>2014 Update assessment using capital city</w:t>
            </w:r>
          </w:p>
        </w:tc>
        <w:tc>
          <w:tcPr>
            <w:tcW w:w="405" w:type="pct"/>
          </w:tcPr>
          <w:p w:rsidR="00AD6FD0" w:rsidRPr="00AD6FD0" w:rsidRDefault="00AD6FD0" w:rsidP="00690B96">
            <w:pPr>
              <w:keepNext/>
              <w:jc w:val="right"/>
              <w:rPr>
                <w:sz w:val="18"/>
                <w:szCs w:val="18"/>
              </w:rPr>
            </w:pPr>
            <w:r w:rsidRPr="00AD6FD0">
              <w:rPr>
                <w:sz w:val="18"/>
                <w:szCs w:val="18"/>
              </w:rPr>
              <w:t>101.9</w:t>
            </w:r>
          </w:p>
        </w:tc>
        <w:tc>
          <w:tcPr>
            <w:tcW w:w="405" w:type="pct"/>
          </w:tcPr>
          <w:p w:rsidR="00AD6FD0" w:rsidRPr="00AD6FD0" w:rsidRDefault="00AD6FD0" w:rsidP="00690B96">
            <w:pPr>
              <w:keepNext/>
              <w:jc w:val="right"/>
              <w:rPr>
                <w:sz w:val="18"/>
                <w:szCs w:val="18"/>
              </w:rPr>
            </w:pPr>
            <w:r w:rsidRPr="00AD6FD0">
              <w:rPr>
                <w:sz w:val="18"/>
                <w:szCs w:val="18"/>
              </w:rPr>
              <w:t>-45.4</w:t>
            </w:r>
          </w:p>
        </w:tc>
        <w:tc>
          <w:tcPr>
            <w:tcW w:w="405" w:type="pct"/>
          </w:tcPr>
          <w:p w:rsidR="00AD6FD0" w:rsidRPr="00AD6FD0" w:rsidRDefault="00AD6FD0" w:rsidP="00690B96">
            <w:pPr>
              <w:keepNext/>
              <w:jc w:val="right"/>
              <w:rPr>
                <w:sz w:val="18"/>
                <w:szCs w:val="18"/>
              </w:rPr>
            </w:pPr>
            <w:r w:rsidRPr="00AD6FD0">
              <w:rPr>
                <w:sz w:val="18"/>
                <w:szCs w:val="18"/>
              </w:rPr>
              <w:t>-143.7</w:t>
            </w:r>
          </w:p>
        </w:tc>
        <w:tc>
          <w:tcPr>
            <w:tcW w:w="405" w:type="pct"/>
          </w:tcPr>
          <w:p w:rsidR="00AD6FD0" w:rsidRPr="00AD6FD0" w:rsidRDefault="00AD6FD0" w:rsidP="00690B96">
            <w:pPr>
              <w:keepNext/>
              <w:jc w:val="right"/>
              <w:rPr>
                <w:sz w:val="18"/>
                <w:szCs w:val="18"/>
              </w:rPr>
            </w:pPr>
            <w:r w:rsidRPr="00AD6FD0">
              <w:rPr>
                <w:sz w:val="18"/>
                <w:szCs w:val="18"/>
              </w:rPr>
              <w:t>160.0</w:t>
            </w:r>
          </w:p>
        </w:tc>
        <w:tc>
          <w:tcPr>
            <w:tcW w:w="405" w:type="pct"/>
          </w:tcPr>
          <w:p w:rsidR="00AD6FD0" w:rsidRPr="00AD6FD0" w:rsidRDefault="00AD6FD0" w:rsidP="00690B96">
            <w:pPr>
              <w:keepNext/>
              <w:jc w:val="right"/>
              <w:rPr>
                <w:sz w:val="18"/>
                <w:szCs w:val="18"/>
              </w:rPr>
            </w:pPr>
            <w:r w:rsidRPr="00AD6FD0">
              <w:rPr>
                <w:sz w:val="18"/>
                <w:szCs w:val="18"/>
              </w:rPr>
              <w:t>-163.1</w:t>
            </w:r>
          </w:p>
        </w:tc>
        <w:tc>
          <w:tcPr>
            <w:tcW w:w="405" w:type="pct"/>
          </w:tcPr>
          <w:p w:rsidR="00AD6FD0" w:rsidRPr="00AD6FD0" w:rsidRDefault="00AD6FD0" w:rsidP="00690B96">
            <w:pPr>
              <w:keepNext/>
              <w:jc w:val="right"/>
              <w:rPr>
                <w:sz w:val="18"/>
                <w:szCs w:val="18"/>
              </w:rPr>
            </w:pPr>
            <w:r w:rsidRPr="00AD6FD0">
              <w:rPr>
                <w:sz w:val="18"/>
                <w:szCs w:val="18"/>
              </w:rPr>
              <w:t>-173.7</w:t>
            </w:r>
          </w:p>
        </w:tc>
        <w:tc>
          <w:tcPr>
            <w:tcW w:w="405" w:type="pct"/>
          </w:tcPr>
          <w:p w:rsidR="00AD6FD0" w:rsidRPr="00AD6FD0" w:rsidRDefault="00AD6FD0" w:rsidP="00690B96">
            <w:pPr>
              <w:keepNext/>
              <w:jc w:val="right"/>
              <w:rPr>
                <w:sz w:val="18"/>
                <w:szCs w:val="18"/>
              </w:rPr>
            </w:pPr>
            <w:r w:rsidRPr="00AD6FD0">
              <w:rPr>
                <w:sz w:val="18"/>
                <w:szCs w:val="18"/>
              </w:rPr>
              <w:t>166.2</w:t>
            </w:r>
          </w:p>
        </w:tc>
        <w:tc>
          <w:tcPr>
            <w:tcW w:w="405" w:type="pct"/>
          </w:tcPr>
          <w:p w:rsidR="00AD6FD0" w:rsidRPr="00AD6FD0" w:rsidRDefault="00AD6FD0" w:rsidP="00690B96">
            <w:pPr>
              <w:keepNext/>
              <w:jc w:val="right"/>
              <w:rPr>
                <w:sz w:val="18"/>
                <w:szCs w:val="18"/>
              </w:rPr>
            </w:pPr>
            <w:r w:rsidRPr="00AD6FD0">
              <w:rPr>
                <w:sz w:val="18"/>
                <w:szCs w:val="18"/>
              </w:rPr>
              <w:t>287.1</w:t>
            </w:r>
          </w:p>
        </w:tc>
        <w:tc>
          <w:tcPr>
            <w:tcW w:w="405" w:type="pct"/>
          </w:tcPr>
          <w:p w:rsidR="00AD6FD0" w:rsidRPr="00AD6FD0" w:rsidRDefault="00AD6FD0" w:rsidP="00690B96">
            <w:pPr>
              <w:keepNext/>
              <w:jc w:val="right"/>
              <w:rPr>
                <w:sz w:val="18"/>
                <w:szCs w:val="18"/>
              </w:rPr>
            </w:pPr>
            <w:r w:rsidRPr="00AD6FD0">
              <w:rPr>
                <w:sz w:val="18"/>
                <w:szCs w:val="18"/>
              </w:rPr>
              <w:t>55.8</w:t>
            </w:r>
          </w:p>
        </w:tc>
      </w:tr>
      <w:tr w:rsidR="00AD6FD0" w:rsidRPr="00AD6FD0" w:rsidTr="00AD6FD0">
        <w:tc>
          <w:tcPr>
            <w:tcW w:w="1354" w:type="pct"/>
          </w:tcPr>
          <w:p w:rsidR="00AD6FD0" w:rsidRPr="00AD6FD0" w:rsidRDefault="00AD6FD0" w:rsidP="00690B96">
            <w:pPr>
              <w:keepNext/>
              <w:rPr>
                <w:sz w:val="18"/>
                <w:szCs w:val="18"/>
              </w:rPr>
            </w:pPr>
            <w:r w:rsidRPr="00AD6FD0">
              <w:rPr>
                <w:sz w:val="18"/>
                <w:szCs w:val="18"/>
              </w:rPr>
              <w:t>Female interaction variables removed</w:t>
            </w:r>
          </w:p>
        </w:tc>
        <w:tc>
          <w:tcPr>
            <w:tcW w:w="405" w:type="pct"/>
          </w:tcPr>
          <w:p w:rsidR="00AD6FD0" w:rsidRPr="00AD6FD0" w:rsidRDefault="00AD6FD0" w:rsidP="00690B96">
            <w:pPr>
              <w:keepNext/>
              <w:jc w:val="right"/>
              <w:rPr>
                <w:sz w:val="18"/>
                <w:szCs w:val="18"/>
              </w:rPr>
            </w:pPr>
            <w:r w:rsidRPr="00AD6FD0">
              <w:rPr>
                <w:sz w:val="18"/>
                <w:szCs w:val="18"/>
              </w:rPr>
              <w:t>126.2</w:t>
            </w:r>
          </w:p>
        </w:tc>
        <w:tc>
          <w:tcPr>
            <w:tcW w:w="405" w:type="pct"/>
          </w:tcPr>
          <w:p w:rsidR="00AD6FD0" w:rsidRPr="00AD6FD0" w:rsidRDefault="00AD6FD0" w:rsidP="00690B96">
            <w:pPr>
              <w:keepNext/>
              <w:jc w:val="right"/>
              <w:rPr>
                <w:sz w:val="18"/>
                <w:szCs w:val="18"/>
              </w:rPr>
            </w:pPr>
            <w:r w:rsidRPr="00AD6FD0">
              <w:rPr>
                <w:sz w:val="18"/>
                <w:szCs w:val="18"/>
              </w:rPr>
              <w:t>-52.9</w:t>
            </w:r>
          </w:p>
        </w:tc>
        <w:tc>
          <w:tcPr>
            <w:tcW w:w="405" w:type="pct"/>
          </w:tcPr>
          <w:p w:rsidR="00AD6FD0" w:rsidRPr="00AD6FD0" w:rsidRDefault="00AD6FD0" w:rsidP="00690B96">
            <w:pPr>
              <w:keepNext/>
              <w:jc w:val="right"/>
              <w:rPr>
                <w:sz w:val="18"/>
                <w:szCs w:val="18"/>
              </w:rPr>
            </w:pPr>
            <w:r w:rsidRPr="00AD6FD0">
              <w:rPr>
                <w:sz w:val="18"/>
                <w:szCs w:val="18"/>
              </w:rPr>
              <w:t>-172.6</w:t>
            </w:r>
          </w:p>
        </w:tc>
        <w:tc>
          <w:tcPr>
            <w:tcW w:w="405" w:type="pct"/>
          </w:tcPr>
          <w:p w:rsidR="00AD6FD0" w:rsidRPr="00AD6FD0" w:rsidRDefault="00AD6FD0" w:rsidP="00690B96">
            <w:pPr>
              <w:keepNext/>
              <w:jc w:val="right"/>
              <w:rPr>
                <w:sz w:val="18"/>
                <w:szCs w:val="18"/>
              </w:rPr>
            </w:pPr>
            <w:r w:rsidRPr="00AD6FD0">
              <w:rPr>
                <w:sz w:val="18"/>
                <w:szCs w:val="18"/>
              </w:rPr>
              <w:t>160.1</w:t>
            </w:r>
          </w:p>
        </w:tc>
        <w:tc>
          <w:tcPr>
            <w:tcW w:w="405" w:type="pct"/>
          </w:tcPr>
          <w:p w:rsidR="00AD6FD0" w:rsidRPr="00AD6FD0" w:rsidRDefault="00AD6FD0" w:rsidP="00690B96">
            <w:pPr>
              <w:keepNext/>
              <w:jc w:val="right"/>
              <w:rPr>
                <w:sz w:val="18"/>
                <w:szCs w:val="18"/>
              </w:rPr>
            </w:pPr>
            <w:r w:rsidRPr="00AD6FD0">
              <w:rPr>
                <w:sz w:val="18"/>
                <w:szCs w:val="18"/>
              </w:rPr>
              <w:t>-157.7</w:t>
            </w:r>
          </w:p>
        </w:tc>
        <w:tc>
          <w:tcPr>
            <w:tcW w:w="405" w:type="pct"/>
          </w:tcPr>
          <w:p w:rsidR="00AD6FD0" w:rsidRPr="00AD6FD0" w:rsidRDefault="00AD6FD0" w:rsidP="00690B96">
            <w:pPr>
              <w:keepNext/>
              <w:jc w:val="right"/>
              <w:rPr>
                <w:sz w:val="18"/>
                <w:szCs w:val="18"/>
              </w:rPr>
            </w:pPr>
            <w:r w:rsidRPr="00AD6FD0">
              <w:rPr>
                <w:sz w:val="18"/>
                <w:szCs w:val="18"/>
              </w:rPr>
              <w:t>-182.7</w:t>
            </w:r>
          </w:p>
        </w:tc>
        <w:tc>
          <w:tcPr>
            <w:tcW w:w="405" w:type="pct"/>
          </w:tcPr>
          <w:p w:rsidR="00AD6FD0" w:rsidRPr="00AD6FD0" w:rsidRDefault="00AD6FD0" w:rsidP="00690B96">
            <w:pPr>
              <w:keepNext/>
              <w:jc w:val="right"/>
              <w:rPr>
                <w:sz w:val="18"/>
                <w:szCs w:val="18"/>
              </w:rPr>
            </w:pPr>
            <w:r w:rsidRPr="00AD6FD0">
              <w:rPr>
                <w:sz w:val="18"/>
                <w:szCs w:val="18"/>
              </w:rPr>
              <w:t>159.8</w:t>
            </w:r>
          </w:p>
        </w:tc>
        <w:tc>
          <w:tcPr>
            <w:tcW w:w="405" w:type="pct"/>
          </w:tcPr>
          <w:p w:rsidR="00AD6FD0" w:rsidRPr="00AD6FD0" w:rsidRDefault="00AD6FD0" w:rsidP="00690B96">
            <w:pPr>
              <w:keepNext/>
              <w:jc w:val="right"/>
              <w:rPr>
                <w:sz w:val="18"/>
                <w:szCs w:val="18"/>
              </w:rPr>
            </w:pPr>
            <w:r w:rsidRPr="00AD6FD0">
              <w:rPr>
                <w:sz w:val="18"/>
                <w:szCs w:val="18"/>
              </w:rPr>
              <w:t>272.7</w:t>
            </w:r>
          </w:p>
        </w:tc>
        <w:tc>
          <w:tcPr>
            <w:tcW w:w="405" w:type="pct"/>
          </w:tcPr>
          <w:p w:rsidR="00AD6FD0" w:rsidRPr="00AD6FD0" w:rsidRDefault="00AD6FD0" w:rsidP="00690B96">
            <w:pPr>
              <w:keepNext/>
              <w:jc w:val="right"/>
              <w:rPr>
                <w:sz w:val="18"/>
                <w:szCs w:val="18"/>
              </w:rPr>
            </w:pPr>
            <w:r w:rsidRPr="00AD6FD0">
              <w:rPr>
                <w:sz w:val="18"/>
                <w:szCs w:val="18"/>
              </w:rPr>
              <w:t>63.3</w:t>
            </w:r>
          </w:p>
        </w:tc>
      </w:tr>
      <w:tr w:rsidR="00AD6FD0" w:rsidRPr="00AD6FD0" w:rsidTr="00AD6FD0">
        <w:tc>
          <w:tcPr>
            <w:tcW w:w="1354" w:type="pct"/>
          </w:tcPr>
          <w:p w:rsidR="00AD6FD0" w:rsidRPr="00AD6FD0" w:rsidRDefault="00AD6FD0" w:rsidP="00690B96">
            <w:pPr>
              <w:keepNext/>
              <w:rPr>
                <w:sz w:val="18"/>
                <w:szCs w:val="18"/>
              </w:rPr>
            </w:pPr>
            <w:r w:rsidRPr="00AD6FD0">
              <w:rPr>
                <w:sz w:val="18"/>
                <w:szCs w:val="18"/>
              </w:rPr>
              <w:t>Remove under 15 and over 60 hours worked logged variables</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126.3</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-52.8</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-172.8</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160.2</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-158.2</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-182.0</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160.0</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272.8</w:t>
            </w:r>
          </w:p>
        </w:tc>
        <w:tc>
          <w:tcPr>
            <w:tcW w:w="405" w:type="pct"/>
            <w:tcBorders>
              <w:bottom w:val="single" w:sz="4" w:space="0" w:color="auto"/>
            </w:tcBorders>
          </w:tcPr>
          <w:p w:rsidR="00AD6FD0" w:rsidRPr="00AD6FD0" w:rsidRDefault="00AD6FD0" w:rsidP="00690B96">
            <w:pPr>
              <w:keepNext/>
              <w:jc w:val="right"/>
              <w:rPr>
                <w:sz w:val="18"/>
                <w:szCs w:val="18"/>
              </w:rPr>
            </w:pPr>
            <w:r w:rsidRPr="00AD6FD0">
              <w:rPr>
                <w:sz w:val="18"/>
                <w:szCs w:val="18"/>
              </w:rPr>
              <w:t>63.4</w:t>
            </w:r>
          </w:p>
        </w:tc>
      </w:tr>
      <w:tr w:rsidR="00AD6FD0" w:rsidRPr="00AD6FD0" w:rsidTr="00AD6FD0">
        <w:tc>
          <w:tcPr>
            <w:tcW w:w="1354" w:type="pct"/>
            <w:tcBorders>
              <w:bottom w:val="single" w:sz="4" w:space="0" w:color="auto"/>
            </w:tcBorders>
          </w:tcPr>
          <w:p w:rsidR="00AD6FD0" w:rsidRPr="00AD6FD0" w:rsidRDefault="00AD6FD0" w:rsidP="00690B96">
            <w:pPr>
              <w:keepNext/>
              <w:rPr>
                <w:sz w:val="18"/>
                <w:szCs w:val="18"/>
              </w:rPr>
            </w:pPr>
            <w:r w:rsidRPr="00AD6FD0">
              <w:rPr>
                <w:sz w:val="18"/>
                <w:szCs w:val="18"/>
              </w:rPr>
              <w:t>Difference from U2014 (b)</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24.4</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-7.4</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-29.2</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0.2</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4.9</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-8.2</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-6.2</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-14.3</w:t>
            </w:r>
          </w:p>
        </w:tc>
        <w:tc>
          <w:tcPr>
            <w:tcW w:w="405" w:type="pct"/>
            <w:tcBorders>
              <w:top w:val="single" w:sz="4" w:space="0" w:color="auto"/>
              <w:bottom w:val="single" w:sz="4" w:space="0" w:color="auto"/>
            </w:tcBorders>
          </w:tcPr>
          <w:p w:rsidR="00AD6FD0" w:rsidRPr="00AD6FD0" w:rsidRDefault="00AD6FD0" w:rsidP="00690B96">
            <w:pPr>
              <w:keepNext/>
              <w:jc w:val="right"/>
              <w:rPr>
                <w:sz w:val="18"/>
                <w:szCs w:val="18"/>
              </w:rPr>
            </w:pPr>
            <w:r w:rsidRPr="00AD6FD0">
              <w:rPr>
                <w:sz w:val="18"/>
                <w:szCs w:val="18"/>
              </w:rPr>
              <w:t>7.6</w:t>
            </w:r>
          </w:p>
        </w:tc>
      </w:tr>
    </w:tbl>
    <w:p w:rsidR="00AD6FD0" w:rsidRDefault="00AD6FD0" w:rsidP="00690B96">
      <w:pPr>
        <w:pStyle w:val="CGCTableFootnote"/>
        <w:keepNext/>
      </w:pPr>
      <w:r>
        <w:t>(a)</w:t>
      </w:r>
      <w:r>
        <w:tab/>
      </w:r>
      <w:r w:rsidRPr="00AD6FD0">
        <w:t>Adjustments were made progressively so that removing the under 15 and over 60 hours worked variables includes the impact of the previous adjustments</w:t>
      </w:r>
      <w:r>
        <w:t>.</w:t>
      </w:r>
    </w:p>
    <w:p w:rsidR="00AD6FD0" w:rsidRPr="00AD6FD0" w:rsidRDefault="00AD6FD0" w:rsidP="00690B96">
      <w:pPr>
        <w:pStyle w:val="NoSpacing"/>
        <w:keepNext/>
        <w:tabs>
          <w:tab w:val="clear" w:pos="567"/>
          <w:tab w:val="left" w:pos="851"/>
        </w:tabs>
        <w:ind w:left="851" w:hanging="851"/>
        <w:rPr>
          <w:sz w:val="20"/>
          <w:szCs w:val="20"/>
        </w:rPr>
      </w:pPr>
      <w:r w:rsidRPr="00AD6FD0">
        <w:rPr>
          <w:sz w:val="20"/>
          <w:szCs w:val="20"/>
        </w:rPr>
        <w:t>(b)</w:t>
      </w:r>
      <w:r w:rsidRPr="00AD6FD0">
        <w:rPr>
          <w:sz w:val="20"/>
          <w:szCs w:val="20"/>
        </w:rPr>
        <w:tab/>
        <w:t>This is the difference between the 2014 Update Wages assessment using capital city and the combined impact from including all adjustments to the regression model</w:t>
      </w:r>
      <w:r>
        <w:rPr>
          <w:sz w:val="20"/>
          <w:szCs w:val="20"/>
        </w:rPr>
        <w:t>.</w:t>
      </w:r>
    </w:p>
    <w:p w:rsidR="00AD6FD0" w:rsidRDefault="00AD6FD0" w:rsidP="00827E01">
      <w:pPr>
        <w:pStyle w:val="CGCTableFootnote"/>
      </w:pPr>
      <w:r>
        <w:t>Source:</w:t>
      </w:r>
      <w:r>
        <w:tab/>
        <w:t>SET 2009.</w:t>
      </w:r>
    </w:p>
    <w:p w:rsidR="00AD6FD0" w:rsidRDefault="00AD6FD0" w:rsidP="00AD6FD0">
      <w:pPr>
        <w:pStyle w:val="Heading3"/>
      </w:pPr>
      <w:r>
        <w:t>CONCLUSIONS</w:t>
      </w:r>
    </w:p>
    <w:p w:rsidR="00AD6FD0" w:rsidRDefault="00AD6FD0" w:rsidP="00AD6FD0">
      <w:pPr>
        <w:pStyle w:val="CGCNumberedPara"/>
      </w:pPr>
      <w:proofErr w:type="gramStart"/>
      <w:r>
        <w:t>Staff have</w:t>
      </w:r>
      <w:proofErr w:type="gramEnd"/>
      <w:r>
        <w:t xml:space="preserve"> found that the female interaction variables and the under 15 and over 60 hours worked variables do not add explanatory power to the model. By removing them, the regression model is significantly simplified. We have also found that using the dummy variable approach to measure interstate wage differences simplifies the coding but produces the same outcome.  </w:t>
      </w:r>
    </w:p>
    <w:p w:rsidR="00AD6FD0" w:rsidRDefault="00AD6FD0" w:rsidP="00AD6FD0">
      <w:pPr>
        <w:pStyle w:val="CGCNumberedPara"/>
      </w:pPr>
      <w:proofErr w:type="gramStart"/>
      <w:r>
        <w:t>Staff consider</w:t>
      </w:r>
      <w:proofErr w:type="gramEnd"/>
      <w:r>
        <w:t xml:space="preserve"> this simpler and more transparent model specification continues to produce a reliable estimation of interstate wage levels.</w:t>
      </w:r>
    </w:p>
    <w:p w:rsidR="00AD6FD0" w:rsidRDefault="00AD6FD0" w:rsidP="000F6176">
      <w:pPr>
        <w:pStyle w:val="CGCNumberedPara"/>
        <w:numPr>
          <w:ilvl w:val="0"/>
          <w:numId w:val="0"/>
        </w:numPr>
      </w:pPr>
    </w:p>
    <w:tbl>
      <w:tblPr>
        <w:tblStyle w:val="TableGrid"/>
        <w:tblW w:w="0" w:type="auto"/>
        <w:tblLook w:val="04A0" w:firstRow="1" w:lastRow="0" w:firstColumn="1" w:lastColumn="0" w:noHBand="0" w:noVBand="1"/>
      </w:tblPr>
      <w:tblGrid>
        <w:gridCol w:w="9167"/>
      </w:tblGrid>
      <w:tr w:rsidR="00BC32AB" w:rsidTr="00BC32AB">
        <w:tc>
          <w:tcPr>
            <w:tcW w:w="9167" w:type="dxa"/>
            <w:tcBorders>
              <w:top w:val="nil"/>
              <w:left w:val="nil"/>
              <w:bottom w:val="nil"/>
              <w:right w:val="nil"/>
            </w:tcBorders>
            <w:shd w:val="clear" w:color="auto" w:fill="D9F3E6"/>
          </w:tcPr>
          <w:p w:rsidR="00BC32AB" w:rsidRDefault="00BC32AB" w:rsidP="000F6176">
            <w:pPr>
              <w:pStyle w:val="CGCNumberedPara"/>
              <w:numPr>
                <w:ilvl w:val="0"/>
                <w:numId w:val="0"/>
              </w:numPr>
            </w:pPr>
            <w:r>
              <w:t>Staff propose to recommend the Commission:</w:t>
            </w:r>
          </w:p>
          <w:p w:rsidR="00BC32AB" w:rsidRDefault="00BC32AB" w:rsidP="00BC32AB">
            <w:pPr>
              <w:pStyle w:val="CGCBulletlist"/>
            </w:pPr>
            <w:r>
              <w:t>remove effects coding and use simple dummy variables</w:t>
            </w:r>
          </w:p>
          <w:p w:rsidR="00BC32AB" w:rsidRDefault="00BC32AB" w:rsidP="00BC32AB">
            <w:pPr>
              <w:pStyle w:val="CGCBulletlist"/>
            </w:pPr>
            <w:r>
              <w:t>remove the female interaction variables</w:t>
            </w:r>
          </w:p>
          <w:p w:rsidR="00BC32AB" w:rsidRDefault="00BC32AB" w:rsidP="00BC32AB">
            <w:pPr>
              <w:pStyle w:val="CGCBulletlist"/>
            </w:pPr>
            <w:proofErr w:type="gramStart"/>
            <w:r>
              <w:t>remove</w:t>
            </w:r>
            <w:proofErr w:type="gramEnd"/>
            <w:r>
              <w:t xml:space="preserve"> the variable hours worked less than 15 and greater than 60.</w:t>
            </w:r>
          </w:p>
        </w:tc>
      </w:tr>
    </w:tbl>
    <w:p w:rsidR="00BC32AB" w:rsidRPr="000F6176" w:rsidRDefault="00BC32AB" w:rsidP="000F6176">
      <w:pPr>
        <w:pStyle w:val="CGCNumberedPara"/>
        <w:numPr>
          <w:ilvl w:val="0"/>
          <w:numId w:val="0"/>
        </w:numPr>
      </w:pPr>
    </w:p>
    <w:p w:rsidR="00BE794D" w:rsidRPr="00970E6D" w:rsidRDefault="00BE794D" w:rsidP="00BE794D">
      <w:pPr>
        <w:pStyle w:val="CGCNumeralList"/>
        <w:numPr>
          <w:ilvl w:val="0"/>
          <w:numId w:val="0"/>
        </w:numPr>
      </w:pP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E101D4">
          <w:headerReference w:type="default" r:id="rId18"/>
          <w:footerReference w:type="default" r:id="rId19"/>
          <w:headerReference w:type="first" r:id="rId20"/>
          <w:footerReference w:type="first" r:id="rId21"/>
          <w:pgSz w:w="11899" w:h="16838" w:code="9"/>
          <w:pgMar w:top="1701" w:right="1474" w:bottom="1701" w:left="1474" w:header="709" w:footer="709" w:gutter="0"/>
          <w:pgNumType w:start="1"/>
          <w:cols w:space="708"/>
          <w:titlePg/>
          <w:docGrid w:linePitch="299"/>
        </w:sectPr>
      </w:pPr>
    </w:p>
    <w:p w:rsidR="00BE794D" w:rsidRPr="00970E6D" w:rsidRDefault="00BE794D" w:rsidP="00BE794D">
      <w:pPr>
        <w:pStyle w:val="Heading2"/>
      </w:pPr>
      <w:bookmarkStart w:id="27" w:name="_Toc106707732"/>
      <w:bookmarkStart w:id="28" w:name="_Toc155675943"/>
      <w:bookmarkStart w:id="29" w:name="_Toc174415778"/>
      <w:bookmarkStart w:id="30" w:name="_Toc174415943"/>
      <w:bookmarkStart w:id="31" w:name="_Toc174416628"/>
      <w:bookmarkStart w:id="32" w:name="_Toc174416670"/>
      <w:r>
        <w:lastRenderedPageBreak/>
        <w:t xml:space="preserve">ATTACHMENT A </w:t>
      </w:r>
      <w:r w:rsidR="00BC32AB">
        <w:t>– 2009 SET regression results</w:t>
      </w:r>
      <w:bookmarkEnd w:id="27"/>
      <w:bookmarkEnd w:id="28"/>
      <w:bookmarkEnd w:id="29"/>
      <w:bookmarkEnd w:id="30"/>
      <w:bookmarkEnd w:id="31"/>
      <w:bookmarkEnd w:id="32"/>
    </w:p>
    <w:p w:rsidR="00BC32AB" w:rsidRDefault="00BC32AB" w:rsidP="00BC32AB">
      <w:pPr>
        <w:pStyle w:val="CGCTableHeading"/>
      </w:pPr>
      <w:bookmarkStart w:id="33" w:name="_Toc174415779"/>
      <w:bookmarkStart w:id="34" w:name="_Toc174415852"/>
      <w:bookmarkStart w:id="35" w:name="_Toc174415944"/>
      <w:bookmarkStart w:id="36" w:name="_Toc174416629"/>
      <w:bookmarkStart w:id="37" w:name="_Toc174416671"/>
      <w:bookmarkStart w:id="38" w:name="_Toc174416683"/>
      <w:r>
        <w:t xml:space="preserve">Table A - </w:t>
      </w:r>
      <w:fldSimple w:instr=" SEQ Table_A_- \* ARABIC ">
        <w:r>
          <w:rPr>
            <w:noProof/>
          </w:rPr>
          <w:t>1</w:t>
        </w:r>
      </w:fldSimple>
      <w:r>
        <w:tab/>
        <w:t>2009 SET regression results including proposed adjustments</w:t>
      </w:r>
    </w:p>
    <w:tbl>
      <w:tblPr>
        <w:tblW w:w="9399" w:type="dxa"/>
        <w:tblInd w:w="93" w:type="dxa"/>
        <w:tblLook w:val="04A0" w:firstRow="1" w:lastRow="0" w:firstColumn="1" w:lastColumn="0" w:noHBand="0" w:noVBand="1"/>
      </w:tblPr>
      <w:tblGrid>
        <w:gridCol w:w="5560"/>
        <w:gridCol w:w="1164"/>
        <w:gridCol w:w="1025"/>
        <w:gridCol w:w="820"/>
        <w:gridCol w:w="830"/>
      </w:tblGrid>
      <w:tr w:rsidR="00BC32AB" w:rsidRPr="005E63E9" w:rsidTr="00384EFB">
        <w:trPr>
          <w:trHeight w:val="600"/>
        </w:trPr>
        <w:tc>
          <w:tcPr>
            <w:tcW w:w="5560" w:type="dxa"/>
            <w:tcBorders>
              <w:top w:val="single" w:sz="4" w:space="0" w:color="auto"/>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Description of variable</w:t>
            </w:r>
          </w:p>
        </w:tc>
        <w:tc>
          <w:tcPr>
            <w:tcW w:w="1164"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Parameter Estimate</w:t>
            </w:r>
          </w:p>
        </w:tc>
        <w:tc>
          <w:tcPr>
            <w:tcW w:w="1025"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Standard Error</w:t>
            </w:r>
          </w:p>
        </w:tc>
        <w:tc>
          <w:tcPr>
            <w:tcW w:w="82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t value</w:t>
            </w:r>
          </w:p>
        </w:tc>
        <w:tc>
          <w:tcPr>
            <w:tcW w:w="83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P</w:t>
            </w:r>
            <w:r w:rsidRPr="005E63E9">
              <w:rPr>
                <w:rFonts w:ascii="Calibri" w:eastAsia="Times New Roman" w:hAnsi="Calibri" w:cs="Calibri"/>
                <w:color w:val="000000"/>
                <w:sz w:val="22"/>
                <w:szCs w:val="22"/>
                <w:lang w:eastAsia="en-AU"/>
              </w:rPr>
              <w:t xml:space="preserve"> &gt; |t|</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Intercept</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2.44166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0.09632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25.35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 xml:space="preserve">State of residence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New South Wales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0.07441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0.04174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1.78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0.0747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Victoria</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0.03414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0.04178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0.82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0.4139</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Queensland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0.00313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0.0427</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0.9416</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Western Australia</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0.06961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0.04288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1.62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0.1046</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South Australia</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0.01317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0.04373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0.7633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1"/>
              <w:rPr>
                <w:rFonts w:ascii="Calibri" w:eastAsia="Times New Roman" w:hAnsi="Calibri" w:cs="Calibri"/>
                <w:color w:val="000000"/>
                <w:sz w:val="22"/>
                <w:szCs w:val="22"/>
                <w:lang w:eastAsia="en-AU"/>
              </w:rPr>
            </w:pPr>
            <w:r w:rsidRPr="005E63E9">
              <w:rPr>
                <w:rFonts w:ascii="Calibri" w:eastAsia="Times New Roman" w:hAnsi="Calibri" w:cs="Calibri"/>
                <w:b/>
                <w:bCs/>
                <w:color w:val="000000"/>
                <w:sz w:val="22"/>
                <w:szCs w:val="22"/>
                <w:lang w:eastAsia="en-AU"/>
              </w:rPr>
              <w:t>**</w:t>
            </w:r>
            <w:r w:rsidRPr="005E63E9">
              <w:rPr>
                <w:rFonts w:ascii="Calibri" w:eastAsia="Times New Roman" w:hAnsi="Calibri" w:cs="Calibri"/>
                <w:color w:val="000000"/>
                <w:sz w:val="22"/>
                <w:szCs w:val="22"/>
                <w:lang w:eastAsia="en-AU"/>
              </w:rPr>
              <w:t>Tasmania</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ACT</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0.08169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0.05344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1.53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0.1264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Northern Territory</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0.09278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0.06018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1.54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0.1232</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Sex</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Female</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-0.12196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0.01188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-10.27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**Male</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Marital status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Married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0.06129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0.01157</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5.3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1"/>
              <w:rPr>
                <w:rFonts w:ascii="Calibri" w:eastAsia="Times New Roman" w:hAnsi="Calibri" w:cs="Calibri"/>
                <w:color w:val="000000"/>
                <w:sz w:val="22"/>
                <w:szCs w:val="22"/>
                <w:lang w:eastAsia="en-AU"/>
              </w:rPr>
            </w:pPr>
            <w:r w:rsidRPr="005E63E9">
              <w:rPr>
                <w:rFonts w:ascii="Calibri" w:eastAsia="Times New Roman" w:hAnsi="Calibri" w:cs="Calibri"/>
                <w:b/>
                <w:bCs/>
                <w:color w:val="000000"/>
                <w:sz w:val="22"/>
                <w:szCs w:val="22"/>
                <w:lang w:eastAsia="en-AU"/>
              </w:rPr>
              <w:t>**</w:t>
            </w:r>
            <w:r w:rsidRPr="005E63E9">
              <w:rPr>
                <w:rFonts w:ascii="Calibri" w:eastAsia="Times New Roman" w:hAnsi="Calibri" w:cs="Calibri"/>
                <w:color w:val="000000"/>
                <w:sz w:val="22"/>
                <w:szCs w:val="22"/>
                <w:lang w:eastAsia="en-AU"/>
              </w:rPr>
              <w:t>Not married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Whether had any young children</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With children under 15 years old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-0.00346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0.01142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0.7618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1"/>
              <w:rPr>
                <w:rFonts w:ascii="Calibri" w:eastAsia="Times New Roman" w:hAnsi="Calibri" w:cs="Calibri"/>
                <w:color w:val="000000"/>
                <w:sz w:val="22"/>
                <w:szCs w:val="22"/>
                <w:lang w:eastAsia="en-AU"/>
              </w:rPr>
            </w:pPr>
            <w:r w:rsidRPr="005E63E9">
              <w:rPr>
                <w:rFonts w:ascii="Calibri" w:eastAsia="Times New Roman" w:hAnsi="Calibri" w:cs="Calibri"/>
                <w:b/>
                <w:bCs/>
                <w:color w:val="000000"/>
                <w:sz w:val="22"/>
                <w:szCs w:val="22"/>
                <w:lang w:eastAsia="en-AU"/>
              </w:rPr>
              <w:t>**</w:t>
            </w:r>
            <w:r w:rsidRPr="005E63E9">
              <w:rPr>
                <w:rFonts w:ascii="Calibri" w:eastAsia="Times New Roman" w:hAnsi="Calibri" w:cs="Calibri"/>
                <w:color w:val="000000"/>
                <w:sz w:val="22"/>
                <w:szCs w:val="22"/>
                <w:lang w:eastAsia="en-AU"/>
              </w:rPr>
              <w:t>Without children under 15 year old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Whether permanent or casual</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Permanent with main period employer</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0.05839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0.01474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3.96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1"/>
              <w:rPr>
                <w:rFonts w:ascii="Calibri" w:eastAsia="Times New Roman" w:hAnsi="Calibri" w:cs="Calibri"/>
                <w:color w:val="000000"/>
                <w:sz w:val="22"/>
                <w:szCs w:val="22"/>
                <w:lang w:eastAsia="en-AU"/>
              </w:rPr>
            </w:pPr>
            <w:r w:rsidRPr="005E63E9">
              <w:rPr>
                <w:rFonts w:ascii="Calibri" w:eastAsia="Times New Roman" w:hAnsi="Calibri" w:cs="Calibri"/>
                <w:b/>
                <w:bCs/>
                <w:color w:val="000000"/>
                <w:sz w:val="22"/>
                <w:szCs w:val="22"/>
                <w:lang w:eastAsia="en-AU"/>
              </w:rPr>
              <w:t>**</w:t>
            </w:r>
            <w:r w:rsidRPr="005E63E9">
              <w:rPr>
                <w:rFonts w:ascii="Calibri" w:eastAsia="Times New Roman" w:hAnsi="Calibri" w:cs="Calibri"/>
                <w:color w:val="000000"/>
                <w:sz w:val="22"/>
                <w:szCs w:val="22"/>
                <w:lang w:eastAsia="en-AU"/>
              </w:rPr>
              <w:t>Casual with main period employer</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Hours usually worked per week</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Log of Number of hours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0.96298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0.01294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74.41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 xml:space="preserve">Migrant status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Born in ESC lived in Australia &gt;20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0.06057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0.02005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3.02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0.0025</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Born in ESC, lived in Australia 10-20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0.12242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0.0343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3.57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Born in ESC, lived in Australia &lt; 10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0.0928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0.02623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3.54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Born in NESC, lived in Australia more than 20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-0.06534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0.01739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-3.76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0.0002</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Born in NESC lived in Australia between 10-20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-0.12963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0.02139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-6.06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Born in NESC, lived in Australia less than 10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-0.13022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0.02057</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-6.33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**Born in Australia</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Size of firm (number of employees)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Less than 20</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-0.00856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0.03116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0.7836</w:t>
            </w:r>
          </w:p>
        </w:tc>
      </w:tr>
      <w:tr w:rsidR="00BC32AB" w:rsidRPr="005E63E9" w:rsidTr="00384EFB">
        <w:trPr>
          <w:trHeight w:val="300"/>
        </w:trPr>
        <w:tc>
          <w:tcPr>
            <w:tcW w:w="556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20-99</w:t>
            </w:r>
          </w:p>
        </w:tc>
        <w:tc>
          <w:tcPr>
            <w:tcW w:w="1164"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0.06395</w:t>
            </w:r>
          </w:p>
        </w:tc>
        <w:tc>
          <w:tcPr>
            <w:tcW w:w="1025"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0.03157</w:t>
            </w:r>
          </w:p>
        </w:tc>
        <w:tc>
          <w:tcPr>
            <w:tcW w:w="82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2.03</w:t>
            </w:r>
          </w:p>
        </w:tc>
        <w:tc>
          <w:tcPr>
            <w:tcW w:w="83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0.0428</w:t>
            </w:r>
          </w:p>
        </w:tc>
      </w:tr>
      <w:tr w:rsidR="00BC32AB" w:rsidRPr="005E63E9" w:rsidTr="00384EFB">
        <w:trPr>
          <w:trHeight w:val="300"/>
        </w:trPr>
        <w:tc>
          <w:tcPr>
            <w:tcW w:w="556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100 and over</w:t>
            </w:r>
          </w:p>
        </w:tc>
        <w:tc>
          <w:tcPr>
            <w:tcW w:w="1164"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0.13485</w:t>
            </w:r>
          </w:p>
        </w:tc>
        <w:tc>
          <w:tcPr>
            <w:tcW w:w="1025"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0.03165</w:t>
            </w:r>
          </w:p>
        </w:tc>
        <w:tc>
          <w:tcPr>
            <w:tcW w:w="82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4.26</w:t>
            </w:r>
          </w:p>
        </w:tc>
        <w:tc>
          <w:tcPr>
            <w:tcW w:w="83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bl>
    <w:p w:rsidR="00BC32AB" w:rsidRDefault="00BC32AB" w:rsidP="00BC32AB">
      <w:pPr>
        <w:pStyle w:val="CGCTableHeading"/>
      </w:pPr>
      <w:r>
        <w:lastRenderedPageBreak/>
        <w:t>Table A - 1</w:t>
      </w:r>
      <w:r>
        <w:tab/>
        <w:t>2009 SET regression results including proposed adjustments (continued)</w:t>
      </w:r>
    </w:p>
    <w:tbl>
      <w:tblPr>
        <w:tblW w:w="9399" w:type="dxa"/>
        <w:tblInd w:w="93" w:type="dxa"/>
        <w:tblLook w:val="04A0" w:firstRow="1" w:lastRow="0" w:firstColumn="1" w:lastColumn="0" w:noHBand="0" w:noVBand="1"/>
      </w:tblPr>
      <w:tblGrid>
        <w:gridCol w:w="5560"/>
        <w:gridCol w:w="1164"/>
        <w:gridCol w:w="1025"/>
        <w:gridCol w:w="820"/>
        <w:gridCol w:w="830"/>
      </w:tblGrid>
      <w:tr w:rsidR="00BC32AB" w:rsidRPr="005E63E9" w:rsidTr="00384EFB">
        <w:trPr>
          <w:trHeight w:val="600"/>
        </w:trPr>
        <w:tc>
          <w:tcPr>
            <w:tcW w:w="5560" w:type="dxa"/>
            <w:tcBorders>
              <w:top w:val="single" w:sz="4" w:space="0" w:color="auto"/>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Description of variable</w:t>
            </w:r>
          </w:p>
        </w:tc>
        <w:tc>
          <w:tcPr>
            <w:tcW w:w="1164"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Parameter Estimate</w:t>
            </w:r>
          </w:p>
        </w:tc>
        <w:tc>
          <w:tcPr>
            <w:tcW w:w="1025"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Standard Error</w:t>
            </w:r>
          </w:p>
        </w:tc>
        <w:tc>
          <w:tcPr>
            <w:tcW w:w="82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t value</w:t>
            </w:r>
          </w:p>
        </w:tc>
        <w:tc>
          <w:tcPr>
            <w:tcW w:w="83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P</w:t>
            </w:r>
            <w:r w:rsidRPr="005E63E9">
              <w:rPr>
                <w:rFonts w:ascii="Calibri" w:eastAsia="Times New Roman" w:hAnsi="Calibri" w:cs="Calibri"/>
                <w:color w:val="000000"/>
                <w:sz w:val="22"/>
                <w:szCs w:val="22"/>
                <w:lang w:eastAsia="en-AU"/>
              </w:rPr>
              <w:t xml:space="preserve"> &gt; |t|</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1"/>
              <w:rPr>
                <w:rFonts w:ascii="Calibri" w:eastAsia="Times New Roman" w:hAnsi="Calibri" w:cs="Calibri"/>
                <w:color w:val="000000"/>
                <w:sz w:val="22"/>
                <w:szCs w:val="22"/>
                <w:lang w:eastAsia="en-AU"/>
              </w:rPr>
            </w:pPr>
            <w:r w:rsidRPr="005E63E9">
              <w:rPr>
                <w:rFonts w:ascii="Calibri" w:eastAsia="Times New Roman" w:hAnsi="Calibri" w:cs="Calibri"/>
                <w:b/>
                <w:bCs/>
                <w:color w:val="000000"/>
                <w:sz w:val="22"/>
                <w:szCs w:val="22"/>
                <w:lang w:eastAsia="en-AU"/>
              </w:rPr>
              <w:t>**</w:t>
            </w:r>
            <w:r w:rsidRPr="005E63E9">
              <w:rPr>
                <w:rFonts w:ascii="Calibri" w:eastAsia="Times New Roman" w:hAnsi="Calibri" w:cs="Calibri"/>
                <w:color w:val="000000"/>
                <w:sz w:val="22"/>
                <w:szCs w:val="22"/>
                <w:lang w:eastAsia="en-AU"/>
              </w:rPr>
              <w:t>Number unknown</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Trade union membership</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Had trade union membership</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0.01032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0.01431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0.72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0.4708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1"/>
              <w:rPr>
                <w:rFonts w:ascii="Calibri" w:eastAsia="Times New Roman" w:hAnsi="Calibri" w:cs="Calibri"/>
                <w:color w:val="000000"/>
                <w:sz w:val="22"/>
                <w:szCs w:val="22"/>
                <w:lang w:eastAsia="en-AU"/>
              </w:rPr>
            </w:pPr>
            <w:r w:rsidRPr="005E63E9">
              <w:rPr>
                <w:rFonts w:ascii="Calibri" w:eastAsia="Times New Roman" w:hAnsi="Calibri" w:cs="Calibri"/>
                <w:b/>
                <w:bCs/>
                <w:color w:val="000000"/>
                <w:sz w:val="22"/>
                <w:szCs w:val="22"/>
                <w:lang w:eastAsia="en-AU"/>
              </w:rPr>
              <w:t>**</w:t>
            </w:r>
            <w:r w:rsidRPr="005E63E9">
              <w:rPr>
                <w:rFonts w:ascii="Calibri" w:eastAsia="Times New Roman" w:hAnsi="Calibri" w:cs="Calibri"/>
                <w:color w:val="000000"/>
                <w:sz w:val="22"/>
                <w:szCs w:val="22"/>
                <w:lang w:eastAsia="en-AU"/>
              </w:rPr>
              <w:t>Did not have trade union membership</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Detailed Occupation</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Managers </w:t>
            </w:r>
            <w:proofErr w:type="spellStart"/>
            <w:r w:rsidRPr="005E63E9">
              <w:rPr>
                <w:rFonts w:ascii="Calibri" w:eastAsia="Times New Roman" w:hAnsi="Calibri" w:cs="Calibri"/>
                <w:color w:val="000000"/>
                <w:sz w:val="22"/>
                <w:szCs w:val="22"/>
                <w:lang w:eastAsia="en-AU"/>
              </w:rPr>
              <w:t>nfd</w:t>
            </w:r>
            <w:proofErr w:type="spellEnd"/>
            <w:r w:rsidRPr="005E63E9">
              <w:rPr>
                <w:rFonts w:ascii="Calibri" w:eastAsia="Times New Roman" w:hAnsi="Calibri" w:cs="Calibri"/>
                <w:color w:val="000000"/>
                <w:sz w:val="22"/>
                <w:szCs w:val="22"/>
                <w:lang w:eastAsia="en-AU"/>
              </w:rPr>
              <w:t xml:space="preserv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0.54598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0.08032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6.8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Chief Executives, General Managers and Legislators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0.87512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0.07785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11.24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Farmers and Farm Managers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-0.07818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0.14308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0.5848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Specialist Managers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0.45574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0.04342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10.5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Hospitality, Retail and Service Managers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0.23431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0.04523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5.18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Professionals </w:t>
            </w:r>
            <w:proofErr w:type="spellStart"/>
            <w:r w:rsidRPr="005E63E9">
              <w:rPr>
                <w:rFonts w:ascii="Calibri" w:eastAsia="Times New Roman" w:hAnsi="Calibri" w:cs="Calibri"/>
                <w:color w:val="000000"/>
                <w:sz w:val="22"/>
                <w:szCs w:val="22"/>
                <w:lang w:eastAsia="en-AU"/>
              </w:rPr>
              <w:t>nfd</w:t>
            </w:r>
            <w:proofErr w:type="spellEnd"/>
            <w:r w:rsidRPr="005E63E9">
              <w:rPr>
                <w:rFonts w:ascii="Calibri" w:eastAsia="Times New Roman" w:hAnsi="Calibri" w:cs="Calibri"/>
                <w:color w:val="000000"/>
                <w:sz w:val="22"/>
                <w:szCs w:val="22"/>
                <w:lang w:eastAsia="en-AU"/>
              </w:rPr>
              <w:t xml:space="preserv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0.31208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0.14613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2.14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0.0327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Arts and Media Professionals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0.27977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0.08364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3.35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Business, Human Resource and Marketing Professionals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0.36927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0.04424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8.35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Design, Engineering, Science and Transport Professionals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0.30609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0.04762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6.43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Education Professionals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0.22145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0.06356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3.48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0.0005</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Health Professionals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0.37253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0.05796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6.43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ICT Professionals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0.39078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0.0505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7.74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Legal, Social and Welfare Professionals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0.29574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0.06739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4.39</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Engineering, ICT and Science Technicians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0.22406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0.04912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4.56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Automotive and Engineering Trades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0.06358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0.04704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1.35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0.1766</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Construction Trades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0.02258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0.05486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0.6806</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proofErr w:type="spellStart"/>
            <w:r w:rsidRPr="005E63E9">
              <w:rPr>
                <w:rFonts w:ascii="Calibri" w:eastAsia="Times New Roman" w:hAnsi="Calibri" w:cs="Calibri"/>
                <w:color w:val="000000"/>
                <w:sz w:val="22"/>
                <w:szCs w:val="22"/>
                <w:lang w:eastAsia="en-AU"/>
              </w:rPr>
              <w:t>Electrotech</w:t>
            </w:r>
            <w:proofErr w:type="spellEnd"/>
            <w:r w:rsidRPr="005E63E9">
              <w:rPr>
                <w:rFonts w:ascii="Calibri" w:eastAsia="Times New Roman" w:hAnsi="Calibri" w:cs="Calibri"/>
                <w:color w:val="000000"/>
                <w:sz w:val="22"/>
                <w:szCs w:val="22"/>
                <w:lang w:eastAsia="en-AU"/>
              </w:rPr>
              <w:t xml:space="preserve"> and Telecommunications Trades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0.09176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0.05124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1.79</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0.0734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Food Trades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-0.02728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0.05675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0.6307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Skilled Animal and Horticultural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-0.04719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0.07081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0.5051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Other Technicians and Trades Workers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0.08243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0.05126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1.61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0.1079</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Health and Welfare Support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0.20196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0.0674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0.0027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Carers and Aides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0.0958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0.04978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1.92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0.0543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Hospitality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0.1095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0.05096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2.15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0.0317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Protective Service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0.17796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0.07329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2.43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0.0152</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Sports and Personal Service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0.22276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0.05488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4.06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Office Managers and Program Administrators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0.31843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0.04802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6.63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Personal Assistants and Secretaries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0.22579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0.0541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4.17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General Clerical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0.10692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0.05249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2.04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0.0417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Inquiry Clerks and Receptionists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0.10406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0.04632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2.25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0.0247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Numerical Clerks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0.0782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0.04563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1.71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0.0866</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Clerical and Office Support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-0.07475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0.07036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-1.06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0.288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Other Clerical and Administrative Workers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0.0702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0.04759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1.48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0.1402</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Sales Representatives and Agents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0.19331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0.05131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3.77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0.0002</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Sales Assistants and Salespersons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0.05321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0.0411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1.29</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0.1955</w:t>
            </w:r>
          </w:p>
        </w:tc>
      </w:tr>
      <w:tr w:rsidR="00BC32AB" w:rsidRPr="005E63E9" w:rsidTr="00384EFB">
        <w:trPr>
          <w:trHeight w:val="300"/>
        </w:trPr>
        <w:tc>
          <w:tcPr>
            <w:tcW w:w="556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Sales Support Workers </w:t>
            </w:r>
          </w:p>
        </w:tc>
        <w:tc>
          <w:tcPr>
            <w:tcW w:w="1164"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0.02986</w:t>
            </w:r>
          </w:p>
        </w:tc>
        <w:tc>
          <w:tcPr>
            <w:tcW w:w="1025"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0.04902</w:t>
            </w:r>
          </w:p>
        </w:tc>
        <w:tc>
          <w:tcPr>
            <w:tcW w:w="82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0.61</w:t>
            </w:r>
          </w:p>
        </w:tc>
        <w:tc>
          <w:tcPr>
            <w:tcW w:w="83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0.5424</w:t>
            </w:r>
          </w:p>
        </w:tc>
      </w:tr>
      <w:tr w:rsidR="00BC32AB" w:rsidRPr="005E63E9" w:rsidTr="00384EFB">
        <w:trPr>
          <w:trHeight w:val="300"/>
        </w:trPr>
        <w:tc>
          <w:tcPr>
            <w:tcW w:w="556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Machinery Operators and Drivers </w:t>
            </w:r>
            <w:proofErr w:type="spellStart"/>
            <w:r w:rsidRPr="005E63E9">
              <w:rPr>
                <w:rFonts w:ascii="Calibri" w:eastAsia="Times New Roman" w:hAnsi="Calibri" w:cs="Calibri"/>
                <w:color w:val="000000"/>
                <w:sz w:val="22"/>
                <w:szCs w:val="22"/>
                <w:lang w:eastAsia="en-AU"/>
              </w:rPr>
              <w:t>nfd</w:t>
            </w:r>
            <w:proofErr w:type="spellEnd"/>
            <w:r w:rsidRPr="005E63E9">
              <w:rPr>
                <w:rFonts w:ascii="Calibri" w:eastAsia="Times New Roman" w:hAnsi="Calibri" w:cs="Calibri"/>
                <w:color w:val="000000"/>
                <w:sz w:val="22"/>
                <w:szCs w:val="22"/>
                <w:lang w:eastAsia="en-AU"/>
              </w:rPr>
              <w:t xml:space="preserve"> </w:t>
            </w:r>
          </w:p>
        </w:tc>
        <w:tc>
          <w:tcPr>
            <w:tcW w:w="1164"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-0.22509</w:t>
            </w:r>
          </w:p>
        </w:tc>
        <w:tc>
          <w:tcPr>
            <w:tcW w:w="1025"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0.16255</w:t>
            </w:r>
          </w:p>
        </w:tc>
        <w:tc>
          <w:tcPr>
            <w:tcW w:w="82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-1.38</w:t>
            </w:r>
          </w:p>
        </w:tc>
        <w:tc>
          <w:tcPr>
            <w:tcW w:w="83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0.1662</w:t>
            </w:r>
          </w:p>
        </w:tc>
      </w:tr>
    </w:tbl>
    <w:p w:rsidR="00BC32AB" w:rsidRDefault="00BC32AB" w:rsidP="00BC32AB">
      <w:pPr>
        <w:pStyle w:val="CGCTableHeading"/>
      </w:pPr>
      <w:r>
        <w:lastRenderedPageBreak/>
        <w:t>Table A - 1</w:t>
      </w:r>
      <w:r>
        <w:tab/>
        <w:t>2009 SET regression results including proposed adjustments (continued)</w:t>
      </w:r>
    </w:p>
    <w:tbl>
      <w:tblPr>
        <w:tblW w:w="9399" w:type="dxa"/>
        <w:tblInd w:w="93" w:type="dxa"/>
        <w:tblLook w:val="04A0" w:firstRow="1" w:lastRow="0" w:firstColumn="1" w:lastColumn="0" w:noHBand="0" w:noVBand="1"/>
      </w:tblPr>
      <w:tblGrid>
        <w:gridCol w:w="5560"/>
        <w:gridCol w:w="1164"/>
        <w:gridCol w:w="1025"/>
        <w:gridCol w:w="820"/>
        <w:gridCol w:w="830"/>
      </w:tblGrid>
      <w:tr w:rsidR="00BC32AB" w:rsidRPr="005E63E9" w:rsidTr="00384EFB">
        <w:trPr>
          <w:trHeight w:val="600"/>
        </w:trPr>
        <w:tc>
          <w:tcPr>
            <w:tcW w:w="5560" w:type="dxa"/>
            <w:tcBorders>
              <w:top w:val="single" w:sz="4" w:space="0" w:color="auto"/>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Description of variable</w:t>
            </w:r>
          </w:p>
        </w:tc>
        <w:tc>
          <w:tcPr>
            <w:tcW w:w="1164"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Parameter Estimate</w:t>
            </w:r>
          </w:p>
        </w:tc>
        <w:tc>
          <w:tcPr>
            <w:tcW w:w="1025"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Standard Error</w:t>
            </w:r>
          </w:p>
        </w:tc>
        <w:tc>
          <w:tcPr>
            <w:tcW w:w="82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t value</w:t>
            </w:r>
          </w:p>
        </w:tc>
        <w:tc>
          <w:tcPr>
            <w:tcW w:w="83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P</w:t>
            </w:r>
            <w:r w:rsidRPr="005E63E9">
              <w:rPr>
                <w:rFonts w:ascii="Calibri" w:eastAsia="Times New Roman" w:hAnsi="Calibri" w:cs="Calibri"/>
                <w:color w:val="000000"/>
                <w:sz w:val="22"/>
                <w:szCs w:val="22"/>
                <w:lang w:eastAsia="en-AU"/>
              </w:rPr>
              <w:t xml:space="preserve"> &gt; |t|</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Machine and Stationary Plant Operators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0.06045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0.05331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1.13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0.2568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Mobile Plant Operators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0.05833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0.05332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1.09</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0.274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Road and Rail Drivers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-0.05452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0.04943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0.2701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proofErr w:type="spellStart"/>
            <w:r w:rsidRPr="005E63E9">
              <w:rPr>
                <w:rFonts w:ascii="Calibri" w:eastAsia="Times New Roman" w:hAnsi="Calibri" w:cs="Calibri"/>
                <w:color w:val="000000"/>
                <w:sz w:val="22"/>
                <w:szCs w:val="22"/>
                <w:lang w:eastAsia="en-AU"/>
              </w:rPr>
              <w:t>Storepersons</w:t>
            </w:r>
            <w:proofErr w:type="spellEnd"/>
            <w:r w:rsidRPr="005E63E9">
              <w:rPr>
                <w:rFonts w:ascii="Calibri" w:eastAsia="Times New Roman" w:hAnsi="Calibri" w:cs="Calibri"/>
                <w:color w:val="000000"/>
                <w:sz w:val="22"/>
                <w:szCs w:val="22"/>
                <w:lang w:eastAsia="en-AU"/>
              </w:rPr>
              <w:t xml:space="preserv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-0.01096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0.05494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0.8419</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Cleaners and Laundry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-0.06699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0.04936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-1.36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0.1748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Construction and Mining Labourers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0.16235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0.05754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2.82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0.0048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Factory Process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-0.20878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0.04781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-4.37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Farm, Forestry and Garden Workers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-0.05238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0.07832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0.5036</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Food Preparation Assistants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0.02245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0.05554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0.6861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Inadequately described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0.09871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0.09769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1.01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0.3123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 xml:space="preserve">Industry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Agriculture, Forestry and Fishing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0.03081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0.06828</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0.6518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Mining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0.46166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0.04755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9.71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Manufacturing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0.16133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0.02865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5.63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Electricity, Gas, Water and Waste Services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0.34303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0.04875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7.04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Construction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0.18985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0.03369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5.64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Wholesale trade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0.15398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0.03277</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Retail trade</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0.08902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0.03047</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2.92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0.0035</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Accommodation and Food Services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0.04924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0.03611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1.36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0.1728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Transport, Postal and Warehousing</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0.19385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0.03556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5.45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Information Media and Telecommunications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0.18157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0.03933</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4.62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Financial and Insurance Services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0.24782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0.03295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7.52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Rental, Hiring and Real Estate Services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0.14361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0.04451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3.23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0.0013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Professional, Scientific and Technical Services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0.17821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0.03074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5.8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Administrative and Support Services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0.14317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0.03522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4.06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Public Administration and Safety</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0.04752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0.05556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0.86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0.3924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Education and Training</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0.02758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0.04584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0.5475</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Health Care and Social Assistance</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0.04479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0.03217</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1.39</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0.1639</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Arts and Recreation Services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0.06776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0.04959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1.37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0.1719</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Inadequately described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-0.01378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0.11641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0.9058</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**Other Services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Level of highest education attainment</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Higher degree</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0.47845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0.05475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8.74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Postgraduate diploma</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0.41063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0.05761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7.13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Bachelor degree</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0.37277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0.05002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7.45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Advanced diploma/diploma</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0.18219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0.05011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3.64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Certificate III or IV</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0.16794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0.05042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3.33</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0.0009</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Certificate I or II</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0.0001423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0.06756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0.9983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Certificate not defined</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-0.02297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0.16561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0.8897</w:t>
            </w:r>
          </w:p>
        </w:tc>
      </w:tr>
      <w:tr w:rsidR="00BC32AB" w:rsidRPr="005E63E9" w:rsidTr="00384EFB">
        <w:trPr>
          <w:trHeight w:val="300"/>
        </w:trPr>
        <w:tc>
          <w:tcPr>
            <w:tcW w:w="556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Year 12</w:t>
            </w:r>
          </w:p>
        </w:tc>
        <w:tc>
          <w:tcPr>
            <w:tcW w:w="1164"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0.05655</w:t>
            </w:r>
          </w:p>
        </w:tc>
        <w:tc>
          <w:tcPr>
            <w:tcW w:w="1025"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0.01581</w:t>
            </w:r>
          </w:p>
        </w:tc>
        <w:tc>
          <w:tcPr>
            <w:tcW w:w="82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3.58</w:t>
            </w:r>
          </w:p>
        </w:tc>
        <w:tc>
          <w:tcPr>
            <w:tcW w:w="830" w:type="dxa"/>
            <w:tcBorders>
              <w:top w:val="nil"/>
              <w:left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0.0004</w:t>
            </w:r>
          </w:p>
        </w:tc>
      </w:tr>
      <w:tr w:rsidR="00BC32AB" w:rsidRPr="005E63E9" w:rsidTr="00384EFB">
        <w:trPr>
          <w:trHeight w:val="300"/>
        </w:trPr>
        <w:tc>
          <w:tcPr>
            <w:tcW w:w="556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**Did not complete year 12/unknown </w:t>
            </w:r>
          </w:p>
        </w:tc>
        <w:tc>
          <w:tcPr>
            <w:tcW w:w="1164"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bl>
    <w:p w:rsidR="00BC32AB" w:rsidRDefault="00BC32AB" w:rsidP="00BC32AB">
      <w:pPr>
        <w:pStyle w:val="CGCTableHeading"/>
      </w:pPr>
      <w:r>
        <w:lastRenderedPageBreak/>
        <w:t>Table A - 1</w:t>
      </w:r>
      <w:r>
        <w:tab/>
        <w:t>2009 SET regression results including proposed adjustments (continued)</w:t>
      </w:r>
    </w:p>
    <w:tbl>
      <w:tblPr>
        <w:tblW w:w="9399" w:type="dxa"/>
        <w:tblInd w:w="93" w:type="dxa"/>
        <w:tblLook w:val="04A0" w:firstRow="1" w:lastRow="0" w:firstColumn="1" w:lastColumn="0" w:noHBand="0" w:noVBand="1"/>
      </w:tblPr>
      <w:tblGrid>
        <w:gridCol w:w="5560"/>
        <w:gridCol w:w="1164"/>
        <w:gridCol w:w="1025"/>
        <w:gridCol w:w="820"/>
        <w:gridCol w:w="830"/>
      </w:tblGrid>
      <w:tr w:rsidR="00BC32AB" w:rsidRPr="005E63E9" w:rsidTr="00384EFB">
        <w:trPr>
          <w:trHeight w:val="600"/>
        </w:trPr>
        <w:tc>
          <w:tcPr>
            <w:tcW w:w="5560" w:type="dxa"/>
            <w:tcBorders>
              <w:top w:val="single" w:sz="4" w:space="0" w:color="auto"/>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Description of variable</w:t>
            </w:r>
          </w:p>
        </w:tc>
        <w:tc>
          <w:tcPr>
            <w:tcW w:w="1164"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Parameter Estimate</w:t>
            </w:r>
          </w:p>
        </w:tc>
        <w:tc>
          <w:tcPr>
            <w:tcW w:w="1025"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Standard Error</w:t>
            </w:r>
          </w:p>
        </w:tc>
        <w:tc>
          <w:tcPr>
            <w:tcW w:w="82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t value</w:t>
            </w:r>
          </w:p>
        </w:tc>
        <w:tc>
          <w:tcPr>
            <w:tcW w:w="830" w:type="dxa"/>
            <w:tcBorders>
              <w:top w:val="single" w:sz="4" w:space="0" w:color="auto"/>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P</w:t>
            </w:r>
            <w:r w:rsidRPr="005E63E9">
              <w:rPr>
                <w:rFonts w:ascii="Calibri" w:eastAsia="Times New Roman" w:hAnsi="Calibri" w:cs="Calibri"/>
                <w:color w:val="000000"/>
                <w:sz w:val="22"/>
                <w:szCs w:val="22"/>
                <w:lang w:eastAsia="en-AU"/>
              </w:rPr>
              <w:t xml:space="preserve"> &gt; |t|</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 xml:space="preserve">Main field of highest educational attainment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Natural and physical sciences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-0.00353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0.03699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0.9239</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Information technology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-0.00262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0.03779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0.9447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Engineering and related technologies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0.10686</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0.02686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3.98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Architecture and building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0.13148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0.04052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3.24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0.0012</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Agriculture, environmental and related studies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-0.00304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0.0524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0.9537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Health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0.07203</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0.03614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1.99</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0.0463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Education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0.03262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0.03979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0.82</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0.4124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Management and commerce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0.0567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0.02282</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2.48</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0.013</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 Creative arts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-0.02978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0.03347</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-0.89</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0.3736</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 Food, hospitality and personal services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0.07194</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0.03685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1.95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 Mixed program or unknown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0.13552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0.05125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2.64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0.0082</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**Society and culture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 xml:space="preserve">Cumulative duration of employment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Under 1 year</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-0.06498</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0.02534</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-2.56</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0.0104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1–4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-0.05741</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0.02391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-2.4</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0.0164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5–9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-0.01147</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0.02441</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-0.47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0.6384</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10–19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0.01652</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0.02536</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0.65</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0.5147</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1"/>
              <w:rPr>
                <w:rFonts w:ascii="Calibri" w:eastAsia="Times New Roman" w:hAnsi="Calibri" w:cs="Calibri"/>
                <w:color w:val="000000"/>
                <w:sz w:val="22"/>
                <w:szCs w:val="22"/>
                <w:lang w:eastAsia="en-AU"/>
              </w:rPr>
            </w:pPr>
            <w:r w:rsidRPr="005E63E9">
              <w:rPr>
                <w:rFonts w:ascii="Calibri" w:eastAsia="Times New Roman" w:hAnsi="Calibri" w:cs="Calibri"/>
                <w:b/>
                <w:bCs/>
                <w:color w:val="000000"/>
                <w:sz w:val="22"/>
                <w:szCs w:val="22"/>
                <w:lang w:eastAsia="en-AU"/>
              </w:rPr>
              <w:t>**</w:t>
            </w:r>
            <w:r w:rsidRPr="005E63E9">
              <w:rPr>
                <w:rFonts w:ascii="Calibri" w:eastAsia="Times New Roman" w:hAnsi="Calibri" w:cs="Calibri"/>
                <w:color w:val="000000"/>
                <w:sz w:val="22"/>
                <w:szCs w:val="22"/>
                <w:lang w:eastAsia="en-AU"/>
              </w:rPr>
              <w:t>20 years and over</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b/>
                <w:bCs/>
                <w:color w:val="000000"/>
                <w:sz w:val="22"/>
                <w:szCs w:val="22"/>
                <w:lang w:eastAsia="en-AU"/>
              </w:rPr>
            </w:pPr>
            <w:r w:rsidRPr="005E63E9">
              <w:rPr>
                <w:rFonts w:ascii="Calibri" w:eastAsia="Times New Roman" w:hAnsi="Calibri" w:cs="Calibri"/>
                <w:b/>
                <w:bCs/>
                <w:color w:val="000000"/>
                <w:sz w:val="22"/>
                <w:szCs w:val="22"/>
                <w:lang w:eastAsia="en-AU"/>
              </w:rPr>
              <w:t>Estimated work experience (years)</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Experience </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0.02535</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0.00149</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17</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300"/>
        </w:trPr>
        <w:tc>
          <w:tcPr>
            <w:tcW w:w="556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Experience square</w:t>
            </w:r>
          </w:p>
        </w:tc>
        <w:tc>
          <w:tcPr>
            <w:tcW w:w="1164"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-0.0004589</w:t>
            </w:r>
          </w:p>
        </w:tc>
        <w:tc>
          <w:tcPr>
            <w:tcW w:w="1025"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3.12E-05</w:t>
            </w:r>
          </w:p>
        </w:tc>
        <w:tc>
          <w:tcPr>
            <w:tcW w:w="82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jc w:val="right"/>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-14.71</w:t>
            </w:r>
          </w:p>
        </w:tc>
        <w:tc>
          <w:tcPr>
            <w:tcW w:w="830" w:type="dxa"/>
            <w:tcBorders>
              <w:top w:val="nil"/>
              <w:left w:val="nil"/>
              <w:bottom w:val="nil"/>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&lt;.0001</w:t>
            </w:r>
          </w:p>
        </w:tc>
      </w:tr>
      <w:tr w:rsidR="00BC32AB" w:rsidRPr="005E63E9" w:rsidTr="00384EFB">
        <w:trPr>
          <w:trHeight w:val="1200"/>
        </w:trPr>
        <w:tc>
          <w:tcPr>
            <w:tcW w:w="5560" w:type="dxa"/>
            <w:tcBorders>
              <w:top w:val="nil"/>
              <w:left w:val="nil"/>
              <w:bottom w:val="single" w:sz="4" w:space="0" w:color="auto"/>
              <w:right w:val="nil"/>
            </w:tcBorders>
            <w:shd w:val="clear" w:color="auto" w:fill="auto"/>
            <w:vAlign w:val="bottom"/>
            <w:hideMark/>
          </w:tcPr>
          <w:p w:rsidR="00BC32AB" w:rsidRPr="005E63E9" w:rsidRDefault="00BC32AB" w:rsidP="00384EFB">
            <w:pPr>
              <w:tabs>
                <w:tab w:val="clear" w:pos="567"/>
              </w:tabs>
              <w:spacing w:after="0" w:line="240" w:lineRule="auto"/>
              <w:ind w:firstLineChars="100" w:firstLine="220"/>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xml:space="preserve">Note: Experience is calculated by first finding 'age-age left school'. Then we deduct the time spent in training beyond 12 </w:t>
            </w:r>
            <w:proofErr w:type="spellStart"/>
            <w:r w:rsidRPr="005E63E9">
              <w:rPr>
                <w:rFonts w:ascii="Calibri" w:eastAsia="Times New Roman" w:hAnsi="Calibri" w:cs="Calibri"/>
                <w:color w:val="000000"/>
                <w:sz w:val="22"/>
                <w:szCs w:val="22"/>
                <w:lang w:eastAsia="en-AU"/>
              </w:rPr>
              <w:t>yrs</w:t>
            </w:r>
            <w:proofErr w:type="spellEnd"/>
            <w:r w:rsidRPr="005E63E9">
              <w:rPr>
                <w:rFonts w:ascii="Calibri" w:eastAsia="Times New Roman" w:hAnsi="Calibri" w:cs="Calibri"/>
                <w:color w:val="000000"/>
                <w:sz w:val="22"/>
                <w:szCs w:val="22"/>
                <w:lang w:eastAsia="en-AU"/>
              </w:rPr>
              <w:t xml:space="preserve"> at school. For example, 5 years for post-graduate, 4 years for graduate diploma and so on.</w:t>
            </w:r>
          </w:p>
        </w:tc>
        <w:tc>
          <w:tcPr>
            <w:tcW w:w="1164"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w:t>
            </w:r>
          </w:p>
        </w:tc>
        <w:tc>
          <w:tcPr>
            <w:tcW w:w="1025"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w:t>
            </w:r>
          </w:p>
        </w:tc>
        <w:tc>
          <w:tcPr>
            <w:tcW w:w="82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w:t>
            </w:r>
          </w:p>
        </w:tc>
        <w:tc>
          <w:tcPr>
            <w:tcW w:w="830" w:type="dxa"/>
            <w:tcBorders>
              <w:top w:val="nil"/>
              <w:left w:val="nil"/>
              <w:bottom w:val="single" w:sz="4" w:space="0" w:color="auto"/>
              <w:right w:val="nil"/>
            </w:tcBorders>
            <w:shd w:val="clear" w:color="auto" w:fill="auto"/>
            <w:noWrap/>
            <w:vAlign w:val="bottom"/>
            <w:hideMark/>
          </w:tcPr>
          <w:p w:rsidR="00BC32AB" w:rsidRPr="005E63E9" w:rsidRDefault="00BC32AB" w:rsidP="00384EFB">
            <w:pPr>
              <w:tabs>
                <w:tab w:val="clear" w:pos="567"/>
              </w:tabs>
              <w:spacing w:after="0" w:line="240" w:lineRule="auto"/>
              <w:rPr>
                <w:rFonts w:ascii="Calibri" w:eastAsia="Times New Roman" w:hAnsi="Calibri" w:cs="Calibri"/>
                <w:color w:val="000000"/>
                <w:sz w:val="22"/>
                <w:szCs w:val="22"/>
                <w:lang w:eastAsia="en-AU"/>
              </w:rPr>
            </w:pPr>
            <w:r w:rsidRPr="005E63E9">
              <w:rPr>
                <w:rFonts w:ascii="Calibri" w:eastAsia="Times New Roman" w:hAnsi="Calibri" w:cs="Calibri"/>
                <w:color w:val="000000"/>
                <w:sz w:val="22"/>
                <w:szCs w:val="22"/>
                <w:lang w:eastAsia="en-AU"/>
              </w:rPr>
              <w:t> </w:t>
            </w:r>
          </w:p>
        </w:tc>
      </w:tr>
    </w:tbl>
    <w:p w:rsidR="00BC32AB" w:rsidRDefault="00BC32AB" w:rsidP="00BC32AB">
      <w:pPr>
        <w:pStyle w:val="CGCTableFootnote"/>
      </w:pPr>
      <w:r w:rsidRPr="00741FF2">
        <w:t>Note:</w:t>
      </w:r>
      <w:r>
        <w:tab/>
        <w:t>** is the reference variable.</w:t>
      </w:r>
    </w:p>
    <w:p w:rsidR="00BC32AB" w:rsidRPr="00E674AF" w:rsidRDefault="00BC32AB" w:rsidP="00BC32AB">
      <w:pPr>
        <w:pStyle w:val="CGCTableFootnote"/>
      </w:pPr>
      <w:r>
        <w:t>Source:</w:t>
      </w:r>
      <w:r>
        <w:tab/>
        <w:t>SET 2009.</w:t>
      </w:r>
    </w:p>
    <w:p w:rsidR="00BC32AB" w:rsidRPr="00E674AF" w:rsidRDefault="00BC32AB" w:rsidP="00BC32AB"/>
    <w:bookmarkEnd w:id="33"/>
    <w:bookmarkEnd w:id="34"/>
    <w:bookmarkEnd w:id="35"/>
    <w:bookmarkEnd w:id="36"/>
    <w:bookmarkEnd w:id="37"/>
    <w:bookmarkEnd w:id="38"/>
    <w:sectPr w:rsidR="00BC32AB" w:rsidRPr="00E674AF" w:rsidSect="009844EA">
      <w:footerReference w:type="default" r:id="rId22"/>
      <w:footerReference w:type="first" r:id="rId23"/>
      <w:pgSz w:w="11906" w:h="16838" w:code="9"/>
      <w:pgMar w:top="1701" w:right="1474" w:bottom="170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D3" w:rsidRDefault="003038D3" w:rsidP="00410163">
      <w:pPr>
        <w:spacing w:after="0" w:line="240" w:lineRule="auto"/>
      </w:pPr>
      <w:r>
        <w:separator/>
      </w:r>
    </w:p>
  </w:endnote>
  <w:endnote w:type="continuationSeparator" w:id="0">
    <w:p w:rsidR="003038D3" w:rsidRDefault="003038D3"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4D" w:rsidRPr="00875C0F" w:rsidRDefault="00BE794D" w:rsidP="00875C0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4D" w:rsidRPr="00875C0F" w:rsidRDefault="00BE794D" w:rsidP="00705CE4">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rsidR="00BE794D" w:rsidRPr="00875C0F" w:rsidRDefault="00927B3F" w:rsidP="00875C0F">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4073839"/>
      <w:docPartObj>
        <w:docPartGallery w:val="Page Numbers (Bottom of Page)"/>
        <w:docPartUnique/>
      </w:docPartObj>
    </w:sdtPr>
    <w:sdtEndPr>
      <w:rPr>
        <w:b w:val="0"/>
      </w:rPr>
    </w:sdtEndPr>
    <w:sdtContent>
      <w:p w:rsidR="00BE794D" w:rsidRPr="00E60CDC" w:rsidRDefault="00BE794D" w:rsidP="00E60CDC">
        <w:pPr>
          <w:pStyle w:val="Footer"/>
          <w:jc w:val="right"/>
        </w:pPr>
        <w:r>
          <w:fldChar w:fldCharType="begin"/>
        </w:r>
        <w:r>
          <w:instrText xml:space="preserve"> PAGE  \* Arabic  \* MERGEFORMAT </w:instrText>
        </w:r>
        <w:r>
          <w:fldChar w:fldCharType="separate"/>
        </w:r>
        <w:r w:rsidR="00927B3F">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4073830"/>
      <w:docPartObj>
        <w:docPartGallery w:val="Page Numbers (Bottom of Page)"/>
        <w:docPartUnique/>
      </w:docPartObj>
    </w:sdtPr>
    <w:sdtEndPr>
      <w:rPr>
        <w:b w:val="0"/>
      </w:rPr>
    </w:sdtEndPr>
    <w:sdtContent>
      <w:p w:rsidR="00BE794D" w:rsidRPr="00705CE4" w:rsidRDefault="00BE794D" w:rsidP="00705CE4">
        <w:pPr>
          <w:pStyle w:val="Footer"/>
          <w:jc w:val="right"/>
        </w:pPr>
        <w:r>
          <w:fldChar w:fldCharType="begin"/>
        </w:r>
        <w:r>
          <w:instrText xml:space="preserve"> PAGE  \* Arabic  \* MERGEFORMAT </w:instrText>
        </w:r>
        <w:r>
          <w:fldChar w:fldCharType="separate"/>
        </w:r>
        <w:r w:rsidR="00927B3F">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63" w:rsidRPr="00410163" w:rsidRDefault="00514709" w:rsidP="00410163">
    <w:pPr>
      <w:pStyle w:val="Footer"/>
      <w:tabs>
        <w:tab w:val="clear" w:pos="4513"/>
        <w:tab w:val="right" w:pos="8931"/>
      </w:tabs>
      <w:rPr>
        <w:rFonts w:cstheme="minorHAnsi"/>
      </w:rPr>
    </w:pPr>
    <w:r>
      <w:rPr>
        <w:rFonts w:cstheme="minorHAnsi"/>
      </w:rPr>
      <w:t>Attachment A</w:t>
    </w:r>
    <w:r w:rsidR="00410163" w:rsidRPr="00410163">
      <w:rPr>
        <w:rFonts w:cstheme="minorHAnsi"/>
      </w:rPr>
      <w:ptab w:relativeTo="margin" w:alignment="center" w:leader="none"/>
    </w:r>
    <w:r w:rsidR="00410163" w:rsidRPr="00410163">
      <w:rPr>
        <w:rFonts w:cstheme="minorHAnsi"/>
      </w:rPr>
      <w:ptab w:relativeTo="margin" w:alignment="right" w:leader="none"/>
    </w:r>
    <w:r w:rsidR="00410163">
      <w:rPr>
        <w:rFonts w:cstheme="minorHAnsi"/>
      </w:rPr>
      <w:fldChar w:fldCharType="begin"/>
    </w:r>
    <w:r w:rsidR="00410163">
      <w:rPr>
        <w:rFonts w:cstheme="minorHAnsi"/>
      </w:rPr>
      <w:instrText xml:space="preserve"> PAGE \* MERGEFORMAT </w:instrText>
    </w:r>
    <w:r w:rsidR="00410163">
      <w:rPr>
        <w:rFonts w:cstheme="minorHAnsi"/>
      </w:rPr>
      <w:fldChar w:fldCharType="separate"/>
    </w:r>
    <w:r w:rsidR="00927B3F">
      <w:rPr>
        <w:rFonts w:cstheme="minorHAnsi"/>
        <w:noProof/>
      </w:rPr>
      <w:t>7</w:t>
    </w:r>
    <w:r w:rsidR="00410163">
      <w:rPr>
        <w:rFonts w:cstheme="minorHAns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63" w:rsidRDefault="00514709" w:rsidP="00410163">
    <w:pPr>
      <w:pStyle w:val="Footer"/>
      <w:tabs>
        <w:tab w:val="clear" w:pos="4513"/>
      </w:tabs>
    </w:pPr>
    <w:r>
      <w:t>Attachment A</w:t>
    </w:r>
    <w:r w:rsidR="00410163">
      <w:tab/>
    </w:r>
    <w:r w:rsidR="00410163">
      <w:fldChar w:fldCharType="begin"/>
    </w:r>
    <w:r w:rsidR="00410163">
      <w:instrText xml:space="preserve"> PAGE \* MERGEFORMAT </w:instrText>
    </w:r>
    <w:r w:rsidR="00410163">
      <w:fldChar w:fldCharType="separate"/>
    </w:r>
    <w:r w:rsidR="00927B3F">
      <w:rPr>
        <w:noProof/>
      </w:rPr>
      <w:t>5</w:t>
    </w:r>
    <w:r w:rsidR="004101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D3" w:rsidRDefault="003038D3" w:rsidP="00410163">
      <w:pPr>
        <w:spacing w:after="0" w:line="240" w:lineRule="auto"/>
      </w:pPr>
      <w:r>
        <w:separator/>
      </w:r>
    </w:p>
  </w:footnote>
  <w:footnote w:type="continuationSeparator" w:id="0">
    <w:p w:rsidR="003038D3" w:rsidRDefault="003038D3" w:rsidP="00410163">
      <w:pPr>
        <w:spacing w:after="0" w:line="240" w:lineRule="auto"/>
      </w:pPr>
      <w:r>
        <w:continuationSeparator/>
      </w:r>
    </w:p>
  </w:footnote>
  <w:footnote w:id="1">
    <w:p w:rsidR="00514709" w:rsidRDefault="00514709">
      <w:pPr>
        <w:pStyle w:val="FootnoteText"/>
      </w:pPr>
      <w:r>
        <w:rPr>
          <w:rStyle w:val="FootnoteReference"/>
        </w:rPr>
        <w:footnoteRef/>
      </w:r>
      <w:r>
        <w:t xml:space="preserve"> </w:t>
      </w:r>
      <w:r>
        <w:tab/>
        <w:t>This number includes all dummy variables within each category and all female interaction variables.</w:t>
      </w:r>
    </w:p>
  </w:footnote>
  <w:footnote w:id="2">
    <w:p w:rsidR="00514709" w:rsidRDefault="00514709">
      <w:pPr>
        <w:pStyle w:val="FootnoteText"/>
      </w:pPr>
      <w:r>
        <w:rPr>
          <w:rStyle w:val="FootnoteReference"/>
        </w:rPr>
        <w:footnoteRef/>
      </w:r>
      <w:r>
        <w:t xml:space="preserve"> </w:t>
      </w:r>
      <w:r>
        <w:tab/>
        <w:t>Effects coding still requires a reference State to be excluded in the calculation.</w:t>
      </w:r>
    </w:p>
  </w:footnote>
  <w:footnote w:id="3">
    <w:p w:rsidR="00690B96" w:rsidRDefault="00690B96" w:rsidP="00690B96">
      <w:pPr>
        <w:pStyle w:val="FootnoteText"/>
        <w:ind w:left="567" w:hanging="567"/>
      </w:pPr>
      <w:r>
        <w:rPr>
          <w:rStyle w:val="FootnoteReference"/>
        </w:rPr>
        <w:footnoteRef/>
      </w:r>
      <w:r>
        <w:t xml:space="preserve"> </w:t>
      </w:r>
      <w:r>
        <w:tab/>
        <w:t>The dummy variable approach produces different State coefficients but the relative differences are the same.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4D" w:rsidRDefault="00BE7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4D" w:rsidRDefault="00BE794D" w:rsidP="00E60C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4D" w:rsidRDefault="00BE7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4">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 w:numId="16">
    <w:abstractNumId w:val="11"/>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D3"/>
    <w:rsid w:val="00001731"/>
    <w:rsid w:val="000F6176"/>
    <w:rsid w:val="00144676"/>
    <w:rsid w:val="00150516"/>
    <w:rsid w:val="00215172"/>
    <w:rsid w:val="002351F8"/>
    <w:rsid w:val="00266164"/>
    <w:rsid w:val="00267A1A"/>
    <w:rsid w:val="003038D3"/>
    <w:rsid w:val="003E0C86"/>
    <w:rsid w:val="003F3FED"/>
    <w:rsid w:val="0040562E"/>
    <w:rsid w:val="00410163"/>
    <w:rsid w:val="00484FBC"/>
    <w:rsid w:val="00512424"/>
    <w:rsid w:val="00514709"/>
    <w:rsid w:val="00690B96"/>
    <w:rsid w:val="006C65C2"/>
    <w:rsid w:val="00872071"/>
    <w:rsid w:val="00927B3F"/>
    <w:rsid w:val="009844EA"/>
    <w:rsid w:val="00A25FA6"/>
    <w:rsid w:val="00AD1999"/>
    <w:rsid w:val="00AD6FD0"/>
    <w:rsid w:val="00B5214A"/>
    <w:rsid w:val="00B61C9C"/>
    <w:rsid w:val="00BC32AB"/>
    <w:rsid w:val="00BD1799"/>
    <w:rsid w:val="00BE794D"/>
    <w:rsid w:val="00CE05AE"/>
    <w:rsid w:val="00E92226"/>
    <w:rsid w:val="00F65E52"/>
    <w:rsid w:val="00FA3ECB"/>
    <w:rsid w:val="00FC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qFormat/>
    <w:rsid w:val="00CE05AE"/>
    <w:pPr>
      <w:numPr>
        <w:numId w:val="1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rsid w:val="00BE794D"/>
    <w:rPr>
      <w:color w:val="0000FF"/>
      <w:u w:val="single"/>
    </w:rPr>
  </w:style>
  <w:style w:type="table" w:styleId="TableGrid">
    <w:name w:val="Table Grid"/>
    <w:basedOn w:val="TableNormal"/>
    <w:rsid w:val="00BE794D"/>
    <w:pPr>
      <w:tabs>
        <w:tab w:val="left" w:pos="1418"/>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50516"/>
    <w:pPr>
      <w:spacing w:after="200" w:line="240" w:lineRule="auto"/>
    </w:pPr>
    <w:rPr>
      <w:b/>
      <w:bCs/>
      <w:color w:val="4F81BD" w:themeColor="accent1"/>
      <w:sz w:val="18"/>
      <w:szCs w:val="18"/>
    </w:rPr>
  </w:style>
  <w:style w:type="paragraph" w:customStyle="1" w:styleId="TableRowNormal">
    <w:name w:val="TableRowNormal"/>
    <w:basedOn w:val="Normal"/>
    <w:rsid w:val="00AD6FD0"/>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AD6FD0"/>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AD6FD0"/>
    <w:pPr>
      <w:spacing w:after="0" w:line="240" w:lineRule="auto"/>
    </w:pPr>
    <w:rPr>
      <w:rFonts w:ascii="Times New Roman" w:eastAsia="Times New Roman" w:hAnsi="Times New Roman" w:cs="Times New Roman"/>
      <w:sz w:val="22"/>
    </w:rPr>
  </w:style>
  <w:style w:type="paragraph" w:styleId="FootnoteText">
    <w:name w:val="footnote text"/>
    <w:basedOn w:val="Normal"/>
    <w:link w:val="FootnoteTextChar"/>
    <w:uiPriority w:val="99"/>
    <w:semiHidden/>
    <w:unhideWhenUsed/>
    <w:rsid w:val="005147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709"/>
    <w:rPr>
      <w:sz w:val="20"/>
      <w:szCs w:val="20"/>
    </w:rPr>
  </w:style>
  <w:style w:type="character" w:styleId="FootnoteReference">
    <w:name w:val="footnote reference"/>
    <w:basedOn w:val="DefaultParagraphFont"/>
    <w:uiPriority w:val="99"/>
    <w:semiHidden/>
    <w:unhideWhenUsed/>
    <w:rsid w:val="00514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qFormat/>
    <w:rsid w:val="00CE05AE"/>
    <w:pPr>
      <w:numPr>
        <w:numId w:val="1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rsid w:val="00BE794D"/>
    <w:rPr>
      <w:color w:val="0000FF"/>
      <w:u w:val="single"/>
    </w:rPr>
  </w:style>
  <w:style w:type="table" w:styleId="TableGrid">
    <w:name w:val="Table Grid"/>
    <w:basedOn w:val="TableNormal"/>
    <w:rsid w:val="00BE794D"/>
    <w:pPr>
      <w:tabs>
        <w:tab w:val="left" w:pos="1418"/>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50516"/>
    <w:pPr>
      <w:spacing w:after="200" w:line="240" w:lineRule="auto"/>
    </w:pPr>
    <w:rPr>
      <w:b/>
      <w:bCs/>
      <w:color w:val="4F81BD" w:themeColor="accent1"/>
      <w:sz w:val="18"/>
      <w:szCs w:val="18"/>
    </w:rPr>
  </w:style>
  <w:style w:type="paragraph" w:customStyle="1" w:styleId="TableRowNormal">
    <w:name w:val="TableRowNormal"/>
    <w:basedOn w:val="Normal"/>
    <w:rsid w:val="00AD6FD0"/>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AD6FD0"/>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AD6FD0"/>
    <w:pPr>
      <w:spacing w:after="0" w:line="240" w:lineRule="auto"/>
    </w:pPr>
    <w:rPr>
      <w:rFonts w:ascii="Times New Roman" w:eastAsia="Times New Roman" w:hAnsi="Times New Roman" w:cs="Times New Roman"/>
      <w:sz w:val="22"/>
    </w:rPr>
  </w:style>
  <w:style w:type="paragraph" w:styleId="FootnoteText">
    <w:name w:val="footnote text"/>
    <w:basedOn w:val="Normal"/>
    <w:link w:val="FootnoteTextChar"/>
    <w:uiPriority w:val="99"/>
    <w:semiHidden/>
    <w:unhideWhenUsed/>
    <w:rsid w:val="005147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709"/>
    <w:rPr>
      <w:sz w:val="20"/>
      <w:szCs w:val="20"/>
    </w:rPr>
  </w:style>
  <w:style w:type="character" w:styleId="FootnoteReference">
    <w:name w:val="footnote reference"/>
    <w:basedOn w:val="DefaultParagraphFont"/>
    <w:uiPriority w:val="99"/>
    <w:semiHidden/>
    <w:unhideWhenUsed/>
    <w:rsid w:val="00514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secretary@cgc.gov.au"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eativecommons.org" TargetMode="Externa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Discuss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11DA-016A-47FC-AA4B-0C4FA242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Paper.dotx</Template>
  <TotalTime>108</TotalTime>
  <Pages>10</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Nichols</dc:creator>
  <cp:lastModifiedBy>Anthony Nichols</cp:lastModifiedBy>
  <cp:revision>4</cp:revision>
  <dcterms:created xsi:type="dcterms:W3CDTF">2014-03-27T01:21:00Z</dcterms:created>
  <dcterms:modified xsi:type="dcterms:W3CDTF">2014-03-27T03:39:00Z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-1821779777</vt:i4>
  </property>
  <property fmtid="{D5CDD505-2E9C-101B-9397-08002B2CF9AE}" pid="3" name="_NewReviewCycle">
    <vt:lpwstr/>
  </property>
  <property fmtid="{D5CDD505-2E9C-101B-9397-08002B2CF9AE}" pid="4" name="_EmailSubject">
    <vt:lpwstr>Web site [SEC=UNCLASSIFIED]</vt:lpwstr>
  </property>
  <property fmtid="{D5CDD505-2E9C-101B-9397-08002B2CF9AE}" pid="5" name="_AuthorEmail">
    <vt:lpwstr>Andrew.Cameron@cgc.gov.au</vt:lpwstr>
  </property>
  <property fmtid="{D5CDD505-2E9C-101B-9397-08002B2CF9AE}" pid="6" name="_AuthorEmailDisplayName">
    <vt:lpwstr>Andrew Cameron</vt:lpwstr>
  </property>
  <property fmtid="{D5CDD505-2E9C-101B-9397-08002B2CF9AE}" pid="7" name="_PreviousAdHocReviewCycleID">
    <vt:i4>1094869759</vt:i4>
  </property>
</Properties>
</file>