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456" w:rsidRPr="00970E6D" w:rsidRDefault="00FE1456" w:rsidP="00FE1456">
      <w:pPr>
        <w:tabs>
          <w:tab w:val="clear" w:pos="567"/>
        </w:tabs>
        <w:jc w:val="center"/>
        <w:rPr>
          <w:b/>
          <w:bCs/>
        </w:rPr>
      </w:pPr>
      <w:r w:rsidRPr="00970E6D">
        <w:rPr>
          <w:noProof/>
          <w:lang w:eastAsia="en-AU"/>
        </w:rPr>
        <w:drawing>
          <wp:inline distT="0" distB="0" distL="0" distR="0" wp14:anchorId="61CE5D8A" wp14:editId="44E750D2">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FE1456" w:rsidRPr="00970E6D" w:rsidRDefault="00FE1456" w:rsidP="00FE1456">
      <w:pPr>
        <w:tabs>
          <w:tab w:val="clear" w:pos="567"/>
        </w:tabs>
        <w:jc w:val="center"/>
        <w:rPr>
          <w:b/>
          <w:sz w:val="40"/>
          <w:szCs w:val="40"/>
        </w:rPr>
      </w:pPr>
    </w:p>
    <w:p w:rsidR="00FE1456" w:rsidRPr="00970E6D" w:rsidRDefault="00FE1456" w:rsidP="00FE1456">
      <w:pPr>
        <w:tabs>
          <w:tab w:val="clear" w:pos="567"/>
        </w:tabs>
        <w:jc w:val="center"/>
        <w:rPr>
          <w:b/>
          <w:sz w:val="40"/>
          <w:szCs w:val="40"/>
        </w:rPr>
      </w:pPr>
    </w:p>
    <w:p w:rsidR="00FE1456" w:rsidRPr="00970E6D" w:rsidRDefault="00FE1456" w:rsidP="00FE1456">
      <w:pPr>
        <w:tabs>
          <w:tab w:val="clear" w:pos="567"/>
        </w:tabs>
        <w:jc w:val="center"/>
        <w:rPr>
          <w:b/>
          <w:sz w:val="40"/>
          <w:szCs w:val="40"/>
        </w:rPr>
      </w:pPr>
      <w:r w:rsidRPr="00970E6D">
        <w:rPr>
          <w:b/>
          <w:sz w:val="40"/>
          <w:szCs w:val="40"/>
        </w:rPr>
        <w:t>2015 REVIEW</w:t>
      </w:r>
    </w:p>
    <w:p w:rsidR="00FE1456" w:rsidRPr="00970E6D" w:rsidRDefault="00FE1456" w:rsidP="00FE1456">
      <w:pPr>
        <w:tabs>
          <w:tab w:val="clear" w:pos="567"/>
        </w:tabs>
        <w:jc w:val="center"/>
        <w:rPr>
          <w:b/>
          <w:sz w:val="40"/>
          <w:szCs w:val="40"/>
        </w:rPr>
      </w:pPr>
    </w:p>
    <w:p w:rsidR="00FE1456" w:rsidRPr="00970E6D" w:rsidRDefault="00FE1456" w:rsidP="00FE1456">
      <w:pPr>
        <w:tabs>
          <w:tab w:val="clear" w:pos="567"/>
        </w:tabs>
        <w:jc w:val="center"/>
        <w:rPr>
          <w:b/>
          <w:sz w:val="40"/>
          <w:szCs w:val="40"/>
        </w:rPr>
      </w:pPr>
    </w:p>
    <w:p w:rsidR="00FE1456" w:rsidRPr="00970E6D" w:rsidRDefault="00FE1456" w:rsidP="00FE1456">
      <w:pPr>
        <w:tabs>
          <w:tab w:val="clear" w:pos="567"/>
        </w:tabs>
        <w:jc w:val="center"/>
        <w:rPr>
          <w:b/>
          <w:sz w:val="40"/>
          <w:szCs w:val="40"/>
        </w:rPr>
      </w:pPr>
    </w:p>
    <w:p w:rsidR="00FE1456" w:rsidRPr="00970E6D" w:rsidRDefault="00FE1456" w:rsidP="00FE1456">
      <w:pPr>
        <w:tabs>
          <w:tab w:val="clear" w:pos="567"/>
        </w:tabs>
        <w:jc w:val="center"/>
        <w:rPr>
          <w:b/>
          <w:sz w:val="40"/>
          <w:szCs w:val="40"/>
        </w:rPr>
      </w:pPr>
    </w:p>
    <w:p w:rsidR="00FE1456" w:rsidRPr="00970E6D" w:rsidRDefault="00FE1456" w:rsidP="00FE1456">
      <w:pPr>
        <w:tabs>
          <w:tab w:val="clear" w:pos="567"/>
        </w:tabs>
        <w:jc w:val="center"/>
        <w:rPr>
          <w:bCs/>
          <w:sz w:val="40"/>
          <w:szCs w:val="40"/>
        </w:rPr>
      </w:pPr>
      <w:bookmarkStart w:id="0" w:name="_Toc106708731"/>
      <w:r>
        <w:rPr>
          <w:b/>
          <w:sz w:val="40"/>
          <w:szCs w:val="40"/>
        </w:rPr>
        <w:t>A CAPITAL COST INDEX</w:t>
      </w:r>
      <w:bookmarkEnd w:id="0"/>
    </w:p>
    <w:p w:rsidR="00FE1456" w:rsidRPr="00970E6D" w:rsidRDefault="00FE1456" w:rsidP="00FE1456">
      <w:pPr>
        <w:tabs>
          <w:tab w:val="clear" w:pos="567"/>
        </w:tabs>
        <w:jc w:val="center"/>
        <w:rPr>
          <w:b/>
          <w:sz w:val="40"/>
          <w:szCs w:val="40"/>
        </w:rPr>
      </w:pPr>
    </w:p>
    <w:p w:rsidR="00FE1456" w:rsidRPr="00970E6D" w:rsidRDefault="00FE1456" w:rsidP="00FE1456">
      <w:pPr>
        <w:tabs>
          <w:tab w:val="clear" w:pos="567"/>
        </w:tabs>
        <w:jc w:val="center"/>
        <w:rPr>
          <w:b/>
          <w:sz w:val="40"/>
          <w:szCs w:val="40"/>
        </w:rPr>
      </w:pPr>
    </w:p>
    <w:p w:rsidR="00FE1456" w:rsidRPr="00970E6D" w:rsidRDefault="00FE1456" w:rsidP="00FE1456">
      <w:pPr>
        <w:tabs>
          <w:tab w:val="clear" w:pos="567"/>
        </w:tabs>
        <w:jc w:val="center"/>
        <w:rPr>
          <w:b/>
          <w:sz w:val="40"/>
          <w:szCs w:val="40"/>
        </w:rPr>
      </w:pPr>
    </w:p>
    <w:p w:rsidR="00FE1456" w:rsidRPr="00970E6D" w:rsidRDefault="00FE1456" w:rsidP="00FE1456">
      <w:pPr>
        <w:tabs>
          <w:tab w:val="clear" w:pos="567"/>
        </w:tabs>
        <w:jc w:val="center"/>
        <w:rPr>
          <w:b/>
          <w:sz w:val="40"/>
          <w:szCs w:val="40"/>
        </w:rPr>
      </w:pPr>
    </w:p>
    <w:p w:rsidR="00FE1456" w:rsidRPr="00970E6D" w:rsidRDefault="00FE1456" w:rsidP="00FE1456">
      <w:pPr>
        <w:tabs>
          <w:tab w:val="clear" w:pos="567"/>
        </w:tabs>
        <w:jc w:val="center"/>
        <w:rPr>
          <w:b/>
          <w:sz w:val="40"/>
          <w:szCs w:val="40"/>
        </w:rPr>
      </w:pPr>
      <w:r w:rsidRPr="00970E6D">
        <w:rPr>
          <w:b/>
          <w:sz w:val="40"/>
          <w:szCs w:val="40"/>
        </w:rPr>
        <w:t>STAFF DISCUSSION PAPER</w:t>
      </w:r>
      <w:r w:rsidRPr="00970E6D">
        <w:rPr>
          <w:b/>
          <w:sz w:val="40"/>
          <w:szCs w:val="40"/>
        </w:rPr>
        <w:br/>
        <w:t>CGC 20</w:t>
      </w:r>
      <w:r>
        <w:rPr>
          <w:b/>
          <w:sz w:val="40"/>
          <w:szCs w:val="40"/>
        </w:rPr>
        <w:t>14</w:t>
      </w:r>
      <w:r w:rsidRPr="00970E6D">
        <w:rPr>
          <w:b/>
          <w:sz w:val="40"/>
          <w:szCs w:val="40"/>
        </w:rPr>
        <w:t>-</w:t>
      </w:r>
      <w:r w:rsidR="00CF5620">
        <w:rPr>
          <w:b/>
          <w:sz w:val="40"/>
          <w:szCs w:val="40"/>
        </w:rPr>
        <w:t>02</w:t>
      </w:r>
      <w:r w:rsidR="00B6299B">
        <w:rPr>
          <w:b/>
          <w:sz w:val="40"/>
          <w:szCs w:val="40"/>
        </w:rPr>
        <w:t>-</w:t>
      </w:r>
      <w:r w:rsidR="00CF5620">
        <w:rPr>
          <w:b/>
          <w:sz w:val="40"/>
          <w:szCs w:val="40"/>
        </w:rPr>
        <w:t>S</w:t>
      </w:r>
    </w:p>
    <w:p w:rsidR="00FE1456" w:rsidRPr="00970E6D" w:rsidRDefault="00FE1456" w:rsidP="00FE1456">
      <w:pPr>
        <w:tabs>
          <w:tab w:val="clear" w:pos="567"/>
        </w:tabs>
        <w:jc w:val="center"/>
        <w:rPr>
          <w:b/>
          <w:sz w:val="40"/>
          <w:szCs w:val="40"/>
        </w:rPr>
      </w:pPr>
    </w:p>
    <w:p w:rsidR="00FE1456" w:rsidRPr="00970E6D" w:rsidRDefault="00FE1456" w:rsidP="00FE1456">
      <w:pPr>
        <w:tabs>
          <w:tab w:val="clear" w:pos="567"/>
        </w:tabs>
        <w:jc w:val="center"/>
        <w:rPr>
          <w:b/>
          <w:sz w:val="40"/>
          <w:szCs w:val="40"/>
        </w:rPr>
      </w:pPr>
    </w:p>
    <w:p w:rsidR="00FE1456" w:rsidRPr="00970E6D" w:rsidRDefault="00FE1456" w:rsidP="00FE1456">
      <w:pPr>
        <w:tabs>
          <w:tab w:val="clear" w:pos="567"/>
        </w:tabs>
        <w:jc w:val="center"/>
        <w:rPr>
          <w:b/>
          <w:sz w:val="40"/>
          <w:szCs w:val="40"/>
        </w:rPr>
      </w:pPr>
    </w:p>
    <w:p w:rsidR="00FE1456" w:rsidRPr="00970E6D" w:rsidRDefault="00FE1456" w:rsidP="00FE1456">
      <w:pPr>
        <w:tabs>
          <w:tab w:val="clear" w:pos="567"/>
        </w:tabs>
        <w:jc w:val="center"/>
        <w:rPr>
          <w:sz w:val="40"/>
          <w:szCs w:val="40"/>
        </w:rPr>
      </w:pPr>
    </w:p>
    <w:p w:rsidR="00FE1456" w:rsidRPr="00970E6D" w:rsidRDefault="00FE1456" w:rsidP="00FE1456">
      <w:pPr>
        <w:tabs>
          <w:tab w:val="clear" w:pos="567"/>
        </w:tabs>
        <w:jc w:val="right"/>
        <w:rPr>
          <w:b/>
          <w:sz w:val="28"/>
          <w:szCs w:val="28"/>
        </w:rPr>
      </w:pPr>
      <w:r>
        <w:rPr>
          <w:b/>
          <w:sz w:val="28"/>
          <w:szCs w:val="28"/>
        </w:rPr>
        <w:t>MARCH 2014</w:t>
      </w:r>
    </w:p>
    <w:p w:rsidR="00FE1456" w:rsidRPr="00970E6D" w:rsidRDefault="00FE1456" w:rsidP="00FE1456">
      <w:pPr>
        <w:tabs>
          <w:tab w:val="clear" w:pos="567"/>
        </w:tabs>
      </w:pPr>
    </w:p>
    <w:p w:rsidR="00FE1456" w:rsidRPr="00970E6D" w:rsidRDefault="00FE1456" w:rsidP="00FE1456">
      <w:pPr>
        <w:tabs>
          <w:tab w:val="clear" w:pos="567"/>
        </w:tabs>
        <w:sectPr w:rsidR="00FE1456" w:rsidRPr="00970E6D" w:rsidSect="00E101D4">
          <w:footerReference w:type="default" r:id="rId10"/>
          <w:footerReference w:type="first" r:id="rId11"/>
          <w:pgSz w:w="11899" w:h="16838" w:code="9"/>
          <w:pgMar w:top="1701" w:right="1474" w:bottom="1701" w:left="1474" w:header="709" w:footer="709" w:gutter="0"/>
          <w:cols w:space="708"/>
          <w:titlePg/>
          <w:docGrid w:linePitch="299"/>
        </w:sectPr>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Default="00FE1456" w:rsidP="00FE1456">
      <w:pPr>
        <w:tabs>
          <w:tab w:val="clear" w:pos="567"/>
        </w:tabs>
      </w:pPr>
    </w:p>
    <w:p w:rsidR="00FE1456" w:rsidRPr="00970E6D" w:rsidRDefault="00FE1456" w:rsidP="00FE1456">
      <w:pPr>
        <w:tabs>
          <w:tab w:val="clear" w:pos="567"/>
        </w:tabs>
      </w:pPr>
    </w:p>
    <w:tbl>
      <w:tblPr>
        <w:tblStyle w:val="TableGrid"/>
        <w:tblW w:w="5000" w:type="pct"/>
        <w:tblLook w:val="01E0" w:firstRow="1" w:lastRow="1" w:firstColumn="1" w:lastColumn="1" w:noHBand="0" w:noVBand="0"/>
      </w:tblPr>
      <w:tblGrid>
        <w:gridCol w:w="2943"/>
        <w:gridCol w:w="6224"/>
      </w:tblGrid>
      <w:tr w:rsidR="00FE1456" w:rsidRPr="00970E6D" w:rsidTr="0060589F">
        <w:tc>
          <w:tcPr>
            <w:tcW w:w="1605" w:type="pct"/>
            <w:tcBorders>
              <w:top w:val="single" w:sz="4" w:space="0" w:color="auto"/>
              <w:left w:val="single" w:sz="4" w:space="0" w:color="auto"/>
              <w:bottom w:val="single" w:sz="4" w:space="0" w:color="auto"/>
              <w:right w:val="single" w:sz="4" w:space="0" w:color="auto"/>
            </w:tcBorders>
          </w:tcPr>
          <w:p w:rsidR="00FE1456" w:rsidRPr="00970E6D" w:rsidRDefault="00FE1456" w:rsidP="0060589F">
            <w:pPr>
              <w:tabs>
                <w:tab w:val="clear" w:pos="567"/>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rsidR="00FE1456" w:rsidRPr="00970E6D" w:rsidRDefault="00FE1456" w:rsidP="00FE1456">
            <w:pPr>
              <w:tabs>
                <w:tab w:val="clear" w:pos="567"/>
              </w:tabs>
            </w:pPr>
            <w:r>
              <w:t xml:space="preserve">27 March </w:t>
            </w:r>
            <w:r w:rsidRPr="00970E6D">
              <w:t>20</w:t>
            </w:r>
            <w:r>
              <w:t>14</w:t>
            </w:r>
          </w:p>
        </w:tc>
      </w:tr>
      <w:tr w:rsidR="00FE1456" w:rsidRPr="00970E6D" w:rsidTr="0060589F">
        <w:tc>
          <w:tcPr>
            <w:tcW w:w="1605" w:type="pct"/>
            <w:tcBorders>
              <w:top w:val="single" w:sz="4" w:space="0" w:color="auto"/>
              <w:left w:val="single" w:sz="4" w:space="0" w:color="auto"/>
              <w:bottom w:val="single" w:sz="4" w:space="0" w:color="auto"/>
              <w:right w:val="single" w:sz="4" w:space="0" w:color="auto"/>
            </w:tcBorders>
          </w:tcPr>
          <w:p w:rsidR="00FE1456" w:rsidRPr="00970E6D" w:rsidRDefault="00FE1456" w:rsidP="0060589F">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FE1456" w:rsidRPr="00970E6D" w:rsidRDefault="00FE1456" w:rsidP="00FE1456">
            <w:pPr>
              <w:tabs>
                <w:tab w:val="clear" w:pos="567"/>
              </w:tabs>
            </w:pPr>
            <w:r>
              <w:t xml:space="preserve">Malcolm Nicholas </w:t>
            </w:r>
            <w:r>
              <w:br/>
            </w:r>
            <w:r w:rsidRPr="00970E6D">
              <w:t>phone</w:t>
            </w:r>
            <w:r>
              <w:t>: 02 6229 8886</w:t>
            </w:r>
            <w:r w:rsidRPr="00970E6D">
              <w:t xml:space="preserve">, </w:t>
            </w:r>
            <w:r>
              <w:br/>
            </w:r>
            <w:r w:rsidRPr="00970E6D">
              <w:t>email</w:t>
            </w:r>
            <w:r>
              <w:t xml:space="preserve">: </w:t>
            </w:r>
            <w:hyperlink r:id="rId12" w:history="1">
              <w:r w:rsidRPr="00655487">
                <w:rPr>
                  <w:rStyle w:val="Hyperlink"/>
                </w:rPr>
                <w:t>malcolm.nicholas@cgc.gov.au</w:t>
              </w:r>
            </w:hyperlink>
            <w:r>
              <w:t xml:space="preserve"> </w:t>
            </w:r>
          </w:p>
        </w:tc>
      </w:tr>
      <w:tr w:rsidR="00FE1456" w:rsidRPr="00970E6D" w:rsidTr="0060589F">
        <w:tc>
          <w:tcPr>
            <w:tcW w:w="1605" w:type="pct"/>
            <w:tcBorders>
              <w:top w:val="single" w:sz="4" w:space="0" w:color="auto"/>
              <w:left w:val="single" w:sz="4" w:space="0" w:color="auto"/>
              <w:bottom w:val="single" w:sz="4" w:space="0" w:color="auto"/>
              <w:right w:val="single" w:sz="4" w:space="0" w:color="auto"/>
            </w:tcBorders>
          </w:tcPr>
          <w:p w:rsidR="00FE1456" w:rsidRPr="00970E6D" w:rsidRDefault="00FE1456" w:rsidP="0060589F">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rsidR="00FE1456" w:rsidRDefault="00FE1456" w:rsidP="0060589F">
            <w:pPr>
              <w:tabs>
                <w:tab w:val="clear" w:pos="567"/>
              </w:tabs>
            </w:pPr>
            <w:r w:rsidRPr="00970E6D">
              <w:t xml:space="preserve">For discussion at a workshop on </w:t>
            </w:r>
            <w:r>
              <w:t>3 April 2014</w:t>
            </w:r>
            <w:r w:rsidRPr="00970E6D">
              <w:t xml:space="preserve">.  </w:t>
            </w:r>
          </w:p>
          <w:p w:rsidR="00FE1456" w:rsidRPr="00970E6D" w:rsidRDefault="00FE1456" w:rsidP="0060589F">
            <w:pPr>
              <w:tabs>
                <w:tab w:val="clear" w:pos="567"/>
              </w:tabs>
            </w:pPr>
            <w:r w:rsidRPr="00970E6D">
              <w:t xml:space="preserve">Submissions should be emailed in Word format to </w:t>
            </w:r>
            <w:hyperlink r:id="rId13" w:history="1">
              <w:r w:rsidRPr="00970E6D">
                <w:rPr>
                  <w:rStyle w:val="Hyperlink"/>
                </w:rPr>
                <w:t>secretary@cgc.gov.au</w:t>
              </w:r>
            </w:hyperlink>
            <w:r w:rsidRPr="00970E6D">
              <w:t xml:space="preserve"> </w:t>
            </w:r>
            <w:r>
              <w:t>by 30 April 2014</w:t>
            </w:r>
            <w:r w:rsidRPr="00970E6D">
              <w:t>.</w:t>
            </w:r>
          </w:p>
          <w:p w:rsidR="00FE1456" w:rsidRPr="00970E6D" w:rsidRDefault="00FE1456" w:rsidP="00FE1456">
            <w:pPr>
              <w:tabs>
                <w:tab w:val="clear" w:pos="567"/>
              </w:tabs>
            </w:pPr>
            <w:r w:rsidRPr="00970E6D">
              <w:t xml:space="preserve">Submissions of </w:t>
            </w:r>
            <w:r>
              <w:t>over</w:t>
            </w:r>
            <w:r w:rsidRPr="00970E6D">
              <w:t xml:space="preserve"> </w:t>
            </w:r>
            <w:r>
              <w:t>10</w:t>
            </w:r>
            <w:r w:rsidRPr="00970E6D">
              <w:t xml:space="preserve"> pages in length should include a summary</w:t>
            </w:r>
            <w:r>
              <w:t xml:space="preserve"> se</w:t>
            </w:r>
            <w:r w:rsidRPr="00970E6D">
              <w:t>ction.</w:t>
            </w:r>
          </w:p>
        </w:tc>
      </w:tr>
    </w:tbl>
    <w:p w:rsidR="00D37142" w:rsidRDefault="00D37142" w:rsidP="00D37142">
      <w:r>
        <w:br w:type="page"/>
      </w:r>
    </w:p>
    <w:p w:rsidR="0023081D" w:rsidRDefault="009D08C0" w:rsidP="00FE1456">
      <w:pPr>
        <w:pStyle w:val="Heading1"/>
      </w:pPr>
      <w:r>
        <w:lastRenderedPageBreak/>
        <w:t>A capital cost index</w:t>
      </w:r>
    </w:p>
    <w:p w:rsidR="00FE1456" w:rsidRPr="00FE1456" w:rsidRDefault="00FE1456" w:rsidP="00FE1456">
      <w:pPr>
        <w:pStyle w:val="Heading2"/>
      </w:pPr>
    </w:p>
    <w:p w:rsidR="008A0AC9" w:rsidRDefault="00096555" w:rsidP="008A0AC9">
      <w:pPr>
        <w:pStyle w:val="CGCNumberedPara"/>
      </w:pPr>
      <w:r>
        <w:t>D</w:t>
      </w:r>
      <w:r w:rsidR="008A0AC9">
        <w:t xml:space="preserve">iscussion paper CGC2013-07S said it would be appropriate to </w:t>
      </w:r>
      <w:r w:rsidR="00E01839">
        <w:t xml:space="preserve">apply </w:t>
      </w:r>
      <w:r w:rsidR="008A0AC9">
        <w:t>a capital cost index</w:t>
      </w:r>
      <w:r w:rsidR="002302EA">
        <w:t xml:space="preserve"> instead of a recurrent cost index</w:t>
      </w:r>
      <w:r w:rsidR="008A0AC9">
        <w:t xml:space="preserve"> </w:t>
      </w:r>
      <w:r w:rsidR="00E01839">
        <w:t xml:space="preserve">in the infrastructure assessments </w:t>
      </w:r>
      <w:r w:rsidR="008A0AC9">
        <w:t xml:space="preserve">if </w:t>
      </w:r>
      <w:r w:rsidR="00E01839">
        <w:t>a reliable one is available</w:t>
      </w:r>
      <w:r w:rsidR="008A0AC9">
        <w:t xml:space="preserve">, </w:t>
      </w:r>
      <w:r w:rsidR="00E01839">
        <w:t xml:space="preserve">it </w:t>
      </w:r>
      <w:r w:rsidR="008A0AC9">
        <w:t xml:space="preserve">is policy neutral and </w:t>
      </w:r>
      <w:r w:rsidR="00E01839">
        <w:t xml:space="preserve">it is </w:t>
      </w:r>
      <w:r w:rsidR="008A0AC9">
        <w:t>materially different from the recurrent wage and regional cost indexes</w:t>
      </w:r>
      <w:r w:rsidR="00E01839">
        <w:t xml:space="preserve"> </w:t>
      </w:r>
      <w:r w:rsidR="002302EA">
        <w:t xml:space="preserve">currently </w:t>
      </w:r>
      <w:r w:rsidR="00E01839">
        <w:t>applied</w:t>
      </w:r>
      <w:r w:rsidR="008A0AC9">
        <w:t xml:space="preserve">.  </w:t>
      </w:r>
      <w:r>
        <w:t xml:space="preserve">A </w:t>
      </w:r>
      <w:r w:rsidR="008A0AC9">
        <w:t xml:space="preserve">combination of the capital city and regional indexes produced by </w:t>
      </w:r>
      <w:proofErr w:type="spellStart"/>
      <w:r w:rsidR="008A0AC9">
        <w:t>Rawlinsons</w:t>
      </w:r>
      <w:proofErr w:type="spellEnd"/>
      <w:r w:rsidR="008A0AC9">
        <w:t xml:space="preserve"> </w:t>
      </w:r>
      <w:r w:rsidR="002302EA">
        <w:t>was proposed a</w:t>
      </w:r>
      <w:r w:rsidR="008A0AC9">
        <w:t>s a potential approach</w:t>
      </w:r>
      <w:r>
        <w:t xml:space="preserve"> to measuring the relative costs of infrastructure</w:t>
      </w:r>
      <w:r w:rsidR="008A0AC9">
        <w:t xml:space="preserve">.  </w:t>
      </w:r>
    </w:p>
    <w:p w:rsidR="008A0AC9" w:rsidRDefault="008A0AC9" w:rsidP="008A0AC9">
      <w:pPr>
        <w:pStyle w:val="CGCNumberedPara"/>
      </w:pPr>
      <w:r>
        <w:t xml:space="preserve">States raised concerns </w:t>
      </w:r>
      <w:r w:rsidR="00E01839">
        <w:t xml:space="preserve">about the use of the </w:t>
      </w:r>
      <w:proofErr w:type="spellStart"/>
      <w:r w:rsidR="00E01839">
        <w:t>Rawlinsons</w:t>
      </w:r>
      <w:proofErr w:type="spellEnd"/>
      <w:r w:rsidR="00E01839">
        <w:t xml:space="preserve"> indices, including</w:t>
      </w:r>
      <w:r>
        <w:t>:</w:t>
      </w:r>
    </w:p>
    <w:p w:rsidR="00CE3CC3" w:rsidRDefault="00CE3CC3" w:rsidP="00CE3CC3">
      <w:pPr>
        <w:pStyle w:val="CGCBulletlist"/>
      </w:pPr>
      <w:r>
        <w:t>suitability — the indices do not focus on State-type buildings</w:t>
      </w:r>
    </w:p>
    <w:p w:rsidR="008A0AC9" w:rsidRDefault="008A0AC9" w:rsidP="008A0AC9">
      <w:pPr>
        <w:pStyle w:val="CGCBulletlist"/>
      </w:pPr>
      <w:r>
        <w:t>policy neutrality — differences in taxes and building codes affect the indexes</w:t>
      </w:r>
    </w:p>
    <w:p w:rsidR="008A0AC9" w:rsidRDefault="00CE3CC3" w:rsidP="008A0AC9">
      <w:pPr>
        <w:pStyle w:val="CGCBulletlist"/>
      </w:pPr>
      <w:r>
        <w:t xml:space="preserve">coverage — </w:t>
      </w:r>
      <w:r w:rsidR="008A0AC9">
        <w:t xml:space="preserve">the number of data points </w:t>
      </w:r>
      <w:r>
        <w:t xml:space="preserve">is limited </w:t>
      </w:r>
      <w:r w:rsidR="008A0AC9">
        <w:t>and some regional centres are not covered</w:t>
      </w:r>
      <w:r>
        <w:t>, nor are some urbanisation</w:t>
      </w:r>
      <w:r w:rsidR="006704CE">
        <w:t>,</w:t>
      </w:r>
      <w:r>
        <w:t xml:space="preserve"> environmental </w:t>
      </w:r>
      <w:r w:rsidR="006704CE">
        <w:t xml:space="preserve">and scale </w:t>
      </w:r>
      <w:r>
        <w:t>effects</w:t>
      </w:r>
    </w:p>
    <w:p w:rsidR="008A0AC9" w:rsidRDefault="00CE3CC3" w:rsidP="008A0AC9">
      <w:pPr>
        <w:pStyle w:val="CGCBulletlist"/>
      </w:pPr>
      <w:proofErr w:type="gramStart"/>
      <w:r>
        <w:t>within</w:t>
      </w:r>
      <w:proofErr w:type="gramEnd"/>
      <w:r>
        <w:t xml:space="preserve"> States, the cost indices can vary noticeably with different building types</w:t>
      </w:r>
      <w:r w:rsidR="009271D0">
        <w:t>.</w:t>
      </w:r>
      <w:r>
        <w:t xml:space="preserve"> </w:t>
      </w:r>
    </w:p>
    <w:p w:rsidR="008A0AC9" w:rsidRDefault="00CE3CC3" w:rsidP="008A0AC9">
      <w:pPr>
        <w:pStyle w:val="CGCNumberedPara"/>
      </w:pPr>
      <w:r>
        <w:t xml:space="preserve">Western Australia, Tasmania, ACT and </w:t>
      </w:r>
      <w:r w:rsidR="00096555">
        <w:t xml:space="preserve">the </w:t>
      </w:r>
      <w:r>
        <w:t>N</w:t>
      </w:r>
      <w:r w:rsidR="00096555">
        <w:t>orthern Territory</w:t>
      </w:r>
      <w:r>
        <w:t xml:space="preserve"> supported </w:t>
      </w:r>
      <w:r w:rsidR="00E01839">
        <w:t xml:space="preserve">the </w:t>
      </w:r>
      <w:r>
        <w:t xml:space="preserve">use of </w:t>
      </w:r>
      <w:r w:rsidR="00E01839">
        <w:t xml:space="preserve">a </w:t>
      </w:r>
      <w:r>
        <w:t>capital cost index in principle.</w:t>
      </w:r>
    </w:p>
    <w:p w:rsidR="00710F48" w:rsidRDefault="00710F48" w:rsidP="00710F48">
      <w:pPr>
        <w:pStyle w:val="CGCNumberedPara"/>
        <w:numPr>
          <w:ilvl w:val="1"/>
          <w:numId w:val="3"/>
        </w:numPr>
      </w:pPr>
      <w:proofErr w:type="spellStart"/>
      <w:r>
        <w:t>Rawlinsons</w:t>
      </w:r>
      <w:proofErr w:type="spellEnd"/>
      <w:r>
        <w:t xml:space="preserve"> provide building cost </w:t>
      </w:r>
      <w:r w:rsidR="00D2742B">
        <w:t>indices</w:t>
      </w:r>
      <w:r>
        <w:t xml:space="preserve"> </w:t>
      </w:r>
      <w:r w:rsidR="00D2742B">
        <w:t xml:space="preserve">which could be used </w:t>
      </w:r>
      <w:r w:rsidR="00D2742B" w:rsidRPr="00080A37">
        <w:t>to create a capital cost index more suited to the infrastructure assessments than the current cost factor.</w:t>
      </w:r>
      <w:r w:rsidR="00D2742B">
        <w:t xml:space="preserve">  </w:t>
      </w:r>
    </w:p>
    <w:p w:rsidR="00710F48" w:rsidRDefault="00710F48" w:rsidP="00710F48">
      <w:pPr>
        <w:pStyle w:val="CGCBulletlist"/>
        <w:numPr>
          <w:ilvl w:val="0"/>
          <w:numId w:val="1"/>
        </w:numPr>
      </w:pPr>
      <w:r>
        <w:t>The capital city ind</w:t>
      </w:r>
      <w:r w:rsidR="00D2742B">
        <w:t>ex</w:t>
      </w:r>
      <w:r>
        <w:t xml:space="preserve"> show</w:t>
      </w:r>
      <w:r w:rsidR="00D2742B">
        <w:t>s</w:t>
      </w:r>
      <w:r>
        <w:t xml:space="preserve"> costs in each capital city relative to Sydney. </w:t>
      </w:r>
      <w:r w:rsidR="00D2742B">
        <w:t xml:space="preserve">It </w:t>
      </w:r>
      <w:r>
        <w:t xml:space="preserve">is derived annually from a review of building costs across all buildings, tender returns, market conditions and discussions with contractors, consultants and suppliers. </w:t>
      </w:r>
      <w:r w:rsidR="00334C62">
        <w:t>It covers all construction activity including roads and transport</w:t>
      </w:r>
      <w:r w:rsidR="00FE6666">
        <w:t xml:space="preserve"> projects.  </w:t>
      </w:r>
      <w:proofErr w:type="spellStart"/>
      <w:r w:rsidRPr="00080A37">
        <w:t>Rawlinsons</w:t>
      </w:r>
      <w:proofErr w:type="spellEnd"/>
      <w:r w:rsidRPr="00080A37">
        <w:t xml:space="preserve"> has confirmed the</w:t>
      </w:r>
      <w:r>
        <w:t xml:space="preserve"> capital city indices </w:t>
      </w:r>
      <w:r w:rsidRPr="00080A37">
        <w:t>are derived in a consistent manner across States and can be used for interstate compari</w:t>
      </w:r>
      <w:r>
        <w:t>s</w:t>
      </w:r>
      <w:r w:rsidRPr="00080A37">
        <w:t xml:space="preserve">on. </w:t>
      </w:r>
      <w:bookmarkStart w:id="1" w:name="_GoBack"/>
      <w:bookmarkEnd w:id="1"/>
    </w:p>
    <w:p w:rsidR="00710F48" w:rsidRDefault="00710F48" w:rsidP="00710F48">
      <w:pPr>
        <w:pStyle w:val="CGCBulletlist"/>
        <w:numPr>
          <w:ilvl w:val="0"/>
          <w:numId w:val="1"/>
        </w:numPr>
      </w:pPr>
      <w:r>
        <w:t xml:space="preserve">Regional indices capture how much more it costs to build in regional and remote areas of a State compared to the capital city in that State. The indices are calculated by comparing the cost of a building in the </w:t>
      </w:r>
      <w:r w:rsidR="00D2742B">
        <w:t xml:space="preserve">capital </w:t>
      </w:r>
      <w:r>
        <w:t xml:space="preserve">city with the cost of </w:t>
      </w:r>
      <w:r w:rsidR="00D2742B">
        <w:t xml:space="preserve">the same </w:t>
      </w:r>
      <w:r>
        <w:t>building in regional and remote towns. They provide an intrastate measure of cost differentials but cannot be used for interstate comparisons without adjustment</w:t>
      </w:r>
      <w:r w:rsidR="00C313D4">
        <w:t xml:space="preserve"> to include the interstate dimension</w:t>
      </w:r>
      <w:r>
        <w:t xml:space="preserve">. </w:t>
      </w:r>
    </w:p>
    <w:p w:rsidR="00710F48" w:rsidRPr="00B008B3" w:rsidRDefault="00710F48" w:rsidP="00710F48">
      <w:pPr>
        <w:pStyle w:val="CGCTableHeading"/>
      </w:pPr>
      <w:bookmarkStart w:id="2" w:name="_Ref365886729"/>
      <w:r w:rsidRPr="00B008B3">
        <w:t xml:space="preserve">Table </w:t>
      </w:r>
      <w:fldSimple w:instr=" SEQ Table \* ARABIC ">
        <w:r w:rsidR="000D506D">
          <w:rPr>
            <w:noProof/>
          </w:rPr>
          <w:t>1</w:t>
        </w:r>
      </w:fldSimple>
      <w:bookmarkEnd w:id="2"/>
      <w:r w:rsidRPr="00B008B3">
        <w:tab/>
      </w:r>
      <w:r>
        <w:t>Capital city index, October 2012</w:t>
      </w:r>
    </w:p>
    <w:tbl>
      <w:tblPr>
        <w:tblW w:w="4942" w:type="pct"/>
        <w:tblLayout w:type="fixed"/>
        <w:tblCellMar>
          <w:left w:w="85" w:type="dxa"/>
          <w:right w:w="85" w:type="dxa"/>
        </w:tblCellMar>
        <w:tblLook w:val="0000" w:firstRow="0" w:lastRow="0" w:firstColumn="0" w:lastColumn="0" w:noHBand="0" w:noVBand="0"/>
      </w:tblPr>
      <w:tblGrid>
        <w:gridCol w:w="1647"/>
        <w:gridCol w:w="854"/>
        <w:gridCol w:w="1134"/>
        <w:gridCol w:w="986"/>
        <w:gridCol w:w="710"/>
        <w:gridCol w:w="992"/>
        <w:gridCol w:w="851"/>
        <w:gridCol w:w="990"/>
        <w:gridCol w:w="851"/>
      </w:tblGrid>
      <w:tr w:rsidR="00710F48" w:rsidRPr="00B008B3" w:rsidTr="00D2742B">
        <w:tc>
          <w:tcPr>
            <w:tcW w:w="913" w:type="pct"/>
            <w:tcBorders>
              <w:top w:val="single" w:sz="6" w:space="0" w:color="auto"/>
              <w:bottom w:val="single" w:sz="6" w:space="0" w:color="auto"/>
            </w:tcBorders>
            <w:vAlign w:val="bottom"/>
          </w:tcPr>
          <w:p w:rsidR="00710F48" w:rsidRPr="00C21E64" w:rsidRDefault="00710F48" w:rsidP="00D2742B">
            <w:pPr>
              <w:pStyle w:val="CGCTableStub"/>
            </w:pPr>
          </w:p>
        </w:tc>
        <w:tc>
          <w:tcPr>
            <w:tcW w:w="473" w:type="pct"/>
            <w:tcBorders>
              <w:top w:val="single" w:sz="6" w:space="0" w:color="auto"/>
              <w:bottom w:val="single" w:sz="6" w:space="0" w:color="auto"/>
            </w:tcBorders>
            <w:vAlign w:val="bottom"/>
          </w:tcPr>
          <w:p w:rsidR="00710F48" w:rsidRPr="00C21E64" w:rsidRDefault="00710F48" w:rsidP="00D2742B">
            <w:pPr>
              <w:pStyle w:val="TableColHeadings"/>
            </w:pPr>
            <w:r w:rsidRPr="00C21E64">
              <w:t>Sydney</w:t>
            </w:r>
          </w:p>
        </w:tc>
        <w:tc>
          <w:tcPr>
            <w:tcW w:w="629" w:type="pct"/>
            <w:tcBorders>
              <w:top w:val="single" w:sz="6" w:space="0" w:color="auto"/>
              <w:bottom w:val="single" w:sz="6" w:space="0" w:color="auto"/>
            </w:tcBorders>
            <w:vAlign w:val="bottom"/>
          </w:tcPr>
          <w:p w:rsidR="00710F48" w:rsidRPr="00C21E64" w:rsidRDefault="00710F48" w:rsidP="00D2742B">
            <w:pPr>
              <w:pStyle w:val="TableColHeadings"/>
            </w:pPr>
            <w:r w:rsidRPr="00C21E64">
              <w:t>Melbourne</w:t>
            </w:r>
          </w:p>
        </w:tc>
        <w:tc>
          <w:tcPr>
            <w:tcW w:w="547" w:type="pct"/>
            <w:tcBorders>
              <w:top w:val="single" w:sz="6" w:space="0" w:color="auto"/>
              <w:bottom w:val="single" w:sz="6" w:space="0" w:color="auto"/>
            </w:tcBorders>
            <w:vAlign w:val="bottom"/>
          </w:tcPr>
          <w:p w:rsidR="00710F48" w:rsidRPr="00C21E64" w:rsidRDefault="00710F48" w:rsidP="00D2742B">
            <w:pPr>
              <w:pStyle w:val="TableColHeadings"/>
            </w:pPr>
            <w:r w:rsidRPr="00C21E64">
              <w:t>Brisbane</w:t>
            </w:r>
          </w:p>
        </w:tc>
        <w:tc>
          <w:tcPr>
            <w:tcW w:w="394" w:type="pct"/>
            <w:tcBorders>
              <w:top w:val="single" w:sz="6" w:space="0" w:color="auto"/>
              <w:bottom w:val="single" w:sz="6" w:space="0" w:color="auto"/>
            </w:tcBorders>
            <w:vAlign w:val="bottom"/>
          </w:tcPr>
          <w:p w:rsidR="00710F48" w:rsidRPr="00C21E64" w:rsidRDefault="00710F48" w:rsidP="00D2742B">
            <w:pPr>
              <w:pStyle w:val="TableColHeadings"/>
            </w:pPr>
            <w:r w:rsidRPr="00C21E64">
              <w:t>Perth</w:t>
            </w:r>
          </w:p>
        </w:tc>
        <w:tc>
          <w:tcPr>
            <w:tcW w:w="550" w:type="pct"/>
            <w:tcBorders>
              <w:top w:val="single" w:sz="6" w:space="0" w:color="auto"/>
              <w:bottom w:val="single" w:sz="6" w:space="0" w:color="auto"/>
            </w:tcBorders>
            <w:vAlign w:val="bottom"/>
          </w:tcPr>
          <w:p w:rsidR="00710F48" w:rsidRPr="00C21E64" w:rsidRDefault="00710F48" w:rsidP="00D2742B">
            <w:pPr>
              <w:pStyle w:val="TableColHeadings"/>
            </w:pPr>
            <w:r w:rsidRPr="00C21E64">
              <w:t>Adelaide</w:t>
            </w:r>
          </w:p>
        </w:tc>
        <w:tc>
          <w:tcPr>
            <w:tcW w:w="472" w:type="pct"/>
            <w:tcBorders>
              <w:top w:val="single" w:sz="6" w:space="0" w:color="auto"/>
              <w:bottom w:val="single" w:sz="6" w:space="0" w:color="auto"/>
            </w:tcBorders>
            <w:vAlign w:val="bottom"/>
          </w:tcPr>
          <w:p w:rsidR="00710F48" w:rsidRPr="00C21E64" w:rsidRDefault="00710F48" w:rsidP="00D2742B">
            <w:pPr>
              <w:pStyle w:val="TableColHeadings"/>
            </w:pPr>
            <w:r w:rsidRPr="00C21E64">
              <w:t>Hobart</w:t>
            </w:r>
          </w:p>
        </w:tc>
        <w:tc>
          <w:tcPr>
            <w:tcW w:w="549" w:type="pct"/>
            <w:tcBorders>
              <w:top w:val="single" w:sz="6" w:space="0" w:color="auto"/>
              <w:bottom w:val="single" w:sz="6" w:space="0" w:color="auto"/>
            </w:tcBorders>
            <w:vAlign w:val="bottom"/>
          </w:tcPr>
          <w:p w:rsidR="00710F48" w:rsidRPr="00C21E64" w:rsidRDefault="00710F48" w:rsidP="00D2742B">
            <w:pPr>
              <w:pStyle w:val="TableColHeadings"/>
            </w:pPr>
            <w:r w:rsidRPr="00C21E64">
              <w:t>Canberra</w:t>
            </w:r>
          </w:p>
        </w:tc>
        <w:tc>
          <w:tcPr>
            <w:tcW w:w="472" w:type="pct"/>
            <w:tcBorders>
              <w:top w:val="single" w:sz="6" w:space="0" w:color="auto"/>
              <w:bottom w:val="single" w:sz="6" w:space="0" w:color="auto"/>
            </w:tcBorders>
            <w:vAlign w:val="bottom"/>
          </w:tcPr>
          <w:p w:rsidR="00710F48" w:rsidRPr="00C21E64" w:rsidRDefault="00710F48" w:rsidP="00D2742B">
            <w:pPr>
              <w:pStyle w:val="TableColHeadings"/>
            </w:pPr>
            <w:r w:rsidRPr="00C21E64">
              <w:t>Darwin</w:t>
            </w:r>
          </w:p>
        </w:tc>
      </w:tr>
      <w:tr w:rsidR="00710F48" w:rsidRPr="00B008B3" w:rsidTr="00D2742B">
        <w:tc>
          <w:tcPr>
            <w:tcW w:w="913" w:type="pct"/>
            <w:tcMar>
              <w:top w:w="0" w:type="dxa"/>
              <w:bottom w:w="0" w:type="dxa"/>
            </w:tcMar>
            <w:vAlign w:val="bottom"/>
          </w:tcPr>
          <w:p w:rsidR="00710F48" w:rsidRPr="00C21E64" w:rsidRDefault="00710F48" w:rsidP="00D2742B">
            <w:pPr>
              <w:pStyle w:val="TableRowUnits"/>
            </w:pPr>
          </w:p>
        </w:tc>
        <w:tc>
          <w:tcPr>
            <w:tcW w:w="473" w:type="pct"/>
            <w:tcMar>
              <w:top w:w="0" w:type="dxa"/>
              <w:bottom w:w="0" w:type="dxa"/>
            </w:tcMar>
            <w:vAlign w:val="bottom"/>
          </w:tcPr>
          <w:p w:rsidR="00710F48" w:rsidRPr="00C21E64" w:rsidRDefault="00710F48" w:rsidP="00D2742B">
            <w:pPr>
              <w:pStyle w:val="TableRowUnits"/>
            </w:pPr>
          </w:p>
        </w:tc>
        <w:tc>
          <w:tcPr>
            <w:tcW w:w="629" w:type="pct"/>
            <w:tcMar>
              <w:top w:w="0" w:type="dxa"/>
              <w:bottom w:w="0" w:type="dxa"/>
            </w:tcMar>
            <w:vAlign w:val="bottom"/>
          </w:tcPr>
          <w:p w:rsidR="00710F48" w:rsidRPr="00C21E64" w:rsidRDefault="00710F48" w:rsidP="00D2742B">
            <w:pPr>
              <w:pStyle w:val="TableRowUnits"/>
            </w:pPr>
          </w:p>
        </w:tc>
        <w:tc>
          <w:tcPr>
            <w:tcW w:w="547" w:type="pct"/>
            <w:tcMar>
              <w:top w:w="0" w:type="dxa"/>
              <w:bottom w:w="0" w:type="dxa"/>
            </w:tcMar>
            <w:vAlign w:val="bottom"/>
          </w:tcPr>
          <w:p w:rsidR="00710F48" w:rsidRPr="00C21E64" w:rsidRDefault="00710F48" w:rsidP="00D2742B">
            <w:pPr>
              <w:pStyle w:val="TableRowUnits"/>
            </w:pPr>
          </w:p>
        </w:tc>
        <w:tc>
          <w:tcPr>
            <w:tcW w:w="394" w:type="pct"/>
            <w:tcMar>
              <w:top w:w="0" w:type="dxa"/>
              <w:bottom w:w="0" w:type="dxa"/>
            </w:tcMar>
            <w:vAlign w:val="bottom"/>
          </w:tcPr>
          <w:p w:rsidR="00710F48" w:rsidRPr="00C21E64" w:rsidRDefault="00710F48" w:rsidP="00D2742B">
            <w:pPr>
              <w:pStyle w:val="TableRowUnits"/>
            </w:pPr>
          </w:p>
        </w:tc>
        <w:tc>
          <w:tcPr>
            <w:tcW w:w="550" w:type="pct"/>
            <w:tcMar>
              <w:top w:w="0" w:type="dxa"/>
              <w:bottom w:w="0" w:type="dxa"/>
            </w:tcMar>
            <w:vAlign w:val="bottom"/>
          </w:tcPr>
          <w:p w:rsidR="00710F48" w:rsidRPr="00C21E64" w:rsidRDefault="00710F48" w:rsidP="00D2742B">
            <w:pPr>
              <w:pStyle w:val="TableRowUnits"/>
            </w:pPr>
          </w:p>
        </w:tc>
        <w:tc>
          <w:tcPr>
            <w:tcW w:w="472" w:type="pct"/>
            <w:tcMar>
              <w:top w:w="0" w:type="dxa"/>
              <w:bottom w:w="0" w:type="dxa"/>
            </w:tcMar>
            <w:vAlign w:val="bottom"/>
          </w:tcPr>
          <w:p w:rsidR="00710F48" w:rsidRPr="00C21E64" w:rsidRDefault="00710F48" w:rsidP="00D2742B">
            <w:pPr>
              <w:pStyle w:val="TableRowUnits"/>
            </w:pPr>
          </w:p>
        </w:tc>
        <w:tc>
          <w:tcPr>
            <w:tcW w:w="549" w:type="pct"/>
            <w:tcMar>
              <w:top w:w="0" w:type="dxa"/>
              <w:bottom w:w="0" w:type="dxa"/>
            </w:tcMar>
            <w:vAlign w:val="bottom"/>
          </w:tcPr>
          <w:p w:rsidR="00710F48" w:rsidRPr="00C21E64" w:rsidRDefault="00710F48" w:rsidP="00D2742B">
            <w:pPr>
              <w:pStyle w:val="TableRowUnits"/>
            </w:pPr>
          </w:p>
        </w:tc>
        <w:tc>
          <w:tcPr>
            <w:tcW w:w="472" w:type="pct"/>
            <w:tcMar>
              <w:top w:w="0" w:type="dxa"/>
              <w:bottom w:w="0" w:type="dxa"/>
            </w:tcMar>
            <w:vAlign w:val="bottom"/>
          </w:tcPr>
          <w:p w:rsidR="00710F48" w:rsidRPr="00C21E64" w:rsidRDefault="00710F48" w:rsidP="00D2742B">
            <w:pPr>
              <w:pStyle w:val="TableRowUnits"/>
            </w:pPr>
          </w:p>
        </w:tc>
      </w:tr>
      <w:tr w:rsidR="00710F48" w:rsidRPr="00B008B3" w:rsidTr="00D2742B">
        <w:tc>
          <w:tcPr>
            <w:tcW w:w="913" w:type="pct"/>
            <w:tcBorders>
              <w:bottom w:val="single" w:sz="6" w:space="0" w:color="auto"/>
            </w:tcBorders>
            <w:vAlign w:val="bottom"/>
          </w:tcPr>
          <w:p w:rsidR="00710F48" w:rsidRPr="00C21E64" w:rsidRDefault="00710F48" w:rsidP="00D2742B">
            <w:pPr>
              <w:pStyle w:val="CGCTableStub"/>
              <w:tabs>
                <w:tab w:val="left" w:pos="142"/>
                <w:tab w:val="left" w:pos="425"/>
                <w:tab w:val="left" w:pos="709"/>
                <w:tab w:val="left" w:pos="851"/>
              </w:tabs>
              <w:ind w:left="142" w:hanging="142"/>
            </w:pPr>
            <w:r>
              <w:t>Capital city index</w:t>
            </w:r>
          </w:p>
        </w:tc>
        <w:tc>
          <w:tcPr>
            <w:tcW w:w="473" w:type="pct"/>
            <w:tcBorders>
              <w:bottom w:val="single" w:sz="6" w:space="0" w:color="auto"/>
            </w:tcBorders>
            <w:vAlign w:val="bottom"/>
          </w:tcPr>
          <w:p w:rsidR="00710F48" w:rsidRPr="00C21E64" w:rsidRDefault="00710F48" w:rsidP="00D2742B">
            <w:pPr>
              <w:pStyle w:val="TableRowNormal"/>
              <w:ind w:left="0" w:firstLine="0"/>
            </w:pPr>
            <w:r w:rsidRPr="00C21E64">
              <w:t>1.00</w:t>
            </w:r>
          </w:p>
        </w:tc>
        <w:tc>
          <w:tcPr>
            <w:tcW w:w="629" w:type="pct"/>
            <w:tcBorders>
              <w:bottom w:val="single" w:sz="6" w:space="0" w:color="auto"/>
            </w:tcBorders>
            <w:vAlign w:val="bottom"/>
          </w:tcPr>
          <w:p w:rsidR="00710F48" w:rsidRPr="00C21E64" w:rsidRDefault="00710F48" w:rsidP="00D2742B">
            <w:pPr>
              <w:pStyle w:val="TableRowNormal"/>
              <w:ind w:left="0" w:firstLine="0"/>
            </w:pPr>
            <w:r w:rsidRPr="00C21E64">
              <w:t>0.97</w:t>
            </w:r>
          </w:p>
        </w:tc>
        <w:tc>
          <w:tcPr>
            <w:tcW w:w="547" w:type="pct"/>
            <w:tcBorders>
              <w:bottom w:val="single" w:sz="6" w:space="0" w:color="auto"/>
            </w:tcBorders>
            <w:vAlign w:val="bottom"/>
          </w:tcPr>
          <w:p w:rsidR="00710F48" w:rsidRPr="00C21E64" w:rsidRDefault="00710F48" w:rsidP="00D2742B">
            <w:pPr>
              <w:pStyle w:val="TableRowNormal"/>
              <w:ind w:left="0" w:firstLine="0"/>
            </w:pPr>
            <w:r w:rsidRPr="00C21E64">
              <w:t>0.94</w:t>
            </w:r>
          </w:p>
        </w:tc>
        <w:tc>
          <w:tcPr>
            <w:tcW w:w="394" w:type="pct"/>
            <w:tcBorders>
              <w:bottom w:val="single" w:sz="6" w:space="0" w:color="auto"/>
            </w:tcBorders>
            <w:vAlign w:val="bottom"/>
          </w:tcPr>
          <w:p w:rsidR="00710F48" w:rsidRPr="00C21E64" w:rsidRDefault="00710F48" w:rsidP="00D2742B">
            <w:pPr>
              <w:pStyle w:val="TableRowNormal"/>
              <w:ind w:left="0" w:firstLine="0"/>
            </w:pPr>
            <w:r w:rsidRPr="00C21E64">
              <w:t>1.04</w:t>
            </w:r>
          </w:p>
        </w:tc>
        <w:tc>
          <w:tcPr>
            <w:tcW w:w="550" w:type="pct"/>
            <w:tcBorders>
              <w:bottom w:val="single" w:sz="6" w:space="0" w:color="auto"/>
            </w:tcBorders>
            <w:vAlign w:val="bottom"/>
          </w:tcPr>
          <w:p w:rsidR="00710F48" w:rsidRPr="00C21E64" w:rsidRDefault="00710F48" w:rsidP="00D2742B">
            <w:pPr>
              <w:pStyle w:val="TableRowNormal"/>
              <w:ind w:left="0" w:firstLine="0"/>
            </w:pPr>
            <w:r w:rsidRPr="00C21E64">
              <w:t>0.99</w:t>
            </w:r>
          </w:p>
        </w:tc>
        <w:tc>
          <w:tcPr>
            <w:tcW w:w="472" w:type="pct"/>
            <w:tcBorders>
              <w:bottom w:val="single" w:sz="6" w:space="0" w:color="auto"/>
            </w:tcBorders>
            <w:vAlign w:val="bottom"/>
          </w:tcPr>
          <w:p w:rsidR="00710F48" w:rsidRPr="00C21E64" w:rsidRDefault="00710F48" w:rsidP="00D2742B">
            <w:pPr>
              <w:pStyle w:val="TableRowNormal"/>
              <w:ind w:left="0" w:firstLine="0"/>
            </w:pPr>
            <w:r w:rsidRPr="00C21E64">
              <w:t>1.01</w:t>
            </w:r>
          </w:p>
        </w:tc>
        <w:tc>
          <w:tcPr>
            <w:tcW w:w="549" w:type="pct"/>
            <w:tcBorders>
              <w:bottom w:val="single" w:sz="6" w:space="0" w:color="auto"/>
            </w:tcBorders>
            <w:vAlign w:val="bottom"/>
          </w:tcPr>
          <w:p w:rsidR="00710F48" w:rsidRPr="00C21E64" w:rsidRDefault="00710F48" w:rsidP="00D2742B">
            <w:pPr>
              <w:pStyle w:val="TableRowNormal"/>
              <w:ind w:left="0" w:firstLine="0"/>
            </w:pPr>
            <w:r w:rsidRPr="00C21E64">
              <w:t>1.03</w:t>
            </w:r>
          </w:p>
        </w:tc>
        <w:tc>
          <w:tcPr>
            <w:tcW w:w="472" w:type="pct"/>
            <w:tcBorders>
              <w:bottom w:val="single" w:sz="6" w:space="0" w:color="auto"/>
            </w:tcBorders>
            <w:vAlign w:val="bottom"/>
          </w:tcPr>
          <w:p w:rsidR="00710F48" w:rsidRPr="00C21E64" w:rsidRDefault="00710F48" w:rsidP="00D2742B">
            <w:pPr>
              <w:pStyle w:val="TableRowNormal"/>
              <w:ind w:left="0" w:firstLine="0"/>
            </w:pPr>
            <w:r w:rsidRPr="00C21E64">
              <w:t>1.22</w:t>
            </w:r>
          </w:p>
        </w:tc>
      </w:tr>
    </w:tbl>
    <w:p w:rsidR="00710F48" w:rsidRPr="00C21E64" w:rsidRDefault="00710F48" w:rsidP="00710F48">
      <w:pPr>
        <w:pStyle w:val="CGCTableFootnote"/>
      </w:pPr>
      <w:r w:rsidRPr="00C21E64">
        <w:t>Source:</w:t>
      </w:r>
      <w:r w:rsidRPr="00C21E64">
        <w:tab/>
      </w:r>
      <w:proofErr w:type="spellStart"/>
      <w:r w:rsidRPr="00C21E64">
        <w:t>Rawlinsons</w:t>
      </w:r>
      <w:proofErr w:type="spellEnd"/>
      <w:r w:rsidRPr="00C21E64">
        <w:t xml:space="preserve"> Construction Cost Handbook, Edition 31, 2013</w:t>
      </w:r>
      <w:r>
        <w:t>,</w:t>
      </w:r>
      <w:r w:rsidRPr="00080A37">
        <w:t xml:space="preserve"> </w:t>
      </w:r>
      <w:r w:rsidRPr="00C21E64">
        <w:t>page 875</w:t>
      </w:r>
    </w:p>
    <w:p w:rsidR="00D37142" w:rsidRPr="00D37142" w:rsidRDefault="00851D3A" w:rsidP="00D37142">
      <w:pPr>
        <w:pStyle w:val="Heading4"/>
      </w:pPr>
      <w:r>
        <w:lastRenderedPageBreak/>
        <w:t xml:space="preserve">Suitability  </w:t>
      </w:r>
    </w:p>
    <w:p w:rsidR="00E01839" w:rsidRDefault="00851D3A" w:rsidP="008A0AC9">
      <w:pPr>
        <w:pStyle w:val="CGCNumberedPara"/>
      </w:pPr>
      <w:proofErr w:type="spellStart"/>
      <w:proofErr w:type="gramStart"/>
      <w:r>
        <w:t>Rawlinsons</w:t>
      </w:r>
      <w:proofErr w:type="spellEnd"/>
      <w:proofErr w:type="gramEnd"/>
      <w:r>
        <w:t xml:space="preserve"> indices are </w:t>
      </w:r>
      <w:r w:rsidR="00C91EEE">
        <w:t xml:space="preserve">independent and widely used indices </w:t>
      </w:r>
      <w:r>
        <w:t xml:space="preserve">prepared </w:t>
      </w:r>
      <w:r w:rsidR="00C91EEE">
        <w:t xml:space="preserve">specifically </w:t>
      </w:r>
      <w:r>
        <w:t xml:space="preserve">to provide data on construction costs and variations in those costs.  Similar methods are used in preparing the indices for each capital city </w:t>
      </w:r>
      <w:r w:rsidR="00B34F13">
        <w:t xml:space="preserve">and for each region within States.  </w:t>
      </w:r>
    </w:p>
    <w:p w:rsidR="00C512A9" w:rsidRDefault="00CC3D1D" w:rsidP="00CC3D1D">
      <w:pPr>
        <w:pStyle w:val="CGCNumberedPara"/>
      </w:pPr>
      <w:r>
        <w:t xml:space="preserve">The most recent capital city indices are </w:t>
      </w:r>
      <w:r w:rsidR="00D57B40">
        <w:t>shown in Figure 1</w:t>
      </w:r>
      <w:r>
        <w:t xml:space="preserve">.  They reflect an average of the cost differentials across a wide range of construction activities.  </w:t>
      </w:r>
    </w:p>
    <w:p w:rsidR="00C91EEE" w:rsidRDefault="00CC3D1D" w:rsidP="00CC3D1D">
      <w:pPr>
        <w:pStyle w:val="CGCNumberedPara"/>
      </w:pPr>
      <w:r>
        <w:t xml:space="preserve">Indices for </w:t>
      </w:r>
      <w:r w:rsidR="00C91EEE">
        <w:t>several State-type buildings</w:t>
      </w:r>
      <w:r>
        <w:t xml:space="preserve"> are also available.  They are also in the </w:t>
      </w:r>
      <w:r w:rsidR="00D57B40">
        <w:t>figure</w:t>
      </w:r>
      <w:r w:rsidR="00C91EEE">
        <w:t xml:space="preserve">.  </w:t>
      </w:r>
      <w:r w:rsidR="00B03D8F">
        <w:t xml:space="preserve">The indices for some specific building types, such as schools </w:t>
      </w:r>
      <w:r w:rsidR="00C512A9">
        <w:t>have</w:t>
      </w:r>
      <w:r w:rsidR="00B03D8F">
        <w:t xml:space="preserve"> different </w:t>
      </w:r>
      <w:r w:rsidR="00C512A9">
        <w:t xml:space="preserve">interstate </w:t>
      </w:r>
      <w:r w:rsidR="00B03D8F">
        <w:t>relationships from the broader indices</w:t>
      </w:r>
      <w:r w:rsidR="00C512A9">
        <w:t xml:space="preserve">.  </w:t>
      </w:r>
      <w:proofErr w:type="spellStart"/>
      <w:r w:rsidR="00B03D8F">
        <w:t>Rawlinsons</w:t>
      </w:r>
      <w:proofErr w:type="spellEnd"/>
      <w:r w:rsidR="00B03D8F">
        <w:t xml:space="preserve"> have not been able to provide specific reasons for these variations, although they </w:t>
      </w:r>
      <w:r w:rsidR="00EF0875">
        <w:t xml:space="preserve">accept differences in </w:t>
      </w:r>
      <w:r w:rsidR="00B03D8F">
        <w:t>project specific design issues</w:t>
      </w:r>
      <w:r w:rsidR="00EF0875">
        <w:t xml:space="preserve"> may be relevant</w:t>
      </w:r>
      <w:r w:rsidR="00B03D8F">
        <w:t xml:space="preserve">.  </w:t>
      </w:r>
    </w:p>
    <w:p w:rsidR="00D57B40" w:rsidRDefault="00D57B40" w:rsidP="00D57B40">
      <w:pPr>
        <w:pStyle w:val="CGCTableHeading"/>
      </w:pPr>
      <w:r w:rsidRPr="002D5409">
        <w:t>Figure</w:t>
      </w:r>
      <w:r>
        <w:t xml:space="preserve"> 1</w:t>
      </w:r>
      <w:r w:rsidRPr="002D5409">
        <w:tab/>
        <w:t>Cost indices for various building types</w:t>
      </w:r>
      <w:r>
        <w:t xml:space="preserve"> and overall capital city index</w:t>
      </w:r>
      <w:r w:rsidRPr="002D5409">
        <w:t xml:space="preserve"> by capital city, 2012</w:t>
      </w:r>
    </w:p>
    <w:p w:rsidR="00D57B40" w:rsidRDefault="00D57B40" w:rsidP="00D57B40">
      <w:pPr>
        <w:pStyle w:val="ListParagraph"/>
        <w:ind w:left="0"/>
      </w:pPr>
      <w:r>
        <w:rPr>
          <w:noProof/>
          <w:lang w:eastAsia="en-AU"/>
        </w:rPr>
        <w:drawing>
          <wp:inline distT="0" distB="0" distL="0" distR="0" wp14:anchorId="77861CFB" wp14:editId="6F12B5C1">
            <wp:extent cx="5652000" cy="3564000"/>
            <wp:effectExtent l="0" t="0" r="25400"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57B40" w:rsidRDefault="00D57B40" w:rsidP="00D57B40">
      <w:pPr>
        <w:pStyle w:val="CGCTableStub"/>
        <w:keepNext w:val="0"/>
      </w:pPr>
      <w:r>
        <w:t>Source:</w:t>
      </w:r>
      <w:r>
        <w:tab/>
      </w:r>
      <w:proofErr w:type="spellStart"/>
      <w:r w:rsidRPr="002D5409">
        <w:t>Rawlinsons</w:t>
      </w:r>
      <w:proofErr w:type="spellEnd"/>
      <w:r w:rsidRPr="002D5409">
        <w:t xml:space="preserve"> Australian Construction Handbook, Edition 31, 2013</w:t>
      </w:r>
      <w:r>
        <w:t xml:space="preserve"> </w:t>
      </w:r>
    </w:p>
    <w:p w:rsidR="00D57B40" w:rsidRPr="00D57B40" w:rsidRDefault="00D57B40" w:rsidP="00D57B40">
      <w:pPr>
        <w:pStyle w:val="ListParagraph"/>
        <w:ind w:left="0"/>
        <w:rPr>
          <w:i/>
        </w:rPr>
      </w:pPr>
    </w:p>
    <w:p w:rsidR="005F50BD" w:rsidRDefault="005F50BD" w:rsidP="005F50BD">
      <w:pPr>
        <w:pStyle w:val="CGCNumberedPara"/>
      </w:pPr>
      <w:proofErr w:type="spellStart"/>
      <w:r>
        <w:t>Rawlinsons</w:t>
      </w:r>
      <w:proofErr w:type="spellEnd"/>
      <w:r>
        <w:t xml:space="preserve"> advised the city indices provide a reliable guide to underlying construction cost differentials.  The dominance of non-State type projects implies State specific design criteria have limited impact on the interstate relationships.  </w:t>
      </w:r>
    </w:p>
    <w:p w:rsidR="005F50BD" w:rsidRDefault="005F50BD" w:rsidP="005F50BD">
      <w:pPr>
        <w:pStyle w:val="CGCNumberedPara"/>
      </w:pPr>
      <w:proofErr w:type="spellStart"/>
      <w:r>
        <w:t>Rawlinsons</w:t>
      </w:r>
      <w:proofErr w:type="spellEnd"/>
      <w:r>
        <w:t xml:space="preserve"> have said the indices for smaller cities such as Darwin and Hobart are just as representative of the underlying costs in the city as those for the big cities.  However, they noted costs in the smaller cities can be affected more by the flow-on </w:t>
      </w:r>
      <w:r>
        <w:lastRenderedPageBreak/>
        <w:t>from few large projects, such as the recent oil/gas projects in Darwin.  They consider this is a genuine reflection of market conditions, and hence costs, at the time.</w:t>
      </w:r>
    </w:p>
    <w:p w:rsidR="005F50BD" w:rsidRDefault="00735329" w:rsidP="00735329">
      <w:pPr>
        <w:pStyle w:val="CGCNumberedPara"/>
      </w:pPr>
      <w:r>
        <w:t xml:space="preserve">Table 2 compares the </w:t>
      </w:r>
      <w:proofErr w:type="spellStart"/>
      <w:r>
        <w:t>Rawlinsons</w:t>
      </w:r>
      <w:proofErr w:type="spellEnd"/>
      <w:r>
        <w:t xml:space="preserve"> capital city index with another capital city index — — the Rider Digest tender price index.  The two indices give similar results for Sydney and Melbourne.  However, the Rider index shows lower relative prices in the other </w:t>
      </w:r>
      <w:r w:rsidR="005F50BD">
        <w:t>capitals</w:t>
      </w:r>
      <w:r>
        <w:t xml:space="preserve">, especially Darwin and Brisbane, and </w:t>
      </w:r>
      <w:r w:rsidR="005F50BD">
        <w:t xml:space="preserve">it </w:t>
      </w:r>
      <w:r>
        <w:t xml:space="preserve">suggests Canberra has lower construction costs than Sydney.  </w:t>
      </w:r>
    </w:p>
    <w:p w:rsidR="00735329" w:rsidRDefault="005F50BD" w:rsidP="00735329">
      <w:pPr>
        <w:pStyle w:val="CGCNumberedPara"/>
      </w:pPr>
      <w:r>
        <w:t xml:space="preserve">Both indices cover the effects of differences in labour and material costs and market conditions.  </w:t>
      </w:r>
      <w:r w:rsidR="00412581">
        <w:t>T</w:t>
      </w:r>
      <w:r>
        <w:t xml:space="preserve">he </w:t>
      </w:r>
      <w:proofErr w:type="spellStart"/>
      <w:r>
        <w:t>Rawlinsons</w:t>
      </w:r>
      <w:proofErr w:type="spellEnd"/>
      <w:r>
        <w:t xml:space="preserve"> index </w:t>
      </w:r>
      <w:r w:rsidR="00725E9E">
        <w:t>covers a</w:t>
      </w:r>
      <w:r w:rsidR="00412581">
        <w:t xml:space="preserve"> wide range of</w:t>
      </w:r>
      <w:r w:rsidR="00725E9E">
        <w:t xml:space="preserve"> construction activity, including housing and non-building construction, whereas the Rider index </w:t>
      </w:r>
      <w:r w:rsidR="001D315B">
        <w:t>is prepared on the basis of the construction costs for of two similar buildings in each city</w:t>
      </w:r>
      <w:r w:rsidR="00725E9E">
        <w:t xml:space="preserve">.  The Rider index does not provide data for Hobart or centres outside the capitals.  </w:t>
      </w:r>
    </w:p>
    <w:p w:rsidR="005F50BD" w:rsidRDefault="00D73F4D" w:rsidP="005F50BD">
      <w:pPr>
        <w:pStyle w:val="CGCTableHeading"/>
        <w:ind w:left="0" w:firstLine="0"/>
      </w:pPr>
      <w:r>
        <w:t xml:space="preserve">Table </w:t>
      </w:r>
      <w:r w:rsidR="00516D0E">
        <w:fldChar w:fldCharType="begin"/>
      </w:r>
      <w:r w:rsidR="00516D0E">
        <w:instrText xml:space="preserve"> SEQ Table \* ARABIC </w:instrText>
      </w:r>
      <w:r w:rsidR="00516D0E">
        <w:fldChar w:fldCharType="separate"/>
      </w:r>
      <w:r w:rsidR="000D506D">
        <w:rPr>
          <w:noProof/>
        </w:rPr>
        <w:t>2</w:t>
      </w:r>
      <w:r w:rsidR="00516D0E">
        <w:rPr>
          <w:noProof/>
        </w:rPr>
        <w:fldChar w:fldCharType="end"/>
      </w:r>
      <w:r w:rsidR="005F50BD">
        <w:tab/>
        <w:t xml:space="preserve">Comparison of </w:t>
      </w:r>
      <w:proofErr w:type="spellStart"/>
      <w:r w:rsidR="005F50BD">
        <w:t>Rawlinsons</w:t>
      </w:r>
      <w:proofErr w:type="spellEnd"/>
      <w:r w:rsidR="005F50BD">
        <w:t xml:space="preserve"> and Rider Digest indexes</w:t>
      </w:r>
    </w:p>
    <w:tbl>
      <w:tblPr>
        <w:tblW w:w="5000" w:type="pct"/>
        <w:tblCellMar>
          <w:left w:w="85" w:type="dxa"/>
          <w:right w:w="85" w:type="dxa"/>
        </w:tblCellMar>
        <w:tblLook w:val="0000" w:firstRow="0" w:lastRow="0" w:firstColumn="0" w:lastColumn="0" w:noHBand="0" w:noVBand="0"/>
      </w:tblPr>
      <w:tblGrid>
        <w:gridCol w:w="2493"/>
        <w:gridCol w:w="753"/>
        <w:gridCol w:w="1077"/>
        <w:gridCol w:w="879"/>
        <w:gridCol w:w="626"/>
        <w:gridCol w:w="883"/>
        <w:gridCol w:w="739"/>
        <w:gridCol w:w="918"/>
        <w:gridCol w:w="753"/>
      </w:tblGrid>
      <w:tr w:rsidR="005F50BD" w:rsidRPr="00802AC1" w:rsidTr="0060589F">
        <w:tc>
          <w:tcPr>
            <w:tcW w:w="1367" w:type="pct"/>
            <w:tcBorders>
              <w:top w:val="single" w:sz="6" w:space="0" w:color="auto"/>
              <w:bottom w:val="single" w:sz="6" w:space="0" w:color="auto"/>
            </w:tcBorders>
            <w:vAlign w:val="bottom"/>
          </w:tcPr>
          <w:p w:rsidR="005F50BD" w:rsidRPr="00802AC1" w:rsidRDefault="005F50BD" w:rsidP="0060589F">
            <w:pPr>
              <w:pStyle w:val="CGCTableStub"/>
              <w:rPr>
                <w:rFonts w:cstheme="minorHAnsi"/>
              </w:rPr>
            </w:pPr>
          </w:p>
        </w:tc>
        <w:tc>
          <w:tcPr>
            <w:tcW w:w="413" w:type="pct"/>
            <w:tcBorders>
              <w:top w:val="single" w:sz="6" w:space="0" w:color="auto"/>
              <w:bottom w:val="single" w:sz="6" w:space="0" w:color="auto"/>
            </w:tcBorders>
            <w:vAlign w:val="bottom"/>
          </w:tcPr>
          <w:p w:rsidR="005F50BD" w:rsidRPr="00802AC1" w:rsidRDefault="005F50BD" w:rsidP="0060589F">
            <w:pPr>
              <w:pStyle w:val="TableColHeadings"/>
              <w:rPr>
                <w:rFonts w:cstheme="minorHAnsi"/>
              </w:rPr>
            </w:pPr>
            <w:r>
              <w:rPr>
                <w:rFonts w:cstheme="minorHAnsi"/>
              </w:rPr>
              <w:t>Sydney</w:t>
            </w:r>
          </w:p>
        </w:tc>
        <w:tc>
          <w:tcPr>
            <w:tcW w:w="590" w:type="pct"/>
            <w:tcBorders>
              <w:top w:val="single" w:sz="6" w:space="0" w:color="auto"/>
              <w:bottom w:val="single" w:sz="6" w:space="0" w:color="auto"/>
            </w:tcBorders>
            <w:vAlign w:val="bottom"/>
          </w:tcPr>
          <w:p w:rsidR="005F50BD" w:rsidRPr="00802AC1" w:rsidRDefault="005F50BD" w:rsidP="0060589F">
            <w:pPr>
              <w:pStyle w:val="TableColHeadings"/>
              <w:rPr>
                <w:rFonts w:cstheme="minorHAnsi"/>
              </w:rPr>
            </w:pPr>
            <w:r>
              <w:rPr>
                <w:rFonts w:cstheme="minorHAnsi"/>
              </w:rPr>
              <w:t>Melbourne</w:t>
            </w:r>
          </w:p>
        </w:tc>
        <w:tc>
          <w:tcPr>
            <w:tcW w:w="482" w:type="pct"/>
            <w:tcBorders>
              <w:top w:val="single" w:sz="6" w:space="0" w:color="auto"/>
              <w:bottom w:val="single" w:sz="6" w:space="0" w:color="auto"/>
            </w:tcBorders>
            <w:vAlign w:val="bottom"/>
          </w:tcPr>
          <w:p w:rsidR="005F50BD" w:rsidRPr="00802AC1" w:rsidRDefault="005F50BD" w:rsidP="0060589F">
            <w:pPr>
              <w:pStyle w:val="TableColHeadings"/>
              <w:rPr>
                <w:rFonts w:cstheme="minorHAnsi"/>
              </w:rPr>
            </w:pPr>
            <w:r>
              <w:rPr>
                <w:rFonts w:cstheme="minorHAnsi"/>
              </w:rPr>
              <w:t>Brisbane</w:t>
            </w:r>
          </w:p>
        </w:tc>
        <w:tc>
          <w:tcPr>
            <w:tcW w:w="343" w:type="pct"/>
            <w:tcBorders>
              <w:top w:val="single" w:sz="6" w:space="0" w:color="auto"/>
              <w:bottom w:val="single" w:sz="6" w:space="0" w:color="auto"/>
            </w:tcBorders>
            <w:vAlign w:val="bottom"/>
          </w:tcPr>
          <w:p w:rsidR="005F50BD" w:rsidRPr="00802AC1" w:rsidRDefault="005F50BD" w:rsidP="0060589F">
            <w:pPr>
              <w:pStyle w:val="TableColHeadings"/>
              <w:rPr>
                <w:rFonts w:cstheme="minorHAnsi"/>
              </w:rPr>
            </w:pPr>
            <w:r>
              <w:rPr>
                <w:rFonts w:cstheme="minorHAnsi"/>
              </w:rPr>
              <w:t>Perth</w:t>
            </w:r>
          </w:p>
        </w:tc>
        <w:tc>
          <w:tcPr>
            <w:tcW w:w="484" w:type="pct"/>
            <w:tcBorders>
              <w:top w:val="single" w:sz="6" w:space="0" w:color="auto"/>
              <w:bottom w:val="single" w:sz="6" w:space="0" w:color="auto"/>
            </w:tcBorders>
            <w:vAlign w:val="bottom"/>
          </w:tcPr>
          <w:p w:rsidR="005F50BD" w:rsidRPr="00802AC1" w:rsidRDefault="005F50BD" w:rsidP="0060589F">
            <w:pPr>
              <w:pStyle w:val="TableColHeadings"/>
              <w:rPr>
                <w:rFonts w:cstheme="minorHAnsi"/>
              </w:rPr>
            </w:pPr>
            <w:r>
              <w:rPr>
                <w:rFonts w:cstheme="minorHAnsi"/>
              </w:rPr>
              <w:t>Adelaide</w:t>
            </w:r>
          </w:p>
        </w:tc>
        <w:tc>
          <w:tcPr>
            <w:tcW w:w="405" w:type="pct"/>
            <w:tcBorders>
              <w:top w:val="single" w:sz="6" w:space="0" w:color="auto"/>
              <w:bottom w:val="single" w:sz="6" w:space="0" w:color="auto"/>
            </w:tcBorders>
            <w:vAlign w:val="bottom"/>
          </w:tcPr>
          <w:p w:rsidR="005F50BD" w:rsidRPr="00802AC1" w:rsidRDefault="005F50BD" w:rsidP="0060589F">
            <w:pPr>
              <w:pStyle w:val="TableColHeadings"/>
              <w:rPr>
                <w:rFonts w:cstheme="minorHAnsi"/>
              </w:rPr>
            </w:pPr>
            <w:r>
              <w:rPr>
                <w:rFonts w:cstheme="minorHAnsi"/>
              </w:rPr>
              <w:t>Hobart</w:t>
            </w:r>
          </w:p>
        </w:tc>
        <w:tc>
          <w:tcPr>
            <w:tcW w:w="503" w:type="pct"/>
            <w:tcBorders>
              <w:top w:val="single" w:sz="6" w:space="0" w:color="auto"/>
              <w:bottom w:val="single" w:sz="6" w:space="0" w:color="auto"/>
            </w:tcBorders>
            <w:vAlign w:val="bottom"/>
          </w:tcPr>
          <w:p w:rsidR="005F50BD" w:rsidRPr="00802AC1" w:rsidRDefault="005F50BD" w:rsidP="0060589F">
            <w:pPr>
              <w:pStyle w:val="TableColHeadings"/>
              <w:rPr>
                <w:rFonts w:cstheme="minorHAnsi"/>
              </w:rPr>
            </w:pPr>
            <w:r>
              <w:rPr>
                <w:rFonts w:cstheme="minorHAnsi"/>
              </w:rPr>
              <w:t>Canberra</w:t>
            </w:r>
          </w:p>
        </w:tc>
        <w:tc>
          <w:tcPr>
            <w:tcW w:w="413" w:type="pct"/>
            <w:tcBorders>
              <w:top w:val="single" w:sz="6" w:space="0" w:color="auto"/>
              <w:bottom w:val="single" w:sz="6" w:space="0" w:color="auto"/>
            </w:tcBorders>
            <w:vAlign w:val="bottom"/>
          </w:tcPr>
          <w:p w:rsidR="005F50BD" w:rsidRPr="00802AC1" w:rsidRDefault="005F50BD" w:rsidP="0060589F">
            <w:pPr>
              <w:pStyle w:val="TableColHeadings"/>
              <w:rPr>
                <w:rFonts w:cstheme="minorHAnsi"/>
              </w:rPr>
            </w:pPr>
            <w:r>
              <w:rPr>
                <w:rFonts w:cstheme="minorHAnsi"/>
              </w:rPr>
              <w:t>Darwin</w:t>
            </w:r>
          </w:p>
        </w:tc>
      </w:tr>
      <w:tr w:rsidR="005F50BD" w:rsidRPr="00802AC1" w:rsidTr="0060589F">
        <w:tc>
          <w:tcPr>
            <w:tcW w:w="1367" w:type="pct"/>
            <w:tcMar>
              <w:top w:w="0" w:type="dxa"/>
              <w:bottom w:w="0" w:type="dxa"/>
            </w:tcMar>
            <w:vAlign w:val="bottom"/>
          </w:tcPr>
          <w:p w:rsidR="005F50BD" w:rsidRPr="00802AC1" w:rsidRDefault="005F50BD" w:rsidP="0060589F">
            <w:pPr>
              <w:pStyle w:val="TableRowUnits"/>
              <w:rPr>
                <w:rFonts w:cstheme="minorHAnsi"/>
              </w:rPr>
            </w:pPr>
          </w:p>
        </w:tc>
        <w:tc>
          <w:tcPr>
            <w:tcW w:w="413" w:type="pct"/>
            <w:tcMar>
              <w:top w:w="0" w:type="dxa"/>
              <w:bottom w:w="0" w:type="dxa"/>
            </w:tcMar>
            <w:vAlign w:val="bottom"/>
          </w:tcPr>
          <w:p w:rsidR="005F50BD" w:rsidRPr="00802AC1" w:rsidRDefault="005F50BD" w:rsidP="0060589F">
            <w:pPr>
              <w:pStyle w:val="TableRowUnits"/>
              <w:rPr>
                <w:rFonts w:cstheme="minorHAnsi"/>
              </w:rPr>
            </w:pPr>
          </w:p>
        </w:tc>
        <w:tc>
          <w:tcPr>
            <w:tcW w:w="590" w:type="pct"/>
            <w:tcMar>
              <w:top w:w="0" w:type="dxa"/>
              <w:bottom w:w="0" w:type="dxa"/>
            </w:tcMar>
            <w:vAlign w:val="bottom"/>
          </w:tcPr>
          <w:p w:rsidR="005F50BD" w:rsidRPr="00802AC1" w:rsidRDefault="005F50BD" w:rsidP="0060589F">
            <w:pPr>
              <w:pStyle w:val="TableRowUnits"/>
              <w:rPr>
                <w:rFonts w:cstheme="minorHAnsi"/>
              </w:rPr>
            </w:pPr>
          </w:p>
        </w:tc>
        <w:tc>
          <w:tcPr>
            <w:tcW w:w="482" w:type="pct"/>
            <w:tcMar>
              <w:top w:w="0" w:type="dxa"/>
              <w:bottom w:w="0" w:type="dxa"/>
            </w:tcMar>
            <w:vAlign w:val="bottom"/>
          </w:tcPr>
          <w:p w:rsidR="005F50BD" w:rsidRPr="00802AC1" w:rsidRDefault="005F50BD" w:rsidP="0060589F">
            <w:pPr>
              <w:pStyle w:val="TableRowUnits"/>
              <w:rPr>
                <w:rFonts w:cstheme="minorHAnsi"/>
              </w:rPr>
            </w:pPr>
          </w:p>
        </w:tc>
        <w:tc>
          <w:tcPr>
            <w:tcW w:w="343" w:type="pct"/>
            <w:tcMar>
              <w:top w:w="0" w:type="dxa"/>
              <w:bottom w:w="0" w:type="dxa"/>
            </w:tcMar>
            <w:vAlign w:val="bottom"/>
          </w:tcPr>
          <w:p w:rsidR="005F50BD" w:rsidRPr="00802AC1" w:rsidRDefault="005F50BD" w:rsidP="0060589F">
            <w:pPr>
              <w:pStyle w:val="TableRowUnits"/>
              <w:rPr>
                <w:rFonts w:cstheme="minorHAnsi"/>
              </w:rPr>
            </w:pPr>
          </w:p>
        </w:tc>
        <w:tc>
          <w:tcPr>
            <w:tcW w:w="484" w:type="pct"/>
            <w:tcMar>
              <w:top w:w="0" w:type="dxa"/>
              <w:bottom w:w="0" w:type="dxa"/>
            </w:tcMar>
            <w:vAlign w:val="bottom"/>
          </w:tcPr>
          <w:p w:rsidR="005F50BD" w:rsidRPr="00802AC1" w:rsidRDefault="005F50BD" w:rsidP="0060589F">
            <w:pPr>
              <w:pStyle w:val="TableRowUnits"/>
              <w:rPr>
                <w:rFonts w:cstheme="minorHAnsi"/>
              </w:rPr>
            </w:pPr>
          </w:p>
        </w:tc>
        <w:tc>
          <w:tcPr>
            <w:tcW w:w="405" w:type="pct"/>
            <w:tcMar>
              <w:top w:w="0" w:type="dxa"/>
              <w:bottom w:w="0" w:type="dxa"/>
            </w:tcMar>
            <w:vAlign w:val="bottom"/>
          </w:tcPr>
          <w:p w:rsidR="005F50BD" w:rsidRPr="00802AC1" w:rsidRDefault="005F50BD" w:rsidP="0060589F">
            <w:pPr>
              <w:pStyle w:val="TableRowUnits"/>
              <w:rPr>
                <w:rFonts w:cstheme="minorHAnsi"/>
              </w:rPr>
            </w:pPr>
          </w:p>
        </w:tc>
        <w:tc>
          <w:tcPr>
            <w:tcW w:w="503" w:type="pct"/>
            <w:tcMar>
              <w:top w:w="0" w:type="dxa"/>
              <w:bottom w:w="0" w:type="dxa"/>
            </w:tcMar>
            <w:vAlign w:val="bottom"/>
          </w:tcPr>
          <w:p w:rsidR="005F50BD" w:rsidRPr="00802AC1" w:rsidRDefault="005F50BD" w:rsidP="0060589F">
            <w:pPr>
              <w:pStyle w:val="TableRowUnits"/>
              <w:rPr>
                <w:rFonts w:cstheme="minorHAnsi"/>
              </w:rPr>
            </w:pPr>
          </w:p>
        </w:tc>
        <w:tc>
          <w:tcPr>
            <w:tcW w:w="413" w:type="pct"/>
            <w:tcMar>
              <w:top w:w="0" w:type="dxa"/>
              <w:bottom w:w="0" w:type="dxa"/>
            </w:tcMar>
            <w:vAlign w:val="bottom"/>
          </w:tcPr>
          <w:p w:rsidR="005F50BD" w:rsidRPr="00802AC1" w:rsidRDefault="005F50BD" w:rsidP="0060589F">
            <w:pPr>
              <w:pStyle w:val="TableRowUnits"/>
              <w:rPr>
                <w:rFonts w:cstheme="minorHAnsi"/>
              </w:rPr>
            </w:pPr>
          </w:p>
        </w:tc>
      </w:tr>
      <w:tr w:rsidR="005F50BD" w:rsidRPr="00802AC1" w:rsidTr="0060589F">
        <w:tc>
          <w:tcPr>
            <w:tcW w:w="1367" w:type="pct"/>
            <w:vAlign w:val="bottom"/>
          </w:tcPr>
          <w:p w:rsidR="005F50BD" w:rsidRPr="00802AC1" w:rsidRDefault="005F50BD" w:rsidP="0060589F">
            <w:pPr>
              <w:pStyle w:val="CGCTableStub"/>
              <w:tabs>
                <w:tab w:val="left" w:pos="142"/>
                <w:tab w:val="left" w:pos="425"/>
                <w:tab w:val="left" w:pos="709"/>
                <w:tab w:val="left" w:pos="851"/>
              </w:tabs>
              <w:ind w:left="142" w:hanging="142"/>
              <w:rPr>
                <w:rFonts w:cstheme="minorHAnsi"/>
              </w:rPr>
            </w:pPr>
            <w:proofErr w:type="spellStart"/>
            <w:r>
              <w:rPr>
                <w:rFonts w:cstheme="minorHAnsi"/>
              </w:rPr>
              <w:t>Rawlinsons</w:t>
            </w:r>
            <w:proofErr w:type="spellEnd"/>
            <w:r>
              <w:rPr>
                <w:rFonts w:cstheme="minorHAnsi"/>
              </w:rPr>
              <w:t xml:space="preserve"> (a)</w:t>
            </w:r>
          </w:p>
        </w:tc>
        <w:tc>
          <w:tcPr>
            <w:tcW w:w="413" w:type="pct"/>
            <w:vAlign w:val="bottom"/>
          </w:tcPr>
          <w:p w:rsidR="005F50BD" w:rsidRPr="00802AC1" w:rsidRDefault="005F50BD" w:rsidP="0060589F">
            <w:pPr>
              <w:pStyle w:val="TableRowNormal"/>
              <w:ind w:left="0" w:firstLine="0"/>
              <w:rPr>
                <w:rFonts w:cstheme="minorHAnsi"/>
              </w:rPr>
            </w:pPr>
            <w:r>
              <w:rPr>
                <w:rFonts w:cstheme="minorHAnsi"/>
              </w:rPr>
              <w:t>1.000</w:t>
            </w:r>
          </w:p>
        </w:tc>
        <w:tc>
          <w:tcPr>
            <w:tcW w:w="590" w:type="pct"/>
            <w:vAlign w:val="bottom"/>
          </w:tcPr>
          <w:p w:rsidR="005F50BD" w:rsidRPr="00802AC1" w:rsidRDefault="005F50BD" w:rsidP="0060589F">
            <w:pPr>
              <w:pStyle w:val="TableRowNormal"/>
              <w:ind w:left="0" w:firstLine="0"/>
              <w:rPr>
                <w:rFonts w:cstheme="minorHAnsi"/>
              </w:rPr>
            </w:pPr>
            <w:r>
              <w:rPr>
                <w:rFonts w:cstheme="minorHAnsi"/>
              </w:rPr>
              <w:t>0.970</w:t>
            </w:r>
          </w:p>
        </w:tc>
        <w:tc>
          <w:tcPr>
            <w:tcW w:w="482" w:type="pct"/>
            <w:vAlign w:val="bottom"/>
          </w:tcPr>
          <w:p w:rsidR="005F50BD" w:rsidRPr="00802AC1" w:rsidRDefault="005F50BD" w:rsidP="0060589F">
            <w:pPr>
              <w:pStyle w:val="TableRowNormal"/>
              <w:ind w:left="0" w:firstLine="0"/>
              <w:rPr>
                <w:rFonts w:cstheme="minorHAnsi"/>
              </w:rPr>
            </w:pPr>
            <w:r>
              <w:rPr>
                <w:rFonts w:cstheme="minorHAnsi"/>
              </w:rPr>
              <w:t>0.940</w:t>
            </w:r>
          </w:p>
        </w:tc>
        <w:tc>
          <w:tcPr>
            <w:tcW w:w="343" w:type="pct"/>
            <w:vAlign w:val="bottom"/>
          </w:tcPr>
          <w:p w:rsidR="005F50BD" w:rsidRPr="00802AC1" w:rsidRDefault="005F50BD" w:rsidP="0060589F">
            <w:pPr>
              <w:pStyle w:val="TableRowNormal"/>
              <w:ind w:left="0" w:firstLine="0"/>
              <w:rPr>
                <w:rFonts w:cstheme="minorHAnsi"/>
              </w:rPr>
            </w:pPr>
            <w:r>
              <w:rPr>
                <w:rFonts w:cstheme="minorHAnsi"/>
              </w:rPr>
              <w:t>1.040</w:t>
            </w:r>
          </w:p>
        </w:tc>
        <w:tc>
          <w:tcPr>
            <w:tcW w:w="484" w:type="pct"/>
            <w:vAlign w:val="bottom"/>
          </w:tcPr>
          <w:p w:rsidR="005F50BD" w:rsidRPr="00802AC1" w:rsidRDefault="005F50BD" w:rsidP="0060589F">
            <w:pPr>
              <w:pStyle w:val="TableRowNormal"/>
              <w:ind w:left="0" w:firstLine="0"/>
              <w:rPr>
                <w:rFonts w:cstheme="minorHAnsi"/>
              </w:rPr>
            </w:pPr>
            <w:r>
              <w:rPr>
                <w:rFonts w:cstheme="minorHAnsi"/>
              </w:rPr>
              <w:t>0.990</w:t>
            </w:r>
          </w:p>
        </w:tc>
        <w:tc>
          <w:tcPr>
            <w:tcW w:w="405" w:type="pct"/>
            <w:vAlign w:val="bottom"/>
          </w:tcPr>
          <w:p w:rsidR="005F50BD" w:rsidRPr="00802AC1" w:rsidRDefault="005F50BD" w:rsidP="0060589F">
            <w:pPr>
              <w:pStyle w:val="TableRowNormal"/>
              <w:ind w:left="0" w:firstLine="0"/>
              <w:rPr>
                <w:rFonts w:cstheme="minorHAnsi"/>
              </w:rPr>
            </w:pPr>
            <w:r>
              <w:rPr>
                <w:rFonts w:cstheme="minorHAnsi"/>
              </w:rPr>
              <w:t>1.010</w:t>
            </w:r>
          </w:p>
        </w:tc>
        <w:tc>
          <w:tcPr>
            <w:tcW w:w="503" w:type="pct"/>
            <w:vAlign w:val="bottom"/>
          </w:tcPr>
          <w:p w:rsidR="005F50BD" w:rsidRPr="00802AC1" w:rsidRDefault="005F50BD" w:rsidP="0060589F">
            <w:pPr>
              <w:pStyle w:val="TableRowNormal"/>
              <w:ind w:left="0" w:firstLine="0"/>
              <w:rPr>
                <w:rFonts w:cstheme="minorHAnsi"/>
              </w:rPr>
            </w:pPr>
            <w:r>
              <w:rPr>
                <w:rFonts w:cstheme="minorHAnsi"/>
              </w:rPr>
              <w:t>1.030</w:t>
            </w:r>
          </w:p>
        </w:tc>
        <w:tc>
          <w:tcPr>
            <w:tcW w:w="413" w:type="pct"/>
            <w:vAlign w:val="bottom"/>
          </w:tcPr>
          <w:p w:rsidR="005F50BD" w:rsidRPr="00802AC1" w:rsidRDefault="005F50BD" w:rsidP="0060589F">
            <w:pPr>
              <w:pStyle w:val="TableRowNormal"/>
              <w:ind w:left="0" w:firstLine="0"/>
              <w:rPr>
                <w:rFonts w:cstheme="minorHAnsi"/>
              </w:rPr>
            </w:pPr>
            <w:r>
              <w:rPr>
                <w:rFonts w:cstheme="minorHAnsi"/>
              </w:rPr>
              <w:t>1.220</w:t>
            </w:r>
          </w:p>
        </w:tc>
      </w:tr>
      <w:tr w:rsidR="005F50BD" w:rsidRPr="00802AC1" w:rsidTr="0060589F">
        <w:tc>
          <w:tcPr>
            <w:tcW w:w="1367" w:type="pct"/>
            <w:tcBorders>
              <w:bottom w:val="single" w:sz="4" w:space="0" w:color="auto"/>
            </w:tcBorders>
            <w:vAlign w:val="bottom"/>
          </w:tcPr>
          <w:p w:rsidR="005F50BD" w:rsidRDefault="005F50BD" w:rsidP="0060589F">
            <w:pPr>
              <w:pStyle w:val="CGCTableStub"/>
              <w:tabs>
                <w:tab w:val="left" w:pos="142"/>
                <w:tab w:val="left" w:pos="425"/>
                <w:tab w:val="left" w:pos="709"/>
                <w:tab w:val="left" w:pos="851"/>
              </w:tabs>
              <w:ind w:left="142" w:hanging="142"/>
              <w:rPr>
                <w:rFonts w:cstheme="minorHAnsi"/>
              </w:rPr>
            </w:pPr>
            <w:r>
              <w:rPr>
                <w:rFonts w:cstheme="minorHAnsi"/>
              </w:rPr>
              <w:t>Riders Digest  - TPI (b)</w:t>
            </w:r>
          </w:p>
        </w:tc>
        <w:tc>
          <w:tcPr>
            <w:tcW w:w="413" w:type="pct"/>
            <w:tcBorders>
              <w:bottom w:val="single" w:sz="4" w:space="0" w:color="auto"/>
            </w:tcBorders>
            <w:vAlign w:val="bottom"/>
          </w:tcPr>
          <w:p w:rsidR="005F50BD" w:rsidRDefault="005F50BD" w:rsidP="0060589F">
            <w:pPr>
              <w:pStyle w:val="TableRowNormal"/>
              <w:ind w:left="0" w:firstLine="0"/>
              <w:rPr>
                <w:rFonts w:cstheme="minorHAnsi"/>
              </w:rPr>
            </w:pPr>
            <w:r>
              <w:rPr>
                <w:rFonts w:cstheme="minorHAnsi"/>
              </w:rPr>
              <w:t>1.000</w:t>
            </w:r>
          </w:p>
        </w:tc>
        <w:tc>
          <w:tcPr>
            <w:tcW w:w="590" w:type="pct"/>
            <w:tcBorders>
              <w:bottom w:val="single" w:sz="4" w:space="0" w:color="auto"/>
            </w:tcBorders>
            <w:vAlign w:val="bottom"/>
          </w:tcPr>
          <w:p w:rsidR="005F50BD" w:rsidRDefault="005F50BD" w:rsidP="0060589F">
            <w:pPr>
              <w:pStyle w:val="TableRowNormal"/>
              <w:ind w:left="0" w:firstLine="0"/>
              <w:rPr>
                <w:rFonts w:cstheme="minorHAnsi"/>
              </w:rPr>
            </w:pPr>
            <w:r>
              <w:rPr>
                <w:rFonts w:cstheme="minorHAnsi"/>
              </w:rPr>
              <w:t>0.972</w:t>
            </w:r>
          </w:p>
        </w:tc>
        <w:tc>
          <w:tcPr>
            <w:tcW w:w="482" w:type="pct"/>
            <w:tcBorders>
              <w:bottom w:val="single" w:sz="4" w:space="0" w:color="auto"/>
            </w:tcBorders>
            <w:vAlign w:val="bottom"/>
          </w:tcPr>
          <w:p w:rsidR="005F50BD" w:rsidRDefault="005F50BD" w:rsidP="0060589F">
            <w:pPr>
              <w:pStyle w:val="TableRowNormal"/>
              <w:ind w:left="0" w:firstLine="0"/>
              <w:rPr>
                <w:rFonts w:cstheme="minorHAnsi"/>
              </w:rPr>
            </w:pPr>
            <w:r>
              <w:rPr>
                <w:rFonts w:cstheme="minorHAnsi"/>
              </w:rPr>
              <w:t>0.820</w:t>
            </w:r>
          </w:p>
        </w:tc>
        <w:tc>
          <w:tcPr>
            <w:tcW w:w="343" w:type="pct"/>
            <w:tcBorders>
              <w:bottom w:val="single" w:sz="4" w:space="0" w:color="auto"/>
            </w:tcBorders>
            <w:vAlign w:val="bottom"/>
          </w:tcPr>
          <w:p w:rsidR="005F50BD" w:rsidRDefault="005F50BD" w:rsidP="0060589F">
            <w:pPr>
              <w:pStyle w:val="TableRowNormal"/>
              <w:ind w:left="0" w:firstLine="0"/>
              <w:rPr>
                <w:rFonts w:cstheme="minorHAnsi"/>
              </w:rPr>
            </w:pPr>
            <w:r>
              <w:rPr>
                <w:rFonts w:cstheme="minorHAnsi"/>
              </w:rPr>
              <w:t>1.005</w:t>
            </w:r>
          </w:p>
        </w:tc>
        <w:tc>
          <w:tcPr>
            <w:tcW w:w="484" w:type="pct"/>
            <w:tcBorders>
              <w:bottom w:val="single" w:sz="4" w:space="0" w:color="auto"/>
            </w:tcBorders>
            <w:vAlign w:val="bottom"/>
          </w:tcPr>
          <w:p w:rsidR="005F50BD" w:rsidRDefault="005F50BD" w:rsidP="0060589F">
            <w:pPr>
              <w:pStyle w:val="TableRowNormal"/>
              <w:ind w:left="0" w:firstLine="0"/>
              <w:rPr>
                <w:rFonts w:cstheme="minorHAnsi"/>
              </w:rPr>
            </w:pPr>
            <w:r>
              <w:rPr>
                <w:rFonts w:cstheme="minorHAnsi"/>
              </w:rPr>
              <w:t>0.950</w:t>
            </w:r>
          </w:p>
        </w:tc>
        <w:tc>
          <w:tcPr>
            <w:tcW w:w="405" w:type="pct"/>
            <w:tcBorders>
              <w:bottom w:val="single" w:sz="4" w:space="0" w:color="auto"/>
            </w:tcBorders>
            <w:vAlign w:val="bottom"/>
          </w:tcPr>
          <w:p w:rsidR="005F50BD" w:rsidRDefault="005F50BD" w:rsidP="0060589F">
            <w:pPr>
              <w:pStyle w:val="TableRowNormal"/>
              <w:ind w:left="0" w:firstLine="0"/>
              <w:rPr>
                <w:rFonts w:cstheme="minorHAnsi"/>
              </w:rPr>
            </w:pPr>
            <w:proofErr w:type="spellStart"/>
            <w:r>
              <w:rPr>
                <w:rFonts w:cstheme="minorHAnsi"/>
              </w:rPr>
              <w:t>n.a</w:t>
            </w:r>
            <w:proofErr w:type="spellEnd"/>
            <w:r>
              <w:rPr>
                <w:rFonts w:cstheme="minorHAnsi"/>
              </w:rPr>
              <w:t>.</w:t>
            </w:r>
          </w:p>
        </w:tc>
        <w:tc>
          <w:tcPr>
            <w:tcW w:w="503" w:type="pct"/>
            <w:tcBorders>
              <w:bottom w:val="single" w:sz="4" w:space="0" w:color="auto"/>
            </w:tcBorders>
            <w:vAlign w:val="bottom"/>
          </w:tcPr>
          <w:p w:rsidR="005F50BD" w:rsidRPr="00802AC1" w:rsidRDefault="005F50BD" w:rsidP="0060589F">
            <w:pPr>
              <w:pStyle w:val="TableRowNormal"/>
              <w:ind w:left="0" w:firstLine="0"/>
              <w:rPr>
                <w:rFonts w:cstheme="minorHAnsi"/>
              </w:rPr>
            </w:pPr>
            <w:r>
              <w:rPr>
                <w:rFonts w:cstheme="minorHAnsi"/>
              </w:rPr>
              <w:t>0.977</w:t>
            </w:r>
          </w:p>
        </w:tc>
        <w:tc>
          <w:tcPr>
            <w:tcW w:w="413" w:type="pct"/>
            <w:tcBorders>
              <w:bottom w:val="single" w:sz="4" w:space="0" w:color="auto"/>
            </w:tcBorders>
            <w:vAlign w:val="bottom"/>
          </w:tcPr>
          <w:p w:rsidR="005F50BD" w:rsidRPr="00802AC1" w:rsidRDefault="005F50BD" w:rsidP="0060589F">
            <w:pPr>
              <w:pStyle w:val="TableRowNormal"/>
              <w:ind w:left="0" w:firstLine="0"/>
              <w:rPr>
                <w:rFonts w:cstheme="minorHAnsi"/>
              </w:rPr>
            </w:pPr>
            <w:r>
              <w:rPr>
                <w:rFonts w:cstheme="minorHAnsi"/>
              </w:rPr>
              <w:t>1.044</w:t>
            </w:r>
          </w:p>
        </w:tc>
      </w:tr>
    </w:tbl>
    <w:p w:rsidR="005F50BD" w:rsidRDefault="005F50BD" w:rsidP="005F50BD">
      <w:pPr>
        <w:pStyle w:val="CGCTableStub"/>
      </w:pPr>
      <w:proofErr w:type="gramStart"/>
      <w:r>
        <w:t>(a)</w:t>
      </w:r>
      <w:r>
        <w:tab/>
      </w:r>
      <w:r>
        <w:tab/>
      </w:r>
      <w:proofErr w:type="spellStart"/>
      <w:r>
        <w:t>Rawlinsons</w:t>
      </w:r>
      <w:proofErr w:type="spellEnd"/>
      <w:proofErr w:type="gramEnd"/>
      <w:r>
        <w:t xml:space="preserve"> capital city index. </w:t>
      </w:r>
      <w:proofErr w:type="gramStart"/>
      <w:r>
        <w:t>Includes labour and material costs and market conditions.</w:t>
      </w:r>
      <w:proofErr w:type="gramEnd"/>
    </w:p>
    <w:p w:rsidR="005F50BD" w:rsidRDefault="005F50BD" w:rsidP="005F50BD">
      <w:pPr>
        <w:pStyle w:val="CGCTableStub"/>
      </w:pPr>
      <w:r>
        <w:t>(b)</w:t>
      </w:r>
      <w:r>
        <w:tab/>
      </w:r>
      <w:r>
        <w:tab/>
        <w:t xml:space="preserve">Riders Digest tender price index Dec 2012, reflects the change in tender levels for buildings other than housing. </w:t>
      </w:r>
      <w:proofErr w:type="gramStart"/>
      <w:r>
        <w:t>Accounts for labour and material costs and market conditions.</w:t>
      </w:r>
      <w:proofErr w:type="gramEnd"/>
      <w:r>
        <w:t xml:space="preserve"> Does not include data for Hobart</w:t>
      </w:r>
    </w:p>
    <w:p w:rsidR="005F50BD" w:rsidRPr="00C21E64" w:rsidRDefault="005F50BD" w:rsidP="005F50BD">
      <w:pPr>
        <w:pStyle w:val="CGCTableFootnote"/>
      </w:pPr>
      <w:r>
        <w:t>Source:</w:t>
      </w:r>
      <w:r w:rsidRPr="00C21E64">
        <w:tab/>
      </w:r>
      <w:proofErr w:type="spellStart"/>
      <w:r w:rsidRPr="00C21E64">
        <w:t>Rawlinsons</w:t>
      </w:r>
      <w:proofErr w:type="spellEnd"/>
      <w:r w:rsidRPr="00C21E64">
        <w:t xml:space="preserve"> Construction Cost Handbook, Edition 31, 2013</w:t>
      </w:r>
      <w:r>
        <w:t>,</w:t>
      </w:r>
      <w:r w:rsidRPr="00080A37">
        <w:t xml:space="preserve"> </w:t>
      </w:r>
      <w:r w:rsidRPr="00C21E64">
        <w:t>page 875</w:t>
      </w:r>
      <w:r>
        <w:t xml:space="preserve">, </w:t>
      </w:r>
      <w:r>
        <w:br/>
        <w:t xml:space="preserve">Rider </w:t>
      </w:r>
      <w:proofErr w:type="spellStart"/>
      <w:r>
        <w:t>Levett</w:t>
      </w:r>
      <w:proofErr w:type="spellEnd"/>
      <w:r>
        <w:t xml:space="preserve"> </w:t>
      </w:r>
      <w:proofErr w:type="spellStart"/>
      <w:r>
        <w:t>Bucknall</w:t>
      </w:r>
      <w:proofErr w:type="spellEnd"/>
      <w:r>
        <w:t>, Riders Digest 2014, Canberra, Australia Edition.</w:t>
      </w:r>
    </w:p>
    <w:p w:rsidR="00D57B40" w:rsidRDefault="00D57B40" w:rsidP="00D57B40"/>
    <w:p w:rsidR="00146856" w:rsidRDefault="00725E9E" w:rsidP="00CC3D1D">
      <w:pPr>
        <w:pStyle w:val="CGCNumberedPara"/>
      </w:pPr>
      <w:r>
        <w:t>T</w:t>
      </w:r>
      <w:r w:rsidR="00146856">
        <w:t xml:space="preserve">he </w:t>
      </w:r>
      <w:proofErr w:type="spellStart"/>
      <w:r w:rsidR="00146856">
        <w:t>Rawlinsons</w:t>
      </w:r>
      <w:proofErr w:type="spellEnd"/>
      <w:r w:rsidR="00146856">
        <w:t xml:space="preserve"> indices </w:t>
      </w:r>
      <w:r>
        <w:t xml:space="preserve">provide comprehensive and consistently prepared data on overall </w:t>
      </w:r>
      <w:r w:rsidR="00146856">
        <w:t>construction cost</w:t>
      </w:r>
      <w:r w:rsidR="005F06A3">
        <w:t xml:space="preserve"> differentials across all State capital cities and regional areas within States.  While the direction of the cost differentials is consistent with that shown by the Rider Digest tender price index</w:t>
      </w:r>
      <w:r w:rsidR="00DB149B">
        <w:t xml:space="preserve"> </w:t>
      </w:r>
      <w:r w:rsidR="005F06A3">
        <w:t>for most States</w:t>
      </w:r>
      <w:r w:rsidR="00DB149B">
        <w:t xml:space="preserve">, the size of the differentials is greater.  Further investigation is required to understand the differences.  </w:t>
      </w:r>
    </w:p>
    <w:p w:rsidR="00DB149B" w:rsidRDefault="00DB149B" w:rsidP="00CC3D1D">
      <w:pPr>
        <w:pStyle w:val="CGCNumberedPara"/>
      </w:pPr>
      <w:r>
        <w:t xml:space="preserve">The following considers other issues </w:t>
      </w:r>
      <w:r w:rsidR="00965CE0">
        <w:t xml:space="preserve">which need to be addressed if the </w:t>
      </w:r>
      <w:proofErr w:type="spellStart"/>
      <w:r>
        <w:t>Rawlinsons</w:t>
      </w:r>
      <w:proofErr w:type="spellEnd"/>
      <w:r>
        <w:t xml:space="preserve"> indices </w:t>
      </w:r>
      <w:r w:rsidR="00965CE0">
        <w:t xml:space="preserve">are to be used as the basis of capital cost factors.  </w:t>
      </w:r>
      <w:proofErr w:type="spellStart"/>
      <w:proofErr w:type="gramStart"/>
      <w:r w:rsidR="00965CE0">
        <w:t>Rawlinsons</w:t>
      </w:r>
      <w:proofErr w:type="spellEnd"/>
      <w:proofErr w:type="gramEnd"/>
      <w:r w:rsidR="00965CE0">
        <w:t xml:space="preserve"> indices are the basis of this analysis because they provide data for capital cities and regional areas. </w:t>
      </w:r>
    </w:p>
    <w:p w:rsidR="00334C62" w:rsidRDefault="00334C62" w:rsidP="00932AB8">
      <w:pPr>
        <w:pStyle w:val="Heading4"/>
      </w:pPr>
      <w:r>
        <w:t>Policy neutrality</w:t>
      </w:r>
    </w:p>
    <w:p w:rsidR="00334C62" w:rsidRDefault="00334C62" w:rsidP="00CC3D1D">
      <w:pPr>
        <w:pStyle w:val="CGCNumberedPara"/>
      </w:pPr>
      <w:r>
        <w:t xml:space="preserve">The indices may be affected by interstate differences in taxes and charges and building codes.  </w:t>
      </w:r>
      <w:proofErr w:type="spellStart"/>
      <w:r w:rsidR="00FE6666">
        <w:t>R</w:t>
      </w:r>
      <w:r w:rsidR="00FE6666" w:rsidRPr="00080A37">
        <w:t>awlinsons</w:t>
      </w:r>
      <w:proofErr w:type="spellEnd"/>
      <w:r w:rsidR="00FE6666" w:rsidRPr="00080A37">
        <w:t xml:space="preserve"> has advised they have no way of reliably identifying the extent to which State policy </w:t>
      </w:r>
      <w:r w:rsidR="00FE6666">
        <w:t xml:space="preserve">affects </w:t>
      </w:r>
      <w:r w:rsidR="00FE6666" w:rsidRPr="00080A37">
        <w:t xml:space="preserve">costs </w:t>
      </w:r>
      <w:r w:rsidR="00FE6666">
        <w:t xml:space="preserve">but </w:t>
      </w:r>
      <w:r w:rsidR="00FE6666" w:rsidRPr="00080A37">
        <w:t>they believe the impact is minor.</w:t>
      </w:r>
      <w:r w:rsidR="00FE6666">
        <w:t xml:space="preserve"> This is in part because </w:t>
      </w:r>
      <w:r>
        <w:t xml:space="preserve">fixed costs which include taxes, levies, fees and charges are </w:t>
      </w:r>
      <w:r w:rsidR="00FE6666">
        <w:t xml:space="preserve">only </w:t>
      </w:r>
      <w:r>
        <w:t>about 5% of t</w:t>
      </w:r>
      <w:r w:rsidR="00DB1E41">
        <w:t xml:space="preserve">otal costs.  </w:t>
      </w:r>
    </w:p>
    <w:p w:rsidR="00FF3741" w:rsidRDefault="0061261E" w:rsidP="00CC3D1D">
      <w:pPr>
        <w:pStyle w:val="CGCNumberedPara"/>
      </w:pPr>
      <w:r>
        <w:lastRenderedPageBreak/>
        <w:t xml:space="preserve">This might be addressed </w:t>
      </w:r>
      <w:r w:rsidR="00FF3741">
        <w:t xml:space="preserve">by </w:t>
      </w:r>
      <w:r>
        <w:t xml:space="preserve">assuming 5% of costs are excluded from the indices (equivalent to discounting the interstate differentials by 5%).  This </w:t>
      </w:r>
      <w:r w:rsidR="00FF3741">
        <w:t xml:space="preserve">materially reduces the Northern Territory’s implied cost disabilities and has immaterial effects on all other States.  However, this approach </w:t>
      </w:r>
      <w:r>
        <w:t xml:space="preserve">implies States with above average building costs are those where policies increase costs which may not be so.  Alternatively, 5% of the indices could be adjusted by the relative revenue efforts for taxes most likely to affect construction activity which may include payroll tax, insurance tax and motor vehicle taxes.  </w:t>
      </w:r>
      <w:r w:rsidR="00FF3741">
        <w:t xml:space="preserve">Doing this has a negligible effect on the indices.  </w:t>
      </w:r>
      <w:proofErr w:type="gramStart"/>
      <w:r w:rsidR="00FF3741">
        <w:t>Staff conclude</w:t>
      </w:r>
      <w:proofErr w:type="gramEnd"/>
      <w:r w:rsidR="00FF3741">
        <w:t xml:space="preserve"> adjustments for interstate differences in revenue efforts would add complexity for no material impact.  </w:t>
      </w:r>
    </w:p>
    <w:p w:rsidR="0061261E" w:rsidRDefault="00FF3741" w:rsidP="00CC3D1D">
      <w:pPr>
        <w:pStyle w:val="CGCNumberedPara"/>
      </w:pPr>
      <w:r>
        <w:t xml:space="preserve">Any interstate differences in building codes could have a bigger effect if </w:t>
      </w:r>
      <w:r w:rsidR="00C2748F">
        <w:t xml:space="preserve">building codes are set by State authorities and </w:t>
      </w:r>
      <w:r>
        <w:t xml:space="preserve">it could be shown the codes </w:t>
      </w:r>
      <w:r w:rsidR="00C2748F">
        <w:t>are</w:t>
      </w:r>
      <w:r>
        <w:t xml:space="preserve"> systematically stricter (or more demanding) </w:t>
      </w:r>
      <w:r w:rsidR="00C2748F">
        <w:t xml:space="preserve">and thus led to higher construction costs in similar circumstances in some States (that is, if a State’s requirements in high wind areas, high flood risk areas and saline soil area were all stricter than those in other States). </w:t>
      </w:r>
      <w:r>
        <w:t xml:space="preserve"> </w:t>
      </w:r>
      <w:proofErr w:type="gramStart"/>
      <w:r w:rsidR="00EF40A4">
        <w:t>S</w:t>
      </w:r>
      <w:r w:rsidR="00C2748F">
        <w:t xml:space="preserve">taff </w:t>
      </w:r>
      <w:r w:rsidR="00EF40A4">
        <w:t>understand</w:t>
      </w:r>
      <w:proofErr w:type="gramEnd"/>
      <w:r w:rsidR="00EF40A4">
        <w:t xml:space="preserve"> there is a national code which sets minimum standards across the country.  However, we </w:t>
      </w:r>
      <w:r w:rsidR="00C2748F">
        <w:t xml:space="preserve">have no evidence on </w:t>
      </w:r>
      <w:r w:rsidR="00E47F26">
        <w:t xml:space="preserve">the extent to which </w:t>
      </w:r>
      <w:r w:rsidR="00EF40A4">
        <w:t xml:space="preserve">States vary the codes resulting in different levels of </w:t>
      </w:r>
      <w:r w:rsidR="00C2748F">
        <w:t xml:space="preserve">stringency across the States.  It is likely the codes are </w:t>
      </w:r>
      <w:r w:rsidR="00E47F26">
        <w:t xml:space="preserve">predominantly </w:t>
      </w:r>
      <w:r w:rsidR="00C2748F">
        <w:t>driven by technical considerations</w:t>
      </w:r>
      <w:r w:rsidR="00CE29AA">
        <w:t>.</w:t>
      </w:r>
      <w:r w:rsidR="00C2748F">
        <w:t xml:space="preserve"> </w:t>
      </w:r>
    </w:p>
    <w:p w:rsidR="00932AB8" w:rsidRDefault="00932AB8" w:rsidP="00932AB8">
      <w:pPr>
        <w:pStyle w:val="Heading4"/>
      </w:pPr>
      <w:r>
        <w:t>Coverage</w:t>
      </w:r>
    </w:p>
    <w:p w:rsidR="00932AB8" w:rsidRDefault="00AC7CF5" w:rsidP="00CC3D1D">
      <w:pPr>
        <w:pStyle w:val="CGCNumberedPara"/>
      </w:pPr>
      <w:proofErr w:type="spellStart"/>
      <w:r>
        <w:t>Rawlinsons</w:t>
      </w:r>
      <w:proofErr w:type="spellEnd"/>
      <w:r>
        <w:t xml:space="preserve"> regional cost indices </w:t>
      </w:r>
      <w:r w:rsidR="00965CE0">
        <w:t xml:space="preserve">do not cover </w:t>
      </w:r>
      <w:r>
        <w:t xml:space="preserve">all population centres </w:t>
      </w:r>
      <w:r w:rsidR="00965CE0">
        <w:t>in</w:t>
      </w:r>
      <w:r>
        <w:t xml:space="preserve"> the States.  However, the</w:t>
      </w:r>
      <w:r w:rsidR="00965CE0">
        <w:t>y</w:t>
      </w:r>
      <w:r>
        <w:t xml:space="preserve"> cover the bulk of the population in each State as shown in </w:t>
      </w:r>
      <w:r>
        <w:fldChar w:fldCharType="begin"/>
      </w:r>
      <w:r>
        <w:instrText xml:space="preserve"> REF _Ref383440263 \h </w:instrText>
      </w:r>
      <w:r>
        <w:fldChar w:fldCharType="separate"/>
      </w:r>
      <w:r w:rsidR="000D506D">
        <w:t xml:space="preserve">Table </w:t>
      </w:r>
      <w:r w:rsidR="000D506D">
        <w:rPr>
          <w:noProof/>
        </w:rPr>
        <w:t>3</w:t>
      </w:r>
      <w:r>
        <w:fldChar w:fldCharType="end"/>
      </w:r>
      <w:r>
        <w:t>.</w:t>
      </w:r>
    </w:p>
    <w:p w:rsidR="00AC7CF5" w:rsidRDefault="00AC7CF5" w:rsidP="00AC7CF5">
      <w:pPr>
        <w:pStyle w:val="CGCTableHeading"/>
      </w:pPr>
      <w:bookmarkStart w:id="3" w:name="_Ref383440263"/>
      <w:r>
        <w:t xml:space="preserve">Table </w:t>
      </w:r>
      <w:fldSimple w:instr=" SEQ Table \* ARABIC ">
        <w:r w:rsidR="000D506D">
          <w:rPr>
            <w:noProof/>
          </w:rPr>
          <w:t>3</w:t>
        </w:r>
      </w:fldSimple>
      <w:bookmarkEnd w:id="3"/>
      <w:r>
        <w:tab/>
        <w:t xml:space="preserve">Proportion of population covered by </w:t>
      </w:r>
      <w:proofErr w:type="spellStart"/>
      <w:proofErr w:type="gramStart"/>
      <w:r>
        <w:t>Rawlinsons</w:t>
      </w:r>
      <w:proofErr w:type="spellEnd"/>
      <w:proofErr w:type="gramEnd"/>
      <w:r>
        <w:t xml:space="preserve"> indices</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AC7CF5" w:rsidRPr="00FE3F73" w:rsidTr="00AC7CF5">
        <w:tc>
          <w:tcPr>
            <w:tcW w:w="1354" w:type="pct"/>
            <w:tcBorders>
              <w:top w:val="single" w:sz="6" w:space="0" w:color="auto"/>
              <w:bottom w:val="single" w:sz="6" w:space="0" w:color="auto"/>
            </w:tcBorders>
            <w:vAlign w:val="bottom"/>
          </w:tcPr>
          <w:p w:rsidR="00AC7CF5" w:rsidRPr="00FE3F73" w:rsidRDefault="00AC7CF5" w:rsidP="00AC7CF5">
            <w:pPr>
              <w:pStyle w:val="CGCTableStub"/>
              <w:spacing w:line="240" w:lineRule="auto"/>
              <w:ind w:left="142" w:hanging="142"/>
              <w:rPr>
                <w:rFonts w:cstheme="minorHAnsi"/>
              </w:rPr>
            </w:pPr>
          </w:p>
        </w:tc>
        <w:tc>
          <w:tcPr>
            <w:tcW w:w="405" w:type="pct"/>
            <w:tcBorders>
              <w:top w:val="single" w:sz="6" w:space="0" w:color="auto"/>
              <w:bottom w:val="single" w:sz="6" w:space="0" w:color="auto"/>
            </w:tcBorders>
            <w:vAlign w:val="bottom"/>
          </w:tcPr>
          <w:p w:rsidR="00AC7CF5" w:rsidRPr="00FE3F73" w:rsidRDefault="00AC7CF5" w:rsidP="00AC7CF5">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rsidR="00AC7CF5" w:rsidRPr="00FE3F73" w:rsidRDefault="00AC7CF5" w:rsidP="00AC7CF5">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rsidR="00AC7CF5" w:rsidRPr="00FE3F73" w:rsidRDefault="00AC7CF5" w:rsidP="00AC7CF5">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rsidR="00AC7CF5" w:rsidRPr="00FE3F73" w:rsidRDefault="00AC7CF5" w:rsidP="00AC7CF5">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rsidR="00AC7CF5" w:rsidRPr="00FE3F73" w:rsidRDefault="00AC7CF5" w:rsidP="00AC7CF5">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rsidR="00AC7CF5" w:rsidRPr="00FE3F73" w:rsidRDefault="00AC7CF5" w:rsidP="00AC7CF5">
            <w:pPr>
              <w:pStyle w:val="TableColHeadings"/>
              <w:rPr>
                <w:rFonts w:cstheme="minorHAnsi"/>
              </w:rPr>
            </w:pPr>
            <w:proofErr w:type="spellStart"/>
            <w:r w:rsidRPr="00FE3F73">
              <w:rPr>
                <w:rFonts w:cstheme="minorHAnsi"/>
              </w:rPr>
              <w:t>Tas</w:t>
            </w:r>
            <w:proofErr w:type="spellEnd"/>
          </w:p>
        </w:tc>
        <w:tc>
          <w:tcPr>
            <w:tcW w:w="405" w:type="pct"/>
            <w:tcBorders>
              <w:top w:val="single" w:sz="6" w:space="0" w:color="auto"/>
              <w:bottom w:val="single" w:sz="6" w:space="0" w:color="auto"/>
            </w:tcBorders>
            <w:vAlign w:val="bottom"/>
          </w:tcPr>
          <w:p w:rsidR="00AC7CF5" w:rsidRPr="00FE3F73" w:rsidRDefault="00AC7CF5" w:rsidP="00AC7CF5">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rsidR="00AC7CF5" w:rsidRPr="00FE3F73" w:rsidRDefault="00AC7CF5" w:rsidP="00AC7CF5">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rsidR="00AC7CF5" w:rsidRPr="00FE3F73" w:rsidRDefault="00AC7CF5" w:rsidP="00AC7CF5">
            <w:pPr>
              <w:pStyle w:val="TableColHeadings"/>
              <w:rPr>
                <w:rFonts w:cstheme="minorHAnsi"/>
              </w:rPr>
            </w:pPr>
            <w:proofErr w:type="spellStart"/>
            <w:r w:rsidRPr="00FE3F73">
              <w:rPr>
                <w:rFonts w:cstheme="minorHAnsi"/>
              </w:rPr>
              <w:t>Aust</w:t>
            </w:r>
            <w:proofErr w:type="spellEnd"/>
          </w:p>
        </w:tc>
      </w:tr>
      <w:tr w:rsidR="00AC7CF5" w:rsidRPr="00FE3F73" w:rsidTr="00AC7CF5">
        <w:tc>
          <w:tcPr>
            <w:tcW w:w="1354" w:type="pct"/>
            <w:tcMar>
              <w:top w:w="0" w:type="dxa"/>
              <w:bottom w:w="0" w:type="dxa"/>
            </w:tcMar>
            <w:vAlign w:val="bottom"/>
          </w:tcPr>
          <w:p w:rsidR="00AC7CF5" w:rsidRPr="00FE3F73" w:rsidRDefault="00AC7CF5" w:rsidP="00AC7CF5">
            <w:pPr>
              <w:pStyle w:val="CGCTableStub"/>
              <w:spacing w:before="0" w:after="0" w:line="240" w:lineRule="auto"/>
              <w:jc w:val="right"/>
              <w:rPr>
                <w:rFonts w:cstheme="minorHAnsi"/>
              </w:rPr>
            </w:pPr>
          </w:p>
        </w:tc>
        <w:tc>
          <w:tcPr>
            <w:tcW w:w="405" w:type="pct"/>
            <w:tcMar>
              <w:top w:w="0" w:type="dxa"/>
              <w:bottom w:w="0" w:type="dxa"/>
            </w:tcMar>
            <w:vAlign w:val="bottom"/>
          </w:tcPr>
          <w:p w:rsidR="00AC7CF5" w:rsidRPr="00FE3F73" w:rsidRDefault="00AC7CF5" w:rsidP="00AC7CF5">
            <w:pPr>
              <w:pStyle w:val="TableRowNormal"/>
              <w:spacing w:before="0" w:after="0" w:line="240" w:lineRule="auto"/>
              <w:ind w:left="0" w:firstLine="0"/>
              <w:rPr>
                <w:rFonts w:cstheme="minorHAnsi"/>
              </w:rPr>
            </w:pPr>
            <w:r>
              <w:rPr>
                <w:rFonts w:cstheme="minorHAnsi"/>
              </w:rPr>
              <w:t>%</w:t>
            </w:r>
          </w:p>
        </w:tc>
        <w:tc>
          <w:tcPr>
            <w:tcW w:w="405" w:type="pct"/>
            <w:tcMar>
              <w:top w:w="0" w:type="dxa"/>
              <w:bottom w:w="0" w:type="dxa"/>
            </w:tcMar>
            <w:vAlign w:val="bottom"/>
          </w:tcPr>
          <w:p w:rsidR="00AC7CF5" w:rsidRPr="00FE3F73" w:rsidRDefault="00AC7CF5" w:rsidP="00AC7CF5">
            <w:pPr>
              <w:pStyle w:val="TableRowNormal"/>
              <w:spacing w:before="0" w:after="0" w:line="240" w:lineRule="auto"/>
              <w:ind w:left="0" w:firstLine="0"/>
              <w:rPr>
                <w:rFonts w:cstheme="minorHAnsi"/>
              </w:rPr>
            </w:pPr>
            <w:r>
              <w:rPr>
                <w:rFonts w:cstheme="minorHAnsi"/>
              </w:rPr>
              <w:t>%</w:t>
            </w:r>
          </w:p>
        </w:tc>
        <w:tc>
          <w:tcPr>
            <w:tcW w:w="405" w:type="pct"/>
            <w:tcMar>
              <w:top w:w="0" w:type="dxa"/>
              <w:bottom w:w="0" w:type="dxa"/>
            </w:tcMar>
            <w:vAlign w:val="bottom"/>
          </w:tcPr>
          <w:p w:rsidR="00AC7CF5" w:rsidRPr="00FE3F73" w:rsidRDefault="00AC7CF5" w:rsidP="00AC7CF5">
            <w:pPr>
              <w:pStyle w:val="TableRowNormal"/>
              <w:spacing w:before="0" w:after="0" w:line="240" w:lineRule="auto"/>
              <w:ind w:left="0" w:firstLine="0"/>
              <w:rPr>
                <w:rFonts w:cstheme="minorHAnsi"/>
              </w:rPr>
            </w:pPr>
            <w:r>
              <w:rPr>
                <w:rFonts w:cstheme="minorHAnsi"/>
              </w:rPr>
              <w:t>%</w:t>
            </w:r>
          </w:p>
        </w:tc>
        <w:tc>
          <w:tcPr>
            <w:tcW w:w="405" w:type="pct"/>
            <w:tcMar>
              <w:top w:w="0" w:type="dxa"/>
              <w:bottom w:w="0" w:type="dxa"/>
            </w:tcMar>
            <w:vAlign w:val="bottom"/>
          </w:tcPr>
          <w:p w:rsidR="00AC7CF5" w:rsidRPr="00FE3F73" w:rsidRDefault="00AC7CF5" w:rsidP="00AC7CF5">
            <w:pPr>
              <w:pStyle w:val="TableRowNormal"/>
              <w:spacing w:before="0" w:after="0" w:line="240" w:lineRule="auto"/>
              <w:ind w:left="0" w:firstLine="0"/>
              <w:rPr>
                <w:rFonts w:cstheme="minorHAnsi"/>
              </w:rPr>
            </w:pPr>
            <w:r>
              <w:rPr>
                <w:rFonts w:cstheme="minorHAnsi"/>
              </w:rPr>
              <w:t>%</w:t>
            </w:r>
          </w:p>
        </w:tc>
        <w:tc>
          <w:tcPr>
            <w:tcW w:w="405" w:type="pct"/>
            <w:tcMar>
              <w:top w:w="0" w:type="dxa"/>
              <w:bottom w:w="0" w:type="dxa"/>
            </w:tcMar>
            <w:vAlign w:val="bottom"/>
          </w:tcPr>
          <w:p w:rsidR="00AC7CF5" w:rsidRPr="00FE3F73" w:rsidRDefault="00AC7CF5" w:rsidP="00AC7CF5">
            <w:pPr>
              <w:pStyle w:val="TableRowNormal"/>
              <w:spacing w:before="0" w:after="0" w:line="240" w:lineRule="auto"/>
              <w:ind w:left="0" w:firstLine="0"/>
              <w:rPr>
                <w:rFonts w:cstheme="minorHAnsi"/>
              </w:rPr>
            </w:pPr>
            <w:r>
              <w:rPr>
                <w:rFonts w:cstheme="minorHAnsi"/>
              </w:rPr>
              <w:t>%</w:t>
            </w:r>
          </w:p>
        </w:tc>
        <w:tc>
          <w:tcPr>
            <w:tcW w:w="405" w:type="pct"/>
            <w:tcMar>
              <w:top w:w="0" w:type="dxa"/>
              <w:bottom w:w="0" w:type="dxa"/>
            </w:tcMar>
            <w:vAlign w:val="bottom"/>
          </w:tcPr>
          <w:p w:rsidR="00AC7CF5" w:rsidRPr="00FE3F73" w:rsidRDefault="00AC7CF5" w:rsidP="00AC7CF5">
            <w:pPr>
              <w:pStyle w:val="TableRowNormal"/>
              <w:spacing w:before="0" w:after="0" w:line="240" w:lineRule="auto"/>
              <w:ind w:left="0" w:firstLine="0"/>
              <w:rPr>
                <w:rFonts w:cstheme="minorHAnsi"/>
              </w:rPr>
            </w:pPr>
            <w:r>
              <w:rPr>
                <w:rFonts w:cstheme="minorHAnsi"/>
              </w:rPr>
              <w:t>%</w:t>
            </w:r>
          </w:p>
        </w:tc>
        <w:tc>
          <w:tcPr>
            <w:tcW w:w="405" w:type="pct"/>
            <w:tcMar>
              <w:top w:w="0" w:type="dxa"/>
              <w:bottom w:w="0" w:type="dxa"/>
            </w:tcMar>
            <w:vAlign w:val="bottom"/>
          </w:tcPr>
          <w:p w:rsidR="00AC7CF5" w:rsidRPr="00FE3F73" w:rsidRDefault="00AC7CF5" w:rsidP="00AC7CF5">
            <w:pPr>
              <w:pStyle w:val="TableRowNormal"/>
              <w:spacing w:before="0" w:after="0" w:line="240" w:lineRule="auto"/>
              <w:ind w:left="0" w:firstLine="0"/>
              <w:rPr>
                <w:rFonts w:cstheme="minorHAnsi"/>
              </w:rPr>
            </w:pPr>
            <w:r>
              <w:rPr>
                <w:rFonts w:cstheme="minorHAnsi"/>
              </w:rPr>
              <w:t>%</w:t>
            </w:r>
          </w:p>
        </w:tc>
        <w:tc>
          <w:tcPr>
            <w:tcW w:w="405" w:type="pct"/>
            <w:tcMar>
              <w:top w:w="0" w:type="dxa"/>
              <w:bottom w:w="0" w:type="dxa"/>
            </w:tcMar>
            <w:vAlign w:val="bottom"/>
          </w:tcPr>
          <w:p w:rsidR="00AC7CF5" w:rsidRPr="00FE3F73" w:rsidRDefault="00AC7CF5" w:rsidP="00AC7CF5">
            <w:pPr>
              <w:pStyle w:val="TableRowNormal"/>
              <w:spacing w:before="0" w:after="0" w:line="240" w:lineRule="auto"/>
              <w:ind w:left="0" w:firstLine="0"/>
              <w:rPr>
                <w:rFonts w:cstheme="minorHAnsi"/>
              </w:rPr>
            </w:pPr>
            <w:r>
              <w:rPr>
                <w:rFonts w:cstheme="minorHAnsi"/>
              </w:rPr>
              <w:t>%</w:t>
            </w:r>
          </w:p>
        </w:tc>
        <w:tc>
          <w:tcPr>
            <w:tcW w:w="405" w:type="pct"/>
            <w:tcMar>
              <w:top w:w="0" w:type="dxa"/>
              <w:bottom w:w="0" w:type="dxa"/>
            </w:tcMar>
            <w:vAlign w:val="bottom"/>
          </w:tcPr>
          <w:p w:rsidR="00AC7CF5" w:rsidRPr="00FE3F73" w:rsidRDefault="00AC7CF5" w:rsidP="00AC7CF5">
            <w:pPr>
              <w:pStyle w:val="TableRowNormal"/>
              <w:spacing w:before="0" w:after="0" w:line="240" w:lineRule="auto"/>
              <w:ind w:left="0" w:firstLine="0"/>
              <w:rPr>
                <w:rFonts w:cstheme="minorHAnsi"/>
              </w:rPr>
            </w:pPr>
            <w:r>
              <w:rPr>
                <w:rFonts w:cstheme="minorHAnsi"/>
              </w:rPr>
              <w:t>%</w:t>
            </w:r>
          </w:p>
        </w:tc>
      </w:tr>
      <w:tr w:rsidR="00AC7CF5" w:rsidRPr="00FE3F73" w:rsidTr="00AC7CF5">
        <w:tc>
          <w:tcPr>
            <w:tcW w:w="1354" w:type="pct"/>
            <w:tcBorders>
              <w:bottom w:val="single" w:sz="4" w:space="0" w:color="auto"/>
            </w:tcBorders>
            <w:vAlign w:val="bottom"/>
          </w:tcPr>
          <w:p w:rsidR="00AC7CF5" w:rsidRPr="00FE3F73" w:rsidRDefault="00AC7CF5" w:rsidP="00AC7CF5">
            <w:pPr>
              <w:pStyle w:val="CGCTableStub"/>
              <w:tabs>
                <w:tab w:val="left" w:pos="142"/>
                <w:tab w:val="left" w:pos="425"/>
                <w:tab w:val="left" w:pos="709"/>
                <w:tab w:val="left" w:pos="851"/>
              </w:tabs>
              <w:ind w:left="142" w:hanging="142"/>
              <w:rPr>
                <w:rFonts w:cstheme="minorHAnsi"/>
              </w:rPr>
            </w:pPr>
            <w:r>
              <w:rPr>
                <w:rFonts w:cstheme="minorHAnsi"/>
              </w:rPr>
              <w:t>Population covered</w:t>
            </w:r>
          </w:p>
        </w:tc>
        <w:tc>
          <w:tcPr>
            <w:tcW w:w="405" w:type="pct"/>
            <w:tcBorders>
              <w:bottom w:val="single" w:sz="4" w:space="0" w:color="auto"/>
            </w:tcBorders>
            <w:vAlign w:val="bottom"/>
          </w:tcPr>
          <w:p w:rsidR="00AC7CF5" w:rsidRPr="00FE3F73" w:rsidRDefault="00F92CA4" w:rsidP="00D857D7">
            <w:pPr>
              <w:pStyle w:val="TableRowNormal"/>
              <w:ind w:left="0" w:firstLine="0"/>
              <w:rPr>
                <w:rFonts w:cstheme="minorHAnsi"/>
              </w:rPr>
            </w:pPr>
            <w:r>
              <w:rPr>
                <w:rFonts w:cstheme="minorHAnsi"/>
              </w:rPr>
              <w:t>80</w:t>
            </w:r>
          </w:p>
        </w:tc>
        <w:tc>
          <w:tcPr>
            <w:tcW w:w="405" w:type="pct"/>
            <w:tcBorders>
              <w:bottom w:val="single" w:sz="4" w:space="0" w:color="auto"/>
            </w:tcBorders>
            <w:vAlign w:val="bottom"/>
          </w:tcPr>
          <w:p w:rsidR="00AC7CF5" w:rsidRPr="00FE3F73" w:rsidRDefault="00B41152" w:rsidP="00AC7CF5">
            <w:pPr>
              <w:pStyle w:val="TableRowNormal"/>
              <w:ind w:left="0" w:firstLine="0"/>
              <w:rPr>
                <w:rFonts w:cstheme="minorHAnsi"/>
              </w:rPr>
            </w:pPr>
            <w:r>
              <w:rPr>
                <w:rFonts w:cstheme="minorHAnsi"/>
              </w:rPr>
              <w:t>81</w:t>
            </w:r>
          </w:p>
        </w:tc>
        <w:tc>
          <w:tcPr>
            <w:tcW w:w="405" w:type="pct"/>
            <w:tcBorders>
              <w:bottom w:val="single" w:sz="4" w:space="0" w:color="auto"/>
            </w:tcBorders>
            <w:vAlign w:val="bottom"/>
          </w:tcPr>
          <w:p w:rsidR="00AC7CF5" w:rsidRPr="00FE3F73" w:rsidRDefault="006D466F" w:rsidP="00AC7CF5">
            <w:pPr>
              <w:pStyle w:val="TableRowNormal"/>
              <w:ind w:left="0" w:firstLine="0"/>
              <w:rPr>
                <w:rFonts w:cstheme="minorHAnsi"/>
              </w:rPr>
            </w:pPr>
            <w:r>
              <w:rPr>
                <w:rFonts w:cstheme="minorHAnsi"/>
              </w:rPr>
              <w:t>78</w:t>
            </w:r>
          </w:p>
        </w:tc>
        <w:tc>
          <w:tcPr>
            <w:tcW w:w="405" w:type="pct"/>
            <w:tcBorders>
              <w:bottom w:val="single" w:sz="4" w:space="0" w:color="auto"/>
            </w:tcBorders>
            <w:vAlign w:val="bottom"/>
          </w:tcPr>
          <w:p w:rsidR="00AC7CF5" w:rsidRPr="00FE3F73" w:rsidRDefault="00B41152" w:rsidP="00AC7CF5">
            <w:pPr>
              <w:pStyle w:val="TableRowNormal"/>
              <w:ind w:left="0" w:firstLine="0"/>
              <w:rPr>
                <w:rFonts w:cstheme="minorHAnsi"/>
              </w:rPr>
            </w:pPr>
            <w:r>
              <w:rPr>
                <w:rFonts w:cstheme="minorHAnsi"/>
              </w:rPr>
              <w:t>87</w:t>
            </w:r>
          </w:p>
        </w:tc>
        <w:tc>
          <w:tcPr>
            <w:tcW w:w="405" w:type="pct"/>
            <w:tcBorders>
              <w:bottom w:val="single" w:sz="4" w:space="0" w:color="auto"/>
            </w:tcBorders>
            <w:vAlign w:val="bottom"/>
          </w:tcPr>
          <w:p w:rsidR="00AC7CF5" w:rsidRPr="00FE3F73" w:rsidRDefault="00B41152" w:rsidP="00F92CA4">
            <w:pPr>
              <w:pStyle w:val="TableRowNormal"/>
              <w:ind w:left="0" w:firstLine="0"/>
              <w:rPr>
                <w:rFonts w:cstheme="minorHAnsi"/>
              </w:rPr>
            </w:pPr>
            <w:r>
              <w:rPr>
                <w:rFonts w:cstheme="minorHAnsi"/>
              </w:rPr>
              <w:t>8</w:t>
            </w:r>
            <w:r w:rsidR="00F92CA4">
              <w:rPr>
                <w:rFonts w:cstheme="minorHAnsi"/>
              </w:rPr>
              <w:t>3</w:t>
            </w:r>
          </w:p>
        </w:tc>
        <w:tc>
          <w:tcPr>
            <w:tcW w:w="405" w:type="pct"/>
            <w:tcBorders>
              <w:bottom w:val="single" w:sz="4" w:space="0" w:color="auto"/>
            </w:tcBorders>
            <w:vAlign w:val="bottom"/>
          </w:tcPr>
          <w:p w:rsidR="00AC7CF5" w:rsidRPr="00FE3F73" w:rsidRDefault="00F92CA4" w:rsidP="00AC7CF5">
            <w:pPr>
              <w:pStyle w:val="TableRowNormal"/>
              <w:ind w:left="0" w:firstLine="0"/>
              <w:rPr>
                <w:rFonts w:cstheme="minorHAnsi"/>
              </w:rPr>
            </w:pPr>
            <w:r>
              <w:rPr>
                <w:rFonts w:cstheme="minorHAnsi"/>
              </w:rPr>
              <w:t>60</w:t>
            </w:r>
          </w:p>
        </w:tc>
        <w:tc>
          <w:tcPr>
            <w:tcW w:w="405" w:type="pct"/>
            <w:tcBorders>
              <w:bottom w:val="single" w:sz="4" w:space="0" w:color="auto"/>
            </w:tcBorders>
            <w:vAlign w:val="bottom"/>
          </w:tcPr>
          <w:p w:rsidR="00AC7CF5" w:rsidRPr="00FE3F73" w:rsidRDefault="00B41152" w:rsidP="00AC7CF5">
            <w:pPr>
              <w:pStyle w:val="TableRowNormal"/>
              <w:ind w:left="0" w:firstLine="0"/>
              <w:rPr>
                <w:rFonts w:cstheme="minorHAnsi"/>
              </w:rPr>
            </w:pPr>
            <w:r>
              <w:rPr>
                <w:rFonts w:cstheme="minorHAnsi"/>
              </w:rPr>
              <w:t>100</w:t>
            </w:r>
          </w:p>
        </w:tc>
        <w:tc>
          <w:tcPr>
            <w:tcW w:w="405" w:type="pct"/>
            <w:tcBorders>
              <w:bottom w:val="single" w:sz="4" w:space="0" w:color="auto"/>
            </w:tcBorders>
            <w:vAlign w:val="bottom"/>
          </w:tcPr>
          <w:p w:rsidR="00AC7CF5" w:rsidRPr="00FE3F73" w:rsidRDefault="00B41152" w:rsidP="00AC7CF5">
            <w:pPr>
              <w:pStyle w:val="TableRowNormal"/>
              <w:ind w:left="0" w:firstLine="0"/>
              <w:rPr>
                <w:rFonts w:cstheme="minorHAnsi"/>
              </w:rPr>
            </w:pPr>
            <w:r>
              <w:rPr>
                <w:rFonts w:cstheme="minorHAnsi"/>
              </w:rPr>
              <w:t>6</w:t>
            </w:r>
            <w:r w:rsidR="00F92CA4">
              <w:rPr>
                <w:rFonts w:cstheme="minorHAnsi"/>
              </w:rPr>
              <w:t>8</w:t>
            </w:r>
          </w:p>
        </w:tc>
        <w:tc>
          <w:tcPr>
            <w:tcW w:w="405" w:type="pct"/>
            <w:tcBorders>
              <w:bottom w:val="single" w:sz="4" w:space="0" w:color="auto"/>
            </w:tcBorders>
            <w:vAlign w:val="bottom"/>
          </w:tcPr>
          <w:p w:rsidR="006D466F" w:rsidRPr="00FE3F73" w:rsidRDefault="00F92CA4" w:rsidP="006D466F">
            <w:pPr>
              <w:pStyle w:val="TableRowNormal"/>
              <w:ind w:left="0" w:firstLine="0"/>
              <w:rPr>
                <w:rFonts w:cstheme="minorHAnsi"/>
              </w:rPr>
            </w:pPr>
            <w:r>
              <w:rPr>
                <w:rFonts w:cstheme="minorHAnsi"/>
              </w:rPr>
              <w:t>81</w:t>
            </w:r>
          </w:p>
        </w:tc>
      </w:tr>
    </w:tbl>
    <w:p w:rsidR="006D466F" w:rsidRPr="006D466F" w:rsidRDefault="006D466F" w:rsidP="006D466F">
      <w:pPr>
        <w:pStyle w:val="CGCTableFootnote"/>
      </w:pPr>
      <w:r>
        <w:t>Note:</w:t>
      </w:r>
      <w:r>
        <w:tab/>
        <w:t xml:space="preserve">Not all regional centres with indices could be allocated to a UCL. In some cases, staff manually applied a score to a UCL close to the regional area. For </w:t>
      </w:r>
      <w:r w:rsidR="00D0671E">
        <w:t>example, the score for Surfers P</w:t>
      </w:r>
      <w:r>
        <w:t>aradise was applied to the Gold Coast population.</w:t>
      </w:r>
    </w:p>
    <w:p w:rsidR="00AC7CF5" w:rsidRDefault="00AC7CF5" w:rsidP="00AC7CF5">
      <w:pPr>
        <w:pStyle w:val="CGCTableFootnote"/>
      </w:pPr>
      <w:r>
        <w:t>Source:</w:t>
      </w:r>
      <w:r>
        <w:tab/>
      </w:r>
      <w:r w:rsidR="00B41152">
        <w:t xml:space="preserve">Staff </w:t>
      </w:r>
      <w:r w:rsidR="000B3007">
        <w:t>c</w:t>
      </w:r>
      <w:r w:rsidR="00B41152">
        <w:t xml:space="preserve">alculations using </w:t>
      </w:r>
      <w:proofErr w:type="spellStart"/>
      <w:proofErr w:type="gramStart"/>
      <w:r w:rsidR="00B41152">
        <w:t>Rawlinsons</w:t>
      </w:r>
      <w:proofErr w:type="spellEnd"/>
      <w:proofErr w:type="gramEnd"/>
      <w:r w:rsidR="00B41152">
        <w:t xml:space="preserve"> regional data and 2011-12 ABS UCL populations.</w:t>
      </w:r>
    </w:p>
    <w:p w:rsidR="00AC7CF5" w:rsidRDefault="00AC7CF5" w:rsidP="00AC7CF5">
      <w:pPr>
        <w:pStyle w:val="Single"/>
      </w:pPr>
    </w:p>
    <w:p w:rsidR="00AC7CF5" w:rsidRDefault="00AC7CF5" w:rsidP="00CC3D1D">
      <w:pPr>
        <w:pStyle w:val="CGCNumberedPara"/>
      </w:pPr>
      <w:r>
        <w:t xml:space="preserve">In discussion paper CGC 2013/07 staff suggested regional areas where indices are not produced could be estimated by assuming they had the same cost structure as </w:t>
      </w:r>
      <w:r w:rsidR="0000272E">
        <w:t xml:space="preserve">sampled regions with a similar degree of remoteness.  The Northern Territory argued that assumption was inappropriate and provided </w:t>
      </w:r>
      <w:r w:rsidR="0029117A">
        <w:t xml:space="preserve">some examples based on recent tender prices to illustrate the point.  </w:t>
      </w:r>
    </w:p>
    <w:p w:rsidR="0017510E" w:rsidRDefault="00965CE0" w:rsidP="00CC3D1D">
      <w:pPr>
        <w:pStyle w:val="CGCNumberedPara"/>
      </w:pPr>
      <w:r>
        <w:t>A</w:t>
      </w:r>
      <w:r w:rsidR="0017510E">
        <w:t>pply</w:t>
      </w:r>
      <w:r>
        <w:t>ing</w:t>
      </w:r>
      <w:r w:rsidR="0017510E">
        <w:t xml:space="preserve"> the regional cost index of the closest region with a similar degree of remoteness</w:t>
      </w:r>
      <w:r>
        <w:t xml:space="preserve"> to centres not covered by the </w:t>
      </w:r>
      <w:proofErr w:type="spellStart"/>
      <w:r>
        <w:t>Rawlinsons</w:t>
      </w:r>
      <w:proofErr w:type="spellEnd"/>
      <w:r>
        <w:t xml:space="preserve"> data </w:t>
      </w:r>
      <w:r w:rsidR="0017510E">
        <w:t>should re</w:t>
      </w:r>
      <w:r w:rsidR="00267088">
        <w:t>sult in more accurate indications of the cost differentials between State capitals and regions</w:t>
      </w:r>
      <w:r>
        <w:t xml:space="preserve"> than </w:t>
      </w:r>
      <w:r>
        <w:lastRenderedPageBreak/>
        <w:t>the approach outlined in CGC 2013/07</w:t>
      </w:r>
      <w:r w:rsidR="00267088">
        <w:t>.  However, a</w:t>
      </w:r>
      <w:r w:rsidR="0017510E">
        <w:t xml:space="preserve">s the Northern Territory examples suggest, </w:t>
      </w:r>
      <w:r w:rsidR="00267088">
        <w:t xml:space="preserve">it </w:t>
      </w:r>
      <w:r w:rsidR="0017510E">
        <w:t xml:space="preserve">may </w:t>
      </w:r>
      <w:r w:rsidR="00267088">
        <w:t>nevertheless be an understatement.  Any remaining differentials are likely to be highly location specific and their overall impact on the GST distribution would be dampened by the small proportion of the population (or asset stock) affected.  M</w:t>
      </w:r>
      <w:r w:rsidR="0017510E">
        <w:t xml:space="preserve">ore precise adjustment would require evidence from States on the relative costs of similar projects in omitted centres, the nearest sampled centre and the State capital.  </w:t>
      </w:r>
    </w:p>
    <w:p w:rsidR="00267088" w:rsidRDefault="00267088" w:rsidP="00CC3D1D">
      <w:pPr>
        <w:pStyle w:val="CGCNumberedPara"/>
      </w:pPr>
      <w:r>
        <w:t xml:space="preserve">While the </w:t>
      </w:r>
      <w:proofErr w:type="spellStart"/>
      <w:r>
        <w:t>Rawlinsons</w:t>
      </w:r>
      <w:proofErr w:type="spellEnd"/>
      <w:r>
        <w:t xml:space="preserve"> indices do not explicitly cover the effects of some aspects of the physical environment, they do so indirectly.  </w:t>
      </w:r>
      <w:proofErr w:type="spellStart"/>
      <w:r>
        <w:t>Rawlinsons</w:t>
      </w:r>
      <w:proofErr w:type="spellEnd"/>
      <w:r>
        <w:t xml:space="preserve"> have indicated their figures capture the effects of </w:t>
      </w:r>
      <w:r w:rsidR="001A74E2">
        <w:t xml:space="preserve">the </w:t>
      </w:r>
      <w:r>
        <w:t>building codes apply</w:t>
      </w:r>
      <w:r w:rsidR="001A74E2">
        <w:t>ing</w:t>
      </w:r>
      <w:r>
        <w:t xml:space="preserve"> in the localities examine</w:t>
      </w:r>
      <w:r w:rsidR="001A74E2">
        <w:t>d</w:t>
      </w:r>
      <w:r>
        <w:t xml:space="preserve">.  </w:t>
      </w:r>
      <w:r w:rsidR="001A74E2">
        <w:t>Since t</w:t>
      </w:r>
      <w:r>
        <w:t xml:space="preserve">hose codes </w:t>
      </w:r>
      <w:r w:rsidR="001A74E2">
        <w:t>stipulate design features aimed at mitigating the major effects of aspects of the environment affecting the structural integrity of buildings, the cost implications are reflected in the indices.</w:t>
      </w:r>
    </w:p>
    <w:p w:rsidR="001A74E2" w:rsidRDefault="001A74E2" w:rsidP="00CC3D1D">
      <w:pPr>
        <w:pStyle w:val="CGCNumberedPara"/>
      </w:pPr>
      <w:proofErr w:type="spellStart"/>
      <w:r>
        <w:t>Rawlinsons</w:t>
      </w:r>
      <w:proofErr w:type="spellEnd"/>
      <w:r>
        <w:t xml:space="preserve"> have indicated the indices reflect market conditions in each locality covered and therefore they capture any implications of </w:t>
      </w:r>
      <w:r w:rsidR="00A87FB4">
        <w:t xml:space="preserve">the smaller markets and lower activity levels in some centres.  </w:t>
      </w:r>
    </w:p>
    <w:p w:rsidR="00A87FB4" w:rsidRDefault="00A87FB4" w:rsidP="00CC3D1D">
      <w:pPr>
        <w:pStyle w:val="CGCNumberedPara"/>
      </w:pPr>
      <w:r>
        <w:t>The indices do not cover some cost differential</w:t>
      </w:r>
      <w:r w:rsidR="00965CE0">
        <w:t>s</w:t>
      </w:r>
      <w:r>
        <w:t>, such as those arising from land acquisition and site specific topography.  Staff note land is assessed on an equal per capita basis in the investment assessments in part because land values and the need for land acquisition are affected by the policies of individual States.</w:t>
      </w:r>
      <w:r w:rsidR="009271D0">
        <w:t xml:space="preserve">  It is also noted that some site specific factors, such as slope can be mitigated by design considerations with limited impact on costs.  </w:t>
      </w:r>
    </w:p>
    <w:p w:rsidR="00A87FB4" w:rsidRDefault="00A87FB4" w:rsidP="00CC3D1D">
      <w:pPr>
        <w:pStyle w:val="CGCNumberedPara"/>
      </w:pPr>
      <w:r>
        <w:t xml:space="preserve">Available information indicates the </w:t>
      </w:r>
      <w:proofErr w:type="spellStart"/>
      <w:r>
        <w:t>Rawlinsons</w:t>
      </w:r>
      <w:proofErr w:type="spellEnd"/>
      <w:r>
        <w:t xml:space="preserve"> indices cover the bulk of construction cost differentials arising from locational and major environmental features.  </w:t>
      </w:r>
    </w:p>
    <w:p w:rsidR="00D57B40" w:rsidRDefault="00D57B40" w:rsidP="00051083">
      <w:pPr>
        <w:pStyle w:val="Heading4"/>
      </w:pPr>
      <w:r>
        <w:t xml:space="preserve">Constructing </w:t>
      </w:r>
      <w:r w:rsidR="00051083">
        <w:t>overall indices for each State</w:t>
      </w:r>
    </w:p>
    <w:p w:rsidR="008C4F81" w:rsidRDefault="00051083" w:rsidP="00051083">
      <w:pPr>
        <w:pStyle w:val="CGCNumberedPara"/>
      </w:pPr>
      <w:r>
        <w:t xml:space="preserve">Preparing overall State wide indices requires the indices to be combined to derive an overall index for each State which reflects its accessibility and remoteness circumstances relative to the national average.  </w:t>
      </w:r>
      <w:r w:rsidR="008C4F81">
        <w:t>This requires</w:t>
      </w:r>
      <w:r w:rsidR="00D33955">
        <w:t xml:space="preserve"> the following steps.</w:t>
      </w:r>
    </w:p>
    <w:p w:rsidR="008C4F81" w:rsidRDefault="00D33955" w:rsidP="008C4F81">
      <w:pPr>
        <w:pStyle w:val="CGCBulletlist"/>
      </w:pPr>
      <w:r>
        <w:t>T</w:t>
      </w:r>
      <w:r w:rsidR="008C4F81">
        <w:t xml:space="preserve">he regional indices in each State </w:t>
      </w:r>
      <w:r>
        <w:t xml:space="preserve">need </w:t>
      </w:r>
      <w:r w:rsidR="008C4F81">
        <w:t xml:space="preserve">to be adjusted to reflect a common base.  The published indices for each region in each State are calculated relative to the State capital and each State capital city index is relative to Sydney.  </w:t>
      </w:r>
      <w:r>
        <w:t>C</w:t>
      </w:r>
      <w:r w:rsidR="008C4F81">
        <w:t xml:space="preserve">omparable indices </w:t>
      </w:r>
      <w:r>
        <w:t xml:space="preserve">could be derived </w:t>
      </w:r>
      <w:r w:rsidR="008C4F81">
        <w:t>by multiplying each State</w:t>
      </w:r>
      <w:r>
        <w:t>’</w:t>
      </w:r>
      <w:r w:rsidR="008C4F81">
        <w:t>s regional indices by its capital city index</w:t>
      </w:r>
      <w:r>
        <w:t>.</w:t>
      </w:r>
      <w:r w:rsidR="008C4F81">
        <w:t xml:space="preserve">  </w:t>
      </w:r>
    </w:p>
    <w:p w:rsidR="008C4F81" w:rsidRDefault="00D33955" w:rsidP="008C4F81">
      <w:pPr>
        <w:pStyle w:val="CGCBulletlist"/>
      </w:pPr>
      <w:r>
        <w:t>T</w:t>
      </w:r>
      <w:r w:rsidR="008C4F81">
        <w:t xml:space="preserve">he adjusted indices for each region in each State </w:t>
      </w:r>
      <w:r>
        <w:t xml:space="preserve">need </w:t>
      </w:r>
      <w:r w:rsidR="008C4F81">
        <w:t xml:space="preserve">to be combined to produce a State-wide index.  </w:t>
      </w:r>
      <w:r w:rsidR="00342A14">
        <w:t xml:space="preserve">Ideally, the indices for each region would be weighted by the value of infrastructure in the region, but those details are not available.  Since the location of infrastructure is generally related to the people served, weighting by population would be an appropriate approximation.  </w:t>
      </w:r>
      <w:r>
        <w:t>T</w:t>
      </w:r>
      <w:r w:rsidR="00342A14">
        <w:t xml:space="preserve">his </w:t>
      </w:r>
      <w:r w:rsidR="00342A14">
        <w:lastRenderedPageBreak/>
        <w:t>approach was used in constructing the Commission’s regional cost index under 2010 Review methods.</w:t>
      </w:r>
    </w:p>
    <w:p w:rsidR="00342A14" w:rsidRDefault="00342A14" w:rsidP="008C4F81">
      <w:pPr>
        <w:pStyle w:val="CGCBulletlist"/>
      </w:pPr>
      <w:r>
        <w:t xml:space="preserve">The State-wide indices </w:t>
      </w:r>
      <w:r w:rsidR="00D33955">
        <w:t xml:space="preserve">need </w:t>
      </w:r>
      <w:r>
        <w:t xml:space="preserve">to be rebased to use the Australian average as the base rather than Sydney.  </w:t>
      </w:r>
      <w:r w:rsidR="00D33955">
        <w:t>T</w:t>
      </w:r>
      <w:r>
        <w:t xml:space="preserve">his adjustment </w:t>
      </w:r>
      <w:r w:rsidR="00D33955">
        <w:t>would</w:t>
      </w:r>
      <w:r>
        <w:t xml:space="preserve"> be made on a population weighted basis.   </w:t>
      </w:r>
    </w:p>
    <w:p w:rsidR="003E10FD" w:rsidRDefault="00D33955" w:rsidP="00342A14">
      <w:pPr>
        <w:pStyle w:val="CGCNumberedPara"/>
      </w:pPr>
      <w:r>
        <w:t xml:space="preserve">If </w:t>
      </w:r>
      <w:proofErr w:type="spellStart"/>
      <w:proofErr w:type="gramStart"/>
      <w:r>
        <w:t>Rawlinsons</w:t>
      </w:r>
      <w:proofErr w:type="spellEnd"/>
      <w:proofErr w:type="gramEnd"/>
      <w:r>
        <w:t xml:space="preserve"> data are used, th</w:t>
      </w:r>
      <w:r w:rsidR="003E10FD">
        <w:t xml:space="preserve">e indices </w:t>
      </w:r>
      <w:r>
        <w:t xml:space="preserve">would be updated </w:t>
      </w:r>
      <w:r w:rsidR="003E10FD">
        <w:t xml:space="preserve">annually using the latest data available from </w:t>
      </w:r>
      <w:proofErr w:type="spellStart"/>
      <w:r w:rsidR="003E10FD">
        <w:t>Rawlinsons</w:t>
      </w:r>
      <w:proofErr w:type="spellEnd"/>
      <w:r w:rsidR="003E10FD">
        <w:t xml:space="preserve"> and up-to-date populations.  This will produce disability measures that reflect the effects of changes in market circumstances and other influences on the construction costs in a contemporary way.</w:t>
      </w:r>
    </w:p>
    <w:p w:rsidR="00342A14" w:rsidRPr="00F1253B" w:rsidRDefault="00342A14" w:rsidP="00342A14">
      <w:pPr>
        <w:pStyle w:val="CGCNumberedPara"/>
      </w:pPr>
      <w:r>
        <w:fldChar w:fldCharType="begin"/>
      </w:r>
      <w:r>
        <w:instrText xml:space="preserve"> REF _Ref383448119 \h </w:instrText>
      </w:r>
      <w:r>
        <w:fldChar w:fldCharType="separate"/>
      </w:r>
      <w:r w:rsidR="000D506D">
        <w:t xml:space="preserve">Table </w:t>
      </w:r>
      <w:r w:rsidR="000D506D">
        <w:rPr>
          <w:noProof/>
        </w:rPr>
        <w:t>4</w:t>
      </w:r>
      <w:r>
        <w:fldChar w:fldCharType="end"/>
      </w:r>
      <w:r>
        <w:t xml:space="preserve"> shows the resulting factors for 2012-13 and compares them with the overall co</w:t>
      </w:r>
      <w:r w:rsidR="000D1599">
        <w:t xml:space="preserve">mbined roads/non-roads </w:t>
      </w:r>
      <w:r>
        <w:t>factor f</w:t>
      </w:r>
      <w:r w:rsidR="003E10FD">
        <w:t>or</w:t>
      </w:r>
      <w:r>
        <w:t xml:space="preserve"> 2012-13 </w:t>
      </w:r>
      <w:r w:rsidR="003E10FD">
        <w:t>from the 2014 Update</w:t>
      </w:r>
      <w:r w:rsidR="000D1599">
        <w:t>.</w:t>
      </w:r>
      <w:r w:rsidR="008563D5">
        <w:t xml:space="preserve"> </w:t>
      </w:r>
      <w:r w:rsidR="000D1599" w:rsidRPr="000D1599">
        <w:rPr>
          <w:b/>
          <w:i/>
        </w:rPr>
        <w:t xml:space="preserve"> </w:t>
      </w:r>
    </w:p>
    <w:p w:rsidR="00342A14" w:rsidRDefault="00342A14" w:rsidP="00342A14">
      <w:pPr>
        <w:pStyle w:val="CGCTableHeading"/>
      </w:pPr>
      <w:bookmarkStart w:id="4" w:name="_Ref383448119"/>
      <w:r>
        <w:t xml:space="preserve">Table </w:t>
      </w:r>
      <w:fldSimple w:instr=" SEQ Table \* ARABIC ">
        <w:r w:rsidR="000D506D">
          <w:rPr>
            <w:noProof/>
          </w:rPr>
          <w:t>4</w:t>
        </w:r>
      </w:fldSimple>
      <w:bookmarkEnd w:id="4"/>
      <w:r>
        <w:tab/>
      </w:r>
      <w:r w:rsidR="00703DCD">
        <w:t>C</w:t>
      </w:r>
      <w:r>
        <w:t xml:space="preserve">omparison </w:t>
      </w:r>
      <w:r w:rsidR="00703DCD">
        <w:t>of factors, 2012-13</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342A14" w:rsidRPr="00FE3F73" w:rsidTr="00342A14">
        <w:tc>
          <w:tcPr>
            <w:tcW w:w="1354" w:type="pct"/>
            <w:tcBorders>
              <w:top w:val="single" w:sz="6" w:space="0" w:color="auto"/>
              <w:bottom w:val="single" w:sz="6" w:space="0" w:color="auto"/>
            </w:tcBorders>
            <w:vAlign w:val="bottom"/>
          </w:tcPr>
          <w:p w:rsidR="00342A14" w:rsidRPr="00FE3F73" w:rsidRDefault="00342A14" w:rsidP="00342A14">
            <w:pPr>
              <w:pStyle w:val="CGCTableStub"/>
              <w:spacing w:line="240" w:lineRule="auto"/>
              <w:ind w:left="142" w:hanging="142"/>
              <w:rPr>
                <w:rFonts w:cstheme="minorHAnsi"/>
              </w:rPr>
            </w:pPr>
          </w:p>
        </w:tc>
        <w:tc>
          <w:tcPr>
            <w:tcW w:w="405" w:type="pct"/>
            <w:tcBorders>
              <w:top w:val="single" w:sz="6" w:space="0" w:color="auto"/>
              <w:bottom w:val="single" w:sz="6" w:space="0" w:color="auto"/>
            </w:tcBorders>
            <w:vAlign w:val="bottom"/>
          </w:tcPr>
          <w:p w:rsidR="00342A14" w:rsidRPr="00FE3F73" w:rsidRDefault="00342A14" w:rsidP="00342A14">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rsidR="00342A14" w:rsidRPr="00FE3F73" w:rsidRDefault="00342A14" w:rsidP="00342A14">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rsidR="00342A14" w:rsidRPr="00FE3F73" w:rsidRDefault="00342A14" w:rsidP="00342A14">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rsidR="00342A14" w:rsidRPr="00FE3F73" w:rsidRDefault="00342A14" w:rsidP="00342A14">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rsidR="00342A14" w:rsidRPr="00FE3F73" w:rsidRDefault="00342A14" w:rsidP="00342A14">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rsidR="00342A14" w:rsidRPr="00FE3F73" w:rsidRDefault="00342A14" w:rsidP="00342A14">
            <w:pPr>
              <w:pStyle w:val="TableColHeadings"/>
              <w:rPr>
                <w:rFonts w:cstheme="minorHAnsi"/>
              </w:rPr>
            </w:pPr>
            <w:proofErr w:type="spellStart"/>
            <w:r w:rsidRPr="00FE3F73">
              <w:rPr>
                <w:rFonts w:cstheme="minorHAnsi"/>
              </w:rPr>
              <w:t>Tas</w:t>
            </w:r>
            <w:proofErr w:type="spellEnd"/>
          </w:p>
        </w:tc>
        <w:tc>
          <w:tcPr>
            <w:tcW w:w="405" w:type="pct"/>
            <w:tcBorders>
              <w:top w:val="single" w:sz="6" w:space="0" w:color="auto"/>
              <w:bottom w:val="single" w:sz="6" w:space="0" w:color="auto"/>
            </w:tcBorders>
            <w:vAlign w:val="bottom"/>
          </w:tcPr>
          <w:p w:rsidR="00342A14" w:rsidRPr="00FE3F73" w:rsidRDefault="00342A14" w:rsidP="00342A14">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rsidR="00342A14" w:rsidRPr="00FE3F73" w:rsidRDefault="00342A14" w:rsidP="00342A14">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rsidR="00342A14" w:rsidRPr="00FE3F73" w:rsidRDefault="00342A14" w:rsidP="00342A14">
            <w:pPr>
              <w:pStyle w:val="TableColHeadings"/>
              <w:rPr>
                <w:rFonts w:cstheme="minorHAnsi"/>
              </w:rPr>
            </w:pPr>
            <w:r>
              <w:rPr>
                <w:rFonts w:cstheme="minorHAnsi"/>
              </w:rPr>
              <w:t>Ave</w:t>
            </w:r>
          </w:p>
        </w:tc>
      </w:tr>
      <w:tr w:rsidR="00F1253B" w:rsidRPr="00FE3F73" w:rsidTr="00342A14">
        <w:tc>
          <w:tcPr>
            <w:tcW w:w="1354" w:type="pct"/>
            <w:vAlign w:val="bottom"/>
          </w:tcPr>
          <w:p w:rsidR="00F1253B" w:rsidRPr="00FE3F73" w:rsidRDefault="00F1253B" w:rsidP="003E10FD">
            <w:pPr>
              <w:pStyle w:val="CGCTableStub"/>
              <w:tabs>
                <w:tab w:val="left" w:pos="142"/>
                <w:tab w:val="left" w:pos="425"/>
                <w:tab w:val="left" w:pos="709"/>
                <w:tab w:val="left" w:pos="851"/>
              </w:tabs>
              <w:ind w:left="142" w:hanging="142"/>
              <w:rPr>
                <w:rFonts w:cstheme="minorHAnsi"/>
              </w:rPr>
            </w:pPr>
            <w:proofErr w:type="spellStart"/>
            <w:r>
              <w:rPr>
                <w:rFonts w:cstheme="minorHAnsi"/>
              </w:rPr>
              <w:t>Rawlinsons</w:t>
            </w:r>
            <w:proofErr w:type="spellEnd"/>
            <w:r>
              <w:rPr>
                <w:rFonts w:cstheme="minorHAnsi"/>
              </w:rPr>
              <w:t xml:space="preserve"> indices</w:t>
            </w:r>
          </w:p>
        </w:tc>
        <w:tc>
          <w:tcPr>
            <w:tcW w:w="405" w:type="pct"/>
            <w:vAlign w:val="bottom"/>
          </w:tcPr>
          <w:p w:rsidR="00F1253B" w:rsidRPr="00F1253B" w:rsidRDefault="00241FAD" w:rsidP="00617AF9">
            <w:pPr>
              <w:pStyle w:val="TableRowNormal"/>
              <w:ind w:left="0" w:firstLine="0"/>
              <w:rPr>
                <w:rFonts w:cstheme="minorHAnsi"/>
              </w:rPr>
            </w:pPr>
            <w:r>
              <w:rPr>
                <w:rFonts w:cstheme="minorHAnsi"/>
              </w:rPr>
              <w:t>1.00</w:t>
            </w:r>
            <w:r w:rsidR="00617AF9">
              <w:rPr>
                <w:rFonts w:cstheme="minorHAnsi"/>
              </w:rPr>
              <w:t>0</w:t>
            </w:r>
          </w:p>
        </w:tc>
        <w:tc>
          <w:tcPr>
            <w:tcW w:w="405" w:type="pct"/>
            <w:vAlign w:val="bottom"/>
          </w:tcPr>
          <w:p w:rsidR="00F1253B" w:rsidRPr="00F1253B" w:rsidRDefault="00241FAD" w:rsidP="00513955">
            <w:pPr>
              <w:pStyle w:val="TableRowNormal"/>
              <w:ind w:left="0" w:firstLine="0"/>
              <w:rPr>
                <w:rFonts w:cstheme="minorHAnsi"/>
              </w:rPr>
            </w:pPr>
            <w:r>
              <w:rPr>
                <w:rFonts w:cstheme="minorHAnsi"/>
              </w:rPr>
              <w:t>0.95</w:t>
            </w:r>
            <w:r w:rsidR="00617AF9">
              <w:rPr>
                <w:rFonts w:cstheme="minorHAnsi"/>
              </w:rPr>
              <w:t>3</w:t>
            </w:r>
          </w:p>
        </w:tc>
        <w:tc>
          <w:tcPr>
            <w:tcW w:w="405" w:type="pct"/>
            <w:vAlign w:val="bottom"/>
          </w:tcPr>
          <w:p w:rsidR="00F1253B" w:rsidRPr="00F1253B" w:rsidRDefault="00F1253B" w:rsidP="00241FAD">
            <w:pPr>
              <w:pStyle w:val="TableRowNormal"/>
              <w:ind w:left="0" w:firstLine="0"/>
              <w:rPr>
                <w:rFonts w:cstheme="minorHAnsi"/>
              </w:rPr>
            </w:pPr>
            <w:r w:rsidRPr="00F1253B">
              <w:rPr>
                <w:rFonts w:cstheme="minorHAnsi"/>
              </w:rPr>
              <w:t>0.9</w:t>
            </w:r>
            <w:r w:rsidR="00617AF9">
              <w:rPr>
                <w:rFonts w:cstheme="minorHAnsi"/>
              </w:rPr>
              <w:t>65</w:t>
            </w:r>
          </w:p>
        </w:tc>
        <w:tc>
          <w:tcPr>
            <w:tcW w:w="405" w:type="pct"/>
            <w:vAlign w:val="bottom"/>
          </w:tcPr>
          <w:p w:rsidR="00F1253B" w:rsidRPr="00F1253B" w:rsidRDefault="00F1253B" w:rsidP="00241FAD">
            <w:pPr>
              <w:pStyle w:val="TableRowNormal"/>
              <w:ind w:left="0" w:firstLine="0"/>
              <w:rPr>
                <w:rFonts w:cstheme="minorHAnsi"/>
              </w:rPr>
            </w:pPr>
            <w:r w:rsidRPr="00F1253B">
              <w:rPr>
                <w:rFonts w:cstheme="minorHAnsi"/>
              </w:rPr>
              <w:t>1.</w:t>
            </w:r>
            <w:r w:rsidR="00617AF9">
              <w:rPr>
                <w:rFonts w:cstheme="minorHAnsi"/>
              </w:rPr>
              <w:t>098</w:t>
            </w:r>
          </w:p>
        </w:tc>
        <w:tc>
          <w:tcPr>
            <w:tcW w:w="405" w:type="pct"/>
            <w:vAlign w:val="bottom"/>
          </w:tcPr>
          <w:p w:rsidR="00F1253B" w:rsidRPr="00F1253B" w:rsidRDefault="00F1253B" w:rsidP="00241FAD">
            <w:pPr>
              <w:pStyle w:val="TableRowNormal"/>
              <w:ind w:left="0" w:firstLine="0"/>
              <w:rPr>
                <w:rFonts w:cstheme="minorHAnsi"/>
              </w:rPr>
            </w:pPr>
            <w:r w:rsidRPr="00F1253B">
              <w:rPr>
                <w:rFonts w:cstheme="minorHAnsi"/>
              </w:rPr>
              <w:t>1.</w:t>
            </w:r>
            <w:r w:rsidR="00241FAD">
              <w:rPr>
                <w:rFonts w:cstheme="minorHAnsi"/>
              </w:rPr>
              <w:t>00</w:t>
            </w:r>
            <w:r w:rsidR="00617AF9">
              <w:rPr>
                <w:rFonts w:cstheme="minorHAnsi"/>
              </w:rPr>
              <w:t>3</w:t>
            </w:r>
          </w:p>
        </w:tc>
        <w:tc>
          <w:tcPr>
            <w:tcW w:w="405" w:type="pct"/>
            <w:vAlign w:val="bottom"/>
          </w:tcPr>
          <w:p w:rsidR="00F1253B" w:rsidRPr="00F1253B" w:rsidRDefault="00F1253B" w:rsidP="00241FAD">
            <w:pPr>
              <w:pStyle w:val="TableRowNormal"/>
              <w:ind w:left="0" w:firstLine="0"/>
              <w:rPr>
                <w:rFonts w:cstheme="minorHAnsi"/>
              </w:rPr>
            </w:pPr>
            <w:r w:rsidRPr="00F1253B">
              <w:rPr>
                <w:rFonts w:cstheme="minorHAnsi"/>
              </w:rPr>
              <w:t>0</w:t>
            </w:r>
            <w:r w:rsidR="00241FAD">
              <w:rPr>
                <w:rFonts w:cstheme="minorHAnsi"/>
              </w:rPr>
              <w:t>.97</w:t>
            </w:r>
            <w:r w:rsidR="00617AF9">
              <w:rPr>
                <w:rFonts w:cstheme="minorHAnsi"/>
              </w:rPr>
              <w:t>6</w:t>
            </w:r>
          </w:p>
        </w:tc>
        <w:tc>
          <w:tcPr>
            <w:tcW w:w="405" w:type="pct"/>
            <w:vAlign w:val="bottom"/>
          </w:tcPr>
          <w:p w:rsidR="00F1253B" w:rsidRPr="00F1253B" w:rsidRDefault="00617AF9" w:rsidP="00513955">
            <w:pPr>
              <w:pStyle w:val="TableRowNormal"/>
              <w:ind w:left="0" w:firstLine="0"/>
              <w:rPr>
                <w:rFonts w:cstheme="minorHAnsi"/>
              </w:rPr>
            </w:pPr>
            <w:r>
              <w:rPr>
                <w:rFonts w:cstheme="minorHAnsi"/>
              </w:rPr>
              <w:t>1.0</w:t>
            </w:r>
            <w:r w:rsidR="00F1253B" w:rsidRPr="00F1253B">
              <w:rPr>
                <w:rFonts w:cstheme="minorHAnsi"/>
              </w:rPr>
              <w:t>3</w:t>
            </w:r>
            <w:r>
              <w:rPr>
                <w:rFonts w:cstheme="minorHAnsi"/>
              </w:rPr>
              <w:t>8</w:t>
            </w:r>
          </w:p>
        </w:tc>
        <w:tc>
          <w:tcPr>
            <w:tcW w:w="405" w:type="pct"/>
            <w:vAlign w:val="bottom"/>
          </w:tcPr>
          <w:p w:rsidR="00F1253B" w:rsidRPr="00F1253B" w:rsidRDefault="00F1253B" w:rsidP="00513955">
            <w:pPr>
              <w:pStyle w:val="TableRowNormal"/>
              <w:ind w:left="0" w:firstLine="0"/>
              <w:rPr>
                <w:rFonts w:cstheme="minorHAnsi"/>
              </w:rPr>
            </w:pPr>
            <w:r w:rsidRPr="00F1253B">
              <w:rPr>
                <w:rFonts w:cstheme="minorHAnsi"/>
              </w:rPr>
              <w:t>1.3</w:t>
            </w:r>
            <w:r w:rsidR="00617AF9">
              <w:rPr>
                <w:rFonts w:cstheme="minorHAnsi"/>
              </w:rPr>
              <w:t>04</w:t>
            </w:r>
          </w:p>
        </w:tc>
        <w:tc>
          <w:tcPr>
            <w:tcW w:w="405" w:type="pct"/>
            <w:vAlign w:val="bottom"/>
          </w:tcPr>
          <w:p w:rsidR="00F1253B" w:rsidRPr="0061186C" w:rsidRDefault="00F1253B" w:rsidP="00342A14">
            <w:pPr>
              <w:pStyle w:val="TableRowNormal"/>
              <w:ind w:left="0" w:firstLine="0"/>
              <w:rPr>
                <w:rFonts w:cstheme="minorHAnsi"/>
              </w:rPr>
            </w:pPr>
            <w:r w:rsidRPr="0061186C">
              <w:rPr>
                <w:rFonts w:cstheme="minorHAnsi"/>
              </w:rPr>
              <w:t>1.000</w:t>
            </w:r>
          </w:p>
        </w:tc>
      </w:tr>
      <w:tr w:rsidR="00F1253B" w:rsidRPr="00FE3F73" w:rsidTr="00342A14">
        <w:tc>
          <w:tcPr>
            <w:tcW w:w="1354" w:type="pct"/>
            <w:tcBorders>
              <w:bottom w:val="single" w:sz="4" w:space="0" w:color="auto"/>
            </w:tcBorders>
            <w:vAlign w:val="bottom"/>
          </w:tcPr>
          <w:p w:rsidR="00F1253B" w:rsidRDefault="00F1253B" w:rsidP="000D1599">
            <w:pPr>
              <w:pStyle w:val="CGCTableStub"/>
              <w:tabs>
                <w:tab w:val="left" w:pos="142"/>
                <w:tab w:val="left" w:pos="425"/>
                <w:tab w:val="left" w:pos="709"/>
                <w:tab w:val="left" w:pos="851"/>
              </w:tabs>
              <w:ind w:left="142" w:hanging="142"/>
              <w:rPr>
                <w:rFonts w:cstheme="minorHAnsi"/>
              </w:rPr>
            </w:pPr>
            <w:r>
              <w:rPr>
                <w:rFonts w:cstheme="minorHAnsi"/>
              </w:rPr>
              <w:t>2014 Update (a)</w:t>
            </w:r>
          </w:p>
        </w:tc>
        <w:tc>
          <w:tcPr>
            <w:tcW w:w="405" w:type="pct"/>
            <w:tcBorders>
              <w:bottom w:val="single" w:sz="4" w:space="0" w:color="auto"/>
            </w:tcBorders>
            <w:vAlign w:val="bottom"/>
          </w:tcPr>
          <w:p w:rsidR="00F1253B" w:rsidRPr="0061186C" w:rsidRDefault="00F1253B" w:rsidP="00342A14">
            <w:pPr>
              <w:pStyle w:val="TableRowNormal"/>
              <w:ind w:left="0" w:firstLine="0"/>
              <w:rPr>
                <w:rFonts w:cstheme="minorHAnsi"/>
              </w:rPr>
            </w:pPr>
            <w:r w:rsidRPr="0061186C">
              <w:rPr>
                <w:rFonts w:cstheme="minorHAnsi"/>
              </w:rPr>
              <w:t>1.00</w:t>
            </w:r>
            <w:r>
              <w:rPr>
                <w:rFonts w:cstheme="minorHAnsi"/>
              </w:rPr>
              <w:t>2</w:t>
            </w:r>
          </w:p>
        </w:tc>
        <w:tc>
          <w:tcPr>
            <w:tcW w:w="405" w:type="pct"/>
            <w:tcBorders>
              <w:bottom w:val="single" w:sz="4" w:space="0" w:color="auto"/>
            </w:tcBorders>
            <w:vAlign w:val="bottom"/>
          </w:tcPr>
          <w:p w:rsidR="00F1253B" w:rsidRPr="0061186C" w:rsidRDefault="00F1253B" w:rsidP="00F1253B">
            <w:pPr>
              <w:pStyle w:val="TableRowNormal"/>
              <w:ind w:left="0" w:firstLine="0"/>
              <w:rPr>
                <w:rFonts w:cstheme="minorHAnsi"/>
              </w:rPr>
            </w:pPr>
            <w:r w:rsidRPr="0061186C">
              <w:rPr>
                <w:rFonts w:cstheme="minorHAnsi"/>
              </w:rPr>
              <w:t>0.9</w:t>
            </w:r>
            <w:r>
              <w:rPr>
                <w:rFonts w:cstheme="minorHAnsi"/>
              </w:rPr>
              <w:t>79</w:t>
            </w:r>
          </w:p>
        </w:tc>
        <w:tc>
          <w:tcPr>
            <w:tcW w:w="405" w:type="pct"/>
            <w:tcBorders>
              <w:bottom w:val="single" w:sz="4" w:space="0" w:color="auto"/>
            </w:tcBorders>
            <w:vAlign w:val="bottom"/>
          </w:tcPr>
          <w:p w:rsidR="00F1253B" w:rsidRPr="0061186C" w:rsidRDefault="00F1253B" w:rsidP="00342A14">
            <w:pPr>
              <w:pStyle w:val="TableRowNormal"/>
              <w:ind w:left="0" w:firstLine="0"/>
              <w:rPr>
                <w:rFonts w:cstheme="minorHAnsi"/>
              </w:rPr>
            </w:pPr>
            <w:r w:rsidRPr="0061186C">
              <w:rPr>
                <w:rFonts w:cstheme="minorHAnsi"/>
              </w:rPr>
              <w:t>1.003</w:t>
            </w:r>
          </w:p>
        </w:tc>
        <w:tc>
          <w:tcPr>
            <w:tcW w:w="405" w:type="pct"/>
            <w:tcBorders>
              <w:bottom w:val="single" w:sz="4" w:space="0" w:color="auto"/>
            </w:tcBorders>
            <w:vAlign w:val="bottom"/>
          </w:tcPr>
          <w:p w:rsidR="00F1253B" w:rsidRPr="0061186C" w:rsidRDefault="00F1253B" w:rsidP="00342A14">
            <w:pPr>
              <w:pStyle w:val="TableRowNormal"/>
              <w:ind w:left="0" w:firstLine="0"/>
              <w:rPr>
                <w:rFonts w:cstheme="minorHAnsi"/>
              </w:rPr>
            </w:pPr>
            <w:r w:rsidRPr="0061186C">
              <w:rPr>
                <w:rFonts w:cstheme="minorHAnsi"/>
              </w:rPr>
              <w:t>1.05</w:t>
            </w:r>
            <w:r w:rsidR="000E6A89">
              <w:rPr>
                <w:rFonts w:cstheme="minorHAnsi"/>
              </w:rPr>
              <w:t>6</w:t>
            </w:r>
          </w:p>
        </w:tc>
        <w:tc>
          <w:tcPr>
            <w:tcW w:w="405" w:type="pct"/>
            <w:tcBorders>
              <w:bottom w:val="single" w:sz="4" w:space="0" w:color="auto"/>
            </w:tcBorders>
            <w:vAlign w:val="bottom"/>
          </w:tcPr>
          <w:p w:rsidR="00F1253B" w:rsidRPr="0061186C" w:rsidRDefault="00F1253B" w:rsidP="00694F27">
            <w:pPr>
              <w:pStyle w:val="TableRowNormal"/>
              <w:ind w:left="0" w:firstLine="0"/>
              <w:rPr>
                <w:rFonts w:cstheme="minorHAnsi"/>
              </w:rPr>
            </w:pPr>
            <w:r w:rsidRPr="0061186C">
              <w:rPr>
                <w:rFonts w:cstheme="minorHAnsi"/>
              </w:rPr>
              <w:t>0.9</w:t>
            </w:r>
            <w:r w:rsidR="00694F27">
              <w:rPr>
                <w:rFonts w:cstheme="minorHAnsi"/>
              </w:rPr>
              <w:t>91</w:t>
            </w:r>
          </w:p>
        </w:tc>
        <w:tc>
          <w:tcPr>
            <w:tcW w:w="405" w:type="pct"/>
            <w:tcBorders>
              <w:bottom w:val="single" w:sz="4" w:space="0" w:color="auto"/>
            </w:tcBorders>
            <w:vAlign w:val="bottom"/>
          </w:tcPr>
          <w:p w:rsidR="00F1253B" w:rsidRPr="0061186C" w:rsidRDefault="00F1253B" w:rsidP="00694F27">
            <w:pPr>
              <w:pStyle w:val="TableRowNormal"/>
              <w:ind w:left="0" w:firstLine="0"/>
              <w:rPr>
                <w:rFonts w:cstheme="minorHAnsi"/>
              </w:rPr>
            </w:pPr>
            <w:r w:rsidRPr="0061186C">
              <w:rPr>
                <w:rFonts w:cstheme="minorHAnsi"/>
              </w:rPr>
              <w:t>0.97</w:t>
            </w:r>
            <w:r w:rsidR="00694F27">
              <w:rPr>
                <w:rFonts w:cstheme="minorHAnsi"/>
              </w:rPr>
              <w:t>5</w:t>
            </w:r>
          </w:p>
        </w:tc>
        <w:tc>
          <w:tcPr>
            <w:tcW w:w="405" w:type="pct"/>
            <w:tcBorders>
              <w:bottom w:val="single" w:sz="4" w:space="0" w:color="auto"/>
            </w:tcBorders>
            <w:vAlign w:val="bottom"/>
          </w:tcPr>
          <w:p w:rsidR="00F1253B" w:rsidRPr="0061186C" w:rsidRDefault="00F1253B" w:rsidP="00694F27">
            <w:pPr>
              <w:pStyle w:val="TableRowNormal"/>
              <w:ind w:left="0" w:firstLine="0"/>
              <w:rPr>
                <w:rFonts w:cstheme="minorHAnsi"/>
              </w:rPr>
            </w:pPr>
            <w:r w:rsidRPr="0061186C">
              <w:rPr>
                <w:rFonts w:cstheme="minorHAnsi"/>
              </w:rPr>
              <w:t>0.</w:t>
            </w:r>
            <w:r w:rsidR="00694F27">
              <w:rPr>
                <w:rFonts w:cstheme="minorHAnsi"/>
              </w:rPr>
              <w:t>886</w:t>
            </w:r>
          </w:p>
        </w:tc>
        <w:tc>
          <w:tcPr>
            <w:tcW w:w="405" w:type="pct"/>
            <w:tcBorders>
              <w:bottom w:val="single" w:sz="4" w:space="0" w:color="auto"/>
            </w:tcBorders>
            <w:vAlign w:val="bottom"/>
          </w:tcPr>
          <w:p w:rsidR="00F1253B" w:rsidRPr="0061186C" w:rsidRDefault="00F1253B" w:rsidP="00694F27">
            <w:pPr>
              <w:pStyle w:val="TableRowNormal"/>
              <w:ind w:left="0" w:firstLine="0"/>
              <w:rPr>
                <w:rFonts w:cstheme="minorHAnsi"/>
              </w:rPr>
            </w:pPr>
            <w:r w:rsidRPr="0061186C">
              <w:rPr>
                <w:rFonts w:cstheme="minorHAnsi"/>
              </w:rPr>
              <w:t>1.10</w:t>
            </w:r>
            <w:r w:rsidR="00694F27">
              <w:rPr>
                <w:rFonts w:cstheme="minorHAnsi"/>
              </w:rPr>
              <w:t>2</w:t>
            </w:r>
          </w:p>
        </w:tc>
        <w:tc>
          <w:tcPr>
            <w:tcW w:w="405" w:type="pct"/>
            <w:tcBorders>
              <w:bottom w:val="single" w:sz="4" w:space="0" w:color="auto"/>
            </w:tcBorders>
            <w:vAlign w:val="bottom"/>
          </w:tcPr>
          <w:p w:rsidR="00F1253B" w:rsidRPr="0061186C" w:rsidRDefault="00F1253B" w:rsidP="00342A14">
            <w:pPr>
              <w:pStyle w:val="TableRowNormal"/>
              <w:ind w:left="0" w:firstLine="0"/>
              <w:rPr>
                <w:rFonts w:cstheme="minorHAnsi"/>
              </w:rPr>
            </w:pPr>
            <w:r w:rsidRPr="0061186C">
              <w:rPr>
                <w:rFonts w:cstheme="minorHAnsi"/>
              </w:rPr>
              <w:t>1.000</w:t>
            </w:r>
          </w:p>
        </w:tc>
      </w:tr>
    </w:tbl>
    <w:p w:rsidR="000D1599" w:rsidRDefault="000D1599" w:rsidP="000D1599">
      <w:pPr>
        <w:pStyle w:val="CGCTableFootnote"/>
      </w:pPr>
      <w:r>
        <w:t>(a)</w:t>
      </w:r>
      <w:r>
        <w:tab/>
        <w:t xml:space="preserve">This is </w:t>
      </w:r>
      <w:r w:rsidR="003E10FD">
        <w:t>a weighted average of the wage and regional cost disabilities</w:t>
      </w:r>
      <w:r>
        <w:t xml:space="preserve"> used </w:t>
      </w:r>
      <w:r w:rsidR="003E10FD">
        <w:t>for roads and non-roads</w:t>
      </w:r>
      <w:r>
        <w:t>.</w:t>
      </w:r>
    </w:p>
    <w:p w:rsidR="00342A14" w:rsidRDefault="00342A14" w:rsidP="000D1599">
      <w:pPr>
        <w:pStyle w:val="CGCTableFootnote"/>
      </w:pPr>
      <w:r>
        <w:t>Source:</w:t>
      </w:r>
      <w:r>
        <w:tab/>
        <w:t xml:space="preserve">Staff calculation </w:t>
      </w:r>
    </w:p>
    <w:p w:rsidR="00703DCD" w:rsidRDefault="00703DCD" w:rsidP="00703DCD">
      <w:pPr>
        <w:pStyle w:val="CGCNumberedPara"/>
      </w:pPr>
      <w:r>
        <w:t xml:space="preserve">There are two further issues </w:t>
      </w:r>
      <w:r w:rsidR="00412581">
        <w:t xml:space="preserve">which need to be considered in the process of reaching a decision on whether or not the </w:t>
      </w:r>
      <w:proofErr w:type="spellStart"/>
      <w:r w:rsidR="00412581">
        <w:t>Rawlinsons</w:t>
      </w:r>
      <w:proofErr w:type="spellEnd"/>
      <w:r w:rsidR="00412581">
        <w:t xml:space="preserve"> data are fit for the purpose of establishing a reliable relative capital cost index.  </w:t>
      </w:r>
    </w:p>
    <w:p w:rsidR="00703DCD" w:rsidRDefault="00703DCD" w:rsidP="00703DCD">
      <w:pPr>
        <w:pStyle w:val="CGCBulletlist"/>
      </w:pPr>
      <w:r>
        <w:t xml:space="preserve">While the </w:t>
      </w:r>
      <w:proofErr w:type="spellStart"/>
      <w:r>
        <w:t>Rawlinsons</w:t>
      </w:r>
      <w:proofErr w:type="spellEnd"/>
      <w:r>
        <w:t xml:space="preserve"> data are applicable to the labour inputs to road construction, they are less applicable to road material inputs because there are fewer inputs to roads.  This may mean road material costs are more volatile between location</w:t>
      </w:r>
      <w:r w:rsidR="00490C58">
        <w:t>s.  Data are not available to adjust the indices for this.</w:t>
      </w:r>
      <w:r>
        <w:t xml:space="preserve"> </w:t>
      </w:r>
    </w:p>
    <w:p w:rsidR="00490C58" w:rsidRDefault="00490C58" w:rsidP="00703DCD">
      <w:pPr>
        <w:pStyle w:val="CGCBulletlist"/>
      </w:pPr>
      <w:r>
        <w:t xml:space="preserve">The </w:t>
      </w:r>
      <w:proofErr w:type="spellStart"/>
      <w:r>
        <w:t>Rawlinsons</w:t>
      </w:r>
      <w:proofErr w:type="spellEnd"/>
      <w:r>
        <w:t xml:space="preserve"> indices may not </w:t>
      </w:r>
      <w:r w:rsidR="00EA0CA4">
        <w:t xml:space="preserve">reflect </w:t>
      </w:r>
      <w:r>
        <w:t>relative costs for plant, equipment and other non-land investment.  However, GFS data indicate this investment has been only about 10 % of total investment in each year since 2007-08</w:t>
      </w:r>
      <w:r w:rsidR="00EA0CA4">
        <w:t xml:space="preserve"> and buildings and other constructed assets were 90% of non-financial assets (excluding land)</w:t>
      </w:r>
      <w:r>
        <w:t xml:space="preserve">.  </w:t>
      </w:r>
      <w:r w:rsidR="00EA0CA4">
        <w:t xml:space="preserve">This could be dealt with by assuming no cost disabilities applied to plant and equipment, continuing the current approach of applying the wages and regional costs indices or applying the </w:t>
      </w:r>
      <w:proofErr w:type="spellStart"/>
      <w:r w:rsidR="00EA0CA4">
        <w:t>Rawlinsons</w:t>
      </w:r>
      <w:proofErr w:type="spellEnd"/>
      <w:r w:rsidR="00EA0CA4">
        <w:t xml:space="preserve"> indices.  </w:t>
      </w:r>
    </w:p>
    <w:p w:rsidR="00051083" w:rsidRDefault="00051083" w:rsidP="000D1599"/>
    <w:sectPr w:rsidR="00051083" w:rsidSect="0004123E">
      <w:footerReference w:type="default" r:id="rId15"/>
      <w:footerReference w:type="first" r:id="rId16"/>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CA4" w:rsidRDefault="00EA0CA4">
      <w:r>
        <w:separator/>
      </w:r>
    </w:p>
  </w:endnote>
  <w:endnote w:type="continuationSeparator" w:id="0">
    <w:p w:rsidR="00EA0CA4" w:rsidRDefault="00EA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456" w:rsidRPr="00875C0F" w:rsidRDefault="00FE1456" w:rsidP="00875C0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07996343"/>
      <w:docPartObj>
        <w:docPartGallery w:val="Page Numbers (Bottom of Page)"/>
        <w:docPartUnique/>
      </w:docPartObj>
    </w:sdtPr>
    <w:sdtEndPr/>
    <w:sdtContent>
      <w:p w:rsidR="00FE1456" w:rsidRPr="00875C0F" w:rsidRDefault="00FE1456" w:rsidP="00705CE4">
        <w:pPr>
          <w:pStyle w:val="Footer"/>
          <w:rPr>
            <w:sz w:val="20"/>
            <w:szCs w:val="20"/>
          </w:rPr>
        </w:pPr>
        <w:r w:rsidRPr="00875C0F">
          <w:rPr>
            <w:snapToGrid w:val="0"/>
            <w:sz w:val="20"/>
            <w:szCs w:val="20"/>
          </w:rPr>
          <w:fldChar w:fldCharType="begin"/>
        </w:r>
        <w:r w:rsidRPr="00875C0F">
          <w:rPr>
            <w:snapToGrid w:val="0"/>
            <w:sz w:val="20"/>
            <w:szCs w:val="20"/>
          </w:rPr>
          <w:instrText xml:space="preserve"> FILENAME \p </w:instrText>
        </w:r>
        <w:r w:rsidRPr="00875C0F">
          <w:rPr>
            <w:snapToGrid w:val="0"/>
            <w:sz w:val="20"/>
            <w:szCs w:val="20"/>
          </w:rPr>
          <w:fldChar w:fldCharType="separate"/>
        </w:r>
        <w:r w:rsidR="00285920">
          <w:rPr>
            <w:noProof/>
            <w:snapToGrid w:val="0"/>
            <w:sz w:val="20"/>
            <w:szCs w:val="20"/>
          </w:rPr>
          <w:t>I:\R2015\Discussion papers\FINALS\CGC 2014 02-S A capital cost index.docx</w:t>
        </w:r>
        <w:r w:rsidRPr="00875C0F">
          <w:rPr>
            <w:snapToGrid w:val="0"/>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CA4" w:rsidRPr="0011178C" w:rsidRDefault="00EA0CA4" w:rsidP="003929D2">
    <w:pPr>
      <w:pStyle w:val="Footer"/>
      <w:jc w:val="right"/>
    </w:pPr>
    <w:r>
      <w:fldChar w:fldCharType="begin"/>
    </w:r>
    <w:r>
      <w:instrText xml:space="preserve"> PAGE  \* Arabic  \* MERGEFORMAT </w:instrText>
    </w:r>
    <w:r>
      <w:fldChar w:fldCharType="separate"/>
    </w:r>
    <w:r w:rsidR="00516D0E">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CA4" w:rsidRPr="007E487F" w:rsidRDefault="00516D0E" w:rsidP="00550E84">
    <w:pPr>
      <w:pStyle w:val="Footer"/>
      <w:tabs>
        <w:tab w:val="right" w:pos="8931"/>
      </w:tabs>
      <w:rPr>
        <w:sz w:val="20"/>
        <w:szCs w:val="20"/>
      </w:rPr>
    </w:pPr>
    <w:r>
      <w:fldChar w:fldCharType="begin"/>
    </w:r>
    <w:r>
      <w:instrText xml:space="preserve"> FILENAME \p </w:instrText>
    </w:r>
    <w:r>
      <w:fldChar w:fldCharType="separate"/>
    </w:r>
    <w:r w:rsidR="00285920">
      <w:rPr>
        <w:noProof/>
      </w:rPr>
      <w:t>I:\R2015\Discussion papers\FINALS\CGC 2014 02-S A capital cost index.docx</w:t>
    </w:r>
    <w:r>
      <w:rPr>
        <w:noProof/>
      </w:rPr>
      <w:fldChar w:fldCharType="end"/>
    </w:r>
    <w:r w:rsidR="00EA0CA4">
      <w:rPr>
        <w:sz w:val="20"/>
        <w:szCs w:val="20"/>
      </w:rPr>
      <w:tab/>
    </w:r>
    <w:r w:rsidR="00EA0CA4">
      <w:fldChar w:fldCharType="begin"/>
    </w:r>
    <w:r w:rsidR="00EA0CA4">
      <w:instrText xml:space="preserve"> PAGE   \* MERGEFORMAT </w:instrText>
    </w:r>
    <w:r w:rsidR="00EA0CA4">
      <w:fldChar w:fldCharType="separate"/>
    </w:r>
    <w:r w:rsidR="00285920">
      <w:rPr>
        <w:noProof/>
      </w:rPr>
      <w:t>2</w:t>
    </w:r>
    <w:r w:rsidR="00EA0CA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CA4" w:rsidRDefault="00EA0CA4">
      <w:r>
        <w:separator/>
      </w:r>
    </w:p>
  </w:footnote>
  <w:footnote w:type="continuationSeparator" w:id="0">
    <w:p w:rsidR="00EA0CA4" w:rsidRDefault="00EA0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DCB81D96"/>
    <w:lvl w:ilvl="0" w:tplc="80F48E56">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8C0"/>
    <w:rsid w:val="0000272E"/>
    <w:rsid w:val="00022EA9"/>
    <w:rsid w:val="00024745"/>
    <w:rsid w:val="00032F41"/>
    <w:rsid w:val="0004123E"/>
    <w:rsid w:val="00041748"/>
    <w:rsid w:val="00041E84"/>
    <w:rsid w:val="000424EA"/>
    <w:rsid w:val="00044BBD"/>
    <w:rsid w:val="00051083"/>
    <w:rsid w:val="00056373"/>
    <w:rsid w:val="000624BB"/>
    <w:rsid w:val="000648E8"/>
    <w:rsid w:val="00093796"/>
    <w:rsid w:val="00096555"/>
    <w:rsid w:val="000A3898"/>
    <w:rsid w:val="000A52A1"/>
    <w:rsid w:val="000B2942"/>
    <w:rsid w:val="000B3007"/>
    <w:rsid w:val="000B3557"/>
    <w:rsid w:val="000B64E3"/>
    <w:rsid w:val="000D1354"/>
    <w:rsid w:val="000D1599"/>
    <w:rsid w:val="000D506D"/>
    <w:rsid w:val="000D7C54"/>
    <w:rsid w:val="000E0210"/>
    <w:rsid w:val="000E4FF7"/>
    <w:rsid w:val="000E6A89"/>
    <w:rsid w:val="000E6AA5"/>
    <w:rsid w:val="000E7F56"/>
    <w:rsid w:val="000F1CDA"/>
    <w:rsid w:val="001039C2"/>
    <w:rsid w:val="0011178C"/>
    <w:rsid w:val="00112CF0"/>
    <w:rsid w:val="001211AB"/>
    <w:rsid w:val="001218B8"/>
    <w:rsid w:val="00124ED1"/>
    <w:rsid w:val="00136497"/>
    <w:rsid w:val="00141BD1"/>
    <w:rsid w:val="00146856"/>
    <w:rsid w:val="00147115"/>
    <w:rsid w:val="001477CE"/>
    <w:rsid w:val="0016723A"/>
    <w:rsid w:val="00171A05"/>
    <w:rsid w:val="00172F3A"/>
    <w:rsid w:val="001730FD"/>
    <w:rsid w:val="00173798"/>
    <w:rsid w:val="00173BE6"/>
    <w:rsid w:val="00173E72"/>
    <w:rsid w:val="0017510E"/>
    <w:rsid w:val="001807C0"/>
    <w:rsid w:val="001811DE"/>
    <w:rsid w:val="00187145"/>
    <w:rsid w:val="001A74E2"/>
    <w:rsid w:val="001B0110"/>
    <w:rsid w:val="001B3048"/>
    <w:rsid w:val="001B696E"/>
    <w:rsid w:val="001B6A56"/>
    <w:rsid w:val="001B7760"/>
    <w:rsid w:val="001C469B"/>
    <w:rsid w:val="001C6A71"/>
    <w:rsid w:val="001D315B"/>
    <w:rsid w:val="001D638B"/>
    <w:rsid w:val="001D6DFA"/>
    <w:rsid w:val="001E6180"/>
    <w:rsid w:val="001E68FC"/>
    <w:rsid w:val="00204026"/>
    <w:rsid w:val="00212948"/>
    <w:rsid w:val="00217839"/>
    <w:rsid w:val="00225A3B"/>
    <w:rsid w:val="002302EA"/>
    <w:rsid w:val="0023081D"/>
    <w:rsid w:val="0023329C"/>
    <w:rsid w:val="00236DC0"/>
    <w:rsid w:val="002373A2"/>
    <w:rsid w:val="00241FAD"/>
    <w:rsid w:val="00242517"/>
    <w:rsid w:val="0024260B"/>
    <w:rsid w:val="0024401F"/>
    <w:rsid w:val="0024569B"/>
    <w:rsid w:val="00255B5A"/>
    <w:rsid w:val="002569D8"/>
    <w:rsid w:val="00267088"/>
    <w:rsid w:val="002671A2"/>
    <w:rsid w:val="00267496"/>
    <w:rsid w:val="00275B68"/>
    <w:rsid w:val="00276A8F"/>
    <w:rsid w:val="002845EA"/>
    <w:rsid w:val="00285920"/>
    <w:rsid w:val="00286EBE"/>
    <w:rsid w:val="0029117A"/>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DEF"/>
    <w:rsid w:val="00311D33"/>
    <w:rsid w:val="00313664"/>
    <w:rsid w:val="00314F90"/>
    <w:rsid w:val="0033102E"/>
    <w:rsid w:val="00331401"/>
    <w:rsid w:val="00333234"/>
    <w:rsid w:val="00334C62"/>
    <w:rsid w:val="00335ED1"/>
    <w:rsid w:val="00337EF8"/>
    <w:rsid w:val="00342A14"/>
    <w:rsid w:val="00342A60"/>
    <w:rsid w:val="0034379D"/>
    <w:rsid w:val="0034646D"/>
    <w:rsid w:val="00347BE5"/>
    <w:rsid w:val="003522E0"/>
    <w:rsid w:val="0035267F"/>
    <w:rsid w:val="0035580D"/>
    <w:rsid w:val="003639FB"/>
    <w:rsid w:val="00363BF7"/>
    <w:rsid w:val="00382AE5"/>
    <w:rsid w:val="0038650A"/>
    <w:rsid w:val="003929D2"/>
    <w:rsid w:val="00393FA5"/>
    <w:rsid w:val="003A27BB"/>
    <w:rsid w:val="003B673D"/>
    <w:rsid w:val="003C2577"/>
    <w:rsid w:val="003C4448"/>
    <w:rsid w:val="003D3D91"/>
    <w:rsid w:val="003D4708"/>
    <w:rsid w:val="003D477A"/>
    <w:rsid w:val="003E10FD"/>
    <w:rsid w:val="003E6615"/>
    <w:rsid w:val="003E79F9"/>
    <w:rsid w:val="003F12E9"/>
    <w:rsid w:val="003F59F4"/>
    <w:rsid w:val="00404DCD"/>
    <w:rsid w:val="004077D6"/>
    <w:rsid w:val="004121E7"/>
    <w:rsid w:val="00412581"/>
    <w:rsid w:val="00414E51"/>
    <w:rsid w:val="00420F04"/>
    <w:rsid w:val="00423099"/>
    <w:rsid w:val="00424E79"/>
    <w:rsid w:val="0042661C"/>
    <w:rsid w:val="004274B3"/>
    <w:rsid w:val="00443EC1"/>
    <w:rsid w:val="00453264"/>
    <w:rsid w:val="00462B54"/>
    <w:rsid w:val="00472461"/>
    <w:rsid w:val="004809B8"/>
    <w:rsid w:val="004821B9"/>
    <w:rsid w:val="00490C58"/>
    <w:rsid w:val="00491D88"/>
    <w:rsid w:val="00494018"/>
    <w:rsid w:val="0049605C"/>
    <w:rsid w:val="004965F7"/>
    <w:rsid w:val="00497F8E"/>
    <w:rsid w:val="004A4E1E"/>
    <w:rsid w:val="004A7048"/>
    <w:rsid w:val="004B0A0A"/>
    <w:rsid w:val="004B1C4B"/>
    <w:rsid w:val="004B60CB"/>
    <w:rsid w:val="004C1CB5"/>
    <w:rsid w:val="004E769A"/>
    <w:rsid w:val="00500ACD"/>
    <w:rsid w:val="00504061"/>
    <w:rsid w:val="00505BAE"/>
    <w:rsid w:val="00506956"/>
    <w:rsid w:val="005079D5"/>
    <w:rsid w:val="00515380"/>
    <w:rsid w:val="00516D0E"/>
    <w:rsid w:val="00537A77"/>
    <w:rsid w:val="00541A14"/>
    <w:rsid w:val="00543F9C"/>
    <w:rsid w:val="00546D39"/>
    <w:rsid w:val="00550E84"/>
    <w:rsid w:val="00551368"/>
    <w:rsid w:val="005577B0"/>
    <w:rsid w:val="00562084"/>
    <w:rsid w:val="00570EED"/>
    <w:rsid w:val="005716FC"/>
    <w:rsid w:val="00575DEF"/>
    <w:rsid w:val="00583A33"/>
    <w:rsid w:val="005867D2"/>
    <w:rsid w:val="005963CC"/>
    <w:rsid w:val="00596E19"/>
    <w:rsid w:val="005A241E"/>
    <w:rsid w:val="005A6FED"/>
    <w:rsid w:val="005B1BC4"/>
    <w:rsid w:val="005B6894"/>
    <w:rsid w:val="005C13B2"/>
    <w:rsid w:val="005C27E3"/>
    <w:rsid w:val="005C37CB"/>
    <w:rsid w:val="005C459C"/>
    <w:rsid w:val="005D1A9F"/>
    <w:rsid w:val="005D52FA"/>
    <w:rsid w:val="005E266F"/>
    <w:rsid w:val="005E5734"/>
    <w:rsid w:val="005E73CE"/>
    <w:rsid w:val="005F06A3"/>
    <w:rsid w:val="005F07DC"/>
    <w:rsid w:val="005F50BD"/>
    <w:rsid w:val="005F64FB"/>
    <w:rsid w:val="0060251E"/>
    <w:rsid w:val="00602DDE"/>
    <w:rsid w:val="00606470"/>
    <w:rsid w:val="00611737"/>
    <w:rsid w:val="0061261E"/>
    <w:rsid w:val="00614DE8"/>
    <w:rsid w:val="00617AF9"/>
    <w:rsid w:val="00622669"/>
    <w:rsid w:val="00622FE1"/>
    <w:rsid w:val="00635027"/>
    <w:rsid w:val="00644A7B"/>
    <w:rsid w:val="006556D9"/>
    <w:rsid w:val="00661C46"/>
    <w:rsid w:val="006652D3"/>
    <w:rsid w:val="00667CF3"/>
    <w:rsid w:val="006704CE"/>
    <w:rsid w:val="006769C4"/>
    <w:rsid w:val="00677627"/>
    <w:rsid w:val="00677BD5"/>
    <w:rsid w:val="0068025E"/>
    <w:rsid w:val="006813DD"/>
    <w:rsid w:val="00693C87"/>
    <w:rsid w:val="00694F27"/>
    <w:rsid w:val="006A05C7"/>
    <w:rsid w:val="006A607B"/>
    <w:rsid w:val="006A6E27"/>
    <w:rsid w:val="006A72B0"/>
    <w:rsid w:val="006B3E4D"/>
    <w:rsid w:val="006C52B9"/>
    <w:rsid w:val="006D1DFE"/>
    <w:rsid w:val="006D466F"/>
    <w:rsid w:val="006E6BC2"/>
    <w:rsid w:val="006E77BB"/>
    <w:rsid w:val="0070150E"/>
    <w:rsid w:val="00703DCD"/>
    <w:rsid w:val="00705DB8"/>
    <w:rsid w:val="00710F48"/>
    <w:rsid w:val="00713225"/>
    <w:rsid w:val="0072512A"/>
    <w:rsid w:val="00725E9E"/>
    <w:rsid w:val="00731EE6"/>
    <w:rsid w:val="00735329"/>
    <w:rsid w:val="007355A6"/>
    <w:rsid w:val="00740A71"/>
    <w:rsid w:val="00743620"/>
    <w:rsid w:val="007477C5"/>
    <w:rsid w:val="00747938"/>
    <w:rsid w:val="00762AFB"/>
    <w:rsid w:val="00765BA8"/>
    <w:rsid w:val="00766007"/>
    <w:rsid w:val="00770A26"/>
    <w:rsid w:val="007A1364"/>
    <w:rsid w:val="007A24A0"/>
    <w:rsid w:val="007A4AB2"/>
    <w:rsid w:val="007A5E68"/>
    <w:rsid w:val="007B1BF7"/>
    <w:rsid w:val="007C404B"/>
    <w:rsid w:val="007C4BAE"/>
    <w:rsid w:val="007D1D3B"/>
    <w:rsid w:val="007D5960"/>
    <w:rsid w:val="007E114E"/>
    <w:rsid w:val="007E487F"/>
    <w:rsid w:val="007E4B2D"/>
    <w:rsid w:val="007E587D"/>
    <w:rsid w:val="007E71E9"/>
    <w:rsid w:val="007F1D06"/>
    <w:rsid w:val="008010D7"/>
    <w:rsid w:val="00803443"/>
    <w:rsid w:val="0080680D"/>
    <w:rsid w:val="00812C05"/>
    <w:rsid w:val="0081322A"/>
    <w:rsid w:val="008162AB"/>
    <w:rsid w:val="0084057E"/>
    <w:rsid w:val="00843E6F"/>
    <w:rsid w:val="00846E4A"/>
    <w:rsid w:val="00851AF5"/>
    <w:rsid w:val="00851D3A"/>
    <w:rsid w:val="00851FB5"/>
    <w:rsid w:val="008563D5"/>
    <w:rsid w:val="008647DE"/>
    <w:rsid w:val="00864B95"/>
    <w:rsid w:val="008800D3"/>
    <w:rsid w:val="00886CDD"/>
    <w:rsid w:val="0089214D"/>
    <w:rsid w:val="00893C0D"/>
    <w:rsid w:val="008A0AC9"/>
    <w:rsid w:val="008A20DA"/>
    <w:rsid w:val="008B5C8F"/>
    <w:rsid w:val="008B5F16"/>
    <w:rsid w:val="008B7722"/>
    <w:rsid w:val="008C0E5C"/>
    <w:rsid w:val="008C4F81"/>
    <w:rsid w:val="008D348B"/>
    <w:rsid w:val="008E2BE4"/>
    <w:rsid w:val="008E6B4E"/>
    <w:rsid w:val="008E7970"/>
    <w:rsid w:val="008E7C34"/>
    <w:rsid w:val="008F0C36"/>
    <w:rsid w:val="008F377B"/>
    <w:rsid w:val="00915512"/>
    <w:rsid w:val="009233CC"/>
    <w:rsid w:val="009240D8"/>
    <w:rsid w:val="009271D0"/>
    <w:rsid w:val="009323FE"/>
    <w:rsid w:val="00932AB8"/>
    <w:rsid w:val="009360D7"/>
    <w:rsid w:val="009362C9"/>
    <w:rsid w:val="00942387"/>
    <w:rsid w:val="00944C48"/>
    <w:rsid w:val="0094626F"/>
    <w:rsid w:val="009462D2"/>
    <w:rsid w:val="009652D5"/>
    <w:rsid w:val="00965CE0"/>
    <w:rsid w:val="009677F8"/>
    <w:rsid w:val="00971146"/>
    <w:rsid w:val="00972A9A"/>
    <w:rsid w:val="00991675"/>
    <w:rsid w:val="00992008"/>
    <w:rsid w:val="00996409"/>
    <w:rsid w:val="00996D00"/>
    <w:rsid w:val="009A03DC"/>
    <w:rsid w:val="009A6CF3"/>
    <w:rsid w:val="009B43BF"/>
    <w:rsid w:val="009B4A2D"/>
    <w:rsid w:val="009C1E0B"/>
    <w:rsid w:val="009D08C0"/>
    <w:rsid w:val="009D545A"/>
    <w:rsid w:val="009D5FCC"/>
    <w:rsid w:val="009D6D44"/>
    <w:rsid w:val="009E22FA"/>
    <w:rsid w:val="009E4744"/>
    <w:rsid w:val="009E4EC9"/>
    <w:rsid w:val="009E5D5A"/>
    <w:rsid w:val="009F2262"/>
    <w:rsid w:val="009F4ADA"/>
    <w:rsid w:val="009F51DF"/>
    <w:rsid w:val="009F6A0D"/>
    <w:rsid w:val="00A07991"/>
    <w:rsid w:val="00A10CDE"/>
    <w:rsid w:val="00A1680D"/>
    <w:rsid w:val="00A23AB0"/>
    <w:rsid w:val="00A266C5"/>
    <w:rsid w:val="00A309C6"/>
    <w:rsid w:val="00A32E4E"/>
    <w:rsid w:val="00A505DE"/>
    <w:rsid w:val="00A5327C"/>
    <w:rsid w:val="00A5721C"/>
    <w:rsid w:val="00A67913"/>
    <w:rsid w:val="00A67C14"/>
    <w:rsid w:val="00A81A94"/>
    <w:rsid w:val="00A87FB4"/>
    <w:rsid w:val="00A9681E"/>
    <w:rsid w:val="00AA007A"/>
    <w:rsid w:val="00AA397D"/>
    <w:rsid w:val="00AB073E"/>
    <w:rsid w:val="00AB1A13"/>
    <w:rsid w:val="00AB4E9F"/>
    <w:rsid w:val="00AC210F"/>
    <w:rsid w:val="00AC319E"/>
    <w:rsid w:val="00AC7CF5"/>
    <w:rsid w:val="00AE3A1E"/>
    <w:rsid w:val="00AE4341"/>
    <w:rsid w:val="00AE734F"/>
    <w:rsid w:val="00AF2656"/>
    <w:rsid w:val="00AF6110"/>
    <w:rsid w:val="00AF6AC6"/>
    <w:rsid w:val="00B00611"/>
    <w:rsid w:val="00B03D8F"/>
    <w:rsid w:val="00B04354"/>
    <w:rsid w:val="00B22AD7"/>
    <w:rsid w:val="00B249FC"/>
    <w:rsid w:val="00B308FC"/>
    <w:rsid w:val="00B317E7"/>
    <w:rsid w:val="00B33A57"/>
    <w:rsid w:val="00B34083"/>
    <w:rsid w:val="00B34F13"/>
    <w:rsid w:val="00B37728"/>
    <w:rsid w:val="00B41152"/>
    <w:rsid w:val="00B45C64"/>
    <w:rsid w:val="00B46A32"/>
    <w:rsid w:val="00B46B29"/>
    <w:rsid w:val="00B53547"/>
    <w:rsid w:val="00B53597"/>
    <w:rsid w:val="00B55D3E"/>
    <w:rsid w:val="00B62590"/>
    <w:rsid w:val="00B6299B"/>
    <w:rsid w:val="00B63CF9"/>
    <w:rsid w:val="00B6729F"/>
    <w:rsid w:val="00B82627"/>
    <w:rsid w:val="00B90AA7"/>
    <w:rsid w:val="00B94335"/>
    <w:rsid w:val="00BA65E5"/>
    <w:rsid w:val="00BB09DF"/>
    <w:rsid w:val="00BB3FC5"/>
    <w:rsid w:val="00BC2B3B"/>
    <w:rsid w:val="00BC4579"/>
    <w:rsid w:val="00BD0163"/>
    <w:rsid w:val="00BD3D24"/>
    <w:rsid w:val="00BD43D8"/>
    <w:rsid w:val="00C0018A"/>
    <w:rsid w:val="00C00905"/>
    <w:rsid w:val="00C035B5"/>
    <w:rsid w:val="00C11ABD"/>
    <w:rsid w:val="00C14FB2"/>
    <w:rsid w:val="00C176AC"/>
    <w:rsid w:val="00C222F7"/>
    <w:rsid w:val="00C24569"/>
    <w:rsid w:val="00C24839"/>
    <w:rsid w:val="00C2748F"/>
    <w:rsid w:val="00C27C23"/>
    <w:rsid w:val="00C313D4"/>
    <w:rsid w:val="00C41C84"/>
    <w:rsid w:val="00C512A9"/>
    <w:rsid w:val="00C554D4"/>
    <w:rsid w:val="00C61B02"/>
    <w:rsid w:val="00C72165"/>
    <w:rsid w:val="00C83041"/>
    <w:rsid w:val="00C9039D"/>
    <w:rsid w:val="00C90B42"/>
    <w:rsid w:val="00C91EEE"/>
    <w:rsid w:val="00C9475D"/>
    <w:rsid w:val="00C95056"/>
    <w:rsid w:val="00C951FD"/>
    <w:rsid w:val="00CA7F28"/>
    <w:rsid w:val="00CB0768"/>
    <w:rsid w:val="00CB131F"/>
    <w:rsid w:val="00CB4DCD"/>
    <w:rsid w:val="00CB4F2D"/>
    <w:rsid w:val="00CC1690"/>
    <w:rsid w:val="00CC3D1D"/>
    <w:rsid w:val="00CC665A"/>
    <w:rsid w:val="00CE04A0"/>
    <w:rsid w:val="00CE29AA"/>
    <w:rsid w:val="00CE34DC"/>
    <w:rsid w:val="00CE3CC3"/>
    <w:rsid w:val="00CF5620"/>
    <w:rsid w:val="00D0590B"/>
    <w:rsid w:val="00D0671E"/>
    <w:rsid w:val="00D07FB4"/>
    <w:rsid w:val="00D21FA8"/>
    <w:rsid w:val="00D236B7"/>
    <w:rsid w:val="00D23E48"/>
    <w:rsid w:val="00D244BE"/>
    <w:rsid w:val="00D2742B"/>
    <w:rsid w:val="00D33955"/>
    <w:rsid w:val="00D37142"/>
    <w:rsid w:val="00D43096"/>
    <w:rsid w:val="00D46AB2"/>
    <w:rsid w:val="00D57B40"/>
    <w:rsid w:val="00D656EB"/>
    <w:rsid w:val="00D73F4D"/>
    <w:rsid w:val="00D771FD"/>
    <w:rsid w:val="00D7796D"/>
    <w:rsid w:val="00D81B18"/>
    <w:rsid w:val="00D83541"/>
    <w:rsid w:val="00D857D7"/>
    <w:rsid w:val="00D93A16"/>
    <w:rsid w:val="00D9496D"/>
    <w:rsid w:val="00DA0768"/>
    <w:rsid w:val="00DA161A"/>
    <w:rsid w:val="00DA5A94"/>
    <w:rsid w:val="00DB149B"/>
    <w:rsid w:val="00DB1E41"/>
    <w:rsid w:val="00DB2355"/>
    <w:rsid w:val="00DB3BB4"/>
    <w:rsid w:val="00DC0F8D"/>
    <w:rsid w:val="00DC2284"/>
    <w:rsid w:val="00DC3CA4"/>
    <w:rsid w:val="00DE4578"/>
    <w:rsid w:val="00DF04EE"/>
    <w:rsid w:val="00DF3E35"/>
    <w:rsid w:val="00E01839"/>
    <w:rsid w:val="00E03ED5"/>
    <w:rsid w:val="00E06243"/>
    <w:rsid w:val="00E07169"/>
    <w:rsid w:val="00E1688C"/>
    <w:rsid w:val="00E22665"/>
    <w:rsid w:val="00E30499"/>
    <w:rsid w:val="00E30B51"/>
    <w:rsid w:val="00E324BB"/>
    <w:rsid w:val="00E377E8"/>
    <w:rsid w:val="00E43464"/>
    <w:rsid w:val="00E47A69"/>
    <w:rsid w:val="00E47F26"/>
    <w:rsid w:val="00E571BB"/>
    <w:rsid w:val="00E74435"/>
    <w:rsid w:val="00E758AD"/>
    <w:rsid w:val="00E77D4E"/>
    <w:rsid w:val="00E91860"/>
    <w:rsid w:val="00E954B7"/>
    <w:rsid w:val="00E96FDB"/>
    <w:rsid w:val="00EA0CA4"/>
    <w:rsid w:val="00EA107B"/>
    <w:rsid w:val="00EC16F1"/>
    <w:rsid w:val="00ED05D6"/>
    <w:rsid w:val="00ED0C6F"/>
    <w:rsid w:val="00ED2FCC"/>
    <w:rsid w:val="00EE5F75"/>
    <w:rsid w:val="00EF0875"/>
    <w:rsid w:val="00EF2722"/>
    <w:rsid w:val="00EF40A4"/>
    <w:rsid w:val="00EF6805"/>
    <w:rsid w:val="00F00508"/>
    <w:rsid w:val="00F01E52"/>
    <w:rsid w:val="00F042DC"/>
    <w:rsid w:val="00F07099"/>
    <w:rsid w:val="00F105EA"/>
    <w:rsid w:val="00F11117"/>
    <w:rsid w:val="00F1253B"/>
    <w:rsid w:val="00F12541"/>
    <w:rsid w:val="00F22035"/>
    <w:rsid w:val="00F22D18"/>
    <w:rsid w:val="00F36C87"/>
    <w:rsid w:val="00F46927"/>
    <w:rsid w:val="00F55854"/>
    <w:rsid w:val="00F56813"/>
    <w:rsid w:val="00F72C93"/>
    <w:rsid w:val="00F80A88"/>
    <w:rsid w:val="00F823F5"/>
    <w:rsid w:val="00F9170D"/>
    <w:rsid w:val="00F92CA4"/>
    <w:rsid w:val="00F94368"/>
    <w:rsid w:val="00F9494C"/>
    <w:rsid w:val="00FA15C8"/>
    <w:rsid w:val="00FA2D86"/>
    <w:rsid w:val="00FA348C"/>
    <w:rsid w:val="00FB0AD8"/>
    <w:rsid w:val="00FB4DBB"/>
    <w:rsid w:val="00FB4F00"/>
    <w:rsid w:val="00FE1456"/>
    <w:rsid w:val="00FE2C17"/>
    <w:rsid w:val="00FE6666"/>
    <w:rsid w:val="00FF072F"/>
    <w:rsid w:val="00FF37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er" w:uiPriority="99"/>
    <w:lsdException w:name="footer" w:uiPriority="99"/>
    <w:lsdException w:name="Default Paragraph Font" w:uiPriority="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qFormat/>
    <w:rsid w:val="00622669"/>
    <w:pPr>
      <w:numPr>
        <w:numId w:val="36"/>
      </w:numPr>
      <w:tabs>
        <w:tab w:val="clear" w:pos="567"/>
      </w:tabs>
      <w:spacing w:before="80" w:line="300" w:lineRule="atLeast"/>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622669"/>
    <w:pPr>
      <w:numPr>
        <w:numId w:val="39"/>
      </w:numPr>
      <w:tabs>
        <w:tab w:val="clear" w:pos="567"/>
        <w:tab w:val="left" w:pos="1701"/>
      </w:tabs>
      <w:spacing w:line="300" w:lineRule="atLeast"/>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TableFootnoteChar">
    <w:name w:val="CGC Table Footnote Char"/>
    <w:basedOn w:val="DefaultParagraphFont"/>
    <w:link w:val="CGCTableFootnote"/>
    <w:rsid w:val="00710F48"/>
    <w:rPr>
      <w:sz w:val="20"/>
      <w:szCs w:val="24"/>
    </w:rPr>
  </w:style>
  <w:style w:type="character" w:customStyle="1" w:styleId="CGCTableHeadingChar">
    <w:name w:val="CGC Table Heading Char"/>
    <w:basedOn w:val="DefaultParagraphFont"/>
    <w:link w:val="CGCTableHeading"/>
    <w:rsid w:val="00710F48"/>
    <w:rPr>
      <w:b/>
      <w:sz w:val="24"/>
      <w:szCs w:val="20"/>
    </w:rPr>
  </w:style>
  <w:style w:type="character" w:customStyle="1" w:styleId="CGCTableStubChar">
    <w:name w:val="CGC Table Stub Char"/>
    <w:basedOn w:val="DefaultParagraphFont"/>
    <w:link w:val="CGCTableStub"/>
    <w:rsid w:val="00710F4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er" w:uiPriority="99"/>
    <w:lsdException w:name="footer" w:uiPriority="99"/>
    <w:lsdException w:name="Default Paragraph Font" w:uiPriority="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qFormat/>
    <w:rsid w:val="00622669"/>
    <w:pPr>
      <w:numPr>
        <w:numId w:val="36"/>
      </w:numPr>
      <w:tabs>
        <w:tab w:val="clear" w:pos="567"/>
      </w:tabs>
      <w:spacing w:before="80" w:line="300" w:lineRule="atLeast"/>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622669"/>
    <w:pPr>
      <w:numPr>
        <w:numId w:val="39"/>
      </w:numPr>
      <w:tabs>
        <w:tab w:val="clear" w:pos="567"/>
        <w:tab w:val="left" w:pos="1701"/>
      </w:tabs>
      <w:spacing w:line="300" w:lineRule="atLeast"/>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TableFootnoteChar">
    <w:name w:val="CGC Table Footnote Char"/>
    <w:basedOn w:val="DefaultParagraphFont"/>
    <w:link w:val="CGCTableFootnote"/>
    <w:rsid w:val="00710F48"/>
    <w:rPr>
      <w:sz w:val="20"/>
      <w:szCs w:val="24"/>
    </w:rPr>
  </w:style>
  <w:style w:type="character" w:customStyle="1" w:styleId="CGCTableHeadingChar">
    <w:name w:val="CGC Table Heading Char"/>
    <w:basedOn w:val="DefaultParagraphFont"/>
    <w:link w:val="CGCTableHeading"/>
    <w:rsid w:val="00710F48"/>
    <w:rPr>
      <w:b/>
      <w:sz w:val="24"/>
      <w:szCs w:val="20"/>
    </w:rPr>
  </w:style>
  <w:style w:type="character" w:customStyle="1" w:styleId="CGCTableStubChar">
    <w:name w:val="CGC Table Stub Char"/>
    <w:basedOn w:val="DefaultParagraphFont"/>
    <w:link w:val="CGCTableStub"/>
    <w:rsid w:val="00710F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224583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y@cgc.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lcolm.nicholas@cg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gcna01\I_drive\R2015\Category%20assessments\Capital\Capital%20specific%20factors\Construction%20cost%20factor\Analysis%20of%20Rawlinsons\Rawlinsons%20data%20analysis\Rawlinsons%20&amp;%20interstate%20construction%20cost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792639773531501E-2"/>
          <c:y val="0.15982351290684624"/>
          <c:w val="0.89549044585987259"/>
          <c:h val="0.74661307519640852"/>
        </c:manualLayout>
      </c:layout>
      <c:barChart>
        <c:barDir val="col"/>
        <c:grouping val="clustered"/>
        <c:varyColors val="0"/>
        <c:ser>
          <c:idx val="0"/>
          <c:order val="0"/>
          <c:tx>
            <c:strRef>
              <c:f>'2013'!$B$61</c:f>
              <c:strCache>
                <c:ptCount val="1"/>
                <c:pt idx="0">
                  <c:v>Admin office 2-3 storey</c:v>
                </c:pt>
              </c:strCache>
            </c:strRef>
          </c:tx>
          <c:spPr>
            <a:solidFill>
              <a:sysClr val="windowText" lastClr="000000"/>
            </a:solidFill>
            <a:ln>
              <a:solidFill>
                <a:schemeClr val="tx1"/>
              </a:solidFill>
            </a:ln>
          </c:spPr>
          <c:invertIfNegative val="0"/>
          <c:cat>
            <c:strRef>
              <c:f>'2013'!$A$62:$A$69</c:f>
              <c:strCache>
                <c:ptCount val="8"/>
                <c:pt idx="0">
                  <c:v>Sydney</c:v>
                </c:pt>
                <c:pt idx="1">
                  <c:v>Melbourne</c:v>
                </c:pt>
                <c:pt idx="2">
                  <c:v>Brisbane</c:v>
                </c:pt>
                <c:pt idx="3">
                  <c:v>Perth</c:v>
                </c:pt>
                <c:pt idx="4">
                  <c:v>Adelaide</c:v>
                </c:pt>
                <c:pt idx="5">
                  <c:v>Hobart</c:v>
                </c:pt>
                <c:pt idx="6">
                  <c:v>Canberra</c:v>
                </c:pt>
                <c:pt idx="7">
                  <c:v>Darwin</c:v>
                </c:pt>
              </c:strCache>
            </c:strRef>
          </c:cat>
          <c:val>
            <c:numRef>
              <c:f>'2013'!$B$62:$B$69</c:f>
              <c:numCache>
                <c:formatCode>0%</c:formatCode>
                <c:ptCount val="8"/>
                <c:pt idx="0">
                  <c:v>1.0031170281020012</c:v>
                </c:pt>
                <c:pt idx="1">
                  <c:v>0.98566258646665428</c:v>
                </c:pt>
                <c:pt idx="2">
                  <c:v>0.97128834041401557</c:v>
                </c:pt>
                <c:pt idx="3">
                  <c:v>1.0524001574253339</c:v>
                </c:pt>
                <c:pt idx="4">
                  <c:v>0.98976951391026524</c:v>
                </c:pt>
                <c:pt idx="5">
                  <c:v>1.0452130343990147</c:v>
                </c:pt>
                <c:pt idx="6">
                  <c:v>1.0688278671997782</c:v>
                </c:pt>
                <c:pt idx="7">
                  <c:v>1.1314585107148469</c:v>
                </c:pt>
              </c:numCache>
            </c:numRef>
          </c:val>
        </c:ser>
        <c:ser>
          <c:idx val="1"/>
          <c:order val="1"/>
          <c:tx>
            <c:strRef>
              <c:f>'2013'!$C$61</c:f>
              <c:strCache>
                <c:ptCount val="1"/>
                <c:pt idx="0">
                  <c:v>Primary school (a)</c:v>
                </c:pt>
              </c:strCache>
            </c:strRef>
          </c:tx>
          <c:spPr>
            <a:solidFill>
              <a:srgbClr val="006666"/>
            </a:solidFill>
            <a:ln>
              <a:solidFill>
                <a:schemeClr val="tx1"/>
              </a:solidFill>
            </a:ln>
          </c:spPr>
          <c:invertIfNegative val="0"/>
          <c:cat>
            <c:strRef>
              <c:f>'2013'!$A$62:$A$69</c:f>
              <c:strCache>
                <c:ptCount val="8"/>
                <c:pt idx="0">
                  <c:v>Sydney</c:v>
                </c:pt>
                <c:pt idx="1">
                  <c:v>Melbourne</c:v>
                </c:pt>
                <c:pt idx="2">
                  <c:v>Brisbane</c:v>
                </c:pt>
                <c:pt idx="3">
                  <c:v>Perth</c:v>
                </c:pt>
                <c:pt idx="4">
                  <c:v>Adelaide</c:v>
                </c:pt>
                <c:pt idx="5">
                  <c:v>Hobart</c:v>
                </c:pt>
                <c:pt idx="6">
                  <c:v>Canberra</c:v>
                </c:pt>
                <c:pt idx="7">
                  <c:v>Darwin</c:v>
                </c:pt>
              </c:strCache>
            </c:strRef>
          </c:cat>
          <c:val>
            <c:numRef>
              <c:f>'2013'!$C$62:$C$69</c:f>
              <c:numCache>
                <c:formatCode>0%</c:formatCode>
                <c:ptCount val="8"/>
                <c:pt idx="0">
                  <c:v>0.9925540265254873</c:v>
                </c:pt>
                <c:pt idx="1">
                  <c:v>1.002893130968461</c:v>
                </c:pt>
                <c:pt idx="2">
                  <c:v>0.95981352912273687</c:v>
                </c:pt>
                <c:pt idx="3">
                  <c:v>0.92707303171998634</c:v>
                </c:pt>
                <c:pt idx="4">
                  <c:v>1.0666509417001331</c:v>
                </c:pt>
                <c:pt idx="5">
                  <c:v>1.1131769116935153</c:v>
                </c:pt>
                <c:pt idx="6">
                  <c:v>1.3871631794323216</c:v>
                </c:pt>
                <c:pt idx="7">
                  <c:v>1.3440835775865974</c:v>
                </c:pt>
              </c:numCache>
            </c:numRef>
          </c:val>
        </c:ser>
        <c:ser>
          <c:idx val="2"/>
          <c:order val="2"/>
          <c:tx>
            <c:strRef>
              <c:f>'2013'!$D$61</c:f>
              <c:strCache>
                <c:ptCount val="1"/>
                <c:pt idx="0">
                  <c:v>Secondary school (a)</c:v>
                </c:pt>
              </c:strCache>
            </c:strRef>
          </c:tx>
          <c:spPr>
            <a:solidFill>
              <a:srgbClr val="009999"/>
            </a:solidFill>
            <a:ln>
              <a:solidFill>
                <a:schemeClr val="tx1"/>
              </a:solidFill>
            </a:ln>
          </c:spPr>
          <c:invertIfNegative val="0"/>
          <c:cat>
            <c:strRef>
              <c:f>'2013'!$A$62:$A$69</c:f>
              <c:strCache>
                <c:ptCount val="8"/>
                <c:pt idx="0">
                  <c:v>Sydney</c:v>
                </c:pt>
                <c:pt idx="1">
                  <c:v>Melbourne</c:v>
                </c:pt>
                <c:pt idx="2">
                  <c:v>Brisbane</c:v>
                </c:pt>
                <c:pt idx="3">
                  <c:v>Perth</c:v>
                </c:pt>
                <c:pt idx="4">
                  <c:v>Adelaide</c:v>
                </c:pt>
                <c:pt idx="5">
                  <c:v>Hobart</c:v>
                </c:pt>
                <c:pt idx="6">
                  <c:v>Canberra</c:v>
                </c:pt>
                <c:pt idx="7">
                  <c:v>Darwin</c:v>
                </c:pt>
              </c:strCache>
            </c:strRef>
          </c:cat>
          <c:val>
            <c:numRef>
              <c:f>'2013'!$D$62:$D$69</c:f>
              <c:numCache>
                <c:formatCode>0%</c:formatCode>
                <c:ptCount val="8"/>
                <c:pt idx="0">
                  <c:v>1.0314589330808861</c:v>
                </c:pt>
                <c:pt idx="1">
                  <c:v>1.0177061473064744</c:v>
                </c:pt>
                <c:pt idx="2">
                  <c:v>0.9296883183502388</c:v>
                </c:pt>
                <c:pt idx="3">
                  <c:v>0.90493330395629745</c:v>
                </c:pt>
                <c:pt idx="4">
                  <c:v>1.0259578187711216</c:v>
                </c:pt>
                <c:pt idx="5">
                  <c:v>1.1346048263889748</c:v>
                </c:pt>
                <c:pt idx="6">
                  <c:v>1.113975647727357</c:v>
                </c:pt>
                <c:pt idx="7">
                  <c:v>1.2597551769361224</c:v>
                </c:pt>
              </c:numCache>
            </c:numRef>
          </c:val>
        </c:ser>
        <c:ser>
          <c:idx val="3"/>
          <c:order val="3"/>
          <c:tx>
            <c:strRef>
              <c:f>'2013'!$E$61</c:f>
              <c:strCache>
                <c:ptCount val="1"/>
                <c:pt idx="0">
                  <c:v>District hospital</c:v>
                </c:pt>
              </c:strCache>
            </c:strRef>
          </c:tx>
          <c:spPr>
            <a:solidFill>
              <a:srgbClr val="7FBCAA"/>
            </a:solidFill>
            <a:ln>
              <a:solidFill>
                <a:schemeClr val="tx1"/>
              </a:solidFill>
            </a:ln>
          </c:spPr>
          <c:invertIfNegative val="0"/>
          <c:cat>
            <c:strRef>
              <c:f>'2013'!$A$62:$A$69</c:f>
              <c:strCache>
                <c:ptCount val="8"/>
                <c:pt idx="0">
                  <c:v>Sydney</c:v>
                </c:pt>
                <c:pt idx="1">
                  <c:v>Melbourne</c:v>
                </c:pt>
                <c:pt idx="2">
                  <c:v>Brisbane</c:v>
                </c:pt>
                <c:pt idx="3">
                  <c:v>Perth</c:v>
                </c:pt>
                <c:pt idx="4">
                  <c:v>Adelaide</c:v>
                </c:pt>
                <c:pt idx="5">
                  <c:v>Hobart</c:v>
                </c:pt>
                <c:pt idx="6">
                  <c:v>Canberra</c:v>
                </c:pt>
                <c:pt idx="7">
                  <c:v>Darwin</c:v>
                </c:pt>
              </c:strCache>
            </c:strRef>
          </c:cat>
          <c:val>
            <c:numRef>
              <c:f>'2013'!$E$62:$E$69</c:f>
              <c:numCache>
                <c:formatCode>0%</c:formatCode>
                <c:ptCount val="8"/>
                <c:pt idx="0">
                  <c:v>1.0298976956123804</c:v>
                </c:pt>
                <c:pt idx="1">
                  <c:v>0.96481388290354253</c:v>
                </c:pt>
                <c:pt idx="2">
                  <c:v>0.97339636370031235</c:v>
                </c:pt>
                <c:pt idx="3">
                  <c:v>1.0270368686801239</c:v>
                </c:pt>
                <c:pt idx="4">
                  <c:v>0.98841570509465959</c:v>
                </c:pt>
                <c:pt idx="5">
                  <c:v>1.0062958734212635</c:v>
                </c:pt>
                <c:pt idx="6">
                  <c:v>1.037049762943022</c:v>
                </c:pt>
                <c:pt idx="7">
                  <c:v>1.158634907563928</c:v>
                </c:pt>
              </c:numCache>
            </c:numRef>
          </c:val>
        </c:ser>
        <c:ser>
          <c:idx val="4"/>
          <c:order val="4"/>
          <c:tx>
            <c:strRef>
              <c:f>'2013'!$F$61</c:f>
              <c:strCache>
                <c:ptCount val="1"/>
                <c:pt idx="0">
                  <c:v>Aged person single storey home</c:v>
                </c:pt>
              </c:strCache>
            </c:strRef>
          </c:tx>
          <c:spPr>
            <a:solidFill>
              <a:srgbClr val="C1FFE0"/>
            </a:solidFill>
            <a:ln>
              <a:solidFill>
                <a:schemeClr val="tx1"/>
              </a:solidFill>
            </a:ln>
          </c:spPr>
          <c:invertIfNegative val="0"/>
          <c:cat>
            <c:strRef>
              <c:f>'2013'!$A$62:$A$69</c:f>
              <c:strCache>
                <c:ptCount val="8"/>
                <c:pt idx="0">
                  <c:v>Sydney</c:v>
                </c:pt>
                <c:pt idx="1">
                  <c:v>Melbourne</c:v>
                </c:pt>
                <c:pt idx="2">
                  <c:v>Brisbane</c:v>
                </c:pt>
                <c:pt idx="3">
                  <c:v>Perth</c:v>
                </c:pt>
                <c:pt idx="4">
                  <c:v>Adelaide</c:v>
                </c:pt>
                <c:pt idx="5">
                  <c:v>Hobart</c:v>
                </c:pt>
                <c:pt idx="6">
                  <c:v>Canberra</c:v>
                </c:pt>
                <c:pt idx="7">
                  <c:v>Darwin</c:v>
                </c:pt>
              </c:strCache>
            </c:strRef>
          </c:cat>
          <c:val>
            <c:numRef>
              <c:f>'2013'!$F$62:$F$69</c:f>
              <c:numCache>
                <c:formatCode>0%</c:formatCode>
                <c:ptCount val="8"/>
                <c:pt idx="0">
                  <c:v>1.0445492129358585</c:v>
                </c:pt>
                <c:pt idx="1">
                  <c:v>0.91920330738355549</c:v>
                </c:pt>
                <c:pt idx="2">
                  <c:v>0.98579331970821649</c:v>
                </c:pt>
                <c:pt idx="3">
                  <c:v>1.0798027488724438</c:v>
                </c:pt>
                <c:pt idx="4">
                  <c:v>0.89700663660866853</c:v>
                </c:pt>
                <c:pt idx="5">
                  <c:v>1.2025372813924071</c:v>
                </c:pt>
                <c:pt idx="6">
                  <c:v>1.0341037208064998</c:v>
                </c:pt>
                <c:pt idx="7">
                  <c:v>1.2351794442966526</c:v>
                </c:pt>
              </c:numCache>
            </c:numRef>
          </c:val>
        </c:ser>
        <c:ser>
          <c:idx val="5"/>
          <c:order val="5"/>
          <c:tx>
            <c:strRef>
              <c:f>'2013'!$G$61</c:f>
              <c:strCache>
                <c:ptCount val="1"/>
                <c:pt idx="0">
                  <c:v>Capital city index</c:v>
                </c:pt>
              </c:strCache>
            </c:strRef>
          </c:tx>
          <c:spPr>
            <a:solidFill>
              <a:sysClr val="window" lastClr="FFFFFF"/>
            </a:solidFill>
            <a:ln>
              <a:solidFill>
                <a:schemeClr val="tx1"/>
              </a:solidFill>
            </a:ln>
          </c:spPr>
          <c:invertIfNegative val="0"/>
          <c:cat>
            <c:strRef>
              <c:f>'2013'!$A$62:$A$69</c:f>
              <c:strCache>
                <c:ptCount val="8"/>
                <c:pt idx="0">
                  <c:v>Sydney</c:v>
                </c:pt>
                <c:pt idx="1">
                  <c:v>Melbourne</c:v>
                </c:pt>
                <c:pt idx="2">
                  <c:v>Brisbane</c:v>
                </c:pt>
                <c:pt idx="3">
                  <c:v>Perth</c:v>
                </c:pt>
                <c:pt idx="4">
                  <c:v>Adelaide</c:v>
                </c:pt>
                <c:pt idx="5">
                  <c:v>Hobart</c:v>
                </c:pt>
                <c:pt idx="6">
                  <c:v>Canberra</c:v>
                </c:pt>
                <c:pt idx="7">
                  <c:v>Darwin</c:v>
                </c:pt>
              </c:strCache>
            </c:strRef>
          </c:cat>
          <c:val>
            <c:numRef>
              <c:f>'2013'!$G$62:$G$69</c:f>
              <c:numCache>
                <c:formatCode>0%</c:formatCode>
                <c:ptCount val="8"/>
                <c:pt idx="0">
                  <c:v>1</c:v>
                </c:pt>
                <c:pt idx="1">
                  <c:v>0.97</c:v>
                </c:pt>
                <c:pt idx="2">
                  <c:v>0.94</c:v>
                </c:pt>
                <c:pt idx="3">
                  <c:v>1.04</c:v>
                </c:pt>
                <c:pt idx="4">
                  <c:v>0.99</c:v>
                </c:pt>
                <c:pt idx="5">
                  <c:v>1.01</c:v>
                </c:pt>
                <c:pt idx="6">
                  <c:v>1.03</c:v>
                </c:pt>
                <c:pt idx="7">
                  <c:v>1.22</c:v>
                </c:pt>
              </c:numCache>
            </c:numRef>
          </c:val>
        </c:ser>
        <c:dLbls>
          <c:showLegendKey val="0"/>
          <c:showVal val="0"/>
          <c:showCatName val="0"/>
          <c:showSerName val="0"/>
          <c:showPercent val="0"/>
          <c:showBubbleSize val="0"/>
        </c:dLbls>
        <c:gapWidth val="150"/>
        <c:axId val="119663232"/>
        <c:axId val="122610816"/>
      </c:barChart>
      <c:catAx>
        <c:axId val="119663232"/>
        <c:scaling>
          <c:orientation val="minMax"/>
        </c:scaling>
        <c:delete val="0"/>
        <c:axPos val="b"/>
        <c:majorTickMark val="out"/>
        <c:minorTickMark val="none"/>
        <c:tickLblPos val="nextTo"/>
        <c:crossAx val="122610816"/>
        <c:crosses val="autoZero"/>
        <c:auto val="1"/>
        <c:lblAlgn val="ctr"/>
        <c:lblOffset val="100"/>
        <c:noMultiLvlLbl val="0"/>
      </c:catAx>
      <c:valAx>
        <c:axId val="122610816"/>
        <c:scaling>
          <c:orientation val="minMax"/>
          <c:max val="1.4"/>
          <c:min val="0.8"/>
        </c:scaling>
        <c:delete val="0"/>
        <c:axPos val="l"/>
        <c:majorGridlines>
          <c:spPr>
            <a:ln>
              <a:solidFill>
                <a:schemeClr val="bg1">
                  <a:lumMod val="65000"/>
                </a:schemeClr>
              </a:solidFill>
            </a:ln>
          </c:spPr>
        </c:majorGridlines>
        <c:numFmt formatCode="0.00" sourceLinked="0"/>
        <c:majorTickMark val="out"/>
        <c:minorTickMark val="none"/>
        <c:tickLblPos val="nextTo"/>
        <c:crossAx val="119663232"/>
        <c:crosses val="autoZero"/>
        <c:crossBetween val="between"/>
      </c:valAx>
    </c:plotArea>
    <c:legend>
      <c:legendPos val="t"/>
      <c:layout>
        <c:manualLayout>
          <c:xMode val="edge"/>
          <c:yMode val="edge"/>
          <c:x val="1.1615534324133051E-2"/>
          <c:y val="1.0690235690235691E-2"/>
          <c:w val="0.98126291578202407"/>
          <c:h val="0.13451430976430975"/>
        </c:manualLayout>
      </c:layout>
      <c:overlay val="0"/>
      <c:spPr>
        <a:solidFill>
          <a:sysClr val="window" lastClr="FFFFFF"/>
        </a:solidFill>
        <a:ln>
          <a:solidFill>
            <a:sysClr val="window" lastClr="FFFFFF">
              <a:lumMod val="65000"/>
            </a:sysClr>
          </a:solidFill>
        </a:ln>
      </c:spPr>
    </c:legend>
    <c:plotVisOnly val="1"/>
    <c:dispBlanksAs val="gap"/>
    <c:showDLblsOverMax val="0"/>
  </c:chart>
  <c:spPr>
    <a:ln w="3175">
      <a:solidFill>
        <a:sysClr val="windowText" lastClr="000000"/>
      </a:solidFill>
    </a:ln>
  </c:spPr>
  <c:txPr>
    <a:bodyPr/>
    <a:lstStyle/>
    <a:p>
      <a:pPr>
        <a:defRPr>
          <a:latin typeface="Calibri" pitchFamily="34"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BAEAE-35F7-48CE-9C5F-A465CC6E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2327</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Malcolm Nicholas</dc:creator>
  <cp:lastModifiedBy>Malcolm Nicholas</cp:lastModifiedBy>
  <cp:revision>5</cp:revision>
  <cp:lastPrinted>2014-05-01T02:27:00Z</cp:lastPrinted>
  <dcterms:created xsi:type="dcterms:W3CDTF">2014-03-27T22:52:00Z</dcterms:created>
  <dcterms:modified xsi:type="dcterms:W3CDTF">2014-05-12T08:46:00Z</dcterms:modified>
</cp:coreProperties>
</file>